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5"/>
        <w:spacing w:before="120" w:beforeAutospacing="0" w:after="120" w:afterAutospacing="0" w:line="360" w:lineRule="auto"/>
        <w:rPr>
          <w:rFonts w:hint="eastAsia" w:ascii="宋体" w:hAnsi="宋体" w:eastAsia="宋体" w:cs="宋体"/>
          <w:color w:val="auto"/>
          <w:highlight w:val="none"/>
        </w:rPr>
      </w:pPr>
      <w:r>
        <w:rPr>
          <w:color w:val="auto"/>
          <w:highlight w:val="none"/>
        </w:rPr>
        <w:t xml:space="preserve"> </w:t>
      </w:r>
      <w:r/>
    </w:p>
    <w:p>
      <w:pPr>
        <w:jc w:val="center"/>
        <w:spacing w:before="156" w:after="156" w:line="1320" w:lineRule="exact"/>
        <w:rPr>
          <w:rFonts w:hint="eastAsia" w:ascii="宋体" w:hAnsi="宋体" w:eastAsia="宋体" w:cs="宋体"/>
          <w:b/>
          <w:color w:val="auto"/>
          <w:sz w:val="96"/>
          <w:szCs w:val="96"/>
          <w:highlight w:val="none"/>
          <w:lang w:eastAsia="zh-CN"/>
        </w:rPr>
        <w:outlineLvl w:val="0"/>
      </w:pPr>
      <w:r>
        <w:rPr>
          <w:rFonts w:hint="eastAsia" w:ascii="宋体" w:hAnsi="宋体" w:eastAsia="宋体" w:cs="宋体"/>
          <w:b/>
          <w:bCs w:val="0"/>
          <w:color w:val="auto"/>
          <w:sz w:val="60"/>
          <w:szCs w:val="112"/>
          <w:highlight w:val="none"/>
          <w:lang w:eastAsia="zh-CN"/>
        </w:rPr>
        <w:t xml:space="preserve">2026年东台市新曹填埋场渗滤液设施运营服务采购项目</w:t>
      </w:r>
      <w:r/>
    </w:p>
    <w:p>
      <w:pPr>
        <w:jc w:val="center"/>
        <w:rPr>
          <w:rFonts w:hint="eastAsia" w:ascii="宋体" w:hAnsi="宋体" w:eastAsia="宋体" w:cs="宋体"/>
          <w:color w:val="auto"/>
          <w:sz w:val="32"/>
          <w:szCs w:val="32"/>
          <w:highlight w:val="none"/>
        </w:rPr>
        <w:outlineLvl w:val="0"/>
      </w:pPr>
      <w:r>
        <w:rPr>
          <w:rFonts w:hint="eastAsia" w:ascii="宋体" w:hAnsi="宋体" w:eastAsia="宋体" w:cs="宋体"/>
          <w:color w:val="auto"/>
          <w:sz w:val="32"/>
          <w:szCs w:val="3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856" w:lineRule="atLeast"/>
        <w:tabs>
          <w:tab w:val="left" w:pos="2160" w:leader="none"/>
          <w:tab w:val="left" w:pos="2340" w:leader="none"/>
          <w:tab w:val="left" w:pos="5940" w:leader="none"/>
          <w:tab w:val="left" w:pos="6120" w:leader="none"/>
        </w:tabs>
        <w:rPr>
          <w:rFonts w:hint="eastAsia" w:ascii="宋体" w:hAnsi="宋体" w:eastAsia="宋体" w:cs="宋体"/>
          <w:color w:val="auto"/>
          <w:sz w:val="84"/>
          <w:highlight w:val="none"/>
        </w:rPr>
        <w:outlineLvl w:val="0"/>
      </w:pPr>
      <w:r>
        <w:rPr>
          <w:rFonts w:hint="eastAsia" w:ascii="宋体" w:hAnsi="宋体" w:eastAsia="宋体" w:cs="宋体"/>
          <w:b/>
          <w:color w:val="auto"/>
          <w:sz w:val="84"/>
          <w:highlight w:val="none"/>
          <w:lang w:val="en-US" w:eastAsia="zh-CN"/>
        </w:rPr>
        <w:t xml:space="preserve">招 标</w:t>
      </w:r>
      <w:r>
        <w:rPr>
          <w:rFonts w:hint="eastAsia" w:ascii="宋体" w:hAnsi="宋体" w:eastAsia="宋体" w:cs="宋体"/>
          <w:b/>
          <w:color w:val="auto"/>
          <w:sz w:val="84"/>
          <w:highlight w:val="none"/>
        </w:rPr>
        <w:t xml:space="preserve"> 文 件</w:t>
      </w:r>
      <w:r/>
    </w:p>
    <w:p>
      <w:pPr>
        <w:jc w:val="center"/>
        <w:spacing w:line="413"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413"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413" w:lineRule="atLeast"/>
        <w:rPr>
          <w:rFonts w:hint="eastAsia" w:ascii="宋体" w:hAnsi="宋体" w:eastAsia="宋体" w:cs="宋体"/>
          <w:b/>
          <w:bCs/>
          <w:color w:val="auto"/>
          <w:highlight w:val="none"/>
          <w:u w:val="single"/>
          <w:lang w:eastAsia="zh-CN"/>
        </w:rPr>
      </w:pPr>
      <w:r>
        <w:rPr>
          <w:rFonts w:hint="eastAsia" w:ascii="宋体" w:hAnsi="宋体" w:eastAsia="宋体" w:cs="宋体"/>
          <w:b/>
          <w:bCs/>
          <w:color w:val="auto"/>
          <w:sz w:val="32"/>
          <w:szCs w:val="32"/>
          <w:highlight w:val="none"/>
        </w:rPr>
        <w:t xml:space="preserve">编号：JSZC-320981-XHZB-G2026-0005</w:t>
      </w:r>
      <w:r/>
    </w:p>
    <w:p>
      <w:pPr>
        <w:spacing w:line="413"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p>
      <w:pPr>
        <w:ind w:firstLine="620"/>
        <w:jc w:val="left"/>
        <w:spacing w:line="453" w:lineRule="atLeast"/>
        <w:rPr>
          <w:rFonts w:hint="eastAsia" w:ascii="宋体" w:hAnsi="宋体" w:eastAsia="宋体" w:cs="宋体"/>
          <w:bCs/>
          <w:color w:val="auto"/>
          <w:sz w:val="31"/>
          <w:highlight w:val="none"/>
        </w:rPr>
      </w:pPr>
      <w:r>
        <w:rPr>
          <w:rFonts w:hint="eastAsia" w:ascii="宋体" w:hAnsi="宋体" w:eastAsia="宋体" w:cs="宋体"/>
          <w:bCs/>
          <w:color w:val="auto"/>
          <w:sz w:val="31"/>
          <w:highlight w:val="none"/>
        </w:rPr>
      </w:r>
      <w:r/>
    </w:p>
    <w:p>
      <w:pPr>
        <w:pStyle w:val="871"/>
        <w:rPr>
          <w:rFonts w:hint="eastAsia" w:ascii="宋体" w:hAnsi="宋体" w:eastAsia="宋体" w:cs="宋体"/>
          <w:bCs/>
          <w:color w:val="auto"/>
          <w:sz w:val="31"/>
          <w:highlight w:val="none"/>
        </w:rPr>
      </w:pPr>
      <w:r>
        <w:rPr>
          <w:rFonts w:hint="eastAsia" w:ascii="宋体" w:hAnsi="宋体" w:eastAsia="宋体" w:cs="宋体"/>
          <w:bCs/>
          <w:color w:val="auto"/>
          <w:sz w:val="31"/>
          <w:highlight w:val="none"/>
        </w:rPr>
      </w:r>
      <w:r/>
    </w:p>
    <w:p>
      <w:pPr>
        <w:spacing w:line="480" w:lineRule="auto"/>
        <w:rPr>
          <w:rFonts w:hint="eastAsia" w:ascii="宋体" w:hAnsi="宋体" w:eastAsia="宋体" w:cs="宋体"/>
          <w:b/>
          <w:color w:val="auto"/>
          <w:sz w:val="31"/>
          <w:highlight w:val="none"/>
        </w:rPr>
        <w:outlineLvl w:val="0"/>
      </w:pPr>
      <w:r>
        <w:rPr>
          <w:rFonts w:hint="eastAsia" w:ascii="宋体" w:hAnsi="宋体" w:eastAsia="宋体" w:cs="宋体"/>
          <w:b/>
          <w:color w:val="auto"/>
          <w:sz w:val="31"/>
          <w:highlight w:val="none"/>
        </w:rPr>
        <w:t xml:space="preserve">采购人：</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u w:val="single"/>
          <w:lang w:val="en-US" w:eastAsia="zh-CN"/>
        </w:rPr>
        <w:t xml:space="preserve"> </w:t>
      </w:r>
      <w:r>
        <w:rPr>
          <w:rFonts w:hint="eastAsia" w:ascii="宋体" w:hAnsi="宋体" w:eastAsia="宋体" w:cs="宋体"/>
          <w:b/>
          <w:color w:val="auto"/>
          <w:sz w:val="31"/>
          <w:highlight w:val="none"/>
          <w:u w:val="single"/>
          <w:lang w:eastAsia="zh-CN"/>
        </w:rPr>
        <w:t xml:space="preserve">东台市环境卫生管理处</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u w:val="single"/>
          <w:lang w:val="en-US" w:eastAsia="zh-CN"/>
        </w:rPr>
        <w:t xml:space="preserve"> </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rPr>
        <w:t xml:space="preserve">（盖章）</w:t>
      </w:r>
      <w:r/>
    </w:p>
    <w:p>
      <w:pPr>
        <w:spacing w:line="480" w:lineRule="auto"/>
        <w:rPr>
          <w:rFonts w:hint="eastAsia" w:ascii="宋体" w:hAnsi="宋体" w:eastAsia="宋体" w:cs="宋体"/>
          <w:b/>
          <w:color w:val="auto"/>
          <w:sz w:val="31"/>
          <w:highlight w:val="none"/>
        </w:rPr>
        <w:outlineLvl w:val="0"/>
      </w:pPr>
      <w:r>
        <w:rPr>
          <w:rFonts w:hint="eastAsia" w:ascii="宋体" w:hAnsi="宋体" w:eastAsia="宋体" w:cs="宋体"/>
          <w:b/>
          <w:color w:val="auto"/>
          <w:sz w:val="31"/>
          <w:highlight w:val="none"/>
        </w:rPr>
        <w:t xml:space="preserve">法定代表人或其委托代理人：</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rPr>
        <w:t xml:space="preserve">（签字或盖章）</w:t>
      </w:r>
      <w:r/>
    </w:p>
    <w:p>
      <w:pPr>
        <w:spacing w:line="480" w:lineRule="auto"/>
        <w:rPr>
          <w:rFonts w:hint="eastAsia" w:ascii="宋体" w:hAnsi="宋体" w:eastAsia="宋体" w:cs="宋体"/>
          <w:b/>
          <w:color w:val="auto"/>
          <w:sz w:val="31"/>
          <w:highlight w:val="none"/>
        </w:rPr>
      </w:pPr>
      <w:r>
        <w:rPr>
          <w:rFonts w:hint="eastAsia" w:ascii="宋体" w:hAnsi="宋体" w:eastAsia="宋体" w:cs="宋体"/>
          <w:b/>
          <w:color w:val="auto"/>
          <w:sz w:val="31"/>
          <w:highlight w:val="none"/>
        </w:rPr>
      </w:r>
      <w:r/>
    </w:p>
    <w:p>
      <w:pPr>
        <w:spacing w:line="480" w:lineRule="auto"/>
        <w:rPr>
          <w:rFonts w:hint="eastAsia" w:ascii="宋体" w:hAnsi="宋体" w:eastAsia="宋体" w:cs="宋体"/>
          <w:b/>
          <w:color w:val="auto"/>
          <w:sz w:val="31"/>
          <w:highlight w:val="none"/>
        </w:rPr>
        <w:outlineLvl w:val="0"/>
      </w:pPr>
      <w:r>
        <w:rPr>
          <w:rFonts w:hint="eastAsia" w:ascii="宋体" w:hAnsi="宋体" w:eastAsia="宋体" w:cs="宋体"/>
          <w:b/>
          <w:color w:val="auto"/>
          <w:sz w:val="31"/>
          <w:highlight w:val="none"/>
        </w:rPr>
        <w:t xml:space="preserve">采购代理机构：</w:t>
      </w:r>
      <w:r>
        <w:rPr>
          <w:rFonts w:hint="eastAsia" w:ascii="宋体" w:hAnsi="宋体" w:eastAsia="宋体" w:cs="宋体"/>
          <w:b/>
          <w:color w:val="auto"/>
          <w:sz w:val="31"/>
          <w:highlight w:val="none"/>
          <w:u w:val="single"/>
        </w:rPr>
        <w:t xml:space="preserve">  东台市兴华招标代理有限公司   </w:t>
      </w:r>
      <w:r>
        <w:rPr>
          <w:rFonts w:hint="eastAsia" w:ascii="宋体" w:hAnsi="宋体" w:eastAsia="宋体" w:cs="宋体"/>
          <w:b/>
          <w:color w:val="auto"/>
          <w:sz w:val="31"/>
          <w:highlight w:val="none"/>
        </w:rPr>
        <w:t xml:space="preserve">（盖章）</w:t>
      </w:r>
      <w:r/>
    </w:p>
    <w:p>
      <w:pPr>
        <w:spacing w:line="480" w:lineRule="auto"/>
        <w:rPr>
          <w:rFonts w:hint="eastAsia" w:ascii="宋体" w:hAnsi="宋体" w:eastAsia="宋体" w:cs="宋体"/>
          <w:b/>
          <w:color w:val="auto"/>
          <w:sz w:val="31"/>
          <w:highlight w:val="none"/>
        </w:rPr>
        <w:outlineLvl w:val="0"/>
      </w:pPr>
      <w:r>
        <w:rPr>
          <w:rFonts w:hint="eastAsia" w:ascii="宋体" w:hAnsi="宋体" w:eastAsia="宋体" w:cs="宋体"/>
          <w:b/>
          <w:color w:val="auto"/>
          <w:sz w:val="31"/>
          <w:highlight w:val="none"/>
        </w:rPr>
        <w:t xml:space="preserve">法定代表人或其委托代理人：</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rPr>
        <w:t xml:space="preserve">（签字或盖章）</w:t>
      </w:r>
      <w:r/>
    </w:p>
    <w:p>
      <w:pPr>
        <w:pStyle w:val="872"/>
        <w:jc w:val="center"/>
        <w:spacing w:before="0" w:after="0" w:line="453" w:lineRule="atLeast"/>
        <w:widowControl w:val="off"/>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65"/>
        <w:jc w:val="center"/>
        <w:spacing w:beforeAutospacing="0" w:afterAutospacing="0" w:line="480" w:lineRule="auto"/>
        <w:rPr>
          <w:rFonts w:hint="eastAsia" w:ascii="宋体" w:hAnsi="宋体" w:eastAsia="宋体" w:cs="宋体"/>
          <w:b/>
          <w:color w:val="auto"/>
          <w:sz w:val="31"/>
          <w:highlight w:val="none"/>
        </w:rPr>
      </w:pPr>
      <w:r>
        <w:rPr>
          <w:rFonts w:hint="eastAsia" w:ascii="宋体" w:hAnsi="宋体" w:eastAsia="宋体" w:cs="宋体"/>
          <w:b/>
          <w:color w:val="auto"/>
          <w:sz w:val="31"/>
          <w:highlight w:val="none"/>
          <w:u w:val="single"/>
        </w:rPr>
        <w:t xml:space="preserve"> 202</w:t>
      </w:r>
      <w:r>
        <w:rPr>
          <w:rFonts w:hint="eastAsia" w:ascii="宋体" w:hAnsi="宋体" w:eastAsia="宋体" w:cs="宋体"/>
          <w:b/>
          <w:color w:val="auto"/>
          <w:sz w:val="31"/>
          <w:highlight w:val="none"/>
          <w:u w:val="single"/>
          <w:lang w:val="en-US" w:eastAsia="zh-CN"/>
        </w:rPr>
        <w:t xml:space="preserve">6</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rPr>
        <w:t xml:space="preserve">年</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u w:val="single"/>
          <w:lang w:val="en-US" w:eastAsia="zh-CN"/>
        </w:rPr>
        <w:t xml:space="preserve">4</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rPr>
        <w:t xml:space="preserve">月</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u w:val="single"/>
          <w:lang w:val="en-US" w:eastAsia="zh-CN"/>
        </w:rPr>
        <w:t xml:space="preserve">10</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rPr>
        <w:t xml:space="preserve">日</w:t>
      </w:r>
      <w:r/>
    </w:p>
    <w:p>
      <w:pPr>
        <w:pStyle w:val="865"/>
        <w:jc w:val="center"/>
        <w:spacing w:beforeAutospacing="0" w:afterAutospacing="0"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65"/>
        <w:jc w:val="center"/>
        <w:spacing w:beforeAutospacing="0" w:afterAutospacing="0" w:line="480" w:lineRule="auto"/>
        <w:rPr>
          <w:color w:val="auto"/>
          <w:highlight w:val="none"/>
        </w:rPr>
      </w:pPr>
      <w:r>
        <w:rPr>
          <w:rFonts w:ascii="Times New Roman" w:hAnsi="Times New Roman"/>
          <w:color w:val="auto"/>
          <w:sz w:val="21"/>
          <w:szCs w:val="21"/>
          <w:highlight w:val="none"/>
        </w:rPr>
        <w:t xml:space="preserve"> </w:t>
      </w:r>
      <w:bookmarkStart w:id="0" w:name="_Toc513029200"/>
      <w:r/>
      <w:bookmarkStart w:id="1" w:name="_Toc120614210"/>
      <w:r/>
      <w:bookmarkStart w:id="2" w:name="_Toc523127445"/>
      <w:r/>
      <w:bookmarkStart w:id="3" w:name="_Toc16938516"/>
      <w:r/>
      <w:bookmarkStart w:id="4" w:name="_Toc20823272"/>
      <w:r/>
      <w:bookmarkStart w:id="5" w:name="_Toc479757206"/>
      <w:r>
        <w:rPr>
          <w:rFonts w:ascii="Times New Roman" w:hAnsi="Times New Roman"/>
          <w:color w:val="auto"/>
          <w:sz w:val="21"/>
          <w:szCs w:val="21"/>
          <w:highlight w:val="none"/>
        </w:rPr>
        <w:t xml:space="preserve"> </w:t>
      </w:r>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865"/>
        <w:jc w:val="both"/>
        <w:spacing w:beforeAutospacing="0" w:afterAutospacing="0" w:line="480" w:lineRule="auto"/>
        <w:rPr>
          <w:color w:val="auto"/>
          <w:highlight w:val="none"/>
        </w:rPr>
      </w:pPr>
      <w:r>
        <w:rPr>
          <w:color w:val="auto"/>
          <w:highlight w:val="none"/>
        </w:rPr>
        <w:t xml:space="preserve"> </w:t>
      </w:r>
      <w:r/>
    </w:p>
    <w:p>
      <w:pPr>
        <w:pStyle w:val="865"/>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lang w:val="en-US" w:eastAsia="zh-CN"/>
        </w:rPr>
        <w:t xml:space="preserve">招标公告</w:t>
      </w:r>
      <w:r>
        <w:rPr>
          <w:rFonts w:hint="eastAsia" w:ascii="黑体" w:hAnsi="宋体" w:eastAsia="黑体" w:cs="黑体"/>
          <w:color w:val="auto"/>
          <w:sz w:val="36"/>
          <w:szCs w:val="36"/>
          <w:highlight w:val="none"/>
        </w:rPr>
        <w:t xml:space="preserve">…………………………………… </w:t>
      </w:r>
      <w:r/>
    </w:p>
    <w:p>
      <w:pPr>
        <w:pStyle w:val="865"/>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投标人须知…………………………………  </w:t>
      </w:r>
      <w:r/>
    </w:p>
    <w:p>
      <w:pPr>
        <w:pStyle w:val="865"/>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合同文本……………………………………</w:t>
      </w:r>
      <w:r/>
    </w:p>
    <w:p>
      <w:pPr>
        <w:pStyle w:val="865"/>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采购需求……………………………………</w:t>
      </w:r>
      <w:r/>
    </w:p>
    <w:p>
      <w:pPr>
        <w:pStyle w:val="865"/>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评标方法与评标标准………………………</w:t>
      </w:r>
      <w:r/>
    </w:p>
    <w:p>
      <w:pPr>
        <w:pStyle w:val="865"/>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投标文件格式………………………………</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center"/>
        <w:keepNext/>
        <w:spacing w:beforeAutospacing="0" w:afterAutospacing="0"/>
        <w:rPr>
          <w:rFonts w:hint="default" w:eastAsia="黑体"/>
          <w:color w:val="auto"/>
          <w:highlight w:val="none"/>
          <w:lang w:val="en-US" w:eastAsia="zh-CN"/>
        </w:rPr>
      </w:pPr>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招标公告</w:t>
      </w:r>
      <w:r/>
    </w:p>
    <w:p>
      <w:pPr>
        <w:pStyle w:val="865"/>
        <w:ind w:firstLine="480"/>
        <w:jc w:val="both"/>
        <w:pageBreakBefore w:val="0"/>
        <w:spacing w:beforeAutospacing="0" w:afterAutospacing="0" w:line="48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865"/>
        <w:ind w:firstLine="480"/>
        <w:jc w:val="both"/>
        <w:pageBreakBefore w:val="0"/>
        <w:spacing w:beforeAutospacing="0" w:afterAutospacing="0" w:line="48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eastAsia="zh-CN"/>
        </w:rPr>
        <w:t xml:space="preserve">2026年东台市新曹填埋场渗滤液设施运营服务采购项目</w:t>
      </w:r>
      <w:r>
        <w:rPr>
          <w:rFonts w:hint="eastAsia" w:ascii="宋体" w:hAnsi="宋体" w:eastAsia="宋体" w:cs="宋体"/>
          <w:color w:val="auto"/>
          <w:sz w:val="24"/>
          <w:szCs w:val="24"/>
          <w:highlight w:val="none"/>
        </w:rPr>
        <w:t xml:space="preserve">的潜在投标人可在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none"/>
        </w:rPr>
        <w:t xml:space="preserve">年</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none"/>
        </w:rPr>
        <w:t xml:space="preserve">月</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none"/>
        </w:rPr>
        <w:t xml:space="preserve">日</w:t>
      </w:r>
      <w:r>
        <w:rPr>
          <w:rFonts w:hint="eastAsia" w:ascii="宋体" w:hAnsi="宋体" w:eastAsia="宋体" w:cs="宋体"/>
          <w:color w:val="auto"/>
          <w:sz w:val="24"/>
          <w:szCs w:val="24"/>
          <w:highlight w:val="none"/>
          <w:u w:val="single"/>
          <w:lang w:val="en-US" w:eastAsia="zh-CN"/>
        </w:rPr>
        <w:t xml:space="preserve">14</w:t>
      </w:r>
      <w:r>
        <w:rPr>
          <w:rFonts w:hint="eastAsia" w:ascii="宋体" w:hAnsi="宋体" w:eastAsia="宋体" w:cs="宋体"/>
          <w:color w:val="auto"/>
          <w:sz w:val="24"/>
          <w:szCs w:val="24"/>
          <w:highlight w:val="none"/>
          <w:u w:val="none"/>
        </w:rPr>
        <w:t xml:space="preserve">点</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none"/>
        </w:rPr>
        <w:t xml:space="preserve">分（</w:t>
      </w:r>
      <w:r>
        <w:rPr>
          <w:rFonts w:hint="eastAsia" w:ascii="宋体" w:hAnsi="宋体" w:eastAsia="宋体" w:cs="宋体"/>
          <w:color w:val="auto"/>
          <w:sz w:val="24"/>
          <w:szCs w:val="24"/>
          <w:highlight w:val="none"/>
        </w:rPr>
        <w:t xml:space="preserve">北京时间）前递交投标文件。</w:t>
      </w:r>
      <w:r/>
    </w:p>
    <w:p>
      <w:pPr>
        <w:pStyle w:val="865"/>
        <w:ind w:firstLine="482"/>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bookmarkStart w:id="6" w:name="_Toc35393621"/>
      <w:r/>
      <w:bookmarkStart w:id="7" w:name="_Toc28359079"/>
      <w:r/>
      <w:bookmarkStart w:id="8" w:name="_Toc35393790"/>
      <w:r/>
      <w:bookmarkStart w:id="9" w:name="_Toc38985263"/>
      <w:r/>
      <w:bookmarkStart w:id="10" w:name="_Toc28359002"/>
      <w:r/>
      <w:bookmarkStart w:id="11" w:name="_Hlk24379207"/>
      <w:r>
        <w:rPr>
          <w:rFonts w:hint="eastAsia" w:ascii="宋体" w:hAnsi="宋体" w:eastAsia="宋体" w:cs="宋体"/>
          <w:b/>
          <w:color w:val="auto"/>
          <w:sz w:val="24"/>
          <w:szCs w:val="24"/>
          <w:highlight w:val="none"/>
        </w:rPr>
        <w:t xml:space="preserve">一、项目基本情况</w:t>
      </w:r>
      <w:bookmarkEnd w:id="6"/>
      <w:r/>
      <w:bookmarkEnd w:id="7"/>
      <w:r/>
      <w:bookmarkEnd w:id="8"/>
      <w:r/>
      <w:bookmarkEnd w:id="9"/>
      <w:r/>
      <w:bookmarkEnd w:id="10"/>
      <w:r/>
      <w:bookmarkEnd w:id="11"/>
      <w:r/>
      <w:r/>
    </w:p>
    <w:p>
      <w:pPr>
        <w:pStyle w:val="86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1.项目编号：JSZC-320981-XHZB-G2026-0005</w:t>
      </w:r>
      <w:r/>
    </w:p>
    <w:p>
      <w:pPr>
        <w:pStyle w:val="865"/>
        <w:ind w:firstLine="480"/>
        <w:jc w:val="both"/>
        <w:pageBreakBefore w:val="0"/>
        <w:spacing w:beforeAutospacing="0" w:afterAutospacing="0"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2026年东台市新曹填埋场渗滤液设施运营服务采购项目</w:t>
      </w:r>
      <w:r/>
    </w:p>
    <w:p>
      <w:pPr>
        <w:pStyle w:val="865"/>
        <w:ind w:firstLine="480"/>
        <w:jc w:val="both"/>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pStyle w:val="865"/>
        <w:ind w:firstLine="480"/>
        <w:jc w:val="both"/>
        <w:pageBreakBefore w:val="0"/>
        <w:spacing w:beforeAutospacing="0" w:afterAutospacing="0" w:line="48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152.8万元</w:t>
      </w:r>
      <w:bookmarkStart w:id="196" w:name="_GoBack"/>
      <w:r/>
      <w:bookmarkEnd w:id="196"/>
      <w:r/>
      <w:r/>
    </w:p>
    <w:p>
      <w:pPr>
        <w:pStyle w:val="86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val="en-US" w:eastAsia="zh-CN"/>
        </w:rPr>
        <w:t xml:space="preserve">出水口排放97.64元/m3</w:t>
      </w:r>
      <w:r/>
    </w:p>
    <w:p>
      <w:pPr>
        <w:pStyle w:val="86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val="en-US" w:eastAsia="zh-CN"/>
        </w:rPr>
        <w:t xml:space="preserve">工作范围包括垃圾填埋场渗滤液处理站整个处理系统，从渗滤液收集开始到达标排放，以及运行现场的管理并保证排放水质达标；定期对污泥进行正规处置，以及站内的卫生清洁。本填埋场为老龄填埋场，填埋物中含有酱厂垃圾等，水质可生化性较差，碳氮比失调，氯离子含量较高，电导率较高，投标单位投标前务必勘探现场。（详细内容见本招标文件第四章）</w:t>
      </w:r>
      <w:r/>
    </w:p>
    <w:p>
      <w:pPr>
        <w:pStyle w:val="86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val="en-US" w:eastAsia="zh-CN"/>
        </w:rPr>
        <w:t xml:space="preserve">1年，自签订合同之日起开始计算</w:t>
      </w:r>
      <w:r>
        <w:rPr>
          <w:rFonts w:hint="eastAsia" w:ascii="宋体" w:hAnsi="宋体" w:eastAsia="宋体" w:cs="宋体"/>
          <w:color w:val="auto"/>
          <w:sz w:val="24"/>
          <w:szCs w:val="24"/>
          <w:highlight w:val="none"/>
        </w:rPr>
        <w:t xml:space="preserve">。</w:t>
      </w:r>
      <w:r/>
    </w:p>
    <w:p>
      <w:pPr>
        <w:pStyle w:val="865"/>
        <w:ind w:firstLine="480"/>
        <w:jc w:val="both"/>
        <w:pageBreakBefore w:val="0"/>
        <w:spacing w:beforeAutospacing="0" w:afterAutospacing="0"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本项目不接受联合体</w:t>
      </w:r>
      <w:r>
        <w:rPr>
          <w:rFonts w:hint="eastAsia" w:ascii="宋体" w:hAnsi="宋体" w:eastAsia="宋体" w:cs="宋体"/>
          <w:color w:val="auto"/>
          <w:sz w:val="24"/>
          <w:szCs w:val="24"/>
          <w:highlight w:val="none"/>
          <w:lang w:eastAsia="zh-CN"/>
        </w:rPr>
        <w:t xml:space="preserve">。</w:t>
      </w:r>
      <w:r/>
    </w:p>
    <w:p>
      <w:pPr>
        <w:pStyle w:val="865"/>
        <w:ind w:firstLine="482"/>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bookmarkStart w:id="12" w:name="_Toc28359003"/>
      <w:r/>
      <w:bookmarkStart w:id="13" w:name="_Toc28359080"/>
      <w:r/>
      <w:bookmarkStart w:id="14" w:name="_Toc35393791"/>
      <w:r/>
      <w:bookmarkStart w:id="15" w:name="_Toc38985264"/>
      <w:r/>
      <w:bookmarkStart w:id="16" w:name="_Toc35393622"/>
      <w:r>
        <w:rPr>
          <w:rFonts w:hint="eastAsia" w:ascii="宋体" w:hAnsi="宋体" w:eastAsia="宋体" w:cs="宋体"/>
          <w:b/>
          <w:color w:val="auto"/>
          <w:sz w:val="24"/>
          <w:szCs w:val="24"/>
          <w:highlight w:val="none"/>
        </w:rPr>
        <w:t xml:space="preserve">二、申请人的资格要求：</w:t>
      </w:r>
      <w:bookmarkEnd w:id="12"/>
      <w:r/>
      <w:bookmarkEnd w:id="13"/>
      <w:r/>
      <w:bookmarkEnd w:id="14"/>
      <w:r/>
      <w:bookmarkEnd w:id="15"/>
      <w:r/>
      <w:bookmarkEnd w:id="16"/>
      <w:r/>
      <w:r/>
    </w:p>
    <w:p>
      <w:pPr>
        <w:pStyle w:val="86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86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pStyle w:val="86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1.2上一年度</w:t>
      </w:r>
      <w:r>
        <w:rPr>
          <w:rFonts w:hint="eastAsia" w:ascii="宋体" w:hAnsi="宋体" w:eastAsia="宋体" w:cs="宋体"/>
          <w:color w:val="auto"/>
          <w:sz w:val="24"/>
          <w:szCs w:val="24"/>
          <w:highlight w:val="none"/>
          <w:lang w:val="en-US" w:eastAsia="zh-CN"/>
        </w:rPr>
        <w:t xml:space="preserve">或上上年度</w:t>
      </w:r>
      <w:r>
        <w:rPr>
          <w:rFonts w:hint="eastAsia" w:ascii="宋体" w:hAnsi="宋体" w:eastAsia="宋体" w:cs="宋体"/>
          <w:color w:val="auto"/>
          <w:sz w:val="24"/>
          <w:szCs w:val="24"/>
          <w:highlight w:val="none"/>
        </w:rPr>
        <w:t xml:space="preserve">的财务状况报表（成立不满一年无需提供）；</w:t>
      </w:r>
      <w:r/>
    </w:p>
    <w:p>
      <w:pPr>
        <w:pStyle w:val="865"/>
        <w:ind w:firstLine="480"/>
        <w:jc w:val="both"/>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pStyle w:val="86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截止时间前一年内至少一个月依法缴纳税收及缴纳社会保障资金的证明材料。供应商依法享受缓缴、免缴税收、社会保障资金的证明材料）；</w:t>
      </w:r>
      <w:r/>
    </w:p>
    <w:p>
      <w:pPr>
        <w:pStyle w:val="86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pStyle w:val="865"/>
        <w:ind w:firstLine="480"/>
        <w:jc w:val="both"/>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86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中无需提供证明材料）</w:t>
      </w:r>
      <w:r/>
    </w:p>
    <w:p>
      <w:pPr>
        <w:pStyle w:val="86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单位负责人为同一人或者存在直接控股、管理关系的不同供应商，不得参加同一合同项下的政府采购活动。</w:t>
      </w:r>
      <w:r/>
    </w:p>
    <w:p>
      <w:pPr>
        <w:pStyle w:val="865"/>
        <w:ind w:firstLine="480"/>
        <w:jc w:val="both"/>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落实政府采购政策需满足的资格要求：</w:t>
      </w:r>
      <w:r>
        <w:rPr>
          <w:rFonts w:hint="eastAsia" w:ascii="宋体" w:hAnsi="宋体" w:eastAsia="宋体" w:cs="宋体"/>
          <w:color w:val="auto"/>
          <w:sz w:val="24"/>
          <w:szCs w:val="24"/>
          <w:highlight w:val="none"/>
          <w:lang w:val="en-US" w:eastAsia="zh-CN"/>
        </w:rPr>
        <w:t xml:space="preserve">本项目为专门面向小微企业采购的项目，供应商必须为小微企业、监狱企业、残疾人福利性单位，不接受非小微企业参与本项目投标。投标文件中需提供《中小企业声明函》，否则按无效投标处理。具体中小企业划分标准详见《关于印发中小企业划型标准规定的通知》工信部联企业〔2011〕300号文件。因本项目专门面向小微企业采购，故不再执行价格评审优惠的扶持政策。</w:t>
      </w:r>
      <w:r/>
    </w:p>
    <w:p>
      <w:pPr>
        <w:pStyle w:val="86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监狱企业、残疾人福利性单位视同小微企业。</w:t>
      </w:r>
      <w:r/>
    </w:p>
    <w:p>
      <w:pPr>
        <w:pStyle w:val="865"/>
        <w:numPr>
          <w:ilvl w:val="0"/>
          <w:numId w:val="0"/>
        </w:numPr>
        <w:ind w:left="0" w:right="0" w:firstLine="480"/>
        <w:jc w:val="both"/>
        <w:keepLines w:val="0"/>
        <w:keepNext w:val="0"/>
        <w:pageBreakBefore w:val="0"/>
        <w:spacing w:beforeAutospacing="0" w:afterAutospacing="0" w:line="480" w:lineRule="exact"/>
        <w:shd w:val="clear" w:color="auto" w:fill="ffffff"/>
        <w:widowControl/>
        <w:rPr>
          <w:rFonts w:hint="default"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bidi="ar-SA"/>
        </w:rPr>
        <w:t xml:space="preserve">供应商如委托被授权人参与，则被授权人须为本单位正式职工并提供供应商为被授权人缴纳的社会养老保险证明。</w:t>
      </w:r>
      <w:r/>
    </w:p>
    <w:p>
      <w:pPr>
        <w:pStyle w:val="865"/>
        <w:ind w:firstLine="482"/>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bookmarkStart w:id="17" w:name="_Toc35393624"/>
      <w:r/>
      <w:bookmarkStart w:id="18" w:name="_Toc38985266"/>
      <w:r/>
      <w:bookmarkStart w:id="19" w:name="_Toc28359005"/>
      <w:r/>
      <w:bookmarkStart w:id="20" w:name="_Toc35393793"/>
      <w:r/>
      <w:bookmarkStart w:id="21" w:name="_Toc28359082"/>
      <w:r>
        <w:rPr>
          <w:rFonts w:hint="eastAsia" w:ascii="宋体" w:hAnsi="宋体" w:eastAsia="宋体" w:cs="宋体"/>
          <w:color w:val="auto"/>
          <w:sz w:val="24"/>
          <w:szCs w:val="24"/>
          <w:highlight w:val="none"/>
        </w:rPr>
        <w:t xml:space="preserve">1.时间</w:t>
      </w:r>
      <w:r>
        <w:rPr>
          <w:rFonts w:hint="eastAsia" w:ascii="宋体" w:hAnsi="宋体" w:eastAsia="宋体" w:cs="宋体"/>
          <w:color w:val="auto"/>
          <w:sz w:val="24"/>
          <w:szCs w:val="24"/>
          <w:highlight w:val="none"/>
          <w:lang w:val="en-US" w:eastAsia="zh-CN" w:bidi="ar-SA"/>
        </w:rPr>
        <w:t xml:space="preserve">：</w:t>
      </w:r>
      <w:bookmarkEnd w:id="17"/>
      <w:r/>
      <w:bookmarkEnd w:id="18"/>
      <w:r/>
      <w:bookmarkEnd w:id="19"/>
      <w:r/>
      <w:bookmarkEnd w:id="20"/>
      <w:r/>
      <w:bookmarkEnd w:id="21"/>
      <w:r>
        <w:rPr>
          <w:rFonts w:hint="eastAsia" w:ascii="宋体" w:hAnsi="宋体" w:eastAsia="宋体" w:cs="宋体"/>
          <w:color w:val="auto"/>
          <w:sz w:val="24"/>
          <w:szCs w:val="24"/>
          <w:highlight w:val="none"/>
          <w:lang w:val="en-US" w:eastAsia="zh-CN" w:bidi="ar-SA"/>
        </w:rPr>
        <w:t xml:space="preserve">自招标文件公告发布之日起5个工作日。</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2.地点：“苏采云”系统内免费下载（投标人必须在苏采云系统中获取采购文件，方能参与政府采购项目）；</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3.方式：本项目采用网上注册登记方式。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4.售价：0元</w:t>
      </w:r>
      <w:r/>
    </w:p>
    <w:p>
      <w:pPr>
        <w:pStyle w:val="865"/>
        <w:ind w:firstLine="482"/>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bidi="ar-SA"/>
        </w:rPr>
        <w:t xml:space="preserve">时间：</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none"/>
        </w:rPr>
        <w:t xml:space="preserve">年</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none"/>
        </w:rPr>
        <w:t xml:space="preserve">月</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none"/>
        </w:rPr>
        <w:t xml:space="preserve">日</w:t>
      </w:r>
      <w:r>
        <w:rPr>
          <w:rFonts w:hint="eastAsia" w:ascii="宋体" w:hAnsi="宋体" w:eastAsia="宋体" w:cs="宋体"/>
          <w:color w:val="auto"/>
          <w:sz w:val="24"/>
          <w:szCs w:val="24"/>
          <w:highlight w:val="none"/>
          <w:u w:val="single"/>
          <w:lang w:val="en-US" w:eastAsia="zh-CN"/>
        </w:rPr>
        <w:t xml:space="preserve">14</w:t>
      </w:r>
      <w:r>
        <w:rPr>
          <w:rFonts w:hint="eastAsia" w:ascii="宋体" w:hAnsi="宋体" w:eastAsia="宋体" w:cs="宋体"/>
          <w:color w:val="auto"/>
          <w:sz w:val="24"/>
          <w:szCs w:val="24"/>
          <w:highlight w:val="none"/>
          <w:u w:val="none"/>
        </w:rPr>
        <w:t xml:space="preserve">点</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none"/>
        </w:rPr>
        <w:t xml:space="preserve">分</w:t>
      </w:r>
      <w:r>
        <w:rPr>
          <w:rFonts w:hint="eastAsia" w:ascii="宋体" w:hAnsi="宋体" w:eastAsia="宋体" w:cs="宋体"/>
          <w:color w:val="auto"/>
          <w:sz w:val="24"/>
          <w:szCs w:val="24"/>
          <w:highlight w:val="none"/>
          <w:u w:val="none"/>
          <w:lang w:eastAsia="zh-CN"/>
        </w:rPr>
        <w:t xml:space="preserve">。</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2.地点：“苏采云”政府采购交易系统网上开标大厅。</w:t>
      </w:r>
      <w:r/>
    </w:p>
    <w:p>
      <w:pPr>
        <w:pStyle w:val="865"/>
        <w:ind w:firstLine="482"/>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bookmarkStart w:id="22" w:name="_Toc28359084"/>
      <w:r/>
      <w:bookmarkStart w:id="23" w:name="_Toc35393794"/>
      <w:r/>
      <w:bookmarkStart w:id="24" w:name="_Toc35393625"/>
      <w:r/>
      <w:bookmarkStart w:id="25" w:name="_Toc28359007"/>
      <w:r/>
      <w:bookmarkStart w:id="26" w:name="_Toc38985267"/>
      <w:r>
        <w:rPr>
          <w:rFonts w:hint="eastAsia" w:ascii="宋体" w:hAnsi="宋体" w:eastAsia="宋体" w:cs="宋体"/>
          <w:b/>
          <w:color w:val="auto"/>
          <w:sz w:val="24"/>
          <w:szCs w:val="24"/>
          <w:highlight w:val="none"/>
        </w:rPr>
        <w:t xml:space="preserve">五、公告期限</w:t>
      </w:r>
      <w:bookmarkEnd w:id="22"/>
      <w:r/>
      <w:bookmarkEnd w:id="23"/>
      <w:r/>
      <w:bookmarkEnd w:id="24"/>
      <w:r/>
      <w:bookmarkEnd w:id="25"/>
      <w:r/>
      <w:bookmarkEnd w:id="26"/>
      <w:r/>
      <w:r/>
    </w:p>
    <w:p>
      <w:pPr>
        <w:pStyle w:val="865"/>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7" w:name="_Toc35393626"/>
      <w:r/>
      <w:bookmarkStart w:id="28" w:name="_Toc38985268"/>
      <w:r/>
      <w:bookmarkStart w:id="29" w:name="_Toc35393795"/>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7"/>
      <w:r/>
      <w:bookmarkEnd w:id="28"/>
      <w:r/>
      <w:bookmarkEnd w:id="29"/>
      <w:r/>
      <w:r/>
    </w:p>
    <w:p>
      <w:pPr>
        <w:pStyle w:val="865"/>
        <w:ind w:firstLine="482"/>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pStyle w:val="865"/>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0"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65"/>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w:t>
      </w:r>
      <w:r>
        <w:rPr>
          <w:rFonts w:ascii="SimSun" w:hAnsi="SimSun" w:eastAsia="SimSun" w:cs="SimSun"/>
          <w:color w:val="000000"/>
          <w:sz w:val="24"/>
          <w:highlight w:val="white"/>
        </w:rPr>
        <w:t xml:space="preserve">请至盐城市府西路1号盐城市公共资源交易中心四楼大厅10号，11号窗口办理</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 潜在供应商访问电子招标响应交易平台的网络地址和方法：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标--下载采购文件（后缀名为“.kedt”）--将后缀名为“.kedt”的采购文件导入政府采购客户端工具--制作投标文件--导出加密的投标文件（后缀名为 zip）--通过“苏采云”系统上传投标文件。具体见《“苏采云”系统供应商操作手册》 （手册下载地址：苏采云系统-右侧消息通知栏）。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2.2 潜在投标人访问“苏采云”系统方法：江苏省政府采购网首页-“苏采云”链接。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2.3 采购文件（后缀名为“.kedt”）、供应商操作手册及政府采购客户端 工具可通过“苏采云”系统相应链接进行下载。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2.4 采购代理机构将数据电文形式的采购文件加载至“苏采云”系统，供潜在供应商下载或者查阅。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如潜在投标人未按上述要求操作，将自行承担所产生的风险。</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3.有关本次招标的事项若存在变动或修改，敬请及时关注盐城市政府采购中心在“中国政府采购网”“江苏政府采购网”“盐城市政府采购网”发布的更正公告。</w:t>
      </w:r>
      <w:r/>
    </w:p>
    <w:p>
      <w:pPr>
        <w:pStyle w:val="865"/>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pStyle w:val="855"/>
        <w:ind w:left="0" w:right="0" w:firstLine="480"/>
        <w:jc w:val="both"/>
        <w:keepLines w:val="0"/>
        <w:keepNext w:val="0"/>
        <w:pageBreakBefore w:val="0"/>
        <w:spacing w:before="0" w:beforeAutospacing="0" w:after="0" w:afterAutospacing="0" w:line="480" w:lineRule="exact"/>
        <w:shd w:val="clear" w:color="auto" w:fill="ffffff"/>
        <w:widowControl/>
        <w:rPr>
          <w:rFonts w:hint="eastAsia" w:ascii="宋体" w:hAnsi="宋体" w:eastAsia="宋体" w:cs="宋体"/>
          <w:b w:val="0"/>
          <w:bCs w:val="0"/>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提出询问，请按以下方式联系。</w:t>
      </w:r>
      <w:bookmarkEnd w:id="30"/>
      <w:r/>
      <w:r/>
    </w:p>
    <w:p>
      <w:pPr>
        <w:pStyle w:val="865"/>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09"/>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1.采购人信息</w:t>
      </w:r>
      <w:r/>
    </w:p>
    <w:p>
      <w:pPr>
        <w:pStyle w:val="865"/>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称：东台市环境卫生管理处  </w:t>
      </w:r>
      <w:r/>
    </w:p>
    <w:p>
      <w:pPr>
        <w:pStyle w:val="865"/>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    址：东台市北海西路8号  </w:t>
      </w:r>
      <w:r/>
    </w:p>
    <w:p>
      <w:pPr>
        <w:pStyle w:val="865"/>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联系方式：朱先生 18962092680                 </w:t>
      </w:r>
      <w:r/>
    </w:p>
    <w:p>
      <w:pPr>
        <w:pStyle w:val="865"/>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2.采购代理机构信息</w:t>
      </w:r>
      <w:r/>
    </w:p>
    <w:p>
      <w:pPr>
        <w:pStyle w:val="865"/>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称：东台市兴华招标代理有限公司</w:t>
      </w:r>
      <w:r/>
    </w:p>
    <w:p>
      <w:pPr>
        <w:pStyle w:val="865"/>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    址：东台市东达翰林缘小区商铺12-104号</w:t>
      </w:r>
      <w:r/>
    </w:p>
    <w:p>
      <w:pPr>
        <w:pStyle w:val="865"/>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联系方式：刘先生 13921850520                   </w:t>
      </w:r>
      <w:r/>
    </w:p>
    <w:p>
      <w:pPr>
        <w:pStyle w:val="865"/>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3.项目联系方式</w:t>
      </w:r>
      <w:r/>
    </w:p>
    <w:p>
      <w:pPr>
        <w:pStyle w:val="865"/>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项目联系人：朱先生、刘先生</w:t>
      </w:r>
      <w:r/>
    </w:p>
    <w:p>
      <w:pPr>
        <w:pStyle w:val="865"/>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电　 　 话：18962092680、13921850520</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5"/>
        <w:ind w:right="840"/>
        <w:jc w:val="both"/>
        <w:spacing w:beforeAutospacing="0" w:afterAutospacing="0"/>
        <w:rPr>
          <w:color w:val="auto"/>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color w:val="auto"/>
          <w:highlight w:val="none"/>
        </w:rPr>
        <w:t xml:space="preserve"> </w:t>
      </w:r>
      <w:r/>
    </w:p>
    <w:p>
      <w:pPr>
        <w:pStyle w:val="865"/>
        <w:ind w:firstLine="2429"/>
        <w:jc w:val="both"/>
        <w:keepLines/>
        <w:keepNext/>
        <w:spacing w:before="260" w:beforeAutospacing="0" w:after="260" w:afterAutospacing="0" w:line="415" w:lineRule="auto"/>
        <w:rPr>
          <w:color w:val="auto"/>
          <w:highlight w:val="none"/>
        </w:rPr>
      </w:pPr>
      <w:r/>
      <w:bookmarkStart w:id="32" w:name="_Toc120614211"/>
      <w:r>
        <w:rPr>
          <w:rFonts w:hint="eastAsia" w:ascii="黑体" w:hAnsi="宋体" w:eastAsia="黑体" w:cs="黑体"/>
          <w:b/>
          <w:color w:val="auto"/>
          <w:sz w:val="44"/>
          <w:szCs w:val="44"/>
          <w:highlight w:val="none"/>
        </w:rPr>
        <w:t xml:space="preserve">第二章  </w:t>
      </w:r>
      <w:bookmarkEnd w:id="32"/>
      <w:r/>
      <w:bookmarkStart w:id="33" w:name="_Toc513029202"/>
      <w:r/>
      <w:bookmarkStart w:id="34" w:name="_Toc20823274"/>
      <w:r/>
      <w:bookmarkStart w:id="35" w:name="_Toc120614213"/>
      <w:r/>
      <w:bookmarkStart w:id="36" w:name="_Toc16938518"/>
      <w:r>
        <w:rPr>
          <w:rFonts w:hint="eastAsia" w:ascii="黑体" w:hAnsi="宋体" w:eastAsia="黑体" w:cs="黑体"/>
          <w:b/>
          <w:color w:val="auto"/>
          <w:sz w:val="44"/>
          <w:szCs w:val="44"/>
          <w:highlight w:val="none"/>
        </w:rPr>
        <w:t xml:space="preserve">投标人须知</w:t>
      </w:r>
      <w:bookmarkEnd w:id="33"/>
      <w:r/>
      <w:bookmarkEnd w:id="34"/>
      <w:r/>
      <w:bookmarkEnd w:id="35"/>
      <w:r/>
      <w:bookmarkEnd w:id="36"/>
      <w:r/>
      <w:r/>
    </w:p>
    <w:p>
      <w:pPr>
        <w:pStyle w:val="865"/>
        <w:ind w:left="0"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37" w:name="_Toc16938519"/>
      <w:r/>
      <w:bookmarkStart w:id="38" w:name="_Toc120614214"/>
      <w:r/>
      <w:bookmarkStart w:id="39" w:name="_Toc513029203"/>
      <w:r/>
      <w:bookmarkStart w:id="40" w:name="_Toc20823275"/>
      <w:r>
        <w:rPr>
          <w:rFonts w:hint="eastAsia" w:ascii="宋体" w:hAnsi="宋体" w:eastAsia="宋体" w:cs="宋体"/>
          <w:b/>
          <w:color w:val="auto"/>
          <w:sz w:val="24"/>
          <w:szCs w:val="24"/>
          <w:highlight w:val="none"/>
        </w:rPr>
        <w:t xml:space="preserve">一、总则</w:t>
      </w:r>
      <w:bookmarkEnd w:id="37"/>
      <w:r/>
      <w:bookmarkEnd w:id="38"/>
      <w:r/>
      <w:bookmarkEnd w:id="39"/>
      <w:r/>
      <w:bookmarkEnd w:id="40"/>
      <w:r/>
      <w:r/>
    </w:p>
    <w:p>
      <w:pPr>
        <w:pStyle w:val="865"/>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41" w:name="_Toc16938520"/>
      <w:r/>
      <w:bookmarkStart w:id="42" w:name="_Toc20823276"/>
      <w:r/>
      <w:bookmarkStart w:id="43" w:name="_Toc513029204"/>
      <w:r/>
      <w:bookmarkStart w:id="44" w:name="_Toc458694821"/>
      <w:r/>
      <w:bookmarkStart w:id="45" w:name="_Hlt16619475"/>
      <w:r>
        <w:rPr>
          <w:rFonts w:hint="eastAsia" w:ascii="宋体" w:hAnsi="宋体" w:eastAsia="宋体" w:cs="宋体"/>
          <w:color w:val="auto"/>
          <w:sz w:val="24"/>
          <w:szCs w:val="24"/>
          <w:highlight w:val="none"/>
          <w:lang w:eastAsia="zh-CN"/>
        </w:rPr>
        <w:t xml:space="preserve">1.</w:t>
      </w:r>
      <w:bookmarkEnd w:id="41"/>
      <w:r>
        <w:rPr>
          <w:rFonts w:hint="eastAsia" w:ascii="宋体" w:hAnsi="宋体" w:eastAsia="宋体" w:cs="宋体"/>
          <w:color w:val="auto"/>
          <w:sz w:val="24"/>
          <w:szCs w:val="24"/>
          <w:highlight w:val="none"/>
        </w:rPr>
        <w:t xml:space="preserve">招标方式</w:t>
      </w:r>
      <w:bookmarkEnd w:id="42"/>
      <w:r/>
      <w:bookmarkEnd w:id="43"/>
      <w:r/>
      <w:bookmarkEnd w:id="44"/>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pStyle w:val="865"/>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46" w:name="_Toc20823277"/>
      <w:r/>
      <w:bookmarkStart w:id="47" w:name="_Toc16938521"/>
      <w:r/>
      <w:bookmarkStart w:id="48" w:name="_Toc513029205"/>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合格的投标人</w:t>
      </w:r>
      <w:bookmarkEnd w:id="46"/>
      <w:r/>
      <w:bookmarkEnd w:id="47"/>
      <w:r/>
      <w:bookmarkEnd w:id="48"/>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pStyle w:val="865"/>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49" w:name="_Toc16938522"/>
      <w:r/>
      <w:bookmarkStart w:id="50" w:name="_Toc513029206"/>
      <w:r/>
      <w:bookmarkStart w:id="51" w:name="_Toc20823278"/>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适用法律</w:t>
      </w:r>
      <w:bookmarkEnd w:id="49"/>
      <w:r/>
      <w:bookmarkEnd w:id="50"/>
      <w:r/>
      <w:bookmarkEnd w:id="51"/>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pStyle w:val="865"/>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52" w:name="_Toc16938523"/>
      <w:r/>
      <w:bookmarkStart w:id="53" w:name="_Toc20823279"/>
      <w:r/>
      <w:bookmarkStart w:id="54" w:name="_Toc462564067"/>
      <w:r/>
      <w:bookmarkStart w:id="55" w:name="_Toc513029207"/>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投标费用</w:t>
      </w:r>
      <w:bookmarkEnd w:id="52"/>
      <w:r/>
      <w:bookmarkEnd w:id="53"/>
      <w:r/>
      <w:bookmarkEnd w:id="54"/>
      <w:r/>
      <w:bookmarkEnd w:id="55"/>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4.1投标人应自行承担所有与参加投标有关的费用，无论投标过程中的做法和结果如何，</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在任何情况下均无义务和责任承担这些费用。</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4.2本次招标</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不收取标书工本费与中标服务费。</w:t>
      </w:r>
      <w:r/>
    </w:p>
    <w:p>
      <w:pPr>
        <w:pStyle w:val="865"/>
        <w:ind w:left="0"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eastAsia="zh-CN"/>
        </w:rPr>
        <w:t xml:space="preserve">5.</w:t>
      </w:r>
      <w:r>
        <w:rPr>
          <w:rFonts w:hint="eastAsia" w:ascii="宋体" w:hAnsi="宋体" w:eastAsia="宋体" w:cs="宋体"/>
          <w:color w:val="auto"/>
          <w:sz w:val="24"/>
          <w:szCs w:val="24"/>
          <w:highlight w:val="none"/>
        </w:rPr>
        <w:t xml:space="preserve">招标文件的约束力</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5.1投标人一旦参加本项目采购活动，即被认为接受了本招标文件的规定和约束。</w:t>
      </w:r>
      <w:r/>
    </w:p>
    <w:p>
      <w:pPr>
        <w:pStyle w:val="865"/>
        <w:ind w:left="0"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56" w:name="_Toc513029209"/>
      <w:r/>
      <w:bookmarkStart w:id="57" w:name="_Toc120614215"/>
      <w:r/>
      <w:bookmarkStart w:id="58" w:name="_Toc20823281"/>
      <w:r/>
      <w:bookmarkStart w:id="59" w:name="_Toc16938525"/>
      <w:r>
        <w:rPr>
          <w:rFonts w:hint="eastAsia" w:ascii="宋体" w:hAnsi="宋体" w:eastAsia="宋体" w:cs="宋体"/>
          <w:b/>
          <w:color w:val="auto"/>
          <w:sz w:val="24"/>
          <w:szCs w:val="24"/>
          <w:highlight w:val="none"/>
        </w:rPr>
        <w:t xml:space="preserve">二、招标文件</w:t>
      </w:r>
      <w:bookmarkEnd w:id="56"/>
      <w:r/>
      <w:bookmarkEnd w:id="57"/>
      <w:r/>
      <w:bookmarkEnd w:id="58"/>
      <w:r/>
      <w:bookmarkEnd w:id="59"/>
      <w:r/>
      <w:r/>
    </w:p>
    <w:p>
      <w:pPr>
        <w:pStyle w:val="865"/>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60" w:name="_Toc16938526"/>
      <w:r/>
      <w:bookmarkStart w:id="61" w:name="_Toc20823282"/>
      <w:r/>
      <w:bookmarkStart w:id="62" w:name="_Toc513029210"/>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招标文件构成</w:t>
      </w:r>
      <w:bookmarkEnd w:id="60"/>
      <w:r/>
      <w:bookmarkEnd w:id="61"/>
      <w:r/>
      <w:bookmarkEnd w:id="62"/>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请仔细检查招标文件是否齐全，如有缺漏请立即与采购</w:t>
      </w:r>
      <w:r>
        <w:rPr>
          <w:rFonts w:hint="eastAsia" w:ascii="宋体" w:hAnsi="宋体" w:eastAsia="宋体" w:cs="宋体"/>
          <w:color w:val="auto"/>
          <w:sz w:val="24"/>
          <w:szCs w:val="24"/>
          <w:highlight w:val="none"/>
          <w:lang w:val="en-US" w:eastAsia="zh-CN"/>
        </w:rPr>
        <w:t xml:space="preserve">人或代理机构</w:t>
      </w:r>
      <w:r>
        <w:rPr>
          <w:rFonts w:hint="eastAsia" w:ascii="宋体" w:hAnsi="宋体" w:eastAsia="宋体" w:cs="宋体"/>
          <w:color w:val="auto"/>
          <w:sz w:val="24"/>
          <w:szCs w:val="24"/>
          <w:highlight w:val="none"/>
        </w:rPr>
        <w:t xml:space="preserve">联系解决。</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5"/>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63" w:name="_Toc513029211"/>
      <w:r/>
      <w:bookmarkStart w:id="64" w:name="_Toc20823283"/>
      <w:r/>
      <w:bookmarkStart w:id="65" w:name="_Toc16938527"/>
      <w:r/>
      <w:bookmarkStart w:id="66" w:name="_Toc462564070"/>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招标文件的澄清</w:t>
      </w:r>
      <w:bookmarkEnd w:id="63"/>
      <w:r/>
      <w:bookmarkEnd w:id="64"/>
      <w:r/>
      <w:bookmarkEnd w:id="65"/>
      <w:r/>
      <w:bookmarkEnd w:id="66"/>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w:t>
      </w:r>
      <w:r/>
    </w:p>
    <w:p>
      <w:pPr>
        <w:pStyle w:val="865"/>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67" w:name="_Toc20823284"/>
      <w:r/>
      <w:bookmarkStart w:id="68" w:name="_Toc462564071"/>
      <w:r/>
      <w:bookmarkStart w:id="69" w:name="_Toc513029212"/>
      <w:r/>
      <w:bookmarkStart w:id="70" w:name="_Toc16938528"/>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招标文件的修改</w:t>
      </w:r>
      <w:bookmarkEnd w:id="67"/>
      <w:r/>
      <w:bookmarkEnd w:id="68"/>
      <w:r/>
      <w:bookmarkEnd w:id="69"/>
      <w:r/>
      <w:bookmarkEnd w:id="70"/>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8.1在投标截止时</w:t>
      </w:r>
      <w:r>
        <w:rPr>
          <w:rFonts w:hint="eastAsia" w:ascii="宋体" w:hAnsi="宋体" w:eastAsia="宋体" w:cs="宋体"/>
          <w:color w:val="auto"/>
          <w:sz w:val="24"/>
          <w:szCs w:val="24"/>
          <w:highlight w:val="none"/>
          <w:lang w:eastAsia="zh-CN"/>
        </w:rPr>
        <w:t xml:space="preserve">间之</w:t>
      </w:r>
      <w:r>
        <w:rPr>
          <w:rFonts w:hint="eastAsia" w:ascii="宋体" w:hAnsi="宋体" w:eastAsia="宋体" w:cs="宋体"/>
          <w:color w:val="auto"/>
          <w:sz w:val="24"/>
          <w:szCs w:val="24"/>
          <w:highlight w:val="none"/>
        </w:rPr>
        <w:t xml:space="preserve">前，采购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可以对招标文件进行修改。</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有权按照法定的要求推迟投标截止日期和开标日期。</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8.3招标文件的修改将在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盐城市政府采购网公布，补充文件将作为招标文件的组成部分，并对投标人具有约束力。</w:t>
      </w:r>
      <w:r/>
    </w:p>
    <w:p>
      <w:pPr>
        <w:pStyle w:val="865"/>
        <w:ind w:left="0"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71" w:name="_Toc16938529"/>
      <w:r/>
      <w:bookmarkStart w:id="72" w:name="_Toc120614216"/>
      <w:r/>
      <w:bookmarkStart w:id="73" w:name="_Toc513029213"/>
      <w:r/>
      <w:bookmarkStart w:id="74" w:name="_Toc462564072"/>
      <w:r/>
      <w:bookmarkStart w:id="75" w:name="_Toc20823285"/>
      <w:r>
        <w:rPr>
          <w:rFonts w:hint="eastAsia" w:ascii="宋体" w:hAnsi="宋体" w:eastAsia="宋体" w:cs="宋体"/>
          <w:b/>
          <w:color w:val="auto"/>
          <w:sz w:val="24"/>
          <w:szCs w:val="24"/>
          <w:highlight w:val="none"/>
        </w:rPr>
        <w:t xml:space="preserve">三、投标文件的编制</w:t>
      </w:r>
      <w:bookmarkEnd w:id="71"/>
      <w:r/>
      <w:bookmarkEnd w:id="72"/>
      <w:r/>
      <w:bookmarkEnd w:id="73"/>
      <w:r/>
      <w:bookmarkEnd w:id="74"/>
      <w:r/>
      <w:bookmarkEnd w:id="75"/>
      <w:r/>
      <w:r/>
    </w:p>
    <w:p>
      <w:pPr>
        <w:pStyle w:val="865"/>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76" w:name="_Toc20823286"/>
      <w:r/>
      <w:bookmarkStart w:id="77" w:name="_Toc462564073"/>
      <w:r/>
      <w:bookmarkStart w:id="78" w:name="_Toc16938530"/>
      <w:r/>
      <w:bookmarkStart w:id="79" w:name="_Toc513029214"/>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投标文件的语言及度量衡单位</w:t>
      </w:r>
      <w:bookmarkEnd w:id="76"/>
      <w:r/>
      <w:bookmarkEnd w:id="77"/>
      <w:r/>
      <w:bookmarkEnd w:id="78"/>
      <w:r/>
      <w:bookmarkEnd w:id="79"/>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9.1投标人提交的投标文件以及投标人与采购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9.2除技术性能另有规定外，投标文件所使用的度量衡单位，均须采用国家法定计量单位。</w:t>
      </w:r>
      <w:r/>
    </w:p>
    <w:p>
      <w:pPr>
        <w:pStyle w:val="865"/>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80" w:name="_Toc16938531"/>
      <w:r/>
      <w:bookmarkStart w:id="81" w:name="_Toc462564074"/>
      <w:r/>
      <w:bookmarkStart w:id="82" w:name="_Toc513029215"/>
      <w:r/>
      <w:bookmarkStart w:id="83" w:name="_Toc20823287"/>
      <w:r>
        <w:rPr>
          <w:rFonts w:hint="eastAsia" w:ascii="宋体" w:hAnsi="宋体" w:eastAsia="宋体" w:cs="宋体"/>
          <w:color w:val="auto"/>
          <w:sz w:val="24"/>
          <w:szCs w:val="24"/>
          <w:highlight w:val="none"/>
          <w:lang w:eastAsia="zh-CN"/>
        </w:rPr>
        <w:t xml:space="preserve">10.</w:t>
      </w:r>
      <w:r>
        <w:rPr>
          <w:rFonts w:hint="eastAsia" w:ascii="宋体" w:hAnsi="宋体" w:eastAsia="宋体" w:cs="宋体"/>
          <w:color w:val="auto"/>
          <w:sz w:val="24"/>
          <w:szCs w:val="24"/>
          <w:highlight w:val="none"/>
        </w:rPr>
        <w:t xml:space="preserve">投标文件构成</w:t>
      </w:r>
      <w:bookmarkEnd w:id="80"/>
      <w:r/>
      <w:bookmarkEnd w:id="81"/>
      <w:r/>
      <w:bookmarkEnd w:id="82"/>
      <w:r/>
      <w:bookmarkEnd w:id="83"/>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盐城市政府采购网”发布的招标文件不一致，请以</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盐城市政府采购网”发布的招标文件为准。</w:t>
      </w:r>
      <w:r/>
    </w:p>
    <w:p>
      <w:pPr>
        <w:pStyle w:val="865"/>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84" w:name="_Toc513029219"/>
      <w:r/>
      <w:bookmarkStart w:id="85" w:name="_Toc14577357"/>
      <w:r/>
      <w:bookmarkStart w:id="86" w:name="_Toc513029216"/>
      <w:r/>
      <w:bookmarkStart w:id="87" w:name="_Toc14577354"/>
      <w:r/>
      <w:bookmarkStart w:id="88" w:name="_Toc49090507"/>
      <w:r/>
      <w:bookmarkStart w:id="89" w:name="_Toc49090509"/>
      <w:r/>
      <w:bookmarkStart w:id="90" w:name="_Hlt26954838"/>
      <w:r/>
      <w:bookmarkStart w:id="91" w:name="_Hlt26670360"/>
      <w:r/>
      <w:bookmarkStart w:id="92" w:name="_Hlt26668975"/>
      <w:r>
        <w:rPr>
          <w:rFonts w:hint="eastAsia" w:ascii="宋体" w:hAnsi="宋体" w:eastAsia="宋体" w:cs="宋体"/>
          <w:color w:val="auto"/>
          <w:sz w:val="24"/>
          <w:szCs w:val="24"/>
          <w:highlight w:val="none"/>
          <w:lang w:eastAsia="zh-CN"/>
        </w:rPr>
        <w:t xml:space="preserve">11.</w:t>
      </w:r>
      <w:r>
        <w:rPr>
          <w:rFonts w:hint="eastAsia" w:ascii="宋体" w:hAnsi="宋体" w:eastAsia="宋体" w:cs="宋体"/>
          <w:color w:val="auto"/>
          <w:sz w:val="24"/>
          <w:szCs w:val="24"/>
          <w:highlight w:val="none"/>
        </w:rPr>
        <w:t xml:space="preserve">证明投标人及投标标的符合招标文件规定的文件</w:t>
      </w:r>
      <w:bookmarkEnd w:id="84"/>
      <w:r/>
      <w:bookmarkEnd w:id="85"/>
      <w:r/>
      <w:bookmarkEnd w:id="86"/>
      <w:r/>
      <w:bookmarkEnd w:id="87"/>
      <w:r/>
      <w:bookmarkEnd w:id="88"/>
      <w:r/>
      <w:bookmarkEnd w:id="89"/>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93" w:name="_Toc49090508"/>
      <w:r/>
      <w:bookmarkStart w:id="94" w:name="_Toc14577355"/>
      <w:r>
        <w:rPr>
          <w:rFonts w:hint="eastAsia" w:ascii="宋体" w:hAnsi="宋体" w:eastAsia="宋体" w:cs="宋体"/>
          <w:color w:val="auto"/>
          <w:sz w:val="24"/>
          <w:szCs w:val="24"/>
          <w:highlight w:val="none"/>
        </w:rPr>
        <w:t xml:space="preserve">11.1投标人应按照</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、规章和规范性文件以及招标文件要求提交证明文件，证明其及投标标的符合招标文</w:t>
      </w:r>
      <w:r>
        <w:rPr>
          <w:rFonts w:hint="eastAsia" w:ascii="宋体" w:hAnsi="宋体" w:eastAsia="宋体" w:cs="宋体"/>
          <w:color w:val="auto"/>
          <w:sz w:val="24"/>
          <w:szCs w:val="24"/>
          <w:highlight w:val="none"/>
          <w:lang w:eastAsia="zh-CN"/>
        </w:rPr>
        <w:t xml:space="preserve">件的</w:t>
      </w:r>
      <w:r>
        <w:rPr>
          <w:rFonts w:hint="eastAsia" w:ascii="宋体" w:hAnsi="宋体" w:eastAsia="宋体" w:cs="宋体"/>
          <w:color w:val="auto"/>
          <w:sz w:val="24"/>
          <w:szCs w:val="24"/>
          <w:highlight w:val="none"/>
        </w:rPr>
        <w:t xml:space="preserve">规定。</w:t>
      </w:r>
      <w:bookmarkEnd w:id="93"/>
      <w:r/>
      <w:bookmarkEnd w:id="94"/>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865"/>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12.</w:t>
      </w:r>
      <w:r>
        <w:rPr>
          <w:rFonts w:hint="eastAsia" w:ascii="宋体" w:hAnsi="宋体" w:eastAsia="宋体" w:cs="宋体"/>
          <w:color w:val="auto"/>
          <w:sz w:val="24"/>
          <w:szCs w:val="24"/>
          <w:highlight w:val="none"/>
        </w:rPr>
        <w:t xml:space="preserve">投标分项报价</w:t>
      </w:r>
      <w:bookmarkStart w:id="95" w:name="_Hlt26670373"/>
      <w:r>
        <w:rPr>
          <w:rFonts w:hint="eastAsia" w:ascii="宋体" w:hAnsi="宋体" w:eastAsia="宋体" w:cs="宋体"/>
          <w:color w:val="auto"/>
          <w:sz w:val="24"/>
          <w:szCs w:val="24"/>
          <w:highlight w:val="none"/>
        </w:rPr>
        <w:t xml:space="preserve">表</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12.1投</w:t>
      </w:r>
      <w:bookmarkStart w:id="96" w:name="_Hlt26954840"/>
      <w:r>
        <w:rPr>
          <w:rFonts w:hint="eastAsia" w:ascii="宋体" w:hAnsi="宋体" w:eastAsia="宋体" w:cs="宋体"/>
          <w:color w:val="auto"/>
          <w:sz w:val="24"/>
          <w:szCs w:val="24"/>
          <w:highlight w:val="none"/>
        </w:rPr>
        <w:t xml:space="preserve">标人应按照招标文件规定格式填报投标分项报价表</w:t>
      </w:r>
      <w:bookmarkStart w:id="97" w:name="_Hlt26670399"/>
      <w:r>
        <w:rPr>
          <w:rFonts w:hint="eastAsia" w:ascii="宋体" w:hAnsi="宋体" w:eastAsia="宋体" w:cs="宋体"/>
          <w:color w:val="auto"/>
          <w:sz w:val="24"/>
          <w:szCs w:val="24"/>
          <w:highlight w:val="none"/>
        </w:rPr>
        <w:t xml:space="preserve">。</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p>
    <w:p>
      <w:pPr>
        <w:pStyle w:val="865"/>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98" w:name="_Hlt26670425"/>
      <w:r/>
      <w:bookmarkStart w:id="99" w:name="_Hlt26670403"/>
      <w:r/>
      <w:bookmarkStart w:id="100" w:name="_Hlt26954731"/>
      <w:r/>
      <w:bookmarkStart w:id="101" w:name="_Hlt26954842"/>
      <w:r/>
      <w:bookmarkStart w:id="102" w:name="_Hlt26954844"/>
      <w:r/>
      <w:bookmarkStart w:id="103" w:name="_Hlt26954848"/>
      <w:r/>
      <w:bookmarkStart w:id="104" w:name="_Hlt26670482"/>
      <w:r/>
      <w:bookmarkStart w:id="105" w:name="_Hlt26954846"/>
      <w:r/>
      <w:bookmarkStart w:id="106" w:name="_Hlt26670486"/>
      <w:r/>
      <w:bookmarkStart w:id="107" w:name="_Hlt26668983"/>
      <w:r>
        <w:rPr>
          <w:rFonts w:hint="eastAsia" w:ascii="宋体" w:hAnsi="宋体" w:eastAsia="宋体" w:cs="宋体"/>
          <w:color w:val="auto"/>
          <w:sz w:val="24"/>
          <w:szCs w:val="24"/>
          <w:highlight w:val="none"/>
          <w:lang w:eastAsia="zh-CN"/>
        </w:rPr>
        <w:t xml:space="preserve">13.</w:t>
      </w:r>
      <w:r>
        <w:rPr>
          <w:rFonts w:hint="eastAsia" w:ascii="宋体" w:hAnsi="宋体" w:eastAsia="宋体" w:cs="宋体"/>
          <w:color w:val="auto"/>
          <w:sz w:val="24"/>
          <w:szCs w:val="24"/>
          <w:highlight w:val="none"/>
        </w:rPr>
        <w:t xml:space="preserve">技术要求响应及偏离表、商务要求响应及偏离表</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13.1投标人需对招标文件中的技术要求与商务要求逐项作出响应或偏离，并说明原因。</w:t>
      </w:r>
      <w:r/>
    </w:p>
    <w:p>
      <w:pPr>
        <w:pStyle w:val="865"/>
        <w:ind w:left="0" w:firstLine="480"/>
        <w:jc w:val="both"/>
        <w:pageBreakBefore w:val="0"/>
        <w:spacing w:beforeAutospacing="0" w:afterAutospacing="0" w:line="480" w:lineRule="exact"/>
        <w:widowControl w:val="off"/>
        <w:tabs>
          <w:tab w:val="left" w:pos="103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13.2投标人可在投标文件中提供认为需要的其他技术文件或说明。</w:t>
      </w:r>
      <w:r/>
    </w:p>
    <w:p>
      <w:pPr>
        <w:pStyle w:val="865"/>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08" w:name="_Toc49090510"/>
      <w:r/>
      <w:bookmarkStart w:id="109" w:name="_Toc14577359"/>
      <w:r>
        <w:rPr>
          <w:rFonts w:hint="eastAsia" w:ascii="宋体" w:hAnsi="宋体" w:eastAsia="宋体" w:cs="宋体"/>
          <w:color w:val="auto"/>
          <w:sz w:val="24"/>
          <w:szCs w:val="24"/>
          <w:highlight w:val="none"/>
          <w:lang w:eastAsia="zh-CN"/>
        </w:rPr>
        <w:t xml:space="preserve">14.</w:t>
      </w:r>
      <w:r>
        <w:rPr>
          <w:rFonts w:hint="eastAsia" w:ascii="宋体" w:hAnsi="宋体" w:eastAsia="宋体" w:cs="宋体"/>
          <w:color w:val="auto"/>
          <w:sz w:val="24"/>
          <w:szCs w:val="24"/>
          <w:highlight w:val="none"/>
        </w:rPr>
        <w:t xml:space="preserve">投标函和开标一览表</w:t>
      </w:r>
      <w:bookmarkEnd w:id="108"/>
      <w:r/>
      <w:bookmarkEnd w:id="109"/>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14.1投标人应按照招标文件中提供的格式完整、正确填写投标函、开标一览表。</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sz w:val="24"/>
          <w:szCs w:val="24"/>
          <w:highlight w:val="none"/>
        </w:rPr>
        <w:t xml:space="preserve">。</w:t>
      </w:r>
      <w:r/>
    </w:p>
    <w:p>
      <w:pPr>
        <w:pStyle w:val="865"/>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10" w:name="_Toc49090511"/>
      <w:r/>
      <w:bookmarkStart w:id="111" w:name="_Toc14577360"/>
      <w:r/>
      <w:bookmarkStart w:id="112" w:name="_Hlt26954850"/>
      <w:r/>
      <w:bookmarkStart w:id="113" w:name="_Hlt26670489"/>
      <w:r/>
      <w:bookmarkStart w:id="114" w:name="_Hlt26954734"/>
      <w:r>
        <w:rPr>
          <w:rFonts w:hint="eastAsia" w:ascii="宋体" w:hAnsi="宋体" w:eastAsia="宋体" w:cs="宋体"/>
          <w:color w:val="auto"/>
          <w:sz w:val="24"/>
          <w:szCs w:val="24"/>
          <w:highlight w:val="none"/>
          <w:lang w:eastAsia="zh-CN"/>
        </w:rPr>
        <w:t xml:space="preserve">15.</w:t>
      </w:r>
      <w:r>
        <w:rPr>
          <w:rFonts w:hint="eastAsia" w:ascii="宋体" w:hAnsi="宋体" w:eastAsia="宋体" w:cs="宋体"/>
          <w:color w:val="auto"/>
          <w:sz w:val="24"/>
          <w:szCs w:val="24"/>
          <w:highlight w:val="none"/>
        </w:rPr>
        <w:t xml:space="preserve">投标有效期</w:t>
      </w:r>
      <w:bookmarkEnd w:id="110"/>
      <w:r/>
      <w:bookmarkEnd w:id="111"/>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15.1投标有效期为采购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865"/>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16.</w:t>
      </w:r>
      <w:r>
        <w:rPr>
          <w:rFonts w:hint="eastAsia" w:ascii="宋体" w:hAnsi="宋体" w:eastAsia="宋体" w:cs="宋体"/>
          <w:color w:val="auto"/>
          <w:sz w:val="24"/>
          <w:szCs w:val="24"/>
          <w:highlight w:val="none"/>
        </w:rPr>
        <w:t xml:space="preserve">投标有效期的延长</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16.1在特殊情况下，采购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865"/>
        <w:ind w:left="0"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15" w:name="_Toc120614217"/>
      <w:r/>
      <w:bookmarkStart w:id="116" w:name="_Toc16938540"/>
      <w:r/>
      <w:bookmarkStart w:id="117" w:name="_Toc20823296"/>
      <w:r/>
      <w:bookmarkStart w:id="118" w:name="_Toc513029224"/>
      <w:r/>
      <w:bookmarkStart w:id="119" w:name="_Hlt26954739"/>
      <w:r/>
      <w:bookmarkStart w:id="120" w:name="_Hlt26954852"/>
      <w:r>
        <w:rPr>
          <w:rFonts w:hint="eastAsia" w:ascii="宋体" w:hAnsi="宋体" w:eastAsia="宋体" w:cs="宋体"/>
          <w:b/>
          <w:color w:val="auto"/>
          <w:sz w:val="24"/>
          <w:szCs w:val="24"/>
          <w:highlight w:val="none"/>
        </w:rPr>
        <w:t xml:space="preserve">四、投标文件的递交</w:t>
      </w:r>
      <w:bookmarkEnd w:id="115"/>
      <w:r/>
      <w:bookmarkEnd w:id="116"/>
      <w:r/>
      <w:bookmarkEnd w:id="117"/>
      <w:r/>
      <w:bookmarkEnd w:id="118"/>
      <w:r/>
      <w:r/>
    </w:p>
    <w:p>
      <w:pPr>
        <w:pStyle w:val="865"/>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21" w:name="_Toc16938541"/>
      <w:r/>
      <w:bookmarkStart w:id="122" w:name="_Toc513029225"/>
      <w:r/>
      <w:bookmarkStart w:id="123" w:name="_Toc462564084"/>
      <w:r/>
      <w:bookmarkStart w:id="124" w:name="_Toc20823297"/>
      <w:r>
        <w:rPr>
          <w:rFonts w:hint="eastAsia" w:ascii="宋体" w:hAnsi="宋体" w:eastAsia="宋体" w:cs="宋体"/>
          <w:color w:val="auto"/>
          <w:sz w:val="24"/>
          <w:szCs w:val="24"/>
          <w:highlight w:val="none"/>
          <w:lang w:eastAsia="zh-CN"/>
        </w:rPr>
        <w:t xml:space="preserve">17.</w:t>
      </w:r>
      <w:r>
        <w:rPr>
          <w:rFonts w:hint="eastAsia" w:ascii="宋体" w:hAnsi="宋体" w:eastAsia="宋体" w:cs="宋体"/>
          <w:color w:val="auto"/>
          <w:sz w:val="24"/>
          <w:szCs w:val="24"/>
          <w:highlight w:val="none"/>
        </w:rPr>
        <w:t xml:space="preserve">投标文件</w:t>
      </w:r>
      <w:bookmarkEnd w:id="121"/>
      <w:r/>
      <w:bookmarkEnd w:id="122"/>
      <w:r/>
      <w:bookmarkEnd w:id="123"/>
      <w:r/>
      <w:bookmarkEnd w:id="124"/>
      <w:r>
        <w:rPr>
          <w:rFonts w:hint="eastAsia" w:ascii="宋体" w:hAnsi="宋体" w:eastAsia="宋体" w:cs="宋体"/>
          <w:color w:val="auto"/>
          <w:sz w:val="24"/>
          <w:szCs w:val="24"/>
          <w:highlight w:val="none"/>
        </w:rPr>
        <w:t xml:space="preserve">的递交</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电子投标文件的递交</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投标人应当按照《操作手册》规定，在投标截止时间前制作并上传电子投标文件。</w:t>
      </w:r>
      <w:bookmarkStart w:id="125" w:name="_Toc16938542"/>
      <w:r/>
      <w:bookmarkEnd w:id="125"/>
      <w:r/>
      <w:bookmarkStart w:id="126" w:name="_Toc20823298"/>
      <w:r/>
      <w:bookmarkEnd w:id="126"/>
      <w:r/>
      <w:bookmarkStart w:id="127" w:name="_Toc513029226"/>
      <w:r/>
      <w:r/>
    </w:p>
    <w:p>
      <w:pPr>
        <w:pStyle w:val="865"/>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18.</w:t>
      </w:r>
      <w:r>
        <w:rPr>
          <w:rFonts w:hint="eastAsia" w:ascii="宋体" w:hAnsi="宋体" w:eastAsia="宋体" w:cs="宋体"/>
          <w:color w:val="auto"/>
          <w:sz w:val="24"/>
          <w:szCs w:val="24"/>
          <w:highlight w:val="none"/>
        </w:rPr>
        <w:t xml:space="preserve">投标截止时间</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18.1投标人上传电子投标文件的时间不得迟于招标公告中规定的投标截止时间。</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w:t>
      </w:r>
      <w:r>
        <w:rPr>
          <w:rFonts w:hint="eastAsia" w:ascii="宋体" w:hAnsi="宋体" w:eastAsia="宋体" w:cs="宋体"/>
          <w:color w:val="auto"/>
          <w:sz w:val="24"/>
          <w:szCs w:val="24"/>
          <w:highlight w:val="none"/>
          <w:lang w:eastAsia="zh-CN"/>
        </w:rPr>
        <w:t xml:space="preserve">充分考虑</w:t>
      </w:r>
      <w:r>
        <w:rPr>
          <w:rFonts w:hint="eastAsia" w:ascii="宋体" w:hAnsi="宋体" w:eastAsia="宋体" w:cs="宋体"/>
          <w:color w:val="auto"/>
          <w:sz w:val="24"/>
          <w:szCs w:val="24"/>
          <w:highlight w:val="none"/>
        </w:rPr>
        <w:t xml:space="preserve">网络环境、网络带宽等风险因素，如因投标人自身原因造成的电子投标文件上传不</w:t>
      </w:r>
      <w:r>
        <w:rPr>
          <w:rFonts w:hint="eastAsia" w:ascii="宋体" w:hAnsi="宋体" w:eastAsia="宋体" w:cs="宋体"/>
          <w:color w:val="auto"/>
          <w:sz w:val="24"/>
          <w:szCs w:val="24"/>
          <w:highlight w:val="none"/>
          <w:lang w:eastAsia="zh-CN"/>
        </w:rPr>
        <w:t xml:space="preserve">成功地按照</w:t>
      </w:r>
      <w:r>
        <w:rPr>
          <w:rFonts w:hint="eastAsia" w:ascii="宋体" w:hAnsi="宋体" w:eastAsia="宋体" w:cs="宋体"/>
          <w:color w:val="auto"/>
          <w:sz w:val="24"/>
          <w:szCs w:val="24"/>
          <w:highlight w:val="none"/>
        </w:rPr>
        <w:t xml:space="preserve">本招标文件第二章第26.1.2条 规定做无效投标处理。</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865"/>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28" w:name="_Toc513029227"/>
      <w:r/>
      <w:bookmarkStart w:id="129" w:name="_Toc16938543"/>
      <w:r/>
      <w:bookmarkStart w:id="130" w:name="_Toc20823299"/>
      <w:r>
        <w:rPr>
          <w:rFonts w:hint="eastAsia" w:ascii="宋体" w:hAnsi="宋体" w:eastAsia="宋体" w:cs="宋体"/>
          <w:color w:val="auto"/>
          <w:sz w:val="24"/>
          <w:szCs w:val="24"/>
          <w:highlight w:val="none"/>
          <w:lang w:eastAsia="zh-CN"/>
        </w:rPr>
        <w:t xml:space="preserve">19.</w:t>
      </w:r>
      <w:r>
        <w:rPr>
          <w:rFonts w:hint="eastAsia" w:ascii="宋体" w:hAnsi="宋体" w:eastAsia="宋体" w:cs="宋体"/>
          <w:color w:val="auto"/>
          <w:sz w:val="24"/>
          <w:szCs w:val="24"/>
          <w:highlight w:val="none"/>
        </w:rPr>
        <w:t xml:space="preserve">投标文件</w:t>
      </w:r>
      <w:bookmarkEnd w:id="128"/>
      <w:r/>
      <w:bookmarkEnd w:id="129"/>
      <w:r/>
      <w:bookmarkEnd w:id="130"/>
      <w:r>
        <w:rPr>
          <w:rFonts w:hint="eastAsia" w:ascii="宋体" w:hAnsi="宋体" w:eastAsia="宋体" w:cs="宋体"/>
          <w:color w:val="auto"/>
          <w:sz w:val="24"/>
          <w:szCs w:val="24"/>
          <w:highlight w:val="none"/>
        </w:rPr>
        <w:t xml:space="preserve">的拒收</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拒绝接收在其规定的投标截止时间后上传的任何投标文件。</w:t>
      </w:r>
      <w:r/>
    </w:p>
    <w:p>
      <w:pPr>
        <w:pStyle w:val="865"/>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31" w:name="_Toc16938544"/>
      <w:r/>
      <w:bookmarkStart w:id="132" w:name="_Toc20823300"/>
      <w:r/>
      <w:bookmarkStart w:id="133" w:name="_Toc513029228"/>
      <w:r>
        <w:rPr>
          <w:rFonts w:hint="eastAsia" w:ascii="宋体" w:hAnsi="宋体" w:eastAsia="宋体" w:cs="宋体"/>
          <w:color w:val="auto"/>
          <w:sz w:val="24"/>
          <w:szCs w:val="24"/>
          <w:highlight w:val="none"/>
          <w:lang w:eastAsia="zh-CN"/>
        </w:rPr>
        <w:t xml:space="preserve">20.</w:t>
      </w:r>
      <w:r>
        <w:rPr>
          <w:rFonts w:hint="eastAsia" w:ascii="宋体" w:hAnsi="宋体" w:eastAsia="宋体" w:cs="宋体"/>
          <w:color w:val="auto"/>
          <w:sz w:val="24"/>
          <w:szCs w:val="24"/>
          <w:highlight w:val="none"/>
        </w:rPr>
        <w:t xml:space="preserve">投标文件的撤回和修改</w:t>
      </w:r>
      <w:bookmarkEnd w:id="131"/>
      <w:r/>
      <w:bookmarkEnd w:id="132"/>
      <w:r/>
      <w:bookmarkEnd w:id="133"/>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20.1投标文件的撤回</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.1.1电子投标文件的撤回</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.1.2投标人撤回电子投标文件，则认为其不再参与本项目投标活动。</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 投标文件的修改</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20.2.1投标人可在投标截止时间前，对其电子投标文件进行修改，具体操作方法见《操作手册》。</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20.2.2在投标截止时间之后，投标人不得对其电子投标文件作任何修改。</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20.3在投标截止时间至招标文件中规定的投标有效期满之间的这段时间内，投标人不得撤回其投标。</w:t>
      </w:r>
      <w:r/>
    </w:p>
    <w:p>
      <w:pPr>
        <w:pStyle w:val="865"/>
        <w:ind w:left="0"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34" w:name="_Toc120614218"/>
      <w:r/>
      <w:bookmarkStart w:id="135" w:name="_Toc20823301"/>
      <w:r/>
      <w:bookmarkStart w:id="136" w:name="_Toc513029229"/>
      <w:r/>
      <w:bookmarkStart w:id="137" w:name="_Toc16938545"/>
      <w:r>
        <w:rPr>
          <w:rFonts w:hint="eastAsia" w:ascii="宋体" w:hAnsi="宋体" w:eastAsia="宋体" w:cs="宋体"/>
          <w:b/>
          <w:color w:val="auto"/>
          <w:sz w:val="24"/>
          <w:szCs w:val="24"/>
          <w:highlight w:val="none"/>
        </w:rPr>
        <w:t xml:space="preserve">五、开标与评标</w:t>
      </w:r>
      <w:bookmarkEnd w:id="134"/>
      <w:r/>
      <w:bookmarkEnd w:id="135"/>
      <w:r/>
      <w:bookmarkEnd w:id="136"/>
      <w:r/>
      <w:bookmarkEnd w:id="137"/>
      <w:r/>
      <w:r/>
    </w:p>
    <w:p>
      <w:pPr>
        <w:pStyle w:val="865"/>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38" w:name="_Toc16938546"/>
      <w:r/>
      <w:bookmarkStart w:id="139" w:name="_Toc20823302"/>
      <w:r/>
      <w:bookmarkStart w:id="140" w:name="_Toc513029230"/>
      <w:r>
        <w:rPr>
          <w:rFonts w:hint="eastAsia" w:ascii="宋体" w:hAnsi="宋体" w:eastAsia="宋体" w:cs="宋体"/>
          <w:color w:val="auto"/>
          <w:sz w:val="24"/>
          <w:szCs w:val="24"/>
          <w:highlight w:val="none"/>
          <w:lang w:eastAsia="zh-CN"/>
        </w:rPr>
        <w:t xml:space="preserve">21.</w:t>
      </w:r>
      <w:r>
        <w:rPr>
          <w:rFonts w:hint="eastAsia" w:ascii="宋体" w:hAnsi="宋体" w:eastAsia="宋体" w:cs="宋体"/>
          <w:color w:val="auto"/>
          <w:sz w:val="24"/>
          <w:szCs w:val="24"/>
          <w:highlight w:val="none"/>
        </w:rPr>
        <w:t xml:space="preserve">开标</w:t>
      </w:r>
      <w:bookmarkEnd w:id="138"/>
      <w:r/>
      <w:bookmarkEnd w:id="139"/>
      <w:r/>
      <w:bookmarkEnd w:id="140"/>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21.2开标仪式由采购</w:t>
      </w:r>
      <w:r>
        <w:rPr>
          <w:rFonts w:hint="eastAsia" w:ascii="宋体" w:hAnsi="宋体" w:eastAsia="宋体" w:cs="宋体"/>
          <w:color w:val="auto"/>
          <w:sz w:val="24"/>
          <w:szCs w:val="24"/>
          <w:highlight w:val="none"/>
          <w:lang w:val="en-US" w:eastAsia="zh-CN"/>
        </w:rPr>
        <w:t xml:space="preserve">人或代理机构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w:t>
      </w:r>
      <w:r>
        <w:rPr>
          <w:rFonts w:hint="eastAsia" w:ascii="宋体" w:hAnsi="宋体" w:eastAsia="宋体" w:cs="宋体"/>
          <w:color w:val="auto"/>
          <w:sz w:val="24"/>
          <w:szCs w:val="24"/>
          <w:highlight w:val="none"/>
          <w:lang w:eastAsia="zh-CN"/>
        </w:rPr>
        <w:t xml:space="preserve">涉及的</w:t>
      </w:r>
      <w:r>
        <w:rPr>
          <w:rFonts w:hint="eastAsia" w:ascii="宋体" w:hAnsi="宋体" w:eastAsia="宋体" w:cs="宋体"/>
          <w:color w:val="auto"/>
          <w:sz w:val="24"/>
          <w:szCs w:val="24"/>
          <w:highlight w:val="none"/>
        </w:rPr>
        <w:t xml:space="preserve">投标文件解密、开标结果确认等工作，应按照《操作手册》规定执行。</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865"/>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41" w:name="_Toc513029231"/>
      <w:r/>
      <w:bookmarkStart w:id="142" w:name="_Toc20823303"/>
      <w:r/>
      <w:bookmarkStart w:id="143" w:name="_Toc16938547"/>
      <w:r>
        <w:rPr>
          <w:rFonts w:hint="eastAsia" w:ascii="宋体" w:hAnsi="宋体" w:eastAsia="宋体" w:cs="宋体"/>
          <w:color w:val="auto"/>
          <w:sz w:val="24"/>
          <w:szCs w:val="24"/>
          <w:highlight w:val="none"/>
          <w:lang w:eastAsia="zh-CN"/>
        </w:rPr>
        <w:t xml:space="preserve">22.</w:t>
      </w:r>
      <w:r>
        <w:rPr>
          <w:rFonts w:hint="eastAsia" w:ascii="宋体" w:hAnsi="宋体" w:eastAsia="宋体" w:cs="宋体"/>
          <w:color w:val="auto"/>
          <w:sz w:val="24"/>
          <w:szCs w:val="24"/>
          <w:highlight w:val="none"/>
        </w:rPr>
        <w:t xml:space="preserve">评标委员会</w:t>
      </w:r>
      <w:bookmarkEnd w:id="141"/>
      <w:r/>
      <w:bookmarkEnd w:id="142"/>
      <w:r/>
      <w:bookmarkEnd w:id="143"/>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22.1开标后，采购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将立即组织评标委员会（以下简称评委会）进行评标。</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22.2评委会由采购人代表和有关技术、经济等方面的专家组成，且人员构成符合政府采购有关规定。</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865"/>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23.</w:t>
      </w:r>
      <w:r>
        <w:rPr>
          <w:rFonts w:hint="eastAsia" w:ascii="宋体" w:hAnsi="宋体" w:eastAsia="宋体" w:cs="宋体"/>
          <w:color w:val="auto"/>
          <w:sz w:val="24"/>
          <w:szCs w:val="24"/>
          <w:highlight w:val="none"/>
        </w:rPr>
        <w:t xml:space="preserve">评标过程的保密与公正</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23.1凡是与审查、澄清、评价和比较投标的有关资料以及授标建议等，采购人、评委、</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均不得向投标人或与评标无关的其他人员透露。</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23.2在评标过程中，投标人不得以任何行为影响评标过程，否则其投标文件将被作为无效投标文件。</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w:t>
      </w:r>
      <w:r>
        <w:rPr>
          <w:rFonts w:hint="eastAsia" w:ascii="宋体" w:hAnsi="宋体" w:eastAsia="宋体" w:cs="宋体"/>
          <w:color w:val="auto"/>
          <w:sz w:val="24"/>
          <w:szCs w:val="24"/>
          <w:highlight w:val="none"/>
          <w:lang w:val="en-US" w:eastAsia="zh-CN"/>
        </w:rPr>
        <w:t xml:space="preserve">采购人、代理机构</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期限届满之日起通过苏采云系统查看自己的评审得分及排序情况。（提醒：经办人在“江苏政府采购网”查询到中标结果后，再点击推送。招标文件定稿后该提醒删除）</w:t>
      </w:r>
      <w:r/>
    </w:p>
    <w:p>
      <w:pPr>
        <w:pStyle w:val="865"/>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44" w:name="_Toc16938548"/>
      <w:r/>
      <w:bookmarkStart w:id="145" w:name="_Toc20823304"/>
      <w:r/>
      <w:bookmarkStart w:id="146" w:name="_Toc513029232"/>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投标文件的澄清</w:t>
      </w:r>
      <w:bookmarkEnd w:id="144"/>
      <w:r/>
      <w:bookmarkEnd w:id="145"/>
      <w:r/>
      <w:bookmarkEnd w:id="146"/>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24.3接到评委会澄清、说明和补正要求的投标人如未按规定</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澄清、说明和补正，其风险由投标人自行承担。</w:t>
      </w:r>
      <w:r/>
    </w:p>
    <w:p>
      <w:pPr>
        <w:pStyle w:val="865"/>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47" w:name="_Toc20823305"/>
      <w:r/>
      <w:bookmarkStart w:id="148" w:name="_Toc513029233"/>
      <w:r/>
      <w:bookmarkStart w:id="149" w:name="_Toc16938549"/>
      <w:r>
        <w:rPr>
          <w:rFonts w:hint="eastAsia" w:ascii="宋体" w:hAnsi="宋体" w:eastAsia="宋体" w:cs="宋体"/>
          <w:color w:val="auto"/>
          <w:sz w:val="24"/>
          <w:szCs w:val="24"/>
          <w:highlight w:val="none"/>
          <w:lang w:eastAsia="zh-CN"/>
        </w:rPr>
        <w:t xml:space="preserve">25.</w:t>
      </w:r>
      <w:r>
        <w:rPr>
          <w:rFonts w:hint="eastAsia" w:ascii="宋体" w:hAnsi="宋体" w:eastAsia="宋体" w:cs="宋体"/>
          <w:color w:val="auto"/>
          <w:sz w:val="24"/>
          <w:szCs w:val="24"/>
          <w:highlight w:val="none"/>
        </w:rPr>
        <w:t xml:space="preserve">对投标文件的初审</w:t>
      </w:r>
      <w:bookmarkEnd w:id="147"/>
      <w:r/>
      <w:bookmarkEnd w:id="148"/>
      <w:r/>
      <w:bookmarkEnd w:id="149"/>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25.1投标文件初审分为资格审查和符合性审查。</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查询结果留存并归档。</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联合体成员存在不良信用记录的，视同联合体存在不良应用记录。</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25.1.3未通过资格审查或符合性审查的投标人，</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将在苏采云系统中告知未通过资格审查或符合性审查的原因，评标结束后，</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将不再告知未通过资格审查和符合性审查的原因。</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25.3如果投标文件实质上没有响应招标文件的要求，评委会将予以拒绝，投标人不得通过修改或撤销</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合要求的偏离或保留而使其投标成为实质性响应的投标。</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25.4评委会将对确定为实质性响应的投标进行进一步审核，确定其是否有计算上或累加上的算术错误，修正错误的原则如下：</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50" w:name="_Toc16938550"/>
      <w:r/>
      <w:bookmarkStart w:id="151" w:name="_Toc513029234"/>
      <w:r/>
      <w:bookmarkStart w:id="152" w:name="_Toc20823306"/>
      <w:r>
        <w:rPr>
          <w:rFonts w:hint="eastAsia" w:ascii="宋体" w:hAnsi="宋体" w:eastAsia="宋体" w:cs="宋体"/>
          <w:color w:val="auto"/>
          <w:sz w:val="24"/>
          <w:szCs w:val="24"/>
          <w:highlight w:val="none"/>
        </w:rPr>
        <w:t xml:space="preserve">25.6投标人在开、评标全过程中应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及评标委员会联系。</w:t>
      </w:r>
      <w:bookmarkEnd w:id="150"/>
      <w:r/>
      <w:bookmarkEnd w:id="151"/>
      <w:r/>
      <w:bookmarkEnd w:id="152"/>
      <w:r/>
      <w:r/>
    </w:p>
    <w:p>
      <w:pPr>
        <w:pStyle w:val="865"/>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26.</w:t>
      </w:r>
      <w:r>
        <w:rPr>
          <w:rFonts w:hint="eastAsia" w:ascii="宋体" w:hAnsi="宋体" w:eastAsia="宋体" w:cs="宋体"/>
          <w:color w:val="auto"/>
          <w:sz w:val="24"/>
          <w:szCs w:val="24"/>
          <w:highlight w:val="none"/>
        </w:rPr>
        <w:t xml:space="preserve">无效投标条款和废标条款</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53" w:name="_Toc513029235"/>
      <w:r/>
      <w:bookmarkStart w:id="154" w:name="_Toc20823307"/>
      <w:r/>
      <w:bookmarkStart w:id="155" w:name="_Toc16938551"/>
      <w:r>
        <w:rPr>
          <w:rFonts w:hint="eastAsia" w:ascii="宋体" w:hAnsi="宋体" w:eastAsia="宋体" w:cs="宋体"/>
          <w:color w:val="auto"/>
          <w:sz w:val="24"/>
          <w:szCs w:val="24"/>
          <w:highlight w:val="none"/>
        </w:rPr>
        <w:t xml:space="preserve">26.1无效投标条款</w:t>
      </w:r>
      <w:bookmarkEnd w:id="153"/>
      <w:r/>
      <w:bookmarkEnd w:id="154"/>
      <w:r/>
      <w:bookmarkEnd w:id="155"/>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26.1.5投标人的报价超过了采购预算或最高限价的。</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26.1.6未通过符合性审查的。</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26.1.7不符合招标文件中规定的实质性要求和条件的（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26.1.9投标文件含有采购人不能接受的附加条件的。</w:t>
      </w:r>
      <w:r/>
    </w:p>
    <w:p>
      <w:pPr>
        <w:pStyle w:val="865"/>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yellow"/>
        </w:rPr>
      </w:pPr>
      <w:r>
        <w:rPr>
          <w:rFonts w:hint="eastAsia" w:ascii="宋体" w:hAnsi="宋体" w:eastAsia="宋体" w:cs="宋体"/>
          <w:b/>
          <w:bCs/>
          <w:color w:val="auto"/>
          <w:sz w:val="24"/>
          <w:szCs w:val="24"/>
          <w:highlight w:val="yellow"/>
        </w:rPr>
        <w:t xml:space="preserve">26.1.10投标人不能证明其报价合理性的，评标委员会应当将其作为无效投标处理。</w:t>
      </w:r>
      <w:r/>
    </w:p>
    <w:p>
      <w:pPr>
        <w:pStyle w:val="865"/>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yellow"/>
        </w:rPr>
      </w:pPr>
      <w:r>
        <w:rPr>
          <w:rFonts w:hint="eastAsia" w:ascii="宋体" w:hAnsi="宋体" w:eastAsia="宋体" w:cs="宋体"/>
          <w:b/>
          <w:bCs/>
          <w:color w:val="auto"/>
          <w:sz w:val="24"/>
          <w:szCs w:val="24"/>
          <w:highlight w:val="yellow"/>
        </w:rPr>
        <w:t xml:space="preserve">（一）评审过程中出现下列情形之一的，评标委员会应当启动异常低价投标审查程序：</w:t>
      </w:r>
      <w:r/>
    </w:p>
    <w:p>
      <w:pPr>
        <w:pStyle w:val="865"/>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yellow"/>
        </w:rPr>
      </w:pPr>
      <w:r>
        <w:rPr>
          <w:rFonts w:hint="eastAsia" w:ascii="宋体" w:hAnsi="宋体" w:eastAsia="宋体" w:cs="宋体"/>
          <w:b/>
          <w:bCs/>
          <w:color w:val="auto"/>
          <w:sz w:val="24"/>
          <w:szCs w:val="24"/>
          <w:highlight w:val="yellow"/>
        </w:rPr>
        <w:t xml:space="preserve">1.投标报价低于全部通过符合性审查供应商投标报价平均值50%的，即投标报价&lt;全部通过符合性审查供应商投标报价平均值×50%； </w:t>
      </w:r>
      <w:r/>
    </w:p>
    <w:p>
      <w:pPr>
        <w:pStyle w:val="865"/>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yellow"/>
        </w:rPr>
      </w:pPr>
      <w:r>
        <w:rPr>
          <w:rFonts w:hint="eastAsia" w:ascii="宋体" w:hAnsi="宋体" w:eastAsia="宋体" w:cs="宋体"/>
          <w:b/>
          <w:bCs/>
          <w:color w:val="auto"/>
          <w:sz w:val="24"/>
          <w:szCs w:val="24"/>
          <w:highlight w:val="yellow"/>
        </w:rPr>
        <w:t xml:space="preserve">2.投标报价低于通过符合性审查的次低报价供应商投标报价50%的，即投标报价&lt;通过符合性审查的次低报价供应商投标报价×50%； </w:t>
      </w:r>
      <w:r/>
    </w:p>
    <w:p>
      <w:pPr>
        <w:pStyle w:val="865"/>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yellow"/>
        </w:rPr>
      </w:pPr>
      <w:r>
        <w:rPr>
          <w:rFonts w:hint="eastAsia" w:ascii="宋体" w:hAnsi="宋体" w:eastAsia="宋体" w:cs="宋体"/>
          <w:b/>
          <w:bCs/>
          <w:color w:val="auto"/>
          <w:sz w:val="24"/>
          <w:szCs w:val="24"/>
          <w:highlight w:val="yellow"/>
        </w:rPr>
        <w:t xml:space="preserve">3.投标报价低于采购项目最高限价45%的，即投标报价&lt;采购项目最高限价×45%； </w:t>
      </w:r>
      <w:r/>
    </w:p>
    <w:p>
      <w:pPr>
        <w:pStyle w:val="865"/>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yellow"/>
        </w:rPr>
      </w:pPr>
      <w:r>
        <w:rPr>
          <w:rFonts w:hint="eastAsia" w:ascii="宋体" w:hAnsi="宋体" w:eastAsia="宋体" w:cs="宋体"/>
          <w:b/>
          <w:bCs/>
          <w:color w:val="auto"/>
          <w:sz w:val="24"/>
          <w:szCs w:val="24"/>
          <w:highlight w:val="yellow"/>
        </w:rPr>
        <w:t xml:space="preserve">4.评审委员会基于专业判断，认为供应商报价过低，有可能影响产品质量或者不能诚信履约的其他情形。</w:t>
      </w:r>
      <w:r/>
    </w:p>
    <w:p>
      <w:pPr>
        <w:pStyle w:val="865"/>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yellow"/>
        </w:rPr>
      </w:pPr>
      <w:r>
        <w:rPr>
          <w:rFonts w:hint="eastAsia" w:ascii="宋体" w:hAnsi="宋体" w:eastAsia="宋体" w:cs="宋体"/>
          <w:b/>
          <w:bCs/>
          <w:color w:val="auto"/>
          <w:sz w:val="24"/>
          <w:szCs w:val="24"/>
          <w:highlight w:val="yellow"/>
        </w:rPr>
        <w:t xml:space="preserve">（二）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r/>
    </w:p>
    <w:p>
      <w:pPr>
        <w:pStyle w:val="865"/>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yellow"/>
        </w:rPr>
      </w:pPr>
      <w:r>
        <w:rPr>
          <w:rFonts w:hint="eastAsia" w:ascii="宋体" w:hAnsi="宋体" w:eastAsia="宋体" w:cs="宋体"/>
          <w:b/>
          <w:bCs/>
          <w:color w:val="auto"/>
          <w:sz w:val="24"/>
          <w:szCs w:val="24"/>
          <w:highlight w:val="yellow"/>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pStyle w:val="865"/>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yellow"/>
        </w:rPr>
      </w:pPr>
      <w:r>
        <w:rPr>
          <w:rFonts w:hint="eastAsia" w:ascii="宋体" w:hAnsi="宋体" w:eastAsia="宋体" w:cs="宋体"/>
          <w:b/>
          <w:bCs/>
          <w:color w:val="auto"/>
          <w:sz w:val="24"/>
          <w:szCs w:val="24"/>
          <w:highlight w:val="yellow"/>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pStyle w:val="865"/>
        <w:ind w:left="0" w:firstLine="482"/>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yellow"/>
        </w:rPr>
        <w:t xml:space="preserve">异常低价投标审查的启动原因、审查意见和审查结果应当在评审报告中记录，并随供应商提供的相关书面说明及证明材料，以及评审委员会有关互联网浏览、查询历史一并归档。</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及本招标文件规定的</w:t>
      </w:r>
      <w:r>
        <w:rPr>
          <w:rFonts w:hint="eastAsia" w:ascii="宋体" w:hAnsi="宋体" w:eastAsia="宋体" w:cs="宋体"/>
          <w:color w:val="auto"/>
          <w:sz w:val="24"/>
          <w:szCs w:val="24"/>
          <w:highlight w:val="none"/>
          <w:lang w:eastAsia="zh-CN"/>
        </w:rPr>
        <w:t xml:space="preserve">属于</w:t>
      </w:r>
      <w:r>
        <w:rPr>
          <w:rFonts w:hint="eastAsia" w:ascii="宋体" w:hAnsi="宋体" w:eastAsia="宋体" w:cs="宋体"/>
          <w:color w:val="auto"/>
          <w:sz w:val="24"/>
          <w:szCs w:val="24"/>
          <w:highlight w:val="none"/>
        </w:rPr>
        <w:t xml:space="preserve">无效投标的情形。</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w:t>
      </w:r>
      <w:r>
        <w:rPr>
          <w:rFonts w:hint="eastAsia" w:ascii="宋体" w:hAnsi="宋体" w:eastAsia="宋体" w:cs="宋体"/>
          <w:color w:val="auto"/>
          <w:sz w:val="24"/>
          <w:szCs w:val="24"/>
          <w:highlight w:val="none"/>
          <w:lang w:eastAsia="zh-CN"/>
        </w:rPr>
        <w:t xml:space="preserve">做</w:t>
      </w:r>
      <w:r>
        <w:rPr>
          <w:rFonts w:hint="eastAsia" w:ascii="宋体" w:hAnsi="宋体" w:eastAsia="宋体" w:cs="宋体"/>
          <w:color w:val="auto"/>
          <w:sz w:val="24"/>
          <w:szCs w:val="24"/>
          <w:highlight w:val="none"/>
        </w:rPr>
        <w:t xml:space="preserve">实质响应的供应商不足三家的。</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w:t>
      </w:r>
      <w:r>
        <w:rPr>
          <w:rFonts w:hint="eastAsia" w:ascii="宋体" w:hAnsi="宋体" w:eastAsia="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原因造成开标不成功的。</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865"/>
        <w:ind w:left="0"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56" w:name="_Toc120614219"/>
      <w:r>
        <w:rPr>
          <w:rFonts w:hint="eastAsia" w:ascii="宋体" w:hAnsi="宋体" w:eastAsia="宋体" w:cs="宋体"/>
          <w:b/>
          <w:color w:val="auto"/>
          <w:sz w:val="24"/>
          <w:szCs w:val="24"/>
          <w:highlight w:val="none"/>
        </w:rPr>
        <w:t xml:space="preserve">六、定标</w:t>
      </w:r>
      <w:bookmarkEnd w:id="156"/>
      <w:r/>
      <w:r/>
    </w:p>
    <w:p>
      <w:pPr>
        <w:pStyle w:val="865"/>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57" w:name="_Toc20823310"/>
      <w:r/>
      <w:bookmarkStart w:id="158" w:name="_Toc16938554"/>
      <w:r/>
      <w:bookmarkStart w:id="159" w:name="_Toc513029238"/>
      <w:r>
        <w:rPr>
          <w:rFonts w:hint="eastAsia" w:ascii="宋体" w:hAnsi="宋体" w:eastAsia="宋体" w:cs="宋体"/>
          <w:color w:val="auto"/>
          <w:sz w:val="24"/>
          <w:szCs w:val="24"/>
          <w:highlight w:val="none"/>
          <w:lang w:eastAsia="zh-CN"/>
        </w:rPr>
        <w:t xml:space="preserve">27.</w:t>
      </w:r>
      <w:bookmarkEnd w:id="157"/>
      <w:r>
        <w:rPr>
          <w:rFonts w:hint="eastAsia" w:ascii="宋体" w:hAnsi="宋体" w:eastAsia="宋体" w:cs="宋体"/>
          <w:color w:val="auto"/>
          <w:sz w:val="24"/>
          <w:szCs w:val="24"/>
          <w:highlight w:val="none"/>
        </w:rPr>
        <w:t xml:space="preserve">确定</w:t>
      </w:r>
      <w:bookmarkEnd w:id="158"/>
      <w:r/>
      <w:bookmarkEnd w:id="159"/>
      <w:r>
        <w:rPr>
          <w:rFonts w:hint="eastAsia" w:ascii="宋体" w:hAnsi="宋体" w:eastAsia="宋体" w:cs="宋体"/>
          <w:color w:val="auto"/>
          <w:sz w:val="24"/>
          <w:szCs w:val="24"/>
          <w:highlight w:val="none"/>
        </w:rPr>
        <w:t xml:space="preserve">中标单位</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27.1中标候选人的选取原则和数量见招标文件第五章规定。 </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27.2采购人应根据评委会推荐的中标候选人确定中标人。</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盐城市政府采购网”发布中标公告，公告期限为1个工作日。</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27.4若有充分证据证明，中标人出现下列情况之一的，一经查实，将被取消中标资格：</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行贿或者提供其他不正当利益的。</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60" w:name="_Toc200451960"/>
      <w:r>
        <w:rPr>
          <w:rFonts w:hint="eastAsia" w:ascii="宋体" w:hAnsi="宋体" w:eastAsia="宋体" w:cs="宋体"/>
          <w:color w:val="auto"/>
          <w:sz w:val="24"/>
          <w:szCs w:val="24"/>
          <w:highlight w:val="none"/>
        </w:rPr>
        <w:t xml:space="preserve">27.5 有下列情形之一的，视为投标人串通投标，投标无效：</w:t>
      </w:r>
      <w:bookmarkEnd w:id="160"/>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27.5.3不同投标人的投标文件载明的项目管理成员或者联系人员为同一人。</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pStyle w:val="865"/>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28.</w:t>
      </w:r>
      <w:r>
        <w:rPr>
          <w:rFonts w:hint="eastAsia" w:ascii="宋体" w:hAnsi="宋体" w:eastAsia="宋体" w:cs="宋体"/>
          <w:color w:val="auto"/>
          <w:sz w:val="24"/>
          <w:szCs w:val="24"/>
          <w:highlight w:val="none"/>
        </w:rPr>
        <w:t xml:space="preserve">质疑处理</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28.2.1对可以质疑的采购文件提出质疑的，为收到采购文件之日或者采购文件公告期限届满之日；</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28.2.2对采购过程提出质疑的，为各采购程序环节结束之日；</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28.2.3对中标或者成交结果提出质疑的，为中标或者成交结果公告期限届满之日。</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提出，由采购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负责答复。</w:t>
      </w:r>
      <w:r/>
    </w:p>
    <w:p>
      <w:pPr>
        <w:ind w:left="0" w:firstLine="480"/>
        <w:jc w:val="left"/>
        <w:pageBreakBefore w:val="0"/>
        <w:spacing w:line="480" w:lineRule="exact"/>
        <w:widowControl w:val="off"/>
        <w:tabs>
          <w:tab w:val="left" w:pos="133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采购人只接收以纸质原件形式送达的质疑，采购人不接受未填写快递运单的快件。</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以下情形的质疑不予受理</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28.5.1内容不符合《政府采购质疑和投诉办法》第十二条规定的质疑。</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28.5.2超出政府采购法定期限的质疑。</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28.5.3以传真、电子邮件等方式递交的非原件形式的质疑。</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28.5.5供应商组成联合体参加投标，联合体中任何一方或多方未按要求签字、盖章、加盖公章的质疑。</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28.6供应商提出书面质疑必须有理、有据，不得捏造事实、提供虚假材料进行恶意质疑。否则，一经查实，采购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pStyle w:val="865"/>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29.</w:t>
      </w:r>
      <w:r>
        <w:rPr>
          <w:rFonts w:hint="eastAsia" w:ascii="宋体" w:hAnsi="宋体" w:eastAsia="宋体" w:cs="宋体"/>
          <w:color w:val="auto"/>
          <w:sz w:val="24"/>
          <w:szCs w:val="24"/>
          <w:highlight w:val="none"/>
        </w:rPr>
        <w:t xml:space="preserve">中标通知书</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将向中标人发出中标通知书。请中标人在中标结果公告届满之日起30日内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因未及时下载而造成的不利后果由中标人自行承担。</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865"/>
        <w:ind w:left="0"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61" w:name="_Toc513029236"/>
      <w:r/>
      <w:bookmarkStart w:id="162" w:name="_Toc20823308"/>
      <w:r/>
      <w:bookmarkStart w:id="163" w:name="_Toc16938552"/>
      <w:r/>
      <w:bookmarkStart w:id="164" w:name="_Toc120614220"/>
      <w:r>
        <w:rPr>
          <w:rFonts w:hint="eastAsia" w:ascii="宋体" w:hAnsi="宋体" w:eastAsia="宋体" w:cs="宋体"/>
          <w:b/>
          <w:color w:val="auto"/>
          <w:sz w:val="24"/>
          <w:szCs w:val="24"/>
          <w:highlight w:val="none"/>
        </w:rPr>
        <w:t xml:space="preserve">七、授予合同</w:t>
      </w:r>
      <w:bookmarkEnd w:id="161"/>
      <w:r/>
      <w:bookmarkEnd w:id="162"/>
      <w:r/>
      <w:bookmarkEnd w:id="163"/>
      <w:r/>
      <w:bookmarkEnd w:id="164"/>
      <w:r/>
      <w:r/>
    </w:p>
    <w:p>
      <w:pPr>
        <w:pStyle w:val="865"/>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65" w:name="_Toc513029237"/>
      <w:r/>
      <w:bookmarkStart w:id="166" w:name="_Toc16938553"/>
      <w:r/>
      <w:bookmarkStart w:id="167" w:name="_Toc20823309"/>
      <w:r>
        <w:rPr>
          <w:rFonts w:hint="eastAsia" w:ascii="宋体" w:hAnsi="宋体" w:eastAsia="宋体" w:cs="宋体"/>
          <w:color w:val="auto"/>
          <w:sz w:val="24"/>
          <w:szCs w:val="24"/>
          <w:highlight w:val="none"/>
        </w:rPr>
        <w:t xml:space="preserve">30.签订合同</w:t>
      </w:r>
      <w:bookmarkEnd w:id="165"/>
      <w:r/>
      <w:bookmarkEnd w:id="166"/>
      <w:r/>
      <w:bookmarkEnd w:id="167"/>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30.l中标人应当在中标通知书发出之日起三十日内，按照招标文件确定的事项与采购人签订政府采购合同。</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30.2招标文件、中标人的投标文件及招标过程中有关澄清、承诺文件均应作为合同附件。</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（备注：项目经办人在发标前应与采购人商定是否允许中标人分包履行合同，确定后该备注删除）</w:t>
      </w:r>
      <w:r/>
    </w:p>
    <w:p>
      <w:pPr>
        <w:pStyle w:val="865"/>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31.</w:t>
      </w:r>
      <w:r>
        <w:rPr>
          <w:rFonts w:hint="eastAsia" w:ascii="宋体" w:hAnsi="宋体" w:eastAsia="宋体" w:cs="宋体"/>
          <w:color w:val="auto"/>
          <w:sz w:val="24"/>
          <w:szCs w:val="24"/>
          <w:highlight w:val="none"/>
        </w:rPr>
        <w:t xml:space="preserve">服务（包含与服务相关的货物）的追加</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s="宋体"/>
          <w:color w:val="auto"/>
          <w:sz w:val="24"/>
          <w:szCs w:val="24"/>
          <w:highlight w:val="none"/>
          <w:lang w:eastAsia="zh-CN"/>
        </w:rPr>
        <w:t xml:space="preserve">额的</w:t>
      </w:r>
      <w:r>
        <w:rPr>
          <w:rFonts w:hint="eastAsia" w:ascii="宋体" w:hAnsi="宋体" w:eastAsia="宋体" w:cs="宋体"/>
          <w:color w:val="auto"/>
          <w:sz w:val="24"/>
          <w:szCs w:val="24"/>
          <w:highlight w:val="none"/>
        </w:rPr>
        <w:t xml:space="preserve">10%。</w:t>
      </w:r>
      <w:r/>
    </w:p>
    <w:p>
      <w:pPr>
        <w:pStyle w:val="865"/>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32.政府采购政策功能落实</w:t>
      </w:r>
      <w:r/>
    </w:p>
    <w:p>
      <w:pPr>
        <w:pStyle w:val="865"/>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eastAsia="宋体" w:cs="宋体"/>
          <w:color w:val="auto"/>
          <w:sz w:val="24"/>
          <w:szCs w:val="24"/>
          <w:highlight w:val="none"/>
          <w:lang w:eastAsia="zh-CN"/>
        </w:rPr>
        <w:t xml:space="preserve">”系统</w:t>
      </w:r>
      <w:r>
        <w:rPr>
          <w:rFonts w:hint="eastAsia" w:ascii="宋体" w:hAnsi="宋体" w:eastAsia="宋体" w:cs="宋体"/>
          <w:color w:val="auto"/>
          <w:sz w:val="24"/>
          <w:szCs w:val="24"/>
          <w:highlight w:val="none"/>
        </w:rPr>
        <w:t xml:space="preserve">操作手册。 </w:t>
      </w:r>
      <w:r/>
    </w:p>
    <w:p>
      <w:pPr>
        <w:ind w:left="0" w:firstLine="480"/>
        <w:pageBreakBefore w:val="0"/>
        <w:spacing w:line="48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32.2进口产品</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0"/>
        <w:pageBreakBefore w:val="0"/>
        <w:spacing w:line="48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32.3中小企业、监狱企业及残疾人福利性单位</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32.3.1中小企业定义：</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中小企业</w:t>
      </w:r>
      <w:r>
        <w:rPr>
          <w:rFonts w:hint="eastAsia" w:ascii="宋体" w:hAnsi="宋体" w:eastAsia="宋体" w:cs="宋体"/>
          <w:color w:val="auto"/>
          <w:sz w:val="24"/>
          <w:szCs w:val="24"/>
          <w:highlight w:val="none"/>
          <w:lang w:val="en-US" w:eastAsia="zh-CN"/>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32.3.2供应商提供的货物、工程或者服务符合下列情形的，享受中小企业扶持政策：</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32.3.2.1在货物采购项目中，货物由中小企业制造，即货物由中小企业生产且使用该中小企业商号或者注册商标；</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32.3.2.2在工程采购项目中，工程由中小企业承建，即工程施工单位为中小企业；</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32.3.3在货物采购项目中，供应商提供的货物既有中小企业制造货物，也有大型企业制造货物的，不享受中小企业扶持政策。</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32.3.6残疾人福利单位定义：享受政府采购支持政策的残疾人福利性单位应当同时满足以下条件：</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32.3.6.1安置的残疾人占本单位在职职工人数的比例不低于25%（含25%），并且安置的残疾人人数不少于10 人（含10 人）；</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32.3.6.2依法与安置的每位残疾人签订了一年以上（含一年）的劳动合同或服务协议；</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32.3.6.3为安置的每位残疾人按月足额缴纳了基本养老保险、基本医疗保险、失业保险、工伤保险和生育保险等社会保险费；</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32.3.7本项目是否专门面向中小企业预留采购份额见第一章《招标公告》。</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32.3.8采购标的对应的中小企业划分标准所属行业见第四章《采购需求》。</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32.3.9小微企业价格评审优惠的政策：见第五章《评标方法和评标标准》。</w:t>
      </w:r>
      <w:r/>
    </w:p>
    <w:p>
      <w:pPr>
        <w:pStyle w:val="865"/>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32.4政府采购节能产品、环境标志产品</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32.4.1严格执行政府采购关于支持</w:t>
      </w:r>
      <w:r>
        <w:rPr>
          <w:rFonts w:hint="eastAsia" w:ascii="宋体" w:hAnsi="宋体" w:eastAsia="宋体" w:cs="宋体"/>
          <w:color w:val="auto"/>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32.5绿色包装</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pageBreakBefore w:val="0"/>
        <w:spacing w:line="48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32.6政府采购创新产品</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采购人优先采购各级政府部门公开发布的有效期内的创新产品、创新服务、首台套、首购首用等《目录》中的创新产品。</w:t>
      </w:r>
      <w:r/>
    </w:p>
    <w:p>
      <w:pPr>
        <w:ind w:left="0" w:firstLine="480"/>
        <w:pageBreakBefore w:val="0"/>
        <w:spacing w:line="48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32.7绿色数据中心政策 </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本文件中若涉及数据中心采购，采购人应依据《绿色数据中心政府采购需求标准（试行）》（财办库〔2023〕7号）文件精神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0"/>
        <w:pageBreakBefore w:val="0"/>
        <w:spacing w:line="48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32.8履约保证金政策</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确需收取履约保证金的，履约保证金的缴纳形式：</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33.预付款制度</w:t>
      </w:r>
      <w:r/>
    </w:p>
    <w:p>
      <w:pPr>
        <w:pStyle w:val="865"/>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本项目落实预付款制度，预付款比例为</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lang w:val="en-US" w:eastAsia="zh-CN"/>
        </w:rPr>
        <w:t xml:space="preserve">。在签订合同时，中标、成交供应商明确书面表示无需预付款或者主动要求降低预付款比例的，采购人可就预付款比例做相应调整。</w:t>
      </w:r>
      <w:r/>
    </w:p>
    <w:p>
      <w:pPr>
        <w:pStyle w:val="865"/>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34.代理服务费</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本项目代理服务费由招标人支付。</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rPr>
          <w:rFonts w:hint="eastAsia" w:ascii="宋体" w:hAnsi="宋体" w:eastAsia="宋体" w:cs="宋体"/>
          <w:color w:val="auto"/>
          <w:sz w:val="24"/>
          <w:szCs w:val="24"/>
          <w:highlight w:val="none"/>
          <w:lang w:val="en-US" w:eastAsia="zh-CN"/>
        </w:rPr>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rPr>
          <w:rFonts w:hint="eastAsia" w:ascii="宋体" w:hAnsi="宋体" w:eastAsia="宋体" w:cs="宋体"/>
          <w:color w:val="auto"/>
          <w:sz w:val="24"/>
          <w:szCs w:val="24"/>
          <w:highlight w:val="none"/>
          <w:lang w:val="en-US" w:eastAsia="zh-CN"/>
        </w:rPr>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rPr>
          <w:rFonts w:hint="eastAsia" w:ascii="宋体" w:hAnsi="宋体" w:eastAsia="宋体" w:cs="宋体"/>
          <w:color w:val="auto"/>
          <w:sz w:val="24"/>
          <w:szCs w:val="24"/>
          <w:highlight w:val="none"/>
          <w:lang w:val="en-US" w:eastAsia="zh-CN"/>
        </w:rPr>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rPr>
          <w:rFonts w:hint="eastAsia" w:ascii="宋体" w:hAnsi="宋体" w:eastAsia="宋体" w:cs="宋体"/>
          <w:color w:val="auto"/>
          <w:sz w:val="24"/>
          <w:szCs w:val="24"/>
          <w:highlight w:val="none"/>
          <w:lang w:val="en-US" w:eastAsia="zh-CN"/>
        </w:rPr>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rPr>
          <w:rFonts w:hint="eastAsia" w:ascii="宋体" w:hAnsi="宋体" w:eastAsia="宋体" w:cs="宋体"/>
          <w:color w:val="auto"/>
          <w:sz w:val="24"/>
          <w:szCs w:val="24"/>
          <w:highlight w:val="none"/>
          <w:lang w:val="en-US" w:eastAsia="zh-CN"/>
        </w:rPr>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rPr>
          <w:rFonts w:hint="eastAsia" w:ascii="宋体" w:hAnsi="宋体" w:eastAsia="宋体" w:cs="宋体"/>
          <w:color w:val="auto"/>
          <w:sz w:val="24"/>
          <w:szCs w:val="24"/>
          <w:highlight w:val="none"/>
          <w:lang w:val="en-US" w:eastAsia="zh-CN"/>
        </w:rPr>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rPr>
          <w:rFonts w:hint="eastAsia" w:ascii="宋体" w:hAnsi="宋体" w:eastAsia="宋体" w:cs="宋体"/>
          <w:color w:val="auto"/>
          <w:sz w:val="24"/>
          <w:szCs w:val="24"/>
          <w:highlight w:val="none"/>
          <w:lang w:val="en-US" w:eastAsia="zh-CN"/>
        </w:rPr>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rPr>
          <w:rFonts w:hint="eastAsia" w:ascii="宋体" w:hAnsi="宋体" w:eastAsia="宋体" w:cs="宋体"/>
          <w:color w:val="auto"/>
          <w:sz w:val="24"/>
          <w:szCs w:val="24"/>
          <w:highlight w:val="none"/>
          <w:lang w:val="en-US" w:eastAsia="zh-CN"/>
        </w:rPr>
      </w:r>
      <w:r/>
    </w:p>
    <w:p>
      <w:pPr>
        <w:pStyle w:val="865"/>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keepLines w:val="0"/>
        <w:keepNext w:val="0"/>
        <w:pageBreakBefore w:val="0"/>
        <w:spacing w:line="500" w:lineRule="exact"/>
        <w:widowControl w:val="off"/>
        <w:rPr>
          <w:rFonts w:hint="eastAsia" w:ascii="黑体" w:hAnsi="宋体" w:eastAsia="黑体" w:cs="黑体"/>
          <w:b/>
          <w:color w:val="auto"/>
          <w:sz w:val="44"/>
          <w:szCs w:val="44"/>
          <w:highlight w:val="none"/>
          <w:lang w:val="en-US" w:eastAsia="zh-CN" w:bidi="ar-SA"/>
        </w:rPr>
      </w:pPr>
      <w:r>
        <w:rPr>
          <w:rFonts w:hint="eastAsia" w:ascii="黑体" w:hAnsi="宋体" w:eastAsia="黑体" w:cs="黑体"/>
          <w:b/>
          <w:color w:val="auto"/>
          <w:sz w:val="44"/>
          <w:szCs w:val="44"/>
          <w:highlight w:val="none"/>
          <w:lang w:val="en-US" w:eastAsia="zh-CN" w:bidi="ar-SA"/>
        </w:rPr>
        <w:t xml:space="preserve">第三章  合同文本</w:t>
      </w:r>
      <w:r/>
    </w:p>
    <w:p>
      <w:pPr>
        <w:pStyle w:val="86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68" w:name="_Toc16938559"/>
      <w:r/>
      <w:bookmarkStart w:id="169" w:name="_Toc20823315"/>
      <w:r/>
      <w:bookmarkStart w:id="170" w:name="_Toc513029243"/>
      <w:r>
        <w:rPr>
          <w:rFonts w:hint="eastAsia" w:ascii="宋体" w:hAnsi="宋体" w:eastAsia="宋体" w:cs="宋体"/>
          <w:color w:val="auto"/>
          <w:sz w:val="24"/>
          <w:szCs w:val="24"/>
          <w:highlight w:val="none"/>
        </w:rPr>
        <w:t xml:space="preserve">以下为中标后</w:t>
      </w:r>
      <w:r>
        <w:rPr>
          <w:rFonts w:hint="eastAsia" w:ascii="宋体" w:hAnsi="宋体" w:eastAsia="宋体" w:cs="宋体"/>
          <w:color w:val="auto"/>
          <w:sz w:val="24"/>
          <w:szCs w:val="24"/>
          <w:highlight w:val="none"/>
          <w:lang w:eastAsia="zh-CN"/>
        </w:rPr>
        <w:t xml:space="preserve">签订</w:t>
      </w:r>
      <w:r>
        <w:rPr>
          <w:rFonts w:hint="eastAsia" w:ascii="宋体" w:hAnsi="宋体" w:eastAsia="宋体" w:cs="宋体"/>
          <w:color w:val="auto"/>
          <w:sz w:val="24"/>
          <w:szCs w:val="24"/>
          <w:highlight w:val="none"/>
        </w:rPr>
        <w:t xml:space="preserve">本项目合同的通用条款，中标人不得提出实质性的修改。</w:t>
      </w:r>
      <w:bookmarkEnd w:id="168"/>
      <w:r/>
      <w:bookmarkEnd w:id="169"/>
      <w:r/>
      <w:bookmarkEnd w:id="170"/>
      <w:r/>
      <w:r/>
    </w:p>
    <w:p>
      <w:pPr>
        <w:pStyle w:val="865"/>
        <w:jc w:val="center"/>
        <w:keepLines w:val="0"/>
        <w:keepNext w:val="0"/>
        <w:pageBreakBefore w:val="0"/>
        <w:spacing w:before="145" w:beforeAutospacing="0" w:after="145" w:afterAutospacing="0" w:line="500" w:lineRule="exact"/>
        <w:widowControl w:val="off"/>
        <w:rPr>
          <w:color w:val="auto"/>
          <w:sz w:val="24"/>
          <w:szCs w:val="24"/>
          <w:highlight w:val="none"/>
        </w:rPr>
      </w:pPr>
      <w:r>
        <w:rPr>
          <w:color w:val="auto"/>
          <w:sz w:val="24"/>
          <w:szCs w:val="24"/>
          <w:highlight w:val="none"/>
        </w:rPr>
        <w:t xml:space="preserve"> </w:t>
      </w:r>
      <w:r/>
    </w:p>
    <w:p>
      <w:pPr>
        <w:pStyle w:val="865"/>
        <w:jc w:val="center"/>
        <w:keepLines w:val="0"/>
        <w:keepNext w:val="0"/>
        <w:pageBreakBefore w:val="0"/>
        <w:spacing w:before="145" w:beforeAutospacing="0" w:after="145"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盐城市政府采购合同（服务）（合同编号）</w:t>
      </w:r>
      <w:r/>
    </w:p>
    <w:p>
      <w:pPr>
        <w:pStyle w:val="86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pStyle w:val="865"/>
        <w:ind w:left="0" w:firstLine="480"/>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项目编号：</w:t>
      </w:r>
      <w:r/>
    </w:p>
    <w:p>
      <w:pPr>
        <w:pStyle w:val="865"/>
        <w:ind w:left="0" w:firstLine="480"/>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甲方：（买方）_________</w:t>
      </w:r>
      <w:r/>
    </w:p>
    <w:p>
      <w:pPr>
        <w:pStyle w:val="865"/>
        <w:ind w:left="0" w:firstLine="480"/>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乙方：（卖方）_________</w:t>
      </w:r>
      <w:r/>
    </w:p>
    <w:p>
      <w:pPr>
        <w:pStyle w:val="865"/>
        <w:ind w:left="0" w:firstLine="480"/>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szCs w:val="24"/>
          <w:highlight w:val="none"/>
          <w:u w:val="single"/>
          <w:lang w:val="en-US" w:eastAsia="zh-CN"/>
        </w:rPr>
        <w:t xml:space="preserve">2026年东台市新曹填埋场渗滤液设施运营服务采购项目</w:t>
      </w:r>
      <w:r>
        <w:rPr>
          <w:rFonts w:hint="eastAsia" w:ascii="宋体" w:hAnsi="宋体" w:eastAsia="宋体" w:cs="宋体"/>
          <w:color w:val="auto"/>
          <w:sz w:val="24"/>
          <w:szCs w:val="24"/>
          <w:highlight w:val="none"/>
        </w:rPr>
        <w:t xml:space="preserve">公开招标的结果，签署本合同。</w:t>
      </w:r>
      <w:r/>
    </w:p>
    <w:p>
      <w:pPr>
        <w:pStyle w:val="865"/>
        <w:ind w:left="0" w:firstLine="482"/>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一、合同内容</w:t>
      </w:r>
      <w:r/>
    </w:p>
    <w:p>
      <w:pPr>
        <w:pStyle w:val="865"/>
        <w:ind w:left="0" w:firstLine="480"/>
        <w:jc w:val="both"/>
        <w:keepLines w:val="0"/>
        <w:keepNext w:val="0"/>
        <w:pageBreakBefore w:val="0"/>
        <w:spacing w:beforeAutospacing="0" w:afterAutospacing="0" w:line="480" w:lineRule="exact"/>
        <w:widowControl w:val="off"/>
        <w:rPr>
          <w:rFonts w:hint="eastAsia" w:eastAsia="宋体"/>
          <w:color w:val="auto"/>
          <w:sz w:val="24"/>
          <w:szCs w:val="24"/>
          <w:highlight w:val="none"/>
          <w:lang w:eastAsia="zh-CN"/>
        </w:rPr>
      </w:pPr>
      <w:r>
        <w:rPr>
          <w:rFonts w:hint="eastAsia" w:ascii="宋体" w:hAnsi="宋体" w:eastAsia="宋体" w:cs="宋体"/>
          <w:color w:val="auto"/>
          <w:sz w:val="24"/>
          <w:szCs w:val="24"/>
          <w:highlight w:val="none"/>
        </w:rPr>
        <w:t xml:space="preserve">1.1 标的名称：</w:t>
      </w:r>
      <w:r>
        <w:rPr>
          <w:rFonts w:hint="eastAsia" w:ascii="宋体" w:hAnsi="宋体" w:eastAsia="宋体" w:cs="宋体"/>
          <w:color w:val="auto"/>
          <w:sz w:val="24"/>
          <w:szCs w:val="24"/>
          <w:highlight w:val="none"/>
          <w:lang w:eastAsia="zh-CN"/>
        </w:rPr>
        <w:t xml:space="preserve">2026年东台市新曹填埋场渗滤液设施运营服务采购项目</w:t>
      </w:r>
      <w:r/>
    </w:p>
    <w:p>
      <w:pPr>
        <w:pStyle w:val="865"/>
        <w:ind w:left="0" w:firstLine="480"/>
        <w:jc w:val="both"/>
        <w:keepLines w:val="0"/>
        <w:keepNext w:val="0"/>
        <w:pageBreakBefore w:val="0"/>
        <w:spacing w:beforeAutospacing="0" w:afterAutospacing="0" w:line="480" w:lineRule="exact"/>
        <w:widowControl w:val="off"/>
        <w:rPr>
          <w:rFonts w:hint="eastAsia" w:eastAsia="宋体"/>
          <w:color w:val="auto"/>
          <w:highlight w:val="none"/>
          <w:lang w:eastAsia="zh-CN"/>
        </w:rPr>
      </w:pPr>
      <w:r>
        <w:rPr>
          <w:rFonts w:hint="eastAsia" w:ascii="宋体" w:hAnsi="宋体" w:eastAsia="宋体" w:cs="宋体"/>
          <w:color w:val="auto"/>
          <w:highlight w:val="none"/>
        </w:rPr>
        <w:t xml:space="preserve">1.2 </w:t>
      </w:r>
      <w:r>
        <w:rPr>
          <w:rFonts w:hint="eastAsia" w:ascii="宋体" w:hAnsi="宋体" w:eastAsia="宋体" w:cs="宋体"/>
          <w:color w:val="auto"/>
          <w:highlight w:val="none"/>
          <w:lang w:val="en-US" w:eastAsia="zh-CN"/>
        </w:rPr>
        <w:t xml:space="preserve">出水指标要求：达到《生活垃圾填埋场污染物控制标准》GB16889—2024表二标准。</w:t>
      </w:r>
      <w:r/>
    </w:p>
    <w:p>
      <w:pPr>
        <w:pStyle w:val="86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 采购内容</w:t>
      </w:r>
      <w:r>
        <w:rPr>
          <w:rFonts w:hint="eastAsia" w:ascii="宋体" w:hAnsi="宋体" w:eastAsia="宋体" w:cs="宋体"/>
          <w:color w:val="auto"/>
          <w:highlight w:val="none"/>
          <w:lang w:val="en-US" w:eastAsia="zh-CN"/>
        </w:rPr>
        <w:t xml:space="preserve">及技术要求</w:t>
      </w:r>
      <w:r>
        <w:rPr>
          <w:rFonts w:hint="eastAsia" w:ascii="宋体" w:hAnsi="宋体" w:eastAsia="宋体" w:cs="宋体"/>
          <w:color w:val="auto"/>
          <w:highlight w:val="none"/>
        </w:rPr>
        <w:t xml:space="preserve">：</w:t>
      </w:r>
      <w:r/>
    </w:p>
    <w:p>
      <w:pPr>
        <w:pStyle w:val="86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1.3.1 甲方委托乙方对渗滤液处理系统进行运营，运营人员由乙方派遣，人数必须保证渗滤液处理设备正常运转，具体人员数量根据项目实际需要确定，甲方负责对乙方进行监督管理。乙方正式进场视为现场水质可处理，渗滤液处理设备可运行。</w:t>
      </w:r>
      <w:r/>
    </w:p>
    <w:p>
      <w:pPr>
        <w:pStyle w:val="86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1.3.2 根据甲方的要求，渗滤液处理系统全年正常的处理时间为12个月，全年运行330天，全年检修时间为35天，年处理量为15000—20000吨，即达到设计处理量的70%（出水口安装计量表）。</w:t>
      </w:r>
      <w:r/>
    </w:p>
    <w:p>
      <w:pPr>
        <w:pStyle w:val="86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1.3.3 处理量由原水进水管路上的电磁流量计读取，乙方需每天记录处理量，并每周上报一次本周处理量及处理结果。甲方将派人员每周对乙方处理量进行核实。</w:t>
      </w:r>
      <w:r/>
    </w:p>
    <w:p>
      <w:pPr>
        <w:pStyle w:val="86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1.3.4 乙方保证出水达标排放，膜系统所产生的浓缩液和生化系统所产生的剩余污泥，由乙方负责回灌填埋区或回流至调节池。</w:t>
      </w:r>
      <w:r/>
    </w:p>
    <w:p>
      <w:pPr>
        <w:pStyle w:val="86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1.3.5 乙方负责对渗滤液处理系统进行正常维护与保养，在委托运营期间确保该系统正常高效运转。</w:t>
      </w:r>
      <w:r/>
    </w:p>
    <w:p>
      <w:pPr>
        <w:pStyle w:val="86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1.3.6 乙方在运营结束后，其系统各设备须完好无损地交给甲方，经甲方检验符合正常要求后结束双方合同。</w:t>
      </w:r>
      <w:r/>
    </w:p>
    <w:p>
      <w:pPr>
        <w:pStyle w:val="86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1.3.7 渗滤液处理达到《生活垃圾填埋场污染控制标准》GB16889-2024中的表2排放标准。</w:t>
      </w:r>
      <w:r/>
    </w:p>
    <w:p>
      <w:pPr>
        <w:pStyle w:val="86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1.3.8乙方自行与相关单位签署处置协议，处置氨吹脱系统产生的硫酸铵。相关处置费用包含在处理单价内。　　</w:t>
      </w:r>
      <w:r/>
    </w:p>
    <w:p>
      <w:pPr>
        <w:pStyle w:val="865"/>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1.4 履行时间（期限）：</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年，自202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日至202</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86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（如服务期满，甲方仍未确定承接后续服务的中标供应商，则合同延续至新的中标供应商确定为止，结算以后续中标单价按实结算）</w:t>
      </w:r>
      <w:r/>
    </w:p>
    <w:p>
      <w:pPr>
        <w:pStyle w:val="865"/>
        <w:ind w:left="0" w:firstLine="480"/>
        <w:jc w:val="both"/>
        <w:keepLines w:val="0"/>
        <w:keepNext w:val="0"/>
        <w:pageBreakBefore w:val="0"/>
        <w:spacing w:beforeAutospacing="0" w:afterAutospacing="0" w:line="480" w:lineRule="exact"/>
        <w:widowControl w:val="off"/>
        <w:rPr>
          <w:rFonts w:eastAsia="宋体"/>
          <w:color w:val="auto"/>
          <w:highlight w:val="none"/>
        </w:rPr>
      </w:pPr>
      <w:r>
        <w:rPr>
          <w:rFonts w:hint="eastAsia" w:ascii="宋体" w:hAnsi="宋体" w:eastAsia="宋体" w:cs="宋体"/>
          <w:color w:val="auto"/>
          <w:highlight w:val="none"/>
        </w:rPr>
        <w:t xml:space="preserve">1.5 履行地点：东台市新曹生活垃圾卫生填埋场</w:t>
      </w:r>
      <w:r/>
    </w:p>
    <w:p>
      <w:pPr>
        <w:pStyle w:val="865"/>
        <w:ind w:left="0"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b/>
          <w:color w:val="auto"/>
          <w:highlight w:val="none"/>
        </w:rPr>
        <w:t xml:space="preserve">二、合同金额</w:t>
      </w:r>
      <w:r/>
    </w:p>
    <w:p>
      <w:pPr>
        <w:pStyle w:val="865"/>
        <w:ind w:left="0" w:firstLine="480"/>
        <w:jc w:val="both"/>
        <w:keepLines w:val="0"/>
        <w:keepNext w:val="0"/>
        <w:pageBreakBefore w:val="0"/>
        <w:spacing w:beforeAutospacing="0" w:afterAutospacing="0"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highlight w:val="none"/>
        </w:rPr>
        <w:t xml:space="preserve">2.1 合同单价（人民币）：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元/m</w:t>
      </w:r>
      <w:r>
        <w:rPr>
          <w:rFonts w:hint="eastAsia" w:ascii="宋体" w:hAnsi="宋体" w:eastAsia="宋体" w:cs="宋体"/>
          <w:color w:val="auto"/>
          <w:highlight w:val="none"/>
          <w:vertAlign w:val="superscript"/>
        </w:rPr>
        <w:t xml:space="preserve">3</w:t>
      </w:r>
      <w:r>
        <w:rPr>
          <w:rFonts w:hint="eastAsia" w:ascii="宋体" w:hAnsi="宋体" w:eastAsia="宋体" w:cs="宋体"/>
          <w:color w:val="auto"/>
          <w:highlight w:val="none"/>
        </w:rPr>
        <w:t xml:space="preserve">，该价格包括药剂、人工、设备检修、化验等所有费用（水、电费、膜更换及设备大修费用除外）</w:t>
      </w:r>
      <w:r>
        <w:rPr>
          <w:rFonts w:hint="eastAsia" w:ascii="宋体" w:hAnsi="宋体" w:eastAsia="宋体" w:cs="宋体"/>
          <w:color w:val="auto"/>
          <w:highlight w:val="none"/>
          <w:lang w:val="en-US" w:eastAsia="zh-CN"/>
        </w:rPr>
        <w:t xml:space="preserve">。</w:t>
      </w:r>
      <w:r/>
    </w:p>
    <w:p>
      <w:pPr>
        <w:pStyle w:val="865"/>
        <w:ind w:left="0" w:firstLine="482"/>
        <w:jc w:val="both"/>
        <w:keepLines w:val="0"/>
        <w:keepNext w:val="0"/>
        <w:pageBreakBefore w:val="0"/>
        <w:spacing w:beforeAutospacing="0" w:afterAutospacing="0" w:line="480" w:lineRule="exact"/>
        <w:widowControl w:val="off"/>
        <w:rPr>
          <w:rFonts w:hint="eastAsia" w:ascii="宋体" w:hAnsi="宋体" w:eastAsia="宋体" w:cs="宋体"/>
          <w:b/>
          <w:color w:val="auto"/>
          <w:highlight w:val="none"/>
        </w:rPr>
      </w:pPr>
      <w:r>
        <w:rPr>
          <w:rFonts w:hint="eastAsia" w:ascii="宋体" w:hAnsi="宋体" w:eastAsia="宋体" w:cs="宋体"/>
          <w:b/>
          <w:color w:val="auto"/>
          <w:sz w:val="24"/>
          <w:szCs w:val="24"/>
          <w:highlight w:val="none"/>
        </w:rPr>
        <w:t xml:space="preserve">三、</w:t>
      </w:r>
      <w:r>
        <w:rPr>
          <w:rFonts w:hint="eastAsia" w:ascii="宋体" w:hAnsi="宋体" w:eastAsia="宋体" w:cs="宋体"/>
          <w:b/>
          <w:color w:val="auto"/>
          <w:highlight w:val="none"/>
        </w:rPr>
        <w:t xml:space="preserve">安全管理要求：</w:t>
      </w:r>
      <w:r/>
    </w:p>
    <w:p>
      <w:pPr>
        <w:pStyle w:val="86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3.1 </w:t>
      </w:r>
      <w:r>
        <w:rPr>
          <w:rFonts w:hint="eastAsia" w:ascii="宋体" w:hAnsi="宋体" w:eastAsia="宋体" w:cs="宋体"/>
          <w:color w:val="auto"/>
          <w:highlight w:val="none"/>
        </w:rPr>
        <w:t xml:space="preserve">乙方应保障生产和服务的稳定和安全，防止事故发生。如出现重大意外事故，乙方应及时通报甲方，并尽最大人力、物力进行抢救，尽快恢复生产与服务；在事故影响期间，乙方应采取各种应急措施进行补救，尽量减少事故对公众的影响，同时承担一切事故处理责任。</w:t>
      </w:r>
      <w:r/>
    </w:p>
    <w:p>
      <w:pPr>
        <w:pStyle w:val="86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3.2 </w:t>
      </w:r>
      <w:r>
        <w:rPr>
          <w:rFonts w:hint="eastAsia" w:ascii="宋体" w:hAnsi="宋体" w:eastAsia="宋体" w:cs="宋体"/>
          <w:color w:val="auto"/>
          <w:highlight w:val="none"/>
        </w:rPr>
        <w:t xml:space="preserve">垃圾渗滤液处理站的安全、卫生、防火要符合甲方和上级领导的管理要求，并接受甲方和上级领导的监督管理。在保证系统运行安全和运行质量等要求的前提下，避免或减少故障的发生，确保设备和人员的安全，安全隐患整改及时。若发生事故，由此产生的一切连带责任及经济损失由乙方负责。</w:t>
      </w:r>
      <w:r/>
    </w:p>
    <w:p>
      <w:pPr>
        <w:pStyle w:val="86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3.3 </w:t>
      </w:r>
      <w:r>
        <w:rPr>
          <w:rFonts w:hint="eastAsia" w:ascii="宋体" w:hAnsi="宋体" w:eastAsia="宋体" w:cs="宋体"/>
          <w:color w:val="auto"/>
          <w:highlight w:val="none"/>
        </w:rPr>
        <w:t xml:space="preserve">乙方在运维服务期内造成人员伤亡和财产损失的，由乙方负责赔偿。根据运维质量标准，由乙方按要求自行配置作业所需的材料、设备。</w:t>
      </w:r>
      <w:r/>
    </w:p>
    <w:p>
      <w:pPr>
        <w:pStyle w:val="865"/>
        <w:ind w:left="0"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b/>
          <w:color w:val="auto"/>
          <w:highlight w:val="none"/>
        </w:rPr>
        <w:t xml:space="preserve">四、知识产权</w:t>
      </w:r>
      <w:r/>
    </w:p>
    <w:p>
      <w:pPr>
        <w:pStyle w:val="865"/>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4.1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乙方应保证甲方在使用、接受本合同标的或其任何一部分时不受第三方提出侵犯其专利权、版权、商标权和工业设计权等知识产权的起诉。一旦出现侵权，由乙方负全部责任。</w:t>
      </w:r>
      <w:r/>
    </w:p>
    <w:p>
      <w:pPr>
        <w:pStyle w:val="865"/>
        <w:ind w:left="0"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b/>
          <w:color w:val="auto"/>
          <w:highlight w:val="none"/>
        </w:rPr>
        <w:t xml:space="preserve">五、产权担保</w:t>
      </w:r>
      <w:r/>
    </w:p>
    <w:p>
      <w:pPr>
        <w:pStyle w:val="865"/>
        <w:numPr>
          <w:ilvl w:val="0"/>
          <w:numId w:val="0"/>
        </w:numPr>
        <w:ind w:left="0" w:firstLine="480"/>
        <w:jc w:val="both"/>
        <w:keepLines w:val="0"/>
        <w:keepNext w:val="0"/>
        <w:pageBreakBefore w:val="0"/>
        <w:spacing w:beforeAutospacing="0" w:afterAutospacing="0"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highlight w:val="none"/>
        </w:rPr>
        <w:t xml:space="preserve">5.1 乙方保证所交付的合同标的的所有权完全属于乙方且无任何抵押、查封等产权瑕疵。</w:t>
      </w:r>
      <w:r/>
    </w:p>
    <w:p>
      <w:pPr>
        <w:pStyle w:val="865"/>
        <w:ind w:left="0" w:firstLine="482"/>
        <w:jc w:val="both"/>
        <w:keepLines w:val="0"/>
        <w:keepNext w:val="0"/>
        <w:pageBreakBefore w:val="0"/>
        <w:spacing w:beforeAutospacing="0" w:afterAutospacing="0" w:line="480" w:lineRule="exact"/>
        <w:widowControl w:val="off"/>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六、</w:t>
      </w:r>
      <w:r>
        <w:rPr>
          <w:rFonts w:hint="eastAsia" w:ascii="宋体" w:hAnsi="宋体" w:eastAsia="宋体" w:cs="宋体"/>
          <w:b/>
          <w:color w:val="auto"/>
          <w:highlight w:val="none"/>
        </w:rPr>
        <w:t xml:space="preserve">履约保证金</w:t>
      </w:r>
      <w:r/>
    </w:p>
    <w:p>
      <w:pPr>
        <w:pStyle w:val="865"/>
        <w:ind w:left="0" w:firstLine="480"/>
        <w:jc w:val="both"/>
        <w:keepLines w:val="0"/>
        <w:keepNext w:val="0"/>
        <w:pageBreakBefore w:val="0"/>
        <w:spacing w:beforeAutospacing="0" w:afterAutospacing="0"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.1乙方交纳人民币</w:t>
      </w:r>
      <w:r>
        <w:rPr>
          <w:rFonts w:hint="eastAsia" w:ascii="宋体" w:hAnsi="宋体" w:eastAsia="宋体" w:cs="宋体"/>
          <w:color w:val="auto"/>
          <w:sz w:val="24"/>
          <w:szCs w:val="24"/>
          <w:highlight w:val="none"/>
          <w:u w:val="single"/>
          <w:lang w:val="en-US" w:eastAsia="zh-CN"/>
        </w:rPr>
        <w:t xml:space="preserve">  50000.00  </w:t>
      </w:r>
      <w:r>
        <w:rPr>
          <w:rFonts w:hint="eastAsia" w:ascii="宋体" w:hAnsi="宋体" w:eastAsia="宋体" w:cs="宋体"/>
          <w:color w:val="auto"/>
          <w:sz w:val="24"/>
          <w:szCs w:val="24"/>
          <w:highlight w:val="none"/>
        </w:rPr>
        <w:t xml:space="preserve">元作为本合同的履约保证金。</w:t>
      </w:r>
      <w:r/>
    </w:p>
    <w:p>
      <w:pPr>
        <w:pStyle w:val="86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6.2乙方如信用评价等级为AA评级及以上（需提供信用管理部门备案的第三方信用报告）的，则免收履约保证金。</w:t>
      </w:r>
      <w:r/>
    </w:p>
    <w:p>
      <w:pPr>
        <w:pStyle w:val="86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3确需收取履约保证金的，</w:t>
      </w:r>
      <w:r>
        <w:rPr>
          <w:rFonts w:hint="eastAsia" w:ascii="宋体" w:hAnsi="宋体" w:eastAsia="宋体" w:cs="宋体"/>
          <w:color w:val="auto"/>
          <w:sz w:val="24"/>
          <w:szCs w:val="24"/>
          <w:highlight w:val="none"/>
          <w:lang w:eastAsia="zh-CN"/>
        </w:rPr>
        <w:t xml:space="preserve">履约保证金的缴纳形式：</w:t>
      </w:r>
      <w:r/>
    </w:p>
    <w:p>
      <w:pPr>
        <w:pStyle w:val="86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6.3.1</w:t>
      </w:r>
      <w:r>
        <w:rPr>
          <w:rFonts w:hint="eastAsia" w:ascii="宋体" w:hAnsi="宋体" w:eastAsia="宋体" w:cs="宋体"/>
          <w:color w:val="auto"/>
          <w:sz w:val="24"/>
          <w:szCs w:val="24"/>
          <w:highlight w:val="none"/>
        </w:rPr>
        <w:t xml:space="preserve">供应商应当以支票、汇票、本票或者金融机构、担保机构出具的保函等非现金形式提交</w:t>
      </w:r>
      <w:r>
        <w:rPr>
          <w:rFonts w:hint="eastAsia" w:ascii="宋体" w:hAnsi="宋体" w:eastAsia="宋体" w:cs="宋体"/>
          <w:color w:val="auto"/>
          <w:sz w:val="24"/>
          <w:szCs w:val="24"/>
          <w:highlight w:val="none"/>
          <w:lang w:eastAsia="zh-CN"/>
        </w:rPr>
        <w:t xml:space="preserve">履约保证金</w:t>
      </w:r>
      <w:r>
        <w:rPr>
          <w:rFonts w:hint="eastAsia" w:ascii="宋体" w:hAnsi="宋体" w:eastAsia="宋体" w:cs="宋体"/>
          <w:color w:val="auto"/>
          <w:sz w:val="24"/>
          <w:szCs w:val="24"/>
          <w:highlight w:val="none"/>
        </w:rPr>
        <w:t xml:space="preserve">。依据《关于在全省政府采购领域推行电子履约保函（保险）的通知》，鼓励供应商自愿使用</w:t>
      </w:r>
      <w:r>
        <w:rPr>
          <w:rFonts w:hint="eastAsia" w:ascii="宋体" w:hAnsi="宋体" w:eastAsia="宋体" w:cs="宋体"/>
          <w:color w:val="auto"/>
          <w:sz w:val="24"/>
          <w:szCs w:val="24"/>
          <w:highlight w:val="none"/>
          <w:lang w:eastAsia="zh-CN"/>
        </w:rPr>
        <w:t xml:space="preserve">电子</w:t>
      </w:r>
      <w:r>
        <w:rPr>
          <w:rFonts w:hint="eastAsia" w:ascii="宋体" w:hAnsi="宋体" w:eastAsia="宋体" w:cs="宋体"/>
          <w:color w:val="auto"/>
          <w:sz w:val="24"/>
          <w:szCs w:val="24"/>
          <w:highlight w:val="none"/>
        </w:rPr>
        <w:t xml:space="preserve">履约保函（保险）代替缴纳履约保证金</w:t>
      </w:r>
      <w:r>
        <w:rPr>
          <w:rFonts w:hint="eastAsia" w:ascii="宋体" w:hAnsi="宋体" w:eastAsia="宋体" w:cs="宋体"/>
          <w:color w:val="auto"/>
          <w:sz w:val="24"/>
          <w:szCs w:val="24"/>
          <w:highlight w:val="none"/>
          <w:lang w:eastAsia="zh-CN"/>
        </w:rPr>
        <w:t xml:space="preserve">。</w:t>
      </w:r>
      <w:r/>
    </w:p>
    <w:p>
      <w:pPr>
        <w:pStyle w:val="86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6.3.2 如以履约保函（保险）形式缴纳履约保证金，供应商可通过政府采购电子履约保函（保险）平台（www.jsdzbh.com）在线申请履约保函（保险）。</w:t>
      </w:r>
      <w:r/>
    </w:p>
    <w:p>
      <w:pPr>
        <w:pStyle w:val="865"/>
        <w:ind w:left="0" w:firstLine="480"/>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合同履行结束后，甲方应及时退还交纳的履约保证金。</w:t>
      </w:r>
      <w:r/>
    </w:p>
    <w:p>
      <w:pPr>
        <w:ind w:left="0"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履约保证金的退还：</w:t>
      </w:r>
      <w:r/>
    </w:p>
    <w:p>
      <w:pPr>
        <w:ind w:left="0"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.1方式：退还至投标人缴纳履约保证金的账户。如为保函，在到期时自行失效。</w:t>
      </w:r>
      <w:r/>
    </w:p>
    <w:p>
      <w:pPr>
        <w:ind w:left="0"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.2时间</w:t>
      </w:r>
      <w:r>
        <w:rPr>
          <w:rFonts w:hint="eastAsia" w:ascii="宋体" w:hAnsi="宋体" w:eastAsia="宋体" w:cs="宋体"/>
          <w:color w:val="auto"/>
          <w:sz w:val="24"/>
          <w:szCs w:val="24"/>
          <w:highlight w:val="none"/>
          <w:lang w:val="en-US" w:eastAsia="zh-CN"/>
        </w:rPr>
        <w:t xml:space="preserve">及条件</w:t>
      </w:r>
      <w:r>
        <w:rPr>
          <w:rFonts w:hint="eastAsia" w:ascii="宋体" w:hAnsi="宋体" w:eastAsia="宋体" w:cs="宋体"/>
          <w:color w:val="auto"/>
          <w:sz w:val="24"/>
          <w:szCs w:val="24"/>
          <w:highlight w:val="none"/>
        </w:rPr>
        <w:t xml:space="preserve">：委托运营期结束后，经检验系统各设备完好无损、符合正常要求后30日内。</w:t>
      </w:r>
      <w:r/>
    </w:p>
    <w:p>
      <w:pPr>
        <w:ind w:left="0"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不予退还情形：</w:t>
      </w:r>
      <w:r/>
    </w:p>
    <w:p>
      <w:pPr>
        <w:ind w:left="0"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除不可抗力情况外，投标人出现下列情形之一的，其履约保证金，招标人将视情节决定不予退还或部分不予退还。</w:t>
      </w:r>
      <w:r/>
    </w:p>
    <w:p>
      <w:pPr>
        <w:ind w:left="0"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（1）中标人无正当理由拒绝签订合同的，或者在签订合同时向采购人提出附加条件或者更改合同实质性内容要求的；</w:t>
      </w:r>
      <w:r/>
    </w:p>
    <w:p>
      <w:pPr>
        <w:ind w:left="0"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（2）中标人不履行与采购人订立的合同的；</w:t>
      </w:r>
      <w:r/>
    </w:p>
    <w:p>
      <w:pPr>
        <w:ind w:left="0"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（3）中标人所供货物或服务不符合招标文件规定要求的；</w:t>
      </w:r>
      <w:r/>
    </w:p>
    <w:p>
      <w:pPr>
        <w:ind w:left="0"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（4）中标人采取欺骗、弄虚作假方式投标的或与</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投标人串通投标的；</w:t>
      </w:r>
      <w:r/>
    </w:p>
    <w:p>
      <w:pPr>
        <w:ind w:left="0"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（5）中标人将合同内容转包、违法分包的；</w:t>
      </w:r>
      <w:r/>
    </w:p>
    <w:p>
      <w:pPr>
        <w:ind w:left="0"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（6）中标人故意捏造事实或伪造证明材料，进行虚假恶意投诉或反映的。</w:t>
      </w:r>
      <w:r/>
    </w:p>
    <w:p>
      <w:pPr>
        <w:ind w:left="0"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逾期退还的违约责任：采购人逾期无故未退还履约保证金的，按中国人民银行同期贷款基准利率上浮20%后的利率支付超期资金占用费，但因供应商自身原因导致无法及时退还的除外。</w:t>
      </w:r>
      <w:r/>
    </w:p>
    <w:p>
      <w:pPr>
        <w:pStyle w:val="865"/>
        <w:ind w:left="0"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b/>
          <w:color w:val="auto"/>
          <w:highlight w:val="none"/>
        </w:rPr>
        <w:t xml:space="preserve">七、合同转包或分包</w:t>
      </w:r>
      <w:r/>
    </w:p>
    <w:p>
      <w:pPr>
        <w:pStyle w:val="865"/>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7.1乙方不得将合同标的转包给他人履行。</w:t>
      </w:r>
      <w:r/>
    </w:p>
    <w:p>
      <w:pPr>
        <w:pStyle w:val="865"/>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7.2乙方不得将合同标的分包给他人履行。</w:t>
      </w:r>
      <w:r/>
    </w:p>
    <w:p>
      <w:pPr>
        <w:pStyle w:val="865"/>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7.3乙方如有转包或未经甲方同意的分包行为，甲方有权解除合同。</w:t>
      </w:r>
      <w:r/>
    </w:p>
    <w:p>
      <w:pPr>
        <w:pStyle w:val="865"/>
        <w:ind w:left="0" w:firstLine="482"/>
        <w:jc w:val="both"/>
        <w:keepLines w:val="0"/>
        <w:keepNext w:val="0"/>
        <w:pageBreakBefore w:val="0"/>
        <w:spacing w:beforeAutospacing="0" w:afterAutospacing="0" w:line="480" w:lineRule="exact"/>
        <w:widowControl w:val="off"/>
        <w:rPr>
          <w:color w:val="auto"/>
          <w:highlight w:val="yellow"/>
        </w:rPr>
      </w:pPr>
      <w:r>
        <w:rPr>
          <w:rFonts w:hint="eastAsia" w:ascii="宋体" w:hAnsi="宋体" w:eastAsia="宋体" w:cs="宋体"/>
          <w:b/>
          <w:color w:val="auto"/>
          <w:highlight w:val="yellow"/>
        </w:rPr>
        <w:t xml:space="preserve">八、考核及付款方式</w:t>
      </w:r>
      <w:r/>
    </w:p>
    <w:p>
      <w:pPr>
        <w:pStyle w:val="86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yellow"/>
        </w:rPr>
      </w:pPr>
      <w:r>
        <w:rPr>
          <w:rFonts w:hint="eastAsia" w:ascii="宋体" w:hAnsi="宋体" w:eastAsia="宋体" w:cs="宋体"/>
          <w:color w:val="auto"/>
          <w:highlight w:val="yellow"/>
          <w:lang w:val="en-US" w:eastAsia="zh-CN"/>
        </w:rPr>
        <w:t xml:space="preserve">8.1 </w:t>
      </w:r>
      <w:r>
        <w:rPr>
          <w:rFonts w:hint="eastAsia" w:ascii="宋体" w:hAnsi="宋体" w:eastAsia="宋体" w:cs="宋体"/>
          <w:color w:val="auto"/>
          <w:highlight w:val="yellow"/>
        </w:rPr>
        <w:t xml:space="preserve">考核方式</w:t>
      </w:r>
      <w:r>
        <w:rPr>
          <w:rFonts w:hint="eastAsia" w:ascii="宋体" w:hAnsi="宋体" w:eastAsia="宋体" w:cs="宋体"/>
          <w:color w:val="auto"/>
          <w:highlight w:val="yellow"/>
          <w:lang w:eastAsia="zh-CN"/>
        </w:rPr>
        <w:t xml:space="preserve">：</w:t>
      </w:r>
      <w:r>
        <w:rPr>
          <w:rFonts w:hint="eastAsia" w:ascii="宋体" w:hAnsi="宋体" w:eastAsia="宋体" w:cs="宋体"/>
          <w:color w:val="auto"/>
          <w:highlight w:val="yellow"/>
        </w:rPr>
        <w:t xml:space="preserve">每</w:t>
      </w:r>
      <w:r>
        <w:rPr>
          <w:rFonts w:hint="eastAsia" w:ascii="宋体" w:hAnsi="宋体" w:eastAsia="宋体" w:cs="宋体"/>
          <w:color w:val="auto"/>
          <w:highlight w:val="yellow"/>
          <w:lang w:eastAsia="zh-CN"/>
        </w:rPr>
        <w:t xml:space="preserve">季度</w:t>
      </w:r>
      <w:r>
        <w:rPr>
          <w:rFonts w:hint="eastAsia" w:ascii="宋体" w:hAnsi="宋体" w:eastAsia="宋体" w:cs="宋体"/>
          <w:color w:val="auto"/>
          <w:highlight w:val="yellow"/>
        </w:rPr>
        <w:t xml:space="preserve">根据东台市环境卫生管理处考核办法进行考核，如乙方考核不通过，则服务费用暂停拨付，直至整改到位。</w:t>
      </w:r>
      <w:r/>
    </w:p>
    <w:p>
      <w:pPr>
        <w:pStyle w:val="86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yellow"/>
        </w:rPr>
      </w:pPr>
      <w:r>
        <w:rPr>
          <w:rFonts w:hint="eastAsia" w:ascii="宋体" w:hAnsi="宋体" w:eastAsia="宋体" w:cs="宋体"/>
          <w:color w:val="auto"/>
          <w:highlight w:val="yellow"/>
          <w:lang w:val="en-US" w:eastAsia="zh-CN"/>
        </w:rPr>
        <w:t xml:space="preserve">8.2 </w:t>
      </w:r>
      <w:r>
        <w:rPr>
          <w:rFonts w:hint="eastAsia" w:ascii="宋体" w:hAnsi="宋体" w:eastAsia="宋体" w:cs="宋体"/>
          <w:color w:val="auto"/>
          <w:highlight w:val="yellow"/>
        </w:rPr>
        <w:t xml:space="preserve">付款方式：</w:t>
      </w:r>
      <w:r/>
    </w:p>
    <w:p>
      <w:pPr>
        <w:pStyle w:val="86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yellow"/>
          <w:lang w:eastAsia="zh-CN"/>
        </w:rPr>
      </w:pPr>
      <w:r>
        <w:rPr>
          <w:rFonts w:hint="eastAsia" w:ascii="宋体" w:hAnsi="宋体" w:eastAsia="宋体" w:cs="宋体"/>
          <w:color w:val="auto"/>
          <w:highlight w:val="yellow"/>
          <w:lang w:val="en-US" w:eastAsia="zh-CN"/>
        </w:rPr>
        <w:t xml:space="preserve">8.2.1</w:t>
      </w:r>
      <w:r>
        <w:rPr>
          <w:rFonts w:hint="eastAsia" w:ascii="宋体" w:hAnsi="宋体" w:eastAsia="宋体" w:cs="宋体"/>
          <w:color w:val="auto"/>
          <w:highlight w:val="yellow"/>
        </w:rPr>
        <w:t xml:space="preserve">合同签订后支付</w:t>
      </w:r>
      <w:r>
        <w:rPr>
          <w:rFonts w:hint="eastAsia" w:ascii="宋体" w:hAnsi="宋体" w:eastAsia="宋体" w:cs="宋体"/>
          <w:color w:val="auto"/>
          <w:highlight w:val="yellow"/>
          <w:lang w:val="en-US" w:eastAsia="zh-CN"/>
        </w:rPr>
        <w:t xml:space="preserve">预算价款30%的</w:t>
      </w:r>
      <w:r>
        <w:rPr>
          <w:rFonts w:hint="eastAsia" w:ascii="宋体" w:hAnsi="宋体" w:eastAsia="宋体" w:cs="宋体"/>
          <w:color w:val="auto"/>
          <w:highlight w:val="yellow"/>
        </w:rPr>
        <w:t xml:space="preserve">预付款</w:t>
      </w:r>
      <w:r>
        <w:rPr>
          <w:rFonts w:hint="eastAsia" w:ascii="宋体" w:hAnsi="宋体" w:eastAsia="宋体" w:cs="宋体"/>
          <w:color w:val="auto"/>
          <w:highlight w:val="yellow"/>
          <w:lang w:eastAsia="zh-CN"/>
        </w:rPr>
        <w:t xml:space="preserve">；</w:t>
      </w:r>
      <w:r/>
    </w:p>
    <w:p>
      <w:pPr>
        <w:pStyle w:val="865"/>
        <w:ind w:left="0" w:firstLine="480"/>
        <w:jc w:val="both"/>
        <w:keepLines w:val="0"/>
        <w:keepNext w:val="0"/>
        <w:pageBreakBefore w:val="0"/>
        <w:spacing w:beforeAutospacing="0" w:afterAutospacing="0" w:line="480" w:lineRule="exact"/>
        <w:widowControl w:val="off"/>
        <w:rPr>
          <w:rFonts w:hint="default" w:ascii="宋体" w:hAnsi="宋体" w:eastAsia="宋体" w:cs="宋体"/>
          <w:color w:val="auto"/>
          <w:highlight w:val="yellow"/>
          <w:lang w:val="en-US" w:eastAsia="zh-CN"/>
        </w:rPr>
      </w:pPr>
      <w:r>
        <w:rPr>
          <w:rFonts w:hint="eastAsia" w:ascii="宋体" w:hAnsi="宋体" w:eastAsia="宋体" w:cs="宋体"/>
          <w:color w:val="auto"/>
          <w:highlight w:val="yellow"/>
          <w:lang w:val="en-US" w:eastAsia="zh-CN"/>
        </w:rPr>
        <w:t xml:space="preserve">8.2.2 </w:t>
      </w:r>
      <w:r>
        <w:rPr>
          <w:rFonts w:hint="eastAsia" w:ascii="宋体" w:hAnsi="宋体" w:eastAsia="宋体" w:cs="宋体"/>
          <w:color w:val="auto"/>
          <w:highlight w:val="yellow"/>
        </w:rPr>
        <w:t xml:space="preserve">经</w:t>
      </w:r>
      <w:r>
        <w:rPr>
          <w:rFonts w:hint="eastAsia" w:ascii="宋体" w:hAnsi="宋体" w:eastAsia="宋体" w:cs="宋体"/>
          <w:color w:val="auto"/>
          <w:highlight w:val="yellow"/>
          <w:lang w:val="en-US" w:eastAsia="zh-CN"/>
        </w:rPr>
        <w:t xml:space="preserve">甲方</w:t>
      </w:r>
      <w:r>
        <w:rPr>
          <w:rFonts w:hint="eastAsia" w:ascii="宋体" w:hAnsi="宋体" w:eastAsia="宋体" w:cs="宋体"/>
          <w:color w:val="auto"/>
          <w:highlight w:val="yellow"/>
        </w:rPr>
        <w:t xml:space="preserve">考核合格按</w:t>
      </w:r>
      <w:r>
        <w:rPr>
          <w:rFonts w:hint="eastAsia" w:ascii="宋体" w:hAnsi="宋体" w:eastAsia="宋体" w:cs="宋体"/>
          <w:color w:val="auto"/>
          <w:highlight w:val="yellow"/>
          <w:lang w:val="en-US" w:eastAsia="zh-CN"/>
        </w:rPr>
        <w:t xml:space="preserve">月</w:t>
      </w:r>
      <w:r>
        <w:rPr>
          <w:rFonts w:hint="eastAsia" w:ascii="宋体" w:hAnsi="宋体" w:eastAsia="宋体" w:cs="宋体"/>
          <w:color w:val="auto"/>
          <w:highlight w:val="yellow"/>
        </w:rPr>
        <w:t xml:space="preserve">支付</w:t>
      </w:r>
      <w:r>
        <w:rPr>
          <w:rFonts w:hint="eastAsia" w:ascii="宋体" w:hAnsi="宋体" w:eastAsia="宋体" w:cs="宋体"/>
          <w:color w:val="auto"/>
          <w:highlight w:val="yellow"/>
          <w:lang w:val="en-US" w:eastAsia="zh-CN"/>
        </w:rPr>
        <w:t xml:space="preserve">运行</w:t>
      </w:r>
      <w:r>
        <w:rPr>
          <w:rFonts w:hint="eastAsia" w:ascii="宋体" w:hAnsi="宋体" w:eastAsia="宋体" w:cs="宋体"/>
          <w:color w:val="auto"/>
          <w:highlight w:val="yellow"/>
        </w:rPr>
        <w:t xml:space="preserve">费用。每月支付的合同价款=（中标处理单价）×（当月实际产水量）×90%-（当月应扣款）。</w:t>
      </w:r>
      <w:r/>
    </w:p>
    <w:p>
      <w:pPr>
        <w:pStyle w:val="86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yellow"/>
          <w:lang w:val="en-US" w:eastAsia="zh-CN"/>
        </w:rPr>
      </w:pPr>
      <w:r>
        <w:rPr>
          <w:rFonts w:hint="eastAsia" w:ascii="宋体" w:hAnsi="宋体" w:eastAsia="宋体" w:cs="宋体"/>
          <w:color w:val="auto"/>
          <w:highlight w:val="yellow"/>
          <w:lang w:val="en-US" w:eastAsia="zh-CN"/>
        </w:rPr>
        <w:t xml:space="preserve">8.2.3 余款待委托运营服务期满，经甲方考核合格后支付。</w:t>
      </w:r>
      <w:r/>
    </w:p>
    <w:p>
      <w:pPr>
        <w:pStyle w:val="86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yellow"/>
        </w:rPr>
      </w:pPr>
      <w:r>
        <w:rPr>
          <w:rFonts w:hint="eastAsia" w:ascii="宋体" w:hAnsi="宋体" w:eastAsia="宋体" w:cs="宋体"/>
          <w:color w:val="auto"/>
          <w:highlight w:val="yellow"/>
          <w:lang w:val="en-US" w:eastAsia="zh-CN"/>
        </w:rPr>
        <w:t xml:space="preserve">8.2.4 </w:t>
      </w:r>
      <w:r>
        <w:rPr>
          <w:rFonts w:hint="eastAsia" w:ascii="宋体" w:hAnsi="宋体" w:eastAsia="宋体" w:cs="宋体"/>
          <w:color w:val="auto"/>
          <w:highlight w:val="yellow"/>
        </w:rPr>
        <w:t xml:space="preserve">如经上级部门检查不合格或被环保部门处罚，</w:t>
      </w:r>
      <w:r>
        <w:rPr>
          <w:rFonts w:hint="eastAsia" w:ascii="宋体" w:hAnsi="宋体" w:eastAsia="宋体" w:cs="宋体"/>
          <w:color w:val="auto"/>
          <w:highlight w:val="yellow"/>
          <w:lang w:val="en-US" w:eastAsia="zh-CN"/>
        </w:rPr>
        <w:t xml:space="preserve">甲方</w:t>
      </w:r>
      <w:r>
        <w:rPr>
          <w:rFonts w:hint="eastAsia" w:ascii="宋体" w:hAnsi="宋体" w:eastAsia="宋体" w:cs="宋体"/>
          <w:color w:val="auto"/>
          <w:highlight w:val="yellow"/>
        </w:rPr>
        <w:t xml:space="preserve">将对</w:t>
      </w:r>
      <w:r>
        <w:rPr>
          <w:rFonts w:hint="eastAsia" w:ascii="宋体" w:hAnsi="宋体" w:eastAsia="宋体" w:cs="宋体"/>
          <w:color w:val="auto"/>
          <w:highlight w:val="yellow"/>
          <w:lang w:val="en-US" w:eastAsia="zh-CN"/>
        </w:rPr>
        <w:t xml:space="preserve">乙方</w:t>
      </w:r>
      <w:r>
        <w:rPr>
          <w:rFonts w:hint="eastAsia" w:ascii="宋体" w:hAnsi="宋体" w:eastAsia="宋体" w:cs="宋体"/>
          <w:color w:val="auto"/>
          <w:highlight w:val="yellow"/>
        </w:rPr>
        <w:t xml:space="preserve">进行处罚，相关处罚费用直接从应付运行服务费中予以扣除。</w:t>
      </w:r>
      <w:r/>
    </w:p>
    <w:p>
      <w:pPr>
        <w:pStyle w:val="865"/>
        <w:ind w:left="0" w:firstLine="480"/>
        <w:jc w:val="both"/>
        <w:keepLines w:val="0"/>
        <w:keepNext w:val="0"/>
        <w:pageBreakBefore w:val="0"/>
        <w:spacing w:beforeAutospacing="0" w:afterAutospacing="0" w:line="480" w:lineRule="exact"/>
        <w:widowControl w:val="off"/>
        <w:rPr>
          <w:rFonts w:ascii="宋体" w:hAnsi="宋体" w:eastAsia="宋体" w:cs="宋体"/>
          <w:color w:val="auto"/>
          <w:highlight w:val="yellow"/>
        </w:rPr>
      </w:pPr>
      <w:r>
        <w:rPr>
          <w:rFonts w:hint="eastAsia" w:ascii="宋体" w:hAnsi="宋体" w:eastAsia="宋体" w:cs="宋体"/>
          <w:color w:val="auto"/>
          <w:highlight w:val="yellow"/>
        </w:rPr>
        <w:t xml:space="preserve">8.</w:t>
      </w:r>
      <w:r>
        <w:rPr>
          <w:rFonts w:hint="eastAsia" w:ascii="宋体" w:hAnsi="宋体" w:eastAsia="宋体" w:cs="宋体"/>
          <w:color w:val="auto"/>
          <w:highlight w:val="yellow"/>
          <w:lang w:val="en-US" w:eastAsia="zh-CN"/>
        </w:rPr>
        <w:t xml:space="preserve">2.5</w:t>
      </w:r>
      <w:r>
        <w:rPr>
          <w:rFonts w:hint="eastAsia" w:ascii="宋体" w:hAnsi="宋体" w:eastAsia="宋体" w:cs="宋体"/>
          <w:color w:val="auto"/>
          <w:highlight w:val="yellow"/>
        </w:rPr>
        <w:t xml:space="preserve"> 以上付款均无银行利息，且乙方需提供相应金额的有效票据。</w:t>
      </w:r>
      <w:r/>
    </w:p>
    <w:p>
      <w:pPr>
        <w:pStyle w:val="865"/>
        <w:ind w:left="0" w:firstLine="480"/>
        <w:jc w:val="both"/>
        <w:keepLines w:val="0"/>
        <w:keepNext w:val="0"/>
        <w:pageBreakBefore w:val="0"/>
        <w:spacing w:beforeAutospacing="0" w:afterAutospacing="0" w:line="480" w:lineRule="exact"/>
        <w:widowControl w:val="off"/>
        <w:rPr>
          <w:rFonts w:ascii="宋体" w:hAnsi="宋体" w:eastAsia="宋体" w:cs="宋体"/>
          <w:color w:val="auto"/>
          <w:highlight w:val="yellow"/>
        </w:rPr>
      </w:pPr>
      <w:r>
        <w:rPr>
          <w:rFonts w:hint="eastAsia" w:ascii="宋体" w:hAnsi="宋体" w:eastAsia="宋体" w:cs="宋体"/>
          <w:color w:val="auto"/>
          <w:highlight w:val="yellow"/>
        </w:rPr>
        <w:t xml:space="preserve">8.</w:t>
      </w:r>
      <w:r>
        <w:rPr>
          <w:rFonts w:hint="eastAsia" w:ascii="宋体" w:hAnsi="宋体" w:eastAsia="宋体" w:cs="宋体"/>
          <w:color w:val="auto"/>
          <w:highlight w:val="yellow"/>
          <w:lang w:val="en-US" w:eastAsia="zh-CN"/>
        </w:rPr>
        <w:t xml:space="preserve">2.6</w:t>
      </w:r>
      <w:r>
        <w:rPr>
          <w:rFonts w:hint="eastAsia" w:ascii="宋体" w:hAnsi="宋体" w:eastAsia="宋体" w:cs="宋体"/>
          <w:color w:val="auto"/>
          <w:highlight w:val="yellow"/>
        </w:rPr>
        <w:t xml:space="preserve"> 在签订合同时，乙方明确表示无需预付款或者主动要求降低预付款比例的，甲方可不适用上述关于预付款的规定。</w:t>
      </w:r>
      <w:r/>
    </w:p>
    <w:p>
      <w:pPr>
        <w:pStyle w:val="865"/>
        <w:ind w:left="0" w:firstLine="480"/>
        <w:jc w:val="both"/>
        <w:keepLines w:val="0"/>
        <w:keepNext w:val="0"/>
        <w:pageBreakBefore w:val="0"/>
        <w:spacing w:beforeAutospacing="0" w:afterAutospacing="0" w:line="480" w:lineRule="exact"/>
        <w:widowControl w:val="off"/>
        <w:rPr>
          <w:rFonts w:ascii="宋体" w:hAnsi="宋体" w:eastAsia="宋体" w:cs="宋体"/>
          <w:color w:val="auto"/>
          <w:highlight w:val="yellow"/>
        </w:rPr>
      </w:pPr>
      <w:r>
        <w:rPr>
          <w:rFonts w:hint="eastAsia" w:ascii="宋体" w:hAnsi="宋体" w:eastAsia="宋体" w:cs="宋体"/>
          <w:color w:val="auto"/>
          <w:highlight w:val="yellow"/>
        </w:rPr>
        <w:t xml:space="preserve">8.</w:t>
      </w:r>
      <w:r>
        <w:rPr>
          <w:rFonts w:hint="eastAsia" w:ascii="宋体" w:hAnsi="宋体" w:eastAsia="宋体" w:cs="宋体"/>
          <w:color w:val="auto"/>
          <w:highlight w:val="yellow"/>
          <w:lang w:val="en-US" w:eastAsia="zh-CN"/>
        </w:rPr>
        <w:t xml:space="preserve">2.7</w:t>
      </w:r>
      <w:r>
        <w:rPr>
          <w:rFonts w:hint="eastAsia" w:ascii="宋体" w:hAnsi="宋体" w:eastAsia="宋体" w:cs="宋体"/>
          <w:color w:val="auto"/>
          <w:highlight w:val="yellow"/>
        </w:rPr>
        <w:t xml:space="preserve"> 甲方原则上自收到发票后10个工作日内将资金支付到乙方账户。</w:t>
      </w:r>
      <w:r/>
    </w:p>
    <w:p>
      <w:pPr>
        <w:pStyle w:val="865"/>
        <w:ind w:left="0"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b/>
          <w:color w:val="auto"/>
          <w:highlight w:val="none"/>
        </w:rPr>
        <w:t xml:space="preserve">九、税费</w:t>
      </w:r>
      <w:r/>
    </w:p>
    <w:p>
      <w:pPr>
        <w:pStyle w:val="865"/>
        <w:ind w:left="0" w:firstLine="480"/>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color w:val="auto"/>
          <w:highlight w:val="none"/>
        </w:rPr>
        <w:t xml:space="preserve">9.1本合同执行中相关的一切税费均由乙方负担。</w:t>
      </w:r>
      <w:r/>
    </w:p>
    <w:p>
      <w:pPr>
        <w:pStyle w:val="865"/>
        <w:ind w:left="0"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b/>
          <w:color w:val="auto"/>
          <w:highlight w:val="none"/>
        </w:rPr>
        <w:t xml:space="preserve">十、项目验收</w:t>
      </w:r>
      <w:r/>
    </w:p>
    <w:p>
      <w:pPr>
        <w:pStyle w:val="865"/>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10.1 </w:t>
      </w:r>
      <w:r>
        <w:rPr>
          <w:rFonts w:hint="eastAsia" w:ascii="宋体" w:hAnsi="宋体" w:eastAsia="宋体" w:cs="宋体"/>
          <w:color w:val="auto"/>
          <w:highlight w:val="none"/>
          <w:lang w:val="en-US" w:eastAsia="zh-CN"/>
        </w:rPr>
        <w:t xml:space="preserve">履约期满后甲方将根据东台市环境卫生管理处考核办法对乙方进行考核</w:t>
      </w:r>
      <w:r>
        <w:rPr>
          <w:rFonts w:hint="eastAsia" w:ascii="宋体" w:hAnsi="宋体" w:eastAsia="宋体" w:cs="宋体"/>
          <w:color w:val="auto"/>
          <w:highlight w:val="none"/>
        </w:rPr>
        <w:t xml:space="preserve">。</w:t>
      </w:r>
      <w:r/>
    </w:p>
    <w:p>
      <w:pPr>
        <w:pStyle w:val="865"/>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10.2 验收合格的项目</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auto"/>
          <w:highlight w:val="none"/>
          <w:lang w:eastAsia="zh-CN"/>
        </w:rPr>
        <w:t xml:space="preserve">中华人民共和国民法典</w:t>
      </w:r>
      <w:r>
        <w:rPr>
          <w:rFonts w:hint="eastAsia" w:ascii="宋体" w:hAnsi="宋体" w:eastAsia="宋体" w:cs="宋体"/>
          <w:color w:val="auto"/>
          <w:highlight w:val="none"/>
        </w:rPr>
        <w:t xml:space="preserve">》。乙方在履约过程中有政府采购法律法规规定的违法违规情形的</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甲方将及时报告本级财政部门。</w:t>
      </w:r>
      <w:r/>
    </w:p>
    <w:p>
      <w:pPr>
        <w:pStyle w:val="865"/>
        <w:ind w:left="0"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b/>
          <w:color w:val="auto"/>
          <w:highlight w:val="none"/>
        </w:rPr>
        <w:t xml:space="preserve">十一、甲方权利义务</w:t>
      </w:r>
      <w:r/>
    </w:p>
    <w:p>
      <w:pPr>
        <w:pStyle w:val="86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11.1 </w:t>
      </w:r>
      <w:r>
        <w:rPr>
          <w:rFonts w:hint="eastAsia" w:ascii="宋体" w:hAnsi="宋体" w:eastAsia="宋体" w:cs="宋体"/>
          <w:color w:val="auto"/>
          <w:highlight w:val="none"/>
        </w:rPr>
        <w:t xml:space="preserve">依照相关的</w:t>
      </w:r>
      <w:r>
        <w:rPr>
          <w:rFonts w:hint="eastAsia" w:ascii="宋体" w:hAnsi="宋体" w:eastAsia="宋体" w:cs="宋体"/>
          <w:color w:val="auto"/>
          <w:highlight w:val="none"/>
          <w:lang w:eastAsia="zh-CN"/>
        </w:rPr>
        <w:t xml:space="preserve">法律法规</w:t>
      </w:r>
      <w:r>
        <w:rPr>
          <w:rFonts w:hint="eastAsia" w:ascii="宋体" w:hAnsi="宋体" w:eastAsia="宋体" w:cs="宋体"/>
          <w:color w:val="auto"/>
          <w:highlight w:val="none"/>
        </w:rPr>
        <w:t xml:space="preserve">，抓好管理工作，处理乙方日常发现的问题，协调各方面矛盾。</w:t>
      </w:r>
      <w:r/>
    </w:p>
    <w:p>
      <w:pPr>
        <w:pStyle w:val="86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11.2 </w:t>
      </w:r>
      <w:r>
        <w:rPr>
          <w:rFonts w:hint="eastAsia" w:ascii="宋体" w:hAnsi="宋体" w:eastAsia="宋体" w:cs="宋体"/>
          <w:color w:val="auto"/>
          <w:highlight w:val="none"/>
        </w:rPr>
        <w:t xml:space="preserve">考核人员根据考核细则定期对乙方进行业务指导、考核和安全检查。</w:t>
      </w:r>
      <w:r/>
    </w:p>
    <w:p>
      <w:pPr>
        <w:pStyle w:val="86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11.3 </w:t>
      </w:r>
      <w:r>
        <w:rPr>
          <w:rFonts w:hint="eastAsia" w:ascii="宋体" w:hAnsi="宋体" w:eastAsia="宋体" w:cs="宋体"/>
          <w:color w:val="auto"/>
          <w:highlight w:val="none"/>
        </w:rPr>
        <w:t xml:space="preserve">每</w:t>
      </w:r>
      <w:r>
        <w:rPr>
          <w:rFonts w:hint="eastAsia" w:ascii="宋体" w:hAnsi="宋体" w:eastAsia="宋体" w:cs="宋体"/>
          <w:color w:val="auto"/>
          <w:highlight w:val="none"/>
          <w:lang w:eastAsia="zh-CN"/>
        </w:rPr>
        <w:t xml:space="preserve">季度</w:t>
      </w:r>
      <w:r>
        <w:rPr>
          <w:rFonts w:hint="eastAsia" w:ascii="宋体" w:hAnsi="宋体" w:eastAsia="宋体" w:cs="宋体"/>
          <w:color w:val="auto"/>
          <w:highlight w:val="none"/>
        </w:rPr>
        <w:t xml:space="preserve">凭考核人员的考核通知单和税务发票兑现乙方服务经费。</w:t>
      </w:r>
      <w:r/>
    </w:p>
    <w:p>
      <w:pPr>
        <w:pStyle w:val="865"/>
        <w:ind w:left="0"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val="en-US" w:eastAsia="zh-CN"/>
        </w:rPr>
        <w:t xml:space="preserve">二</w:t>
      </w:r>
      <w:r>
        <w:rPr>
          <w:rFonts w:hint="eastAsia" w:ascii="宋体" w:hAnsi="宋体" w:eastAsia="宋体" w:cs="宋体"/>
          <w:b/>
          <w:color w:val="auto"/>
          <w:highlight w:val="none"/>
        </w:rPr>
        <w:t xml:space="preserve">、乙方权利义务</w:t>
      </w:r>
      <w:r/>
    </w:p>
    <w:p>
      <w:pPr>
        <w:pStyle w:val="86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12.1 </w:t>
      </w:r>
      <w:r>
        <w:rPr>
          <w:rFonts w:hint="eastAsia" w:ascii="宋体" w:hAnsi="宋体" w:eastAsia="宋体" w:cs="宋体"/>
          <w:color w:val="auto"/>
          <w:highlight w:val="none"/>
        </w:rPr>
        <w:t xml:space="preserve">乙方必须依照合同的服务要求为甲方提供服务。</w:t>
      </w:r>
      <w:r/>
    </w:p>
    <w:p>
      <w:pPr>
        <w:pStyle w:val="86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12.2 </w:t>
      </w:r>
      <w:r>
        <w:rPr>
          <w:rFonts w:hint="eastAsia" w:ascii="宋体" w:hAnsi="宋体" w:eastAsia="宋体" w:cs="宋体"/>
          <w:color w:val="auto"/>
          <w:highlight w:val="none"/>
        </w:rPr>
        <w:t xml:space="preserve">乙方必须为其提供服务的人员提供安全保障义务，如在工作过程中发生意外情况，均由乙方承担相应的责任。</w:t>
      </w:r>
      <w:r/>
    </w:p>
    <w:p>
      <w:pPr>
        <w:pStyle w:val="86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12.3 </w:t>
      </w:r>
      <w:r>
        <w:rPr>
          <w:rFonts w:hint="eastAsia" w:ascii="宋体" w:hAnsi="宋体" w:eastAsia="宋体" w:cs="宋体"/>
          <w:color w:val="auto"/>
          <w:highlight w:val="none"/>
        </w:rPr>
        <w:t xml:space="preserve">在年度服务周期中，因特殊情况需要加班加点或工作突击，累计不得超过</w:t>
      </w: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rPr>
        <w:t xml:space="preserve">天，在该期限范围内甲方不另行支付服务费用。</w:t>
      </w:r>
      <w:r/>
    </w:p>
    <w:p>
      <w:pPr>
        <w:pStyle w:val="865"/>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val="en-US" w:eastAsia="zh-CN"/>
        </w:rPr>
        <w:t xml:space="preserve">三</w:t>
      </w:r>
      <w:r>
        <w:rPr>
          <w:rFonts w:hint="eastAsia" w:ascii="宋体" w:hAnsi="宋体" w:eastAsia="宋体" w:cs="宋体"/>
          <w:b/>
          <w:color w:val="auto"/>
          <w:highlight w:val="none"/>
        </w:rPr>
        <w:t xml:space="preserve">、违约责任</w:t>
      </w:r>
      <w:r/>
    </w:p>
    <w:p>
      <w:pPr>
        <w:pStyle w:val="86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13.1 甲方不按合同规定付清款项，将按银行同期利率加倍罚息。</w:t>
      </w:r>
      <w:r/>
    </w:p>
    <w:p>
      <w:pPr>
        <w:pStyle w:val="86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13.2 运营期间如因不可抗力发生渗滤液满溢等影响环境事件，乙方应主动采取措施，积极配合甲方消除隐患。如因乙方自身原因导致上述事件发生，则甲方有权终止合同，没收履约保证金并视情节严重程度采取相应的罚款措施。</w:t>
      </w:r>
      <w:r/>
    </w:p>
    <w:p>
      <w:pPr>
        <w:pStyle w:val="86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13.3 如果乙方因自身原因导致水处理不达标时，甲方有权要求乙方在规定期限内整改到位，若乙方未能在规定期限内完成整改，则处以3000元/天罚款。超过十天未达标，则甲方有权终止合同并没收履约保证金。</w:t>
      </w:r>
      <w:r/>
    </w:p>
    <w:p>
      <w:pPr>
        <w:pStyle w:val="86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13.4 如果乙方在运营期间未得到甲方的同意而私自暂停运营十天及以上的，将视为违约，甲方有权终止合同并没收履约保证金。</w:t>
      </w:r>
      <w:r/>
    </w:p>
    <w:p>
      <w:pPr>
        <w:pStyle w:val="86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13.5 发生合同纠纷，由甲方所在地仲裁部门仲裁。</w:t>
      </w:r>
      <w:r/>
    </w:p>
    <w:p>
      <w:pPr>
        <w:pStyle w:val="86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13.6 本合同未明确的条款，但在采购文件和承诺函中已经明确的内容亦为本合同条款。</w:t>
      </w:r>
      <w:r/>
    </w:p>
    <w:p>
      <w:pPr>
        <w:pStyle w:val="865"/>
        <w:ind w:left="0"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val="en-US" w:eastAsia="zh-CN"/>
        </w:rPr>
        <w:t xml:space="preserve">四</w:t>
      </w:r>
      <w:r>
        <w:rPr>
          <w:rFonts w:hint="eastAsia" w:ascii="宋体" w:hAnsi="宋体" w:eastAsia="宋体" w:cs="宋体"/>
          <w:b/>
          <w:color w:val="auto"/>
          <w:highlight w:val="none"/>
        </w:rPr>
        <w:t xml:space="preserve">、不可抗力事件处理</w:t>
      </w:r>
      <w:r/>
    </w:p>
    <w:p>
      <w:pPr>
        <w:pStyle w:val="865"/>
        <w:ind w:left="0" w:firstLine="480"/>
        <w:jc w:val="both"/>
        <w:keepLines w:val="0"/>
        <w:keepNext w:val="0"/>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.1 在合同有效期内，任何一方因不可抗力事件导致不能履行合同，则合同履行期可延长，其延长期与不可抗力影响 期相同。</w:t>
      </w:r>
      <w:r/>
    </w:p>
    <w:p>
      <w:pPr>
        <w:pStyle w:val="865"/>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.2 不可抗力事件发生后，应立即通知对方，并寄送有关权威机构出具的证明。</w:t>
      </w:r>
      <w:r/>
    </w:p>
    <w:p>
      <w:pPr>
        <w:pStyle w:val="865"/>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.3 不可抗力事件延续120天以上，双方应通过友好协商，确定是否继续履行合同。</w:t>
      </w:r>
      <w:r/>
    </w:p>
    <w:p>
      <w:pPr>
        <w:pStyle w:val="865"/>
        <w:ind w:left="0"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val="en-US" w:eastAsia="zh-CN"/>
        </w:rPr>
        <w:t xml:space="preserve">五</w:t>
      </w:r>
      <w:r>
        <w:rPr>
          <w:rFonts w:hint="eastAsia" w:ascii="宋体" w:hAnsi="宋体" w:eastAsia="宋体" w:cs="宋体"/>
          <w:b/>
          <w:color w:val="auto"/>
          <w:highlight w:val="none"/>
        </w:rPr>
        <w:t xml:space="preserve">、解决争议的方法</w:t>
      </w:r>
      <w:r/>
    </w:p>
    <w:p>
      <w:pPr>
        <w:pStyle w:val="865"/>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.1双方在签订、履行合同中所发生的一切争议，应通过友好协商解决。如协商不成，由甲方住所地人民法院管辖。</w:t>
      </w:r>
      <w:r/>
    </w:p>
    <w:p>
      <w:pPr>
        <w:pStyle w:val="865"/>
        <w:ind w:left="0"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val="en-US" w:eastAsia="zh-CN"/>
        </w:rPr>
        <w:t xml:space="preserve">六</w:t>
      </w:r>
      <w:r>
        <w:rPr>
          <w:rFonts w:hint="eastAsia" w:ascii="宋体" w:hAnsi="宋体" w:eastAsia="宋体" w:cs="宋体"/>
          <w:b/>
          <w:color w:val="auto"/>
          <w:highlight w:val="none"/>
        </w:rPr>
        <w:t xml:space="preserve">、合同生效及其</w:t>
      </w:r>
      <w:r>
        <w:rPr>
          <w:rFonts w:hint="eastAsia" w:ascii="宋体" w:hAnsi="宋体" w:eastAsia="宋体" w:cs="宋体"/>
          <w:b/>
          <w:color w:val="auto"/>
          <w:highlight w:val="none"/>
          <w:lang w:eastAsia="zh-CN"/>
        </w:rPr>
        <w:t xml:space="preserve">他</w:t>
      </w:r>
      <w:r/>
    </w:p>
    <w:p>
      <w:pPr>
        <w:pStyle w:val="865"/>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 合同经双方法定代表人或授权委托代表人签字并加盖单位公章后生效。</w:t>
      </w:r>
      <w:r/>
    </w:p>
    <w:p>
      <w:pPr>
        <w:pStyle w:val="865"/>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.2本合同未尽事宜，遵照《</w:t>
      </w:r>
      <w:r>
        <w:rPr>
          <w:rFonts w:hint="eastAsia" w:ascii="宋体" w:hAnsi="宋体" w:eastAsia="宋体" w:cs="宋体"/>
          <w:color w:val="auto"/>
          <w:highlight w:val="none"/>
          <w:lang w:eastAsia="zh-CN"/>
        </w:rPr>
        <w:t xml:space="preserve">中华人民共和国民法典》《中华人民共和国政府采购法》等</w:t>
      </w:r>
      <w:r>
        <w:rPr>
          <w:rFonts w:hint="eastAsia" w:ascii="宋体" w:hAnsi="宋体" w:eastAsia="宋体" w:cs="宋体"/>
          <w:color w:val="auto"/>
          <w:highlight w:val="none"/>
        </w:rPr>
        <w:t xml:space="preserve">有关条文执行。</w:t>
      </w:r>
      <w:r/>
    </w:p>
    <w:p>
      <w:pPr>
        <w:pStyle w:val="865"/>
        <w:ind w:left="0" w:firstLine="480"/>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.3 本合同一式</w:t>
      </w:r>
      <w:r>
        <w:rPr>
          <w:rFonts w:hint="eastAsia" w:ascii="宋体" w:hAnsi="宋体" w:eastAsia="宋体" w:cs="宋体"/>
          <w:color w:val="auto"/>
          <w:highlight w:val="none"/>
          <w:u w:val="single"/>
        </w:rPr>
        <w:t xml:space="preserve"> 六 </w:t>
      </w:r>
      <w:r>
        <w:rPr>
          <w:rFonts w:hint="eastAsia" w:ascii="宋体" w:hAnsi="宋体" w:eastAsia="宋体" w:cs="宋体"/>
          <w:color w:val="auto"/>
          <w:highlight w:val="none"/>
        </w:rPr>
        <w:t xml:space="preserve">份，甲乙双方各执两份，其余用于相关单位存档。</w:t>
      </w:r>
      <w:r/>
    </w:p>
    <w:p>
      <w:pPr>
        <w:pStyle w:val="865"/>
        <w:ind w:left="480" w:hanging="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5"/>
        <w:ind w:firstLine="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甲方：                       乙方： </w:t>
      </w:r>
      <w:r/>
    </w:p>
    <w:p>
      <w:pPr>
        <w:pStyle w:val="865"/>
        <w:ind w:firstLine="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地址：                       地址： </w:t>
      </w:r>
      <w:r/>
    </w:p>
    <w:p>
      <w:pPr>
        <w:pStyle w:val="865"/>
        <w:ind w:firstLine="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法定代表人或授权代表：       法定代表人或授权代表：</w:t>
      </w:r>
      <w:r/>
    </w:p>
    <w:p>
      <w:pPr>
        <w:pStyle w:val="865"/>
        <w:ind w:firstLine="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联系电话：                   联系电话：          </w:t>
      </w:r>
      <w:r/>
    </w:p>
    <w:p>
      <w:pPr>
        <w:pStyle w:val="865"/>
        <w:jc w:val="center"/>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r/>
    </w:p>
    <w:p>
      <w:pPr>
        <w:pStyle w:val="865"/>
        <w:jc w:val="center"/>
        <w:keepLines w:val="0"/>
        <w:keepNext w:val="0"/>
        <w:pageBreakBefore w:val="0"/>
        <w:spacing w:before="120" w:beforeAutospacing="0" w:after="120" w:afterAutospacing="0" w:line="500" w:lineRule="exact"/>
        <w:widowControl w:val="off"/>
        <w:rPr>
          <w:color w:val="auto"/>
          <w:highlight w:val="none"/>
        </w:rPr>
      </w:pPr>
      <w:r>
        <w:rPr>
          <w:rFonts w:hint="eastAsia" w:ascii="宋体" w:hAnsi="宋体" w:eastAsia="宋体" w:cs="宋体"/>
          <w:color w:val="auto"/>
          <w:sz w:val="24"/>
          <w:szCs w:val="24"/>
          <w:highlight w:val="none"/>
        </w:rPr>
        <w:t xml:space="preserve">   签订日期：      年    月   日</w:t>
      </w:r>
      <w:bookmarkStart w:id="171" w:name="_Toc479757211"/>
      <w:r/>
      <w:bookmarkStart w:id="172" w:name="_Toc20823346"/>
      <w:r/>
      <w:bookmarkStart w:id="173" w:name="_Toc462564139"/>
      <w:r/>
      <w:bookmarkStart w:id="174" w:name="_Toc120614244"/>
      <w:r/>
      <w:bookmarkStart w:id="175" w:name="_Hlt16619350"/>
      <w:r/>
      <w:bookmarkStart w:id="176" w:name="_Toc16938590"/>
      <w:r/>
      <w:bookmarkStart w:id="177" w:name="_Hlt16619369"/>
      <w:r>
        <w:rPr>
          <w:rFonts w:hint="eastAsia" w:ascii="黑体" w:hAnsi="宋体" w:eastAsia="黑体" w:cs="黑体"/>
          <w:color w:val="auto"/>
          <w:sz w:val="24"/>
          <w:szCs w:val="24"/>
          <w:highlight w:val="none"/>
        </w:rPr>
        <w:br w:type="page" w:clear="all"/>
      </w:r>
      <w:r>
        <w:rPr>
          <w:rFonts w:hint="eastAsia" w:ascii="黑体" w:hAnsi="宋体" w:eastAsia="黑体" w:cs="黑体"/>
          <w:color w:val="auto"/>
          <w:sz w:val="44"/>
          <w:szCs w:val="44"/>
          <w:highlight w:val="none"/>
        </w:rPr>
        <w:t xml:space="preserve"> 第</w:t>
      </w:r>
      <w:bookmarkEnd w:id="171"/>
      <w:r>
        <w:rPr>
          <w:rFonts w:hint="eastAsia" w:ascii="黑体" w:hAnsi="宋体" w:eastAsia="黑体" w:cs="黑体"/>
          <w:color w:val="auto"/>
          <w:sz w:val="44"/>
          <w:szCs w:val="44"/>
          <w:highlight w:val="none"/>
        </w:rPr>
        <w:t xml:space="preserve">四章 采购需求</w:t>
      </w:r>
      <w:bookmarkEnd w:id="172"/>
      <w:r/>
      <w:bookmarkEnd w:id="173"/>
      <w:r/>
      <w:bookmarkEnd w:id="174"/>
      <w:r/>
      <w:bookmarkEnd w:id="175"/>
      <w:r/>
      <w:bookmarkEnd w:id="176"/>
      <w:r/>
      <w:r/>
    </w:p>
    <w:p>
      <w:pPr>
        <w:pStyle w:val="865"/>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highlight w:val="none"/>
        </w:rPr>
      </w:r>
      <w:r>
        <w:rPr>
          <w:highlight w:val="none"/>
        </w:rPr>
      </w:r>
      <w:r/>
    </w:p>
    <w:p>
      <w:pPr>
        <w:pStyle w:val="865"/>
        <w:ind w:firstLine="480"/>
        <w:jc w:val="both"/>
        <w:spacing w:beforeAutospacing="0" w:afterAutospacing="0" w:line="0" w:lineRule="atLeast"/>
        <w:rPr>
          <w:highlight w:val="none"/>
        </w:rPr>
      </w:pPr>
      <w:r/>
      <w:bookmarkStart w:id="178" w:name="_Toc26554093"/>
      <w:r/>
      <w:bookmarkStart w:id="179" w:name="_Toc49090575"/>
      <w:r>
        <w:rPr>
          <w:rFonts w:hint="eastAsia" w:ascii="宋体" w:hAnsi="宋体" w:eastAsia="宋体" w:cs="宋体"/>
          <w:color w:val="auto"/>
          <w:sz w:val="24"/>
          <w:szCs w:val="24"/>
          <w:highlight w:val="none"/>
        </w:rPr>
        <w:t xml:space="preserve">项目属性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服务类项目。</w:t>
      </w:r>
      <w:bookmarkEnd w:id="178"/>
      <w:r/>
      <w:bookmarkEnd w:id="179"/>
      <w:r/>
      <w:r/>
    </w:p>
    <w:p>
      <w:pPr>
        <w:pStyle w:val="865"/>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p>
    <w:p>
      <w:pPr>
        <w:pStyle w:val="865"/>
        <w:ind w:firstLine="482"/>
        <w:jc w:val="both"/>
        <w:keepLines w:val="0"/>
        <w:keepNext w:val="0"/>
        <w:pageBreakBefore w:val="0"/>
        <w:spacing w:beforeAutospacing="0" w:afterAutospacing="0" w:line="480" w:lineRule="exact"/>
        <w:widowControl w:val="off"/>
        <w:rPr>
          <w:rFonts w:hint="default" w:ascii="宋体" w:hAnsi="宋体" w:eastAsia="宋体" w:cs="宋体"/>
          <w:b/>
          <w:bCs/>
          <w:color w:val="auto"/>
          <w:highlight w:val="none"/>
          <w:lang w:val="en-US" w:eastAsia="zh-CN"/>
        </w:rPr>
      </w:pPr>
      <w:r>
        <w:rPr>
          <w:rFonts w:hint="eastAsia" w:ascii="宋体" w:hAnsi="宋体" w:eastAsia="宋体" w:cs="宋体"/>
          <w:b/>
          <w:bCs/>
          <w:color w:val="auto"/>
          <w:highlight w:val="none"/>
        </w:rPr>
        <w:t xml:space="preserve">一、</w:t>
      </w:r>
      <w:r>
        <w:rPr>
          <w:rFonts w:hint="eastAsia" w:ascii="宋体" w:hAnsi="宋体" w:eastAsia="宋体" w:cs="宋体"/>
          <w:b/>
          <w:bCs/>
          <w:color w:val="auto"/>
          <w:highlight w:val="none"/>
          <w:lang w:val="en-US" w:eastAsia="zh-CN"/>
        </w:rPr>
        <w:t xml:space="preserve">技术要求</w:t>
      </w:r>
      <w:r/>
    </w:p>
    <w:p>
      <w:pPr>
        <w:pStyle w:val="865"/>
        <w:ind w:firstLine="482"/>
        <w:jc w:val="both"/>
        <w:keepLines w:val="0"/>
        <w:keepNext w:val="0"/>
        <w:pageBreakBefore w:val="0"/>
        <w:spacing w:beforeAutospacing="0" w:afterAutospacing="0" w:line="480" w:lineRule="exact"/>
        <w:widowControl w:val="off"/>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1.服务范围及内容</w:t>
      </w:r>
      <w:r/>
    </w:p>
    <w:p>
      <w:pPr>
        <w:ind w:firstLine="480"/>
        <w:jc w:val="left"/>
        <w:spacing w:line="440" w:lineRule="exact"/>
        <w:rPr>
          <w:rFonts w:hint="eastAsia" w:ascii="宋体" w:hAnsi="宋体" w:eastAsia="宋体" w:cs="宋体"/>
          <w:b/>
          <w:bCs/>
          <w:color w:val="auto"/>
          <w:sz w:val="24"/>
          <w:szCs w:val="22"/>
          <w:highlight w:val="none"/>
        </w:rPr>
      </w:pPr>
      <w:r>
        <w:rPr>
          <w:rFonts w:hint="eastAsia" w:ascii="宋体" w:hAnsi="宋体" w:eastAsia="宋体" w:cs="宋体"/>
          <w:color w:val="auto"/>
          <w:sz w:val="24"/>
          <w:szCs w:val="22"/>
          <w:highlight w:val="none"/>
        </w:rPr>
        <w:t xml:space="preserve">（1）填埋场为老龄填埋场，填埋物中含有酱厂垃圾等，水质可生化性较差，碳氮比失调，氯离子含量极高，电导率极高。投标人需慎重考虑氯离子、电导率对渗滤液处理设施的影响，考虑碱、葡萄糖、碳源等药剂成本及服务能力，确保污水处理设施能够平稳运行。投标人中标后，不得以水质差等为借口要求招标人增加处置费用。如投标人中标后以水质差等原因弃标，需承担相应法律责任。</w:t>
      </w:r>
      <w:r/>
    </w:p>
    <w:p>
      <w:pPr>
        <w:ind w:firstLine="480"/>
        <w:jc w:val="left"/>
        <w:spacing w:line="440" w:lineRule="exact"/>
        <w:rPr>
          <w:rFonts w:hint="eastAsia" w:ascii="宋体" w:hAnsi="宋体" w:eastAsia="宋体" w:cs="宋体"/>
          <w:b/>
          <w:bCs/>
          <w:color w:val="auto"/>
          <w:sz w:val="24"/>
          <w:szCs w:val="22"/>
          <w:highlight w:val="none"/>
        </w:rPr>
      </w:pPr>
      <w:r>
        <w:rPr>
          <w:rFonts w:hint="eastAsia" w:ascii="宋体" w:hAnsi="宋体" w:eastAsia="宋体" w:cs="宋体"/>
          <w:color w:val="auto"/>
          <w:sz w:val="24"/>
          <w:szCs w:val="22"/>
          <w:highlight w:val="none"/>
        </w:rPr>
        <w:t xml:space="preserve">（2）本项目氨吹脱系统会产生大量硫酸铵，中标人需自行与相关单位签署处置协议，妥善处置氨吹脱后产生的大量硫酸铵。相关处置费用包含在污水处理费用内，招标人不另行增加处置费用。</w:t>
      </w:r>
      <w:r/>
    </w:p>
    <w:p>
      <w:pPr>
        <w:ind w:firstLine="482"/>
        <w:jc w:val="left"/>
        <w:spacing w:line="440" w:lineRule="exact"/>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①进水水质由投标人自行勘察检测，下表仅供参考。</w:t>
      </w:r>
      <w:r/>
    </w:p>
    <w:p>
      <w:pPr>
        <w:ind w:firstLine="482"/>
        <w:jc w:val="left"/>
        <w:spacing w:line="440" w:lineRule="exact"/>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进水指标参考如下表：</w:t>
      </w:r>
      <w:r/>
    </w:p>
    <w:tbl>
      <w:tblPr>
        <w:tblStyle w:val="8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2986"/>
        <w:gridCol w:w="2684"/>
      </w:tblGrid>
      <w:tr>
        <w:trPr>
          <w:jc w:val="center"/>
        </w:trPr>
        <w:tc>
          <w:tcPr>
            <w:tcBorders>
              <w:top w:val="single" w:color="auto" w:sz="4" w:space="0"/>
              <w:left w:val="single" w:color="auto" w:sz="4" w:space="0"/>
              <w:bottom w:val="single" w:color="auto" w:sz="4" w:space="0"/>
              <w:right w:val="single" w:color="auto" w:sz="4" w:space="0"/>
            </w:tcBorders>
            <w:tcW w:w="959" w:type="dxa"/>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986" w:type="dxa"/>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污染物名称</w:t>
            </w:r>
            <w:r/>
          </w:p>
        </w:tc>
        <w:tc>
          <w:tcPr>
            <w:tcBorders>
              <w:top w:val="single" w:color="auto" w:sz="4" w:space="0"/>
              <w:left w:val="single" w:color="auto" w:sz="4" w:space="0"/>
              <w:bottom w:val="single" w:color="auto" w:sz="4" w:space="0"/>
              <w:right w:val="single" w:color="auto" w:sz="4" w:space="0"/>
            </w:tcBorders>
            <w:tcW w:w="2684" w:type="dxa"/>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进水指标</w:t>
            </w:r>
            <w:r/>
          </w:p>
        </w:tc>
      </w:tr>
      <w:tr>
        <w:trPr>
          <w:jc w:val="center"/>
        </w:trPr>
        <w:tc>
          <w:tcPr>
            <w:tcBorders>
              <w:top w:val="single" w:color="auto" w:sz="4" w:space="0"/>
              <w:left w:val="single" w:color="auto" w:sz="4" w:space="0"/>
              <w:bottom w:val="single" w:color="auto" w:sz="4" w:space="0"/>
              <w:right w:val="single" w:color="auto" w:sz="4" w:space="0"/>
            </w:tcBorders>
            <w:tcW w:w="959" w:type="dxa"/>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986" w:type="dxa"/>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COD</w:t>
            </w:r>
            <w:r>
              <w:rPr>
                <w:rFonts w:hint="eastAsia" w:ascii="宋体" w:hAnsi="宋体" w:eastAsia="宋体" w:cs="宋体"/>
                <w:b/>
                <w:color w:val="auto"/>
                <w:szCs w:val="21"/>
                <w:highlight w:val="none"/>
                <w:vertAlign w:val="subscript"/>
              </w:rPr>
              <w:t xml:space="preserve">cr</w:t>
            </w:r>
            <w:r/>
          </w:p>
        </w:tc>
        <w:tc>
          <w:tcPr>
            <w:tcBorders>
              <w:top w:val="single" w:color="auto" w:sz="4" w:space="0"/>
              <w:left w:val="single" w:color="auto" w:sz="4" w:space="0"/>
              <w:bottom w:val="single" w:color="auto" w:sz="4" w:space="0"/>
              <w:right w:val="single" w:color="auto" w:sz="4" w:space="0"/>
            </w:tcBorders>
            <w:tcW w:w="2684" w:type="dxa"/>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2200</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mg/l</w:t>
            </w:r>
            <w:r>
              <w:rPr>
                <w:rFonts w:hint="eastAsia" w:ascii="宋体" w:hAnsi="宋体" w:eastAsia="宋体" w:cs="宋体"/>
                <w:b/>
                <w:bCs/>
                <w:color w:val="auto"/>
                <w:szCs w:val="21"/>
                <w:highlight w:val="none"/>
                <w:lang w:eastAsia="zh-CN"/>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959" w:type="dxa"/>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986" w:type="dxa"/>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NH</w:t>
            </w:r>
            <w:r>
              <w:rPr>
                <w:rFonts w:hint="eastAsia" w:ascii="宋体" w:hAnsi="宋体" w:eastAsia="宋体" w:cs="宋体"/>
                <w:b/>
                <w:color w:val="auto"/>
                <w:szCs w:val="21"/>
                <w:highlight w:val="none"/>
                <w:vertAlign w:val="subscript"/>
              </w:rPr>
              <w:t xml:space="preserve">3</w:t>
            </w:r>
            <w:r>
              <w:rPr>
                <w:rFonts w:hint="eastAsia" w:ascii="宋体" w:hAnsi="宋体" w:eastAsia="宋体" w:cs="宋体"/>
                <w:b/>
                <w:bCs/>
                <w:color w:val="auto"/>
                <w:szCs w:val="21"/>
                <w:highlight w:val="none"/>
              </w:rPr>
              <w:t xml:space="preserve">-N</w:t>
            </w:r>
            <w:r/>
          </w:p>
        </w:tc>
        <w:tc>
          <w:tcPr>
            <w:tcBorders>
              <w:top w:val="single" w:color="auto" w:sz="4" w:space="0"/>
              <w:left w:val="single" w:color="auto" w:sz="4" w:space="0"/>
              <w:bottom w:val="single" w:color="auto" w:sz="4" w:space="0"/>
              <w:right w:val="single" w:color="auto" w:sz="4" w:space="0"/>
            </w:tcBorders>
            <w:tcW w:w="2684" w:type="dxa"/>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1300</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mg/l</w:t>
            </w:r>
            <w:r>
              <w:rPr>
                <w:rFonts w:hint="eastAsia" w:ascii="宋体" w:hAnsi="宋体" w:eastAsia="宋体" w:cs="宋体"/>
                <w:b/>
                <w:bCs/>
                <w:color w:val="auto"/>
                <w:szCs w:val="21"/>
                <w:highlight w:val="none"/>
                <w:lang w:eastAsia="zh-CN"/>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959" w:type="dxa"/>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986" w:type="dxa"/>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TN</w:t>
            </w:r>
            <w:r/>
          </w:p>
        </w:tc>
        <w:tc>
          <w:tcPr>
            <w:tcBorders>
              <w:top w:val="single" w:color="auto" w:sz="4" w:space="0"/>
              <w:left w:val="single" w:color="auto" w:sz="4" w:space="0"/>
              <w:bottom w:val="single" w:color="auto" w:sz="4" w:space="0"/>
              <w:right w:val="single" w:color="auto" w:sz="4" w:space="0"/>
            </w:tcBorders>
            <w:tcW w:w="2684" w:type="dxa"/>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1550</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mg/l</w:t>
            </w:r>
            <w:r>
              <w:rPr>
                <w:rFonts w:hint="eastAsia" w:ascii="宋体" w:hAnsi="宋体" w:eastAsia="宋体" w:cs="宋体"/>
                <w:b/>
                <w:bCs/>
                <w:color w:val="auto"/>
                <w:szCs w:val="21"/>
                <w:highlight w:val="none"/>
                <w:lang w:eastAsia="zh-CN"/>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959" w:type="dxa"/>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986" w:type="dxa"/>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氯离子</w:t>
            </w:r>
            <w:r/>
          </w:p>
        </w:tc>
        <w:tc>
          <w:tcPr>
            <w:tcBorders>
              <w:top w:val="single" w:color="auto" w:sz="4" w:space="0"/>
              <w:left w:val="single" w:color="auto" w:sz="4" w:space="0"/>
              <w:bottom w:val="single" w:color="auto" w:sz="4" w:space="0"/>
              <w:right w:val="single" w:color="auto" w:sz="4" w:space="0"/>
            </w:tcBorders>
            <w:tcW w:w="2684" w:type="dxa"/>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24300</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mg/l</w:t>
            </w:r>
            <w:r>
              <w:rPr>
                <w:rFonts w:hint="eastAsia" w:ascii="宋体" w:hAnsi="宋体" w:eastAsia="宋体" w:cs="宋体"/>
                <w:b/>
                <w:bCs/>
                <w:color w:val="auto"/>
                <w:szCs w:val="21"/>
                <w:highlight w:val="none"/>
                <w:lang w:eastAsia="zh-CN"/>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959" w:type="dxa"/>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986" w:type="dxa"/>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电导率</w:t>
            </w:r>
            <w:r/>
          </w:p>
        </w:tc>
        <w:tc>
          <w:tcPr>
            <w:tcBorders>
              <w:top w:val="single" w:color="auto" w:sz="4" w:space="0"/>
              <w:left w:val="single" w:color="auto" w:sz="4" w:space="0"/>
              <w:bottom w:val="single" w:color="auto" w:sz="4" w:space="0"/>
              <w:right w:val="single" w:color="auto" w:sz="4" w:space="0"/>
            </w:tcBorders>
            <w:tcW w:w="2684" w:type="dxa"/>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62100(us/cm)</w:t>
            </w:r>
            <w:r/>
          </w:p>
        </w:tc>
      </w:tr>
    </w:tbl>
    <w:p>
      <w:pPr>
        <w:ind w:firstLine="482"/>
        <w:jc w:val="left"/>
        <w:spacing w:line="440" w:lineRule="exact"/>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②出水指标要求：达到《生活垃圾填埋场污染物控制标准》</w:t>
      </w:r>
      <w:r>
        <w:rPr>
          <w:rFonts w:hint="eastAsia" w:ascii="宋体" w:hAnsi="宋体" w:eastAsia="宋体" w:cs="宋体"/>
          <w:b/>
          <w:bCs/>
          <w:color w:val="auto"/>
          <w:sz w:val="24"/>
          <w:szCs w:val="22"/>
          <w:highlight w:val="none"/>
          <w:lang w:eastAsia="zh-CN"/>
        </w:rPr>
        <w:t xml:space="preserve">GB16889—2024</w:t>
      </w:r>
      <w:r>
        <w:rPr>
          <w:rFonts w:hint="eastAsia" w:ascii="宋体" w:hAnsi="宋体" w:eastAsia="宋体" w:cs="宋体"/>
          <w:b/>
          <w:bCs/>
          <w:color w:val="auto"/>
          <w:sz w:val="24"/>
          <w:szCs w:val="22"/>
          <w:highlight w:val="none"/>
        </w:rPr>
        <w:t xml:space="preserve">表二标准。</w:t>
      </w:r>
      <w:r/>
    </w:p>
    <w:p>
      <w:pPr>
        <w:ind w:firstLine="482"/>
        <w:jc w:val="left"/>
        <w:spacing w:line="440" w:lineRule="exact"/>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（3）运维工作主要内容：</w:t>
      </w:r>
      <w:r/>
    </w:p>
    <w:p>
      <w:pPr>
        <w:ind w:firstLine="482"/>
        <w:jc w:val="left"/>
        <w:spacing w:line="440" w:lineRule="exact"/>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工作范围包括垃圾填埋场渗滤液处理站整个处理系统，从渗滤液收集开始到达标排放，以及运行现场的管理并保证排放水质达标；定期对污泥进行正规处置，以及站内的卫生清洁。</w:t>
      </w:r>
      <w:r/>
    </w:p>
    <w:p>
      <w:pPr>
        <w:ind w:firstLine="482"/>
        <w:jc w:val="left"/>
        <w:spacing w:line="440" w:lineRule="exact"/>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渗滤液处理系统全年正常处理时间为12个月，全年运行不低于330天，全年检修时间不超过35天，年处理总量设计为15000</w:t>
      </w:r>
      <w:r>
        <w:rPr>
          <w:rFonts w:hint="eastAsia" w:ascii="宋体" w:hAnsi="宋体" w:eastAsia="宋体" w:cs="宋体"/>
          <w:b/>
          <w:bCs/>
          <w:color w:val="auto"/>
          <w:sz w:val="24"/>
          <w:szCs w:val="22"/>
          <w:highlight w:val="none"/>
          <w:lang w:eastAsia="zh-CN"/>
        </w:rPr>
        <w:t xml:space="preserve">—</w:t>
      </w:r>
      <w:r>
        <w:rPr>
          <w:rFonts w:hint="eastAsia" w:ascii="宋体" w:hAnsi="宋体" w:eastAsia="宋体" w:cs="宋体"/>
          <w:b/>
          <w:bCs/>
          <w:color w:val="auto"/>
          <w:sz w:val="24"/>
          <w:szCs w:val="22"/>
          <w:highlight w:val="none"/>
        </w:rPr>
        <w:t xml:space="preserve">20000吨，即设计处理量的70%。</w:t>
      </w:r>
      <w:r/>
    </w:p>
    <w:p>
      <w:pPr>
        <w:ind w:firstLine="482"/>
        <w:jc w:val="left"/>
        <w:spacing w:line="440" w:lineRule="exact"/>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主要工作内容如下：</w:t>
      </w:r>
      <w:r/>
    </w:p>
    <w:tbl>
      <w:tblPr>
        <w:tblStyle w:val="857"/>
        <w:tblW w:w="858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70" w:type="dxa"/>
          <w:top w:w="0" w:type="dxa"/>
          <w:right w:w="70" w:type="dxa"/>
          <w:bottom w:w="0" w:type="dxa"/>
        </w:tblCellMar>
        <w:tblLook w:val="04A0" w:firstRow="1" w:lastRow="0" w:firstColumn="1" w:lastColumn="0" w:noHBand="0" w:noVBand="1"/>
      </w:tblPr>
      <w:tblGrid>
        <w:gridCol w:w="527"/>
        <w:gridCol w:w="8053"/>
      </w:tblGrid>
      <w:tr>
        <w:trPr>
          <w:jc w:val="center"/>
          <w:trHeight w:val="312"/>
        </w:trPr>
        <w:tc>
          <w:tcPr>
            <w:gridSpan w:val="2"/>
            <w:shd w:val="pct10" w:color="auto" w:fill="auto"/>
            <w:tcBorders>
              <w:top w:val="single" w:color="auto" w:sz="4" w:space="0"/>
              <w:left w:val="single" w:color="auto" w:sz="4" w:space="0"/>
              <w:bottom w:val="single" w:color="auto" w:sz="4" w:space="0"/>
              <w:right w:val="single" w:color="auto" w:sz="4" w:space="0"/>
            </w:tcBorders>
            <w:tcW w:w="8580" w:type="dxa"/>
            <w:vAlign w:val="center"/>
            <w:textDirection w:val="lrTb"/>
            <w:noWrap w:val="false"/>
          </w:tcPr>
          <w:p>
            <w:pPr>
              <w:jc w:val="center"/>
              <w:rPr>
                <w:rFonts w:hint="eastAsia" w:ascii="宋体" w:hAnsi="宋体" w:eastAsia="宋体" w:cs="宋体"/>
                <w:color w:val="auto"/>
                <w:sz w:val="24"/>
                <w:szCs w:val="22"/>
                <w:highlight w:val="none"/>
              </w:rPr>
            </w:pPr>
            <w:r>
              <w:rPr>
                <w:rFonts w:hint="eastAsia" w:ascii="宋体" w:hAnsi="宋体" w:eastAsia="宋体" w:cs="宋体"/>
                <w:b/>
                <w:bCs/>
                <w:color w:val="auto"/>
                <w:sz w:val="24"/>
                <w:szCs w:val="22"/>
                <w:highlight w:val="none"/>
              </w:rPr>
              <w:t xml:space="preserve">整体要求</w:t>
            </w:r>
            <w:r/>
          </w:p>
        </w:tc>
      </w:tr>
      <w:tr>
        <w:trPr>
          <w:cantSplit/>
          <w:jc w:val="center"/>
          <w:trHeight w:val="312"/>
        </w:trPr>
        <w:tc>
          <w:tcPr>
            <w:tcBorders>
              <w:top w:val="single" w:color="auto" w:sz="4" w:space="0"/>
              <w:left w:val="single" w:color="auto" w:sz="4" w:space="0"/>
              <w:bottom w:val="single" w:color="auto" w:sz="4" w:space="0"/>
              <w:right w:val="single" w:color="auto" w:sz="4" w:space="0"/>
            </w:tcBorders>
            <w:tcW w:w="527" w:type="dxa"/>
            <w:vAlign w:val="center"/>
            <w:textDirection w:val="lrTb"/>
            <w:noWrap w:val="false"/>
          </w:tcPr>
          <w:p>
            <w:pPr>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053" w:type="dxa"/>
            <w:vAlign w:val="center"/>
            <w:textDirection w:val="lrTb"/>
            <w:noWrap w:val="false"/>
          </w:tcPr>
          <w:p>
            <w:pPr>
              <w:jc w:val="lef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每日对处理水质进行日常常规检测。</w:t>
            </w:r>
            <w:r/>
          </w:p>
        </w:tc>
      </w:tr>
      <w:tr>
        <w:trPr>
          <w:cantSplit/>
          <w:jc w:val="center"/>
          <w:trHeight w:val="312"/>
        </w:trPr>
        <w:tc>
          <w:tcPr>
            <w:tcBorders>
              <w:top w:val="single" w:color="auto" w:sz="4" w:space="0"/>
              <w:left w:val="single" w:color="auto" w:sz="4" w:space="0"/>
              <w:bottom w:val="single" w:color="auto" w:sz="4" w:space="0"/>
              <w:right w:val="single" w:color="auto" w:sz="4" w:space="0"/>
            </w:tcBorders>
            <w:tcW w:w="527" w:type="dxa"/>
            <w:vAlign w:val="center"/>
            <w:textDirection w:val="lrTb"/>
            <w:noWrap w:val="false"/>
          </w:tcPr>
          <w:p>
            <w:pPr>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p>
        </w:tc>
        <w:tc>
          <w:tcPr>
            <w:tcBorders>
              <w:top w:val="single" w:color="auto" w:sz="4" w:space="0"/>
              <w:left w:val="single" w:color="auto" w:sz="4" w:space="0"/>
              <w:bottom w:val="single" w:color="auto" w:sz="4" w:space="0"/>
              <w:right w:val="single" w:color="auto" w:sz="4" w:space="0"/>
            </w:tcBorders>
            <w:tcW w:w="8053" w:type="dxa"/>
            <w:vAlign w:val="center"/>
            <w:textDirection w:val="lrTb"/>
            <w:noWrap w:val="false"/>
          </w:tcPr>
          <w:p>
            <w:pPr>
              <w:jc w:val="lef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整理并记录运行数据，定期形成书面报告。</w:t>
            </w:r>
            <w:r/>
          </w:p>
        </w:tc>
      </w:tr>
      <w:tr>
        <w:trPr>
          <w:cantSplit/>
          <w:jc w:val="center"/>
          <w:trHeight w:val="312"/>
        </w:trPr>
        <w:tc>
          <w:tcPr>
            <w:tcBorders>
              <w:top w:val="single" w:color="auto" w:sz="4" w:space="0"/>
              <w:left w:val="single" w:color="auto" w:sz="4" w:space="0"/>
              <w:bottom w:val="single" w:color="auto" w:sz="4" w:space="0"/>
              <w:right w:val="single" w:color="auto" w:sz="4" w:space="0"/>
            </w:tcBorders>
            <w:tcW w:w="527" w:type="dxa"/>
            <w:vAlign w:val="center"/>
            <w:textDirection w:val="lrTb"/>
            <w:noWrap w:val="false"/>
          </w:tcPr>
          <w:p>
            <w:pPr>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w:t>
            </w:r>
            <w:r/>
          </w:p>
        </w:tc>
        <w:tc>
          <w:tcPr>
            <w:tcBorders>
              <w:top w:val="single" w:color="auto" w:sz="4" w:space="0"/>
              <w:left w:val="single" w:color="auto" w:sz="4" w:space="0"/>
              <w:bottom w:val="single" w:color="auto" w:sz="4" w:space="0"/>
              <w:right w:val="single" w:color="auto" w:sz="4" w:space="0"/>
            </w:tcBorders>
            <w:tcW w:w="8053" w:type="dxa"/>
            <w:vAlign w:val="center"/>
            <w:textDirection w:val="lrTb"/>
            <w:noWrap w:val="false"/>
          </w:tcPr>
          <w:p>
            <w:pPr>
              <w:jc w:val="lef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每月上报采购人当月运行月报一份，包括整体运行和水质、水量情况。</w:t>
            </w:r>
            <w:r/>
          </w:p>
        </w:tc>
      </w:tr>
      <w:tr>
        <w:trPr>
          <w:cantSplit/>
          <w:jc w:val="center"/>
          <w:trHeight w:val="312"/>
        </w:trPr>
        <w:tc>
          <w:tcPr>
            <w:tcBorders>
              <w:top w:val="single" w:color="auto" w:sz="4" w:space="0"/>
              <w:left w:val="single" w:color="auto" w:sz="4" w:space="0"/>
              <w:bottom w:val="single" w:color="auto" w:sz="4" w:space="0"/>
              <w:right w:val="single" w:color="auto" w:sz="4" w:space="0"/>
            </w:tcBorders>
            <w:tcW w:w="527" w:type="dxa"/>
            <w:vAlign w:val="center"/>
            <w:textDirection w:val="lrTb"/>
            <w:noWrap w:val="false"/>
          </w:tcPr>
          <w:p>
            <w:pPr>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4</w:t>
            </w:r>
            <w:r/>
          </w:p>
        </w:tc>
        <w:tc>
          <w:tcPr>
            <w:tcBorders>
              <w:top w:val="single" w:color="auto" w:sz="4" w:space="0"/>
              <w:left w:val="single" w:color="auto" w:sz="4" w:space="0"/>
              <w:bottom w:val="single" w:color="auto" w:sz="4" w:space="0"/>
              <w:right w:val="single" w:color="auto" w:sz="4" w:space="0"/>
            </w:tcBorders>
            <w:tcW w:w="8053" w:type="dxa"/>
            <w:vAlign w:val="center"/>
            <w:textDirection w:val="lrTb"/>
            <w:noWrap w:val="false"/>
          </w:tcPr>
          <w:p>
            <w:pPr>
              <w:jc w:val="lef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定期采购运维所需各种化学药剂，负责设备维护及检修。</w:t>
            </w:r>
            <w:r/>
          </w:p>
        </w:tc>
      </w:tr>
      <w:tr>
        <w:trPr>
          <w:cantSplit/>
          <w:jc w:val="center"/>
          <w:trHeight w:val="312"/>
        </w:trPr>
        <w:tc>
          <w:tcPr>
            <w:tcBorders>
              <w:top w:val="single" w:color="auto" w:sz="4" w:space="0"/>
              <w:left w:val="single" w:color="auto" w:sz="4" w:space="0"/>
              <w:bottom w:val="single" w:color="auto" w:sz="4" w:space="0"/>
              <w:right w:val="single" w:color="auto" w:sz="4" w:space="0"/>
            </w:tcBorders>
            <w:tcW w:w="527" w:type="dxa"/>
            <w:vAlign w:val="center"/>
            <w:textDirection w:val="lrTb"/>
            <w:noWrap w:val="false"/>
          </w:tcPr>
          <w:p>
            <w:pPr>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5</w:t>
            </w:r>
            <w:r/>
          </w:p>
        </w:tc>
        <w:tc>
          <w:tcPr>
            <w:tcBorders>
              <w:top w:val="single" w:color="auto" w:sz="4" w:space="0"/>
              <w:left w:val="single" w:color="auto" w:sz="4" w:space="0"/>
              <w:bottom w:val="single" w:color="auto" w:sz="4" w:space="0"/>
              <w:right w:val="single" w:color="auto" w:sz="4" w:space="0"/>
            </w:tcBorders>
            <w:tcW w:w="8053" w:type="dxa"/>
            <w:vAlign w:val="center"/>
            <w:textDirection w:val="lrTb"/>
            <w:noWrap w:val="false"/>
          </w:tcPr>
          <w:p>
            <w:pPr>
              <w:jc w:val="lef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运维工作区域的保卫工作，运行设备的安全运行。</w:t>
            </w:r>
            <w:r/>
          </w:p>
        </w:tc>
      </w:tr>
      <w:tr>
        <w:trPr>
          <w:cantSplit/>
          <w:jc w:val="center"/>
          <w:trHeight w:val="312"/>
        </w:trPr>
        <w:tc>
          <w:tcPr>
            <w:tcBorders>
              <w:top w:val="single" w:color="auto" w:sz="4" w:space="0"/>
              <w:left w:val="single" w:color="auto" w:sz="4" w:space="0"/>
              <w:bottom w:val="single" w:color="auto" w:sz="4" w:space="0"/>
              <w:right w:val="single" w:color="auto" w:sz="4" w:space="0"/>
            </w:tcBorders>
            <w:tcW w:w="527" w:type="dxa"/>
            <w:vAlign w:val="center"/>
            <w:textDirection w:val="lrTb"/>
            <w:noWrap w:val="false"/>
          </w:tcPr>
          <w:p>
            <w:pPr>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6</w:t>
            </w:r>
            <w:r/>
          </w:p>
        </w:tc>
        <w:tc>
          <w:tcPr>
            <w:tcBorders>
              <w:top w:val="single" w:color="auto" w:sz="4" w:space="0"/>
              <w:left w:val="single" w:color="auto" w:sz="4" w:space="0"/>
              <w:bottom w:val="single" w:color="auto" w:sz="4" w:space="0"/>
              <w:right w:val="single" w:color="auto" w:sz="4" w:space="0"/>
            </w:tcBorders>
            <w:tcW w:w="8053" w:type="dxa"/>
            <w:vAlign w:val="center"/>
            <w:textDirection w:val="lrTb"/>
            <w:noWrap w:val="false"/>
          </w:tcPr>
          <w:p>
            <w:pPr>
              <w:jc w:val="lef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配合各级部门的各项检查及考核工作。</w:t>
            </w:r>
            <w:r/>
          </w:p>
        </w:tc>
      </w:tr>
      <w:tr>
        <w:trPr>
          <w:jc w:val="center"/>
          <w:trHeight w:val="312"/>
        </w:trPr>
        <w:tc>
          <w:tcPr>
            <w:gridSpan w:val="2"/>
            <w:shd w:val="pct10" w:color="auto" w:fill="auto"/>
            <w:tcBorders>
              <w:top w:val="single" w:color="auto" w:sz="4" w:space="0"/>
              <w:left w:val="single" w:color="auto" w:sz="4" w:space="0"/>
              <w:bottom w:val="single" w:color="auto" w:sz="4" w:space="0"/>
              <w:right w:val="single" w:color="auto" w:sz="4" w:space="0"/>
            </w:tcBorders>
            <w:tcW w:w="8580" w:type="dxa"/>
            <w:vAlign w:val="center"/>
            <w:textDirection w:val="lrTb"/>
            <w:noWrap w:val="false"/>
          </w:tcPr>
          <w:p>
            <w:pPr>
              <w:jc w:val="center"/>
              <w:rPr>
                <w:rFonts w:hint="eastAsia" w:ascii="宋体" w:hAnsi="宋体" w:eastAsia="宋体" w:cs="宋体"/>
                <w:color w:val="auto"/>
                <w:sz w:val="24"/>
                <w:szCs w:val="22"/>
                <w:highlight w:val="none"/>
              </w:rPr>
            </w:pPr>
            <w:r>
              <w:rPr>
                <w:rFonts w:hint="eastAsia" w:ascii="宋体" w:hAnsi="宋体" w:eastAsia="宋体" w:cs="宋体"/>
                <w:b/>
                <w:bCs/>
                <w:color w:val="auto"/>
                <w:sz w:val="24"/>
                <w:szCs w:val="22"/>
                <w:highlight w:val="none"/>
              </w:rPr>
              <w:t xml:space="preserve">渗滤液处理设备</w:t>
            </w:r>
            <w:r/>
          </w:p>
        </w:tc>
      </w:tr>
      <w:tr>
        <w:trPr>
          <w:cantSplit/>
          <w:jc w:val="center"/>
          <w:trHeight w:val="312"/>
        </w:trPr>
        <w:tc>
          <w:tcPr>
            <w:tcBorders>
              <w:top w:val="single" w:color="auto" w:sz="4" w:space="0"/>
              <w:left w:val="single" w:color="auto" w:sz="4" w:space="0"/>
              <w:bottom w:val="single" w:color="auto" w:sz="4" w:space="0"/>
              <w:right w:val="single" w:color="auto" w:sz="4" w:space="0"/>
            </w:tcBorders>
            <w:tcW w:w="527" w:type="dxa"/>
            <w:vAlign w:val="center"/>
            <w:textDirection w:val="lrTb"/>
            <w:noWrap w:val="false"/>
          </w:tcPr>
          <w:p>
            <w:pPr>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053" w:type="dxa"/>
            <w:vAlign w:val="center"/>
            <w:textDirection w:val="lrTb"/>
            <w:noWrap w:val="false"/>
          </w:tcPr>
          <w:p>
            <w:pPr>
              <w:jc w:val="lef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记录每日运行状况，填写工作日志。</w:t>
            </w:r>
            <w:r/>
          </w:p>
        </w:tc>
      </w:tr>
      <w:tr>
        <w:trPr>
          <w:cantSplit/>
          <w:jc w:val="center"/>
          <w:trHeight w:val="312"/>
        </w:trPr>
        <w:tc>
          <w:tcPr>
            <w:tcBorders>
              <w:top w:val="single" w:color="auto" w:sz="4" w:space="0"/>
              <w:left w:val="single" w:color="auto" w:sz="4" w:space="0"/>
              <w:bottom w:val="single" w:color="auto" w:sz="4" w:space="0"/>
              <w:right w:val="single" w:color="auto" w:sz="4" w:space="0"/>
            </w:tcBorders>
            <w:tcW w:w="527" w:type="dxa"/>
            <w:vAlign w:val="center"/>
            <w:textDirection w:val="lrTb"/>
            <w:noWrap w:val="false"/>
          </w:tcPr>
          <w:p>
            <w:pPr>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p>
        </w:tc>
        <w:tc>
          <w:tcPr>
            <w:tcBorders>
              <w:top w:val="single" w:color="auto" w:sz="4" w:space="0"/>
              <w:left w:val="single" w:color="auto" w:sz="4" w:space="0"/>
              <w:bottom w:val="single" w:color="auto" w:sz="4" w:space="0"/>
              <w:right w:val="single" w:color="auto" w:sz="4" w:space="0"/>
            </w:tcBorders>
            <w:tcW w:w="8053" w:type="dxa"/>
            <w:vAlign w:val="center"/>
            <w:textDirection w:val="lrTb"/>
            <w:noWrap w:val="false"/>
          </w:tcPr>
          <w:p>
            <w:pPr>
              <w:jc w:val="lef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提供设备检查计划，定期对设备进行检查，对仪表进行校准。</w:t>
            </w:r>
            <w:r/>
          </w:p>
        </w:tc>
      </w:tr>
      <w:tr>
        <w:trPr>
          <w:cantSplit/>
          <w:jc w:val="center"/>
          <w:trHeight w:val="312"/>
        </w:trPr>
        <w:tc>
          <w:tcPr>
            <w:tcBorders>
              <w:top w:val="single" w:color="auto" w:sz="4" w:space="0"/>
              <w:left w:val="single" w:color="auto" w:sz="4" w:space="0"/>
              <w:bottom w:val="single" w:color="auto" w:sz="4" w:space="0"/>
              <w:right w:val="single" w:color="auto" w:sz="4" w:space="0"/>
            </w:tcBorders>
            <w:tcW w:w="527" w:type="dxa"/>
            <w:vAlign w:val="center"/>
            <w:textDirection w:val="lrTb"/>
            <w:noWrap w:val="false"/>
          </w:tcPr>
          <w:p>
            <w:pPr>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w:t>
            </w:r>
            <w:r/>
          </w:p>
        </w:tc>
        <w:tc>
          <w:tcPr>
            <w:tcBorders>
              <w:top w:val="single" w:color="auto" w:sz="4" w:space="0"/>
              <w:left w:val="single" w:color="auto" w:sz="4" w:space="0"/>
              <w:bottom w:val="single" w:color="auto" w:sz="4" w:space="0"/>
              <w:right w:val="single" w:color="auto" w:sz="4" w:space="0"/>
            </w:tcBorders>
            <w:tcW w:w="8053" w:type="dxa"/>
            <w:vAlign w:val="center"/>
            <w:textDirection w:val="lrTb"/>
            <w:noWrap w:val="false"/>
          </w:tcPr>
          <w:p>
            <w:pPr>
              <w:jc w:val="lef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根据检查结果对设备进行日常维护，如风机加油，泵头清洗等。</w:t>
            </w:r>
            <w:r/>
          </w:p>
        </w:tc>
      </w:tr>
      <w:tr>
        <w:trPr>
          <w:cantSplit/>
          <w:jc w:val="center"/>
          <w:trHeight w:val="312"/>
        </w:trPr>
        <w:tc>
          <w:tcPr>
            <w:tcBorders>
              <w:top w:val="single" w:color="auto" w:sz="4" w:space="0"/>
              <w:left w:val="single" w:color="auto" w:sz="4" w:space="0"/>
              <w:bottom w:val="single" w:color="auto" w:sz="4" w:space="0"/>
              <w:right w:val="single" w:color="auto" w:sz="4" w:space="0"/>
            </w:tcBorders>
            <w:tcW w:w="527" w:type="dxa"/>
            <w:vAlign w:val="center"/>
            <w:textDirection w:val="lrTb"/>
            <w:noWrap w:val="false"/>
          </w:tcPr>
          <w:p>
            <w:pPr>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4</w:t>
            </w:r>
            <w:r/>
          </w:p>
        </w:tc>
        <w:tc>
          <w:tcPr>
            <w:tcBorders>
              <w:top w:val="single" w:color="auto" w:sz="4" w:space="0"/>
              <w:left w:val="single" w:color="auto" w:sz="4" w:space="0"/>
              <w:bottom w:val="single" w:color="auto" w:sz="4" w:space="0"/>
              <w:right w:val="single" w:color="auto" w:sz="4" w:space="0"/>
            </w:tcBorders>
            <w:tcW w:w="8053" w:type="dxa"/>
            <w:vAlign w:val="center"/>
            <w:textDirection w:val="lrTb"/>
            <w:noWrap w:val="false"/>
          </w:tcPr>
          <w:p>
            <w:pPr>
              <w:jc w:val="lef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处理紧急故障，保证设备正常运转。</w:t>
            </w:r>
            <w:r/>
          </w:p>
        </w:tc>
      </w:tr>
      <w:tr>
        <w:trPr>
          <w:cantSplit/>
          <w:jc w:val="center"/>
          <w:trHeight w:val="312"/>
        </w:trPr>
        <w:tc>
          <w:tcPr>
            <w:tcBorders>
              <w:top w:val="single" w:color="auto" w:sz="4" w:space="0"/>
              <w:left w:val="single" w:color="auto" w:sz="4" w:space="0"/>
              <w:bottom w:val="single" w:color="auto" w:sz="4" w:space="0"/>
              <w:right w:val="single" w:color="auto" w:sz="4" w:space="0"/>
            </w:tcBorders>
            <w:tcW w:w="527" w:type="dxa"/>
            <w:vAlign w:val="center"/>
            <w:textDirection w:val="lrTb"/>
            <w:noWrap w:val="false"/>
          </w:tcPr>
          <w:p>
            <w:pPr>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5</w:t>
            </w:r>
            <w:r/>
          </w:p>
        </w:tc>
        <w:tc>
          <w:tcPr>
            <w:tcBorders>
              <w:top w:val="single" w:color="auto" w:sz="4" w:space="0"/>
              <w:left w:val="single" w:color="auto" w:sz="4" w:space="0"/>
              <w:bottom w:val="single" w:color="auto" w:sz="4" w:space="0"/>
              <w:right w:val="single" w:color="auto" w:sz="4" w:space="0"/>
            </w:tcBorders>
            <w:tcW w:w="8053" w:type="dxa"/>
            <w:vAlign w:val="center"/>
            <w:textDirection w:val="lrTb"/>
            <w:noWrap w:val="false"/>
          </w:tcPr>
          <w:p>
            <w:pPr>
              <w:jc w:val="lef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给加药系统添加片碱、PAC、PAM、葡萄糖、碳源等各类药剂。</w:t>
            </w:r>
            <w:r/>
          </w:p>
        </w:tc>
      </w:tr>
      <w:tr>
        <w:trPr>
          <w:cantSplit/>
          <w:jc w:val="center"/>
          <w:trHeight w:val="312"/>
        </w:trPr>
        <w:tc>
          <w:tcPr>
            <w:tcBorders>
              <w:top w:val="single" w:color="auto" w:sz="4" w:space="0"/>
              <w:left w:val="single" w:color="auto" w:sz="4" w:space="0"/>
              <w:bottom w:val="single" w:color="auto" w:sz="4" w:space="0"/>
              <w:right w:val="single" w:color="auto" w:sz="4" w:space="0"/>
            </w:tcBorders>
            <w:tcW w:w="527" w:type="dxa"/>
            <w:vAlign w:val="center"/>
            <w:textDirection w:val="lrTb"/>
            <w:noWrap w:val="false"/>
          </w:tcPr>
          <w:p>
            <w:pPr>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6</w:t>
            </w:r>
            <w:r/>
          </w:p>
        </w:tc>
        <w:tc>
          <w:tcPr>
            <w:tcBorders>
              <w:top w:val="single" w:color="auto" w:sz="4" w:space="0"/>
              <w:left w:val="single" w:color="auto" w:sz="4" w:space="0"/>
              <w:bottom w:val="single" w:color="auto" w:sz="4" w:space="0"/>
              <w:right w:val="single" w:color="auto" w:sz="4" w:space="0"/>
            </w:tcBorders>
            <w:tcW w:w="8053" w:type="dxa"/>
            <w:vAlign w:val="center"/>
            <w:textDirection w:val="lrTb"/>
            <w:noWrap w:val="false"/>
          </w:tcPr>
          <w:p>
            <w:pPr>
              <w:jc w:val="lef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定期对污泥进行正规处置。</w:t>
            </w:r>
            <w:r/>
          </w:p>
        </w:tc>
      </w:tr>
      <w:tr>
        <w:trPr>
          <w:cantSplit/>
          <w:jc w:val="center"/>
          <w:trHeight w:val="312"/>
        </w:trPr>
        <w:tc>
          <w:tcPr>
            <w:tcBorders>
              <w:top w:val="single" w:color="auto" w:sz="4" w:space="0"/>
              <w:left w:val="single" w:color="auto" w:sz="4" w:space="0"/>
              <w:bottom w:val="single" w:color="auto" w:sz="4" w:space="0"/>
              <w:right w:val="single" w:color="auto" w:sz="4" w:space="0"/>
            </w:tcBorders>
            <w:tcW w:w="527" w:type="dxa"/>
            <w:vAlign w:val="center"/>
            <w:textDirection w:val="lrTb"/>
            <w:noWrap w:val="false"/>
          </w:tcPr>
          <w:p>
            <w:pPr>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7</w:t>
            </w:r>
            <w:r/>
          </w:p>
        </w:tc>
        <w:tc>
          <w:tcPr>
            <w:tcBorders>
              <w:top w:val="single" w:color="auto" w:sz="4" w:space="0"/>
              <w:left w:val="single" w:color="auto" w:sz="4" w:space="0"/>
              <w:bottom w:val="single" w:color="auto" w:sz="4" w:space="0"/>
              <w:right w:val="single" w:color="auto" w:sz="4" w:space="0"/>
            </w:tcBorders>
            <w:tcW w:w="8053" w:type="dxa"/>
            <w:vAlign w:val="center"/>
            <w:textDirection w:val="lrTb"/>
            <w:noWrap w:val="false"/>
          </w:tcPr>
          <w:p>
            <w:pPr>
              <w:jc w:val="lef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妥善处置氨吹脱系统产生的硫酸铵等。</w:t>
            </w:r>
            <w:r/>
          </w:p>
        </w:tc>
      </w:tr>
    </w:tbl>
    <w:p>
      <w:pPr>
        <w:pStyle w:val="865"/>
        <w:ind w:firstLine="482"/>
        <w:jc w:val="both"/>
        <w:keepLines w:val="0"/>
        <w:keepNext w:val="0"/>
        <w:pageBreakBefore w:val="0"/>
        <w:spacing w:beforeAutospacing="0" w:afterAutospacing="0" w:line="480" w:lineRule="exact"/>
        <w:widowControl w:val="off"/>
        <w:rPr>
          <w:rFonts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2.</w:t>
      </w:r>
      <w:r>
        <w:rPr>
          <w:rFonts w:hint="eastAsia" w:ascii="宋体" w:hAnsi="宋体" w:eastAsia="宋体" w:cs="宋体"/>
          <w:b/>
          <w:bCs/>
          <w:color w:val="auto"/>
          <w:highlight w:val="none"/>
        </w:rPr>
        <w:t xml:space="preserve">运维相关要求</w:t>
      </w:r>
      <w:r/>
    </w:p>
    <w:p>
      <w:pPr>
        <w:pStyle w:val="865"/>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 设备维护要求</w:t>
      </w:r>
      <w:r/>
    </w:p>
    <w:p>
      <w:pPr>
        <w:pStyle w:val="865"/>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中标人须按规定负责渗滤液处理站内外配套的所有设备、基础设施的维护，及时修复、更换损坏的部件，保证系统完好。不得随意改变设施结构和功能，确保全套设备正常运行，同时有义务配合政府部门对垃圾渗滤液处理站进行检查。供应商负责运维期内的现场环境卫生管理，保证设备及场地的整洁卫生。中标人需与相关单位签署协议，妥善处置氨吹脱后会产生大量硫酸氨。相关处置费用包含在污水处理费用内，不另行增加处置费用。</w:t>
      </w:r>
      <w:r/>
    </w:p>
    <w:p>
      <w:pPr>
        <w:pStyle w:val="865"/>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 其他要求</w:t>
      </w:r>
      <w:r/>
    </w:p>
    <w:p>
      <w:pPr>
        <w:pStyle w:val="865"/>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合同签订后3个工作日内，中标方运营人员需到场服务。</w:t>
      </w:r>
      <w:r/>
    </w:p>
    <w:p>
      <w:pPr>
        <w:pStyle w:val="865"/>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 突发处置</w:t>
      </w:r>
      <w:r/>
    </w:p>
    <w:p>
      <w:pPr>
        <w:pStyle w:val="865"/>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服务期间如遇突发紧急情况，供应商应根据采购人需求，及时响应，无条件配合采购人处理突发紧急情况。</w:t>
      </w:r>
      <w:r/>
    </w:p>
    <w:p>
      <w:pPr>
        <w:pStyle w:val="865"/>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2.4 工作内容包括但不限于以下内容：</w:t>
      </w:r>
      <w:r/>
    </w:p>
    <w:p>
      <w:pPr>
        <w:pStyle w:val="865"/>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负责现场的协调工作；  </w:t>
      </w:r>
      <w:r/>
    </w:p>
    <w:p>
      <w:pPr>
        <w:pStyle w:val="865"/>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负责运维过程中的监督管理工作；</w:t>
      </w:r>
      <w:r/>
    </w:p>
    <w:p>
      <w:pPr>
        <w:pStyle w:val="865"/>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负责记录每天水处理量；</w:t>
      </w:r>
      <w:r/>
    </w:p>
    <w:p>
      <w:pPr>
        <w:pStyle w:val="865"/>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负责水质取样检测；</w:t>
      </w:r>
      <w:r/>
    </w:p>
    <w:p>
      <w:pPr>
        <w:pStyle w:val="865"/>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对不能处理的问题及时向上级汇报。</w:t>
      </w:r>
      <w:r/>
    </w:p>
    <w:p>
      <w:pPr>
        <w:pStyle w:val="865"/>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 中标人负责提供管理、运维人员必备的卫生防护设施和管理、运维人员的安全、技术培训。</w:t>
      </w:r>
      <w:r/>
    </w:p>
    <w:p>
      <w:pPr>
        <w:pStyle w:val="865"/>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6 在运维期间，中标人必须对运维人员进行合理安排，保持</w:t>
      </w:r>
      <w:r>
        <w:rPr>
          <w:rFonts w:hint="eastAsia" w:ascii="宋体" w:hAnsi="宋体" w:eastAsia="宋体" w:cs="宋体"/>
          <w:color w:val="auto"/>
          <w:highlight w:val="none"/>
          <w:lang w:eastAsia="zh-CN"/>
        </w:rPr>
        <w:t xml:space="preserve">通信渠道</w:t>
      </w:r>
      <w:r>
        <w:rPr>
          <w:rFonts w:hint="eastAsia" w:ascii="宋体" w:hAnsi="宋体" w:eastAsia="宋体" w:cs="宋体"/>
          <w:color w:val="auto"/>
          <w:highlight w:val="none"/>
        </w:rPr>
        <w:t xml:space="preserve">畅通，设立专门应急队伍，负责运维期间突发事件的处理，确保及时到位。</w:t>
      </w:r>
      <w:r/>
    </w:p>
    <w:p>
      <w:pPr>
        <w:pStyle w:val="865"/>
        <w:numPr>
          <w:ilvl w:val="0"/>
          <w:numId w:val="0"/>
        </w:numPr>
        <w:ind w:firstLine="482"/>
        <w:jc w:val="both"/>
        <w:keepLines w:val="0"/>
        <w:keepNext w:val="0"/>
        <w:pageBreakBefore w:val="0"/>
        <w:spacing w:beforeAutospacing="0" w:afterAutospacing="0" w:line="480" w:lineRule="exact"/>
        <w:widowControl w:val="off"/>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3.水质监测要求 </w:t>
      </w:r>
      <w:r/>
    </w:p>
    <w:p>
      <w:pPr>
        <w:pStyle w:val="865"/>
        <w:numPr>
          <w:ilvl w:val="0"/>
          <w:numId w:val="0"/>
        </w:numPr>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采购人有权委托有资质的第三方检测单位进行每月至少一次的非定期抽检（检测合格费用由采购人支付，检测结果超标，费用由中标人支付）。经采购人及中标人双方见证，由第三方检测机构进行人工采样。</w:t>
      </w:r>
      <w:r/>
    </w:p>
    <w:p>
      <w:pPr>
        <w:pStyle w:val="865"/>
        <w:numPr>
          <w:ilvl w:val="0"/>
          <w:numId w:val="0"/>
        </w:numPr>
        <w:ind w:firstLine="482"/>
        <w:jc w:val="both"/>
        <w:keepLines w:val="0"/>
        <w:keepNext w:val="0"/>
        <w:pageBreakBefore w:val="0"/>
        <w:spacing w:beforeAutospacing="0" w:afterAutospacing="0" w:line="48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4.运行资料要求</w:t>
      </w:r>
      <w:r/>
    </w:p>
    <w:p>
      <w:pPr>
        <w:pStyle w:val="865"/>
        <w:numPr>
          <w:ilvl w:val="0"/>
          <w:numId w:val="0"/>
        </w:numPr>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中标人需详细记录日常运行情况，并按时向采购人通报运维情况，及时提交相关报告、数据、资料。</w:t>
      </w:r>
      <w:r/>
    </w:p>
    <w:p>
      <w:pPr>
        <w:pStyle w:val="865"/>
        <w:numPr>
          <w:ilvl w:val="0"/>
          <w:numId w:val="0"/>
        </w:numPr>
        <w:ind w:firstLine="482"/>
        <w:jc w:val="both"/>
        <w:keepLines w:val="0"/>
        <w:keepNext w:val="0"/>
        <w:pageBreakBefore w:val="0"/>
        <w:spacing w:beforeAutospacing="0" w:afterAutospacing="0" w:line="48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5.建章立制要求（考核要求）</w:t>
      </w:r>
      <w:r/>
    </w:p>
    <w:p>
      <w:pPr>
        <w:pStyle w:val="865"/>
        <w:numPr>
          <w:ilvl w:val="0"/>
          <w:numId w:val="0"/>
        </w:numPr>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中标人应建立完善日常管理制度、安全生产制度和事故紧急应急机制等，并报采购人审核。</w:t>
      </w:r>
      <w:r/>
    </w:p>
    <w:p>
      <w:pPr>
        <w:pStyle w:val="865"/>
        <w:numPr>
          <w:ilvl w:val="0"/>
          <w:numId w:val="0"/>
        </w:numPr>
        <w:ind w:firstLine="482"/>
        <w:jc w:val="both"/>
        <w:keepLines w:val="0"/>
        <w:keepNext w:val="0"/>
        <w:pageBreakBefore w:val="0"/>
        <w:spacing w:beforeAutospacing="0" w:afterAutospacing="0" w:line="48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6.安全管理要求</w:t>
      </w:r>
      <w:r/>
    </w:p>
    <w:p>
      <w:pPr>
        <w:pStyle w:val="865"/>
        <w:numPr>
          <w:ilvl w:val="0"/>
          <w:numId w:val="0"/>
        </w:numPr>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6.1 中标人应保障生产和服务的稳定和安全，防止事故发生。如出现重大意外事故，中标人应及时通报采购人，并尽最大人力、物力进行抢救，尽快恢复生产与服务；在事故影响期间，中标人应采取各种应急措施进行补救，尽量减少事故对公众的影响；同时承担一切事故处理责任。</w:t>
      </w:r>
      <w:r/>
    </w:p>
    <w:p>
      <w:pPr>
        <w:pStyle w:val="865"/>
        <w:numPr>
          <w:ilvl w:val="0"/>
          <w:numId w:val="0"/>
        </w:numPr>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6.2 垃圾渗滤液处理站的安全、卫生、防火要符合采购人和上级领导的管理要求，并接受采购人和上级领导的监督管理。在保证系统运行安全和运行质量等要求的前提下，避免或减少故障的发生，确保设备和人员的安全，安全隐患整改及时。若发生事故，由此产生的一切连带责任及经济损失由中标人负责。</w:t>
      </w:r>
      <w:r/>
    </w:p>
    <w:p>
      <w:pPr>
        <w:pStyle w:val="865"/>
        <w:numPr>
          <w:ilvl w:val="0"/>
          <w:numId w:val="0"/>
        </w:numPr>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6.3 中标人在运维服务期内造成人员伤亡和财产损失的，由中标人负责赔偿。根据运维质量标准，由投标单位按要求自行配置作业所需的材料、设备。</w:t>
      </w:r>
      <w:r/>
    </w:p>
    <w:p>
      <w:pPr>
        <w:pStyle w:val="865"/>
        <w:numPr>
          <w:ilvl w:val="0"/>
          <w:numId w:val="0"/>
        </w:numPr>
        <w:ind w:firstLine="482"/>
        <w:jc w:val="both"/>
        <w:keepLines w:val="0"/>
        <w:keepNext w:val="0"/>
        <w:pageBreakBefore w:val="0"/>
        <w:spacing w:beforeAutospacing="0" w:afterAutospacing="0" w:line="48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7.违约处罚</w:t>
      </w:r>
      <w:r/>
    </w:p>
    <w:p>
      <w:pPr>
        <w:pStyle w:val="865"/>
        <w:numPr>
          <w:ilvl w:val="0"/>
          <w:numId w:val="0"/>
        </w:numPr>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7.1 除特殊情况下，由于乙方原因造成年处理量低于15000吨，则甲方有权扣除不足数量的运营费用，扣除数量单价为中标单价。</w:t>
      </w:r>
      <w:r/>
    </w:p>
    <w:p>
      <w:pPr>
        <w:pStyle w:val="865"/>
        <w:numPr>
          <w:ilvl w:val="0"/>
          <w:numId w:val="0"/>
        </w:numPr>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7.2 运营期间如因不可抗力发生如渗滤液满溢等影响环境事件，乙方应主动采取措施，积极配合甲方消除隐患。如因乙方自身原因导致以上事件发生，则甲方有权终止合同，没收履约保证金并视情节严重程度采取相应罚款措施。</w:t>
      </w:r>
      <w:r/>
    </w:p>
    <w:p>
      <w:pPr>
        <w:pStyle w:val="865"/>
        <w:numPr>
          <w:ilvl w:val="0"/>
          <w:numId w:val="0"/>
        </w:numPr>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7.3 如果乙方因自身原因导致水处理不达标时，甲方有权要求乙方在规定期限内整改到位，若乙方未能在规定期限内完成整改，则处以3000元/天（未达标天数）的罚款。若运营期间，因乙方原因使得水质累计超过十天处理未达标，则甲方有权终止合同并没收履约保证金。</w:t>
      </w:r>
      <w:r/>
    </w:p>
    <w:p>
      <w:pPr>
        <w:pStyle w:val="865"/>
        <w:numPr>
          <w:ilvl w:val="0"/>
          <w:numId w:val="0"/>
        </w:numPr>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7.4 如果乙方在运营期间未得到甲方同意而私自暂停运营十天及以上的，将视为违约，甲方有权终止合同并没收履约保证金。</w:t>
      </w:r>
      <w:r/>
    </w:p>
    <w:p>
      <w:pPr>
        <w:pStyle w:val="865"/>
        <w:numPr>
          <w:ilvl w:val="0"/>
          <w:numId w:val="0"/>
        </w:numPr>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7.5 发生合同纠纷，向甲方所在地人民法院诉讼。</w:t>
      </w:r>
      <w:r/>
    </w:p>
    <w:p>
      <w:pPr>
        <w:pStyle w:val="865"/>
        <w:numPr>
          <w:ilvl w:val="0"/>
          <w:numId w:val="0"/>
        </w:numPr>
        <w:ind w:firstLine="482"/>
        <w:jc w:val="both"/>
        <w:keepLines w:val="0"/>
        <w:keepNext w:val="0"/>
        <w:pageBreakBefore w:val="0"/>
        <w:spacing w:beforeAutospacing="0" w:afterAutospacing="0" w:line="48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8.其他要求</w:t>
      </w:r>
      <w:r/>
    </w:p>
    <w:p>
      <w:pPr>
        <w:pStyle w:val="865"/>
        <w:numPr>
          <w:ilvl w:val="0"/>
          <w:numId w:val="0"/>
        </w:numPr>
        <w:ind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8.1 中标人须在中标后积极配合采购人，进场完成运维的交接工作。所需费用由中标人负责。</w:t>
      </w:r>
      <w:r/>
    </w:p>
    <w:p>
      <w:pPr>
        <w:pStyle w:val="865"/>
        <w:numPr>
          <w:ilvl w:val="0"/>
          <w:numId w:val="0"/>
        </w:numPr>
        <w:ind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8.2 服务期满，中标人未能继续获取运维资格时，中标人要积极配合与下一运维单位交接。不得以任何方式阻碍交接，影响采购人正常工作。</w:t>
      </w:r>
      <w:r/>
    </w:p>
    <w:p>
      <w:pPr>
        <w:pStyle w:val="865"/>
        <w:numPr>
          <w:ilvl w:val="0"/>
          <w:numId w:val="0"/>
        </w:numPr>
        <w:ind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8.3 在运维期间，垃圾渗滤液处理站必须随时接受采购人或采购人委托的第三方的检查、考核等。</w:t>
      </w:r>
      <w:r/>
    </w:p>
    <w:p>
      <w:pPr>
        <w:pStyle w:val="865"/>
        <w:numPr>
          <w:ilvl w:val="0"/>
          <w:numId w:val="0"/>
        </w:numPr>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lang w:val="en-US" w:eastAsia="zh-CN" w:bidi="ar-SA"/>
        </w:rPr>
        <w:t xml:space="preserve">8.4 运维期满后，中标人必须确保设备的完好率、备品备件的完整性，并提交移交方案。</w:t>
      </w:r>
      <w:r/>
    </w:p>
    <w:p>
      <w:pPr>
        <w:pStyle w:val="865"/>
        <w:ind w:firstLine="482"/>
        <w:jc w:val="both"/>
        <w:keepLines w:val="0"/>
        <w:keepNext w:val="0"/>
        <w:pageBreakBefore w:val="0"/>
        <w:spacing w:beforeAutospacing="0" w:afterAutospacing="0" w:line="480" w:lineRule="exact"/>
        <w:widowControl w:val="off"/>
        <w:rPr>
          <w:rFonts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二</w:t>
      </w:r>
      <w:r>
        <w:rPr>
          <w:rFonts w:hint="eastAsia" w:ascii="宋体" w:hAnsi="宋体" w:eastAsia="宋体" w:cs="宋体"/>
          <w:b/>
          <w:bCs/>
          <w:color w:val="auto"/>
          <w:highlight w:val="none"/>
        </w:rPr>
        <w:t xml:space="preserve">、商务要求</w:t>
      </w:r>
      <w:r/>
    </w:p>
    <w:p>
      <w:pPr>
        <w:pStyle w:val="865"/>
        <w:ind w:firstLine="482"/>
        <w:jc w:val="both"/>
        <w:keepLines w:val="0"/>
        <w:keepNext w:val="0"/>
        <w:pageBreakBefore w:val="0"/>
        <w:spacing w:beforeAutospacing="0" w:afterAutospacing="0" w:line="480" w:lineRule="exact"/>
        <w:widowControl w:val="off"/>
        <w:rPr>
          <w:rFonts w:ascii="宋体" w:hAnsi="宋体" w:eastAsia="宋体" w:cs="宋体"/>
          <w:b/>
          <w:bCs/>
          <w:color w:val="auto"/>
          <w:highlight w:val="none"/>
        </w:rPr>
      </w:pPr>
      <w:r>
        <w:rPr>
          <w:rFonts w:hint="eastAsia" w:ascii="宋体" w:hAnsi="宋体" w:eastAsia="宋体" w:cs="宋体"/>
          <w:b/>
          <w:bCs/>
          <w:color w:val="auto"/>
          <w:highlight w:val="none"/>
        </w:rPr>
        <w:t xml:space="preserve">1.履约期限</w:t>
      </w:r>
      <w:r/>
    </w:p>
    <w:p>
      <w:pPr>
        <w:pStyle w:val="865"/>
        <w:ind w:firstLine="480"/>
        <w:jc w:val="both"/>
        <w:keepLines w:val="0"/>
        <w:keepNext w:val="0"/>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年，自签订合同之日起开始计算。</w:t>
      </w:r>
      <w:r/>
    </w:p>
    <w:p>
      <w:pPr>
        <w:pStyle w:val="865"/>
        <w:ind w:firstLine="482"/>
        <w:jc w:val="both"/>
        <w:keepLines w:val="0"/>
        <w:keepNext w:val="0"/>
        <w:pageBreakBefore w:val="0"/>
        <w:spacing w:beforeAutospacing="0" w:afterAutospacing="0" w:line="480" w:lineRule="exact"/>
        <w:widowControl w:val="off"/>
        <w:rPr>
          <w:rFonts w:ascii="宋体" w:hAnsi="宋体" w:eastAsia="宋体" w:cs="宋体"/>
          <w:b/>
          <w:bCs/>
          <w:color w:val="auto"/>
          <w:highlight w:val="none"/>
        </w:rPr>
      </w:pPr>
      <w:r>
        <w:rPr>
          <w:rFonts w:hint="eastAsia" w:ascii="宋体" w:hAnsi="宋体" w:eastAsia="宋体" w:cs="宋体"/>
          <w:b/>
          <w:bCs/>
          <w:color w:val="auto"/>
          <w:highlight w:val="none"/>
        </w:rPr>
        <w:t xml:space="preserve">2.履约地点</w:t>
      </w:r>
      <w:r/>
    </w:p>
    <w:p>
      <w:pPr>
        <w:pStyle w:val="865"/>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东台市</w:t>
      </w:r>
      <w:r>
        <w:rPr>
          <w:rFonts w:hint="eastAsia" w:ascii="宋体" w:hAnsi="宋体" w:eastAsia="宋体" w:cs="宋体"/>
          <w:color w:val="auto"/>
          <w:highlight w:val="none"/>
        </w:rPr>
        <w:t xml:space="preserve">新曹生活垃圾卫生填埋场</w:t>
      </w:r>
      <w:r>
        <w:rPr>
          <w:rFonts w:hint="eastAsia" w:ascii="宋体" w:hAnsi="宋体" w:eastAsia="宋体" w:cs="宋体"/>
          <w:color w:val="auto"/>
          <w:highlight w:val="none"/>
          <w:lang w:eastAsia="zh-CN"/>
        </w:rPr>
        <w:t xml:space="preserve">。</w:t>
      </w:r>
      <w:r/>
    </w:p>
    <w:p>
      <w:pPr>
        <w:pStyle w:val="865"/>
        <w:ind w:firstLine="482"/>
        <w:jc w:val="both"/>
        <w:keepLines w:val="0"/>
        <w:keepNext w:val="0"/>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b/>
          <w:bCs/>
          <w:color w:val="auto"/>
          <w:highlight w:val="none"/>
        </w:rPr>
        <w:t xml:space="preserve">3.付款条件（进度和方法）</w:t>
      </w:r>
      <w:r/>
    </w:p>
    <w:p>
      <w:pPr>
        <w:pStyle w:val="865"/>
        <w:ind w:firstLine="482"/>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3.1 </w:t>
      </w:r>
      <w:r>
        <w:rPr>
          <w:rFonts w:hint="eastAsia" w:ascii="宋体" w:hAnsi="宋体" w:eastAsia="宋体" w:cs="宋体"/>
          <w:color w:val="auto"/>
          <w:highlight w:val="none"/>
        </w:rPr>
        <w:t xml:space="preserve">考核方式：每</w:t>
      </w:r>
      <w:r>
        <w:rPr>
          <w:rFonts w:hint="eastAsia" w:ascii="宋体" w:hAnsi="宋体" w:eastAsia="宋体" w:cs="宋体"/>
          <w:color w:val="auto"/>
          <w:highlight w:val="none"/>
          <w:lang w:eastAsia="zh-CN"/>
        </w:rPr>
        <w:t xml:space="preserve">季度</w:t>
      </w:r>
      <w:r>
        <w:rPr>
          <w:rFonts w:hint="eastAsia" w:ascii="宋体" w:hAnsi="宋体" w:eastAsia="宋体" w:cs="宋体"/>
          <w:color w:val="auto"/>
          <w:highlight w:val="none"/>
        </w:rPr>
        <w:t xml:space="preserve">根据东台市环境卫生管理处考核办法进行考核，如</w:t>
      </w:r>
      <w:r>
        <w:rPr>
          <w:rFonts w:hint="eastAsia" w:ascii="宋体" w:hAnsi="宋体" w:eastAsia="宋体" w:cs="宋体"/>
          <w:color w:val="auto"/>
          <w:highlight w:val="none"/>
          <w:lang w:val="en-US" w:eastAsia="zh-CN"/>
        </w:rPr>
        <w:t xml:space="preserve">中标人</w:t>
      </w:r>
      <w:r>
        <w:rPr>
          <w:rFonts w:hint="eastAsia" w:ascii="宋体" w:hAnsi="宋体" w:eastAsia="宋体" w:cs="宋体"/>
          <w:color w:val="auto"/>
          <w:highlight w:val="none"/>
        </w:rPr>
        <w:t xml:space="preserve">考核不通过，则服务费用暂停拨付，直至整改到位。</w:t>
      </w:r>
      <w:r/>
    </w:p>
    <w:p>
      <w:pPr>
        <w:pStyle w:val="865"/>
        <w:ind w:firstLine="482"/>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3.2 </w:t>
      </w:r>
      <w:r>
        <w:rPr>
          <w:rFonts w:hint="eastAsia" w:ascii="宋体" w:hAnsi="宋体" w:eastAsia="宋体" w:cs="宋体"/>
          <w:color w:val="auto"/>
          <w:highlight w:val="none"/>
          <w:lang w:eastAsia="zh-CN"/>
        </w:rPr>
        <w:t xml:space="preserve">付款方式：</w:t>
      </w:r>
      <w:r/>
    </w:p>
    <w:p>
      <w:pPr>
        <w:pStyle w:val="865"/>
        <w:ind w:firstLine="482"/>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）合同签订后支付预算价款30%的预付款；</w:t>
      </w:r>
      <w:r/>
    </w:p>
    <w:p>
      <w:pPr>
        <w:pStyle w:val="865"/>
        <w:ind w:firstLine="482"/>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）经</w:t>
      </w:r>
      <w:r>
        <w:rPr>
          <w:rFonts w:hint="eastAsia" w:ascii="宋体" w:hAnsi="宋体" w:eastAsia="宋体" w:cs="宋体"/>
          <w:color w:val="auto"/>
          <w:highlight w:val="none"/>
          <w:lang w:val="en-US" w:eastAsia="zh-CN"/>
        </w:rPr>
        <w:t xml:space="preserve">采购人</w:t>
      </w:r>
      <w:r>
        <w:rPr>
          <w:rFonts w:hint="eastAsia" w:ascii="宋体" w:hAnsi="宋体" w:eastAsia="宋体" w:cs="宋体"/>
          <w:color w:val="auto"/>
          <w:highlight w:val="none"/>
          <w:lang w:eastAsia="zh-CN"/>
        </w:rPr>
        <w:t xml:space="preserve">考核合格按月支付运行费用。每月支付的合同价款=（中标处理单价）×（当月实际产水量）×90%-（当月应扣款）。</w:t>
      </w:r>
      <w:r/>
    </w:p>
    <w:p>
      <w:pPr>
        <w:pStyle w:val="865"/>
        <w:ind w:firstLine="482"/>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）余款待委托运营服务期满，经</w:t>
      </w:r>
      <w:r>
        <w:rPr>
          <w:rFonts w:hint="eastAsia" w:ascii="宋体" w:hAnsi="宋体" w:eastAsia="宋体" w:cs="宋体"/>
          <w:color w:val="auto"/>
          <w:highlight w:val="none"/>
          <w:lang w:val="en-US" w:eastAsia="zh-CN"/>
        </w:rPr>
        <w:t xml:space="preserve">采购人</w:t>
      </w:r>
      <w:r>
        <w:rPr>
          <w:rFonts w:hint="eastAsia" w:ascii="宋体" w:hAnsi="宋体" w:eastAsia="宋体" w:cs="宋体"/>
          <w:color w:val="auto"/>
          <w:highlight w:val="none"/>
          <w:lang w:eastAsia="zh-CN"/>
        </w:rPr>
        <w:t xml:space="preserve">考核合格后支付。</w:t>
      </w:r>
      <w:r/>
    </w:p>
    <w:p>
      <w:pPr>
        <w:pStyle w:val="865"/>
        <w:ind w:firstLine="482"/>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lang w:eastAsia="zh-CN"/>
        </w:rPr>
        <w:t xml:space="preserve">）如经上级部门检查不合格或被环保部门处罚，</w:t>
      </w:r>
      <w:r>
        <w:rPr>
          <w:rFonts w:hint="eastAsia" w:ascii="宋体" w:hAnsi="宋体" w:eastAsia="宋体" w:cs="宋体"/>
          <w:color w:val="auto"/>
          <w:highlight w:val="none"/>
          <w:lang w:val="en-US" w:eastAsia="zh-CN"/>
        </w:rPr>
        <w:t xml:space="preserve">采购人</w:t>
      </w:r>
      <w:r>
        <w:rPr>
          <w:rFonts w:hint="eastAsia" w:ascii="宋体" w:hAnsi="宋体" w:eastAsia="宋体" w:cs="宋体"/>
          <w:color w:val="auto"/>
          <w:highlight w:val="none"/>
          <w:lang w:eastAsia="zh-CN"/>
        </w:rPr>
        <w:t xml:space="preserve">将对</w:t>
      </w:r>
      <w:r>
        <w:rPr>
          <w:rFonts w:hint="eastAsia" w:ascii="宋体" w:hAnsi="宋体" w:eastAsia="宋体" w:cs="宋体"/>
          <w:color w:val="auto"/>
          <w:highlight w:val="none"/>
          <w:lang w:val="en-US" w:eastAsia="zh-CN"/>
        </w:rPr>
        <w:t xml:space="preserve">中标人</w:t>
      </w:r>
      <w:r>
        <w:rPr>
          <w:rFonts w:hint="eastAsia" w:ascii="宋体" w:hAnsi="宋体" w:eastAsia="宋体" w:cs="宋体"/>
          <w:color w:val="auto"/>
          <w:highlight w:val="none"/>
          <w:lang w:eastAsia="zh-CN"/>
        </w:rPr>
        <w:t xml:space="preserve">进行处罚，相关处罚费用直接从应付运行服务费中予以扣除。</w:t>
      </w:r>
      <w:r/>
    </w:p>
    <w:p>
      <w:pPr>
        <w:pStyle w:val="865"/>
        <w:ind w:firstLine="482"/>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lang w:eastAsia="zh-CN"/>
        </w:rPr>
        <w:t xml:space="preserve">）以上付款均无银行利息，且</w:t>
      </w:r>
      <w:r>
        <w:rPr>
          <w:rFonts w:hint="eastAsia" w:ascii="宋体" w:hAnsi="宋体" w:eastAsia="宋体" w:cs="宋体"/>
          <w:color w:val="auto"/>
          <w:highlight w:val="none"/>
          <w:lang w:val="en-US" w:eastAsia="zh-CN"/>
        </w:rPr>
        <w:t xml:space="preserve">中标人</w:t>
      </w:r>
      <w:r>
        <w:rPr>
          <w:rFonts w:hint="eastAsia" w:ascii="宋体" w:hAnsi="宋体" w:eastAsia="宋体" w:cs="宋体"/>
          <w:color w:val="auto"/>
          <w:highlight w:val="none"/>
          <w:lang w:eastAsia="zh-CN"/>
        </w:rPr>
        <w:t xml:space="preserve">需提供相应金额的有效票据。</w:t>
      </w:r>
      <w:r/>
    </w:p>
    <w:p>
      <w:pPr>
        <w:pStyle w:val="865"/>
        <w:ind w:firstLine="482"/>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lang w:eastAsia="zh-CN"/>
        </w:rPr>
        <w:t xml:space="preserve">）在签订合同时，</w:t>
      </w:r>
      <w:r>
        <w:rPr>
          <w:rFonts w:hint="eastAsia" w:ascii="宋体" w:hAnsi="宋体" w:eastAsia="宋体" w:cs="宋体"/>
          <w:color w:val="auto"/>
          <w:highlight w:val="none"/>
          <w:lang w:val="en-US" w:eastAsia="zh-CN"/>
        </w:rPr>
        <w:t xml:space="preserve">中标人</w:t>
      </w:r>
      <w:r>
        <w:rPr>
          <w:rFonts w:hint="eastAsia" w:ascii="宋体" w:hAnsi="宋体" w:eastAsia="宋体" w:cs="宋体"/>
          <w:color w:val="auto"/>
          <w:highlight w:val="none"/>
          <w:lang w:eastAsia="zh-CN"/>
        </w:rPr>
        <w:t xml:space="preserve">明确表示无需预付款或者主动要求降低预付款比例的，</w:t>
      </w:r>
      <w:r>
        <w:rPr>
          <w:rFonts w:hint="eastAsia" w:ascii="宋体" w:hAnsi="宋体" w:eastAsia="宋体" w:cs="宋体"/>
          <w:color w:val="auto"/>
          <w:highlight w:val="none"/>
          <w:lang w:val="en-US" w:eastAsia="zh-CN"/>
        </w:rPr>
        <w:t xml:space="preserve">采购人</w:t>
      </w:r>
      <w:r>
        <w:rPr>
          <w:rFonts w:hint="eastAsia" w:ascii="宋体" w:hAnsi="宋体" w:eastAsia="宋体" w:cs="宋体"/>
          <w:color w:val="auto"/>
          <w:highlight w:val="none"/>
          <w:lang w:eastAsia="zh-CN"/>
        </w:rPr>
        <w:t xml:space="preserve">可不适用上述关于预付款的规定。</w:t>
      </w:r>
      <w:r/>
    </w:p>
    <w:p>
      <w:pPr>
        <w:pStyle w:val="865"/>
        <w:ind w:firstLine="482"/>
        <w:jc w:val="both"/>
        <w:keepLines w:val="0"/>
        <w:keepNext w:val="0"/>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采购人</w:t>
      </w:r>
      <w:r>
        <w:rPr>
          <w:rFonts w:hint="eastAsia" w:ascii="宋体" w:hAnsi="宋体" w:eastAsia="宋体" w:cs="宋体"/>
          <w:color w:val="auto"/>
          <w:highlight w:val="none"/>
          <w:lang w:eastAsia="zh-CN"/>
        </w:rPr>
        <w:t xml:space="preserve">原则上自收到发票后10个工作日内将资金支付到</w:t>
      </w:r>
      <w:r>
        <w:rPr>
          <w:rFonts w:hint="eastAsia" w:ascii="宋体" w:hAnsi="宋体" w:eastAsia="宋体" w:cs="宋体"/>
          <w:color w:val="auto"/>
          <w:highlight w:val="none"/>
          <w:lang w:val="en-US" w:eastAsia="zh-CN"/>
        </w:rPr>
        <w:t xml:space="preserve">中标人</w:t>
      </w:r>
      <w:r>
        <w:rPr>
          <w:rFonts w:hint="eastAsia" w:ascii="宋体" w:hAnsi="宋体" w:eastAsia="宋体" w:cs="宋体"/>
          <w:color w:val="auto"/>
          <w:highlight w:val="none"/>
          <w:lang w:eastAsia="zh-CN"/>
        </w:rPr>
        <w:t xml:space="preserve">账户。</w:t>
      </w:r>
      <w:r/>
    </w:p>
    <w:p>
      <w:pPr>
        <w:pStyle w:val="865"/>
        <w:ind w:firstLine="482"/>
        <w:jc w:val="both"/>
        <w:keepLines w:val="0"/>
        <w:keepNext w:val="0"/>
        <w:pageBreakBefore w:val="0"/>
        <w:spacing w:beforeAutospacing="0" w:afterAutospacing="0" w:line="480" w:lineRule="exact"/>
        <w:widowControl w:val="off"/>
        <w:rPr>
          <w:rFonts w:ascii="宋体" w:hAnsi="宋体" w:eastAsia="宋体" w:cs="宋体"/>
          <w:b/>
          <w:bCs/>
          <w:color w:val="auto"/>
          <w:highlight w:val="none"/>
        </w:rPr>
      </w:pPr>
      <w:r>
        <w:rPr>
          <w:rFonts w:hint="eastAsia" w:ascii="宋体" w:hAnsi="宋体" w:eastAsia="宋体" w:cs="宋体"/>
          <w:b/>
          <w:bCs/>
          <w:color w:val="auto"/>
          <w:highlight w:val="none"/>
        </w:rPr>
        <w:t xml:space="preserve">4.验收</w:t>
      </w:r>
      <w:r/>
    </w:p>
    <w:p>
      <w:pPr>
        <w:pStyle w:val="865"/>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履约期满后</w:t>
      </w:r>
      <w:r>
        <w:rPr>
          <w:rFonts w:hint="eastAsia" w:ascii="宋体" w:hAnsi="宋体" w:eastAsia="宋体" w:cs="宋体"/>
          <w:color w:val="auto"/>
          <w:highlight w:val="none"/>
          <w:lang w:val="en-US" w:eastAsia="zh-CN"/>
        </w:rPr>
        <w:t xml:space="preserve">采购人</w:t>
      </w:r>
      <w:r>
        <w:rPr>
          <w:rFonts w:hint="eastAsia" w:ascii="宋体" w:hAnsi="宋体" w:eastAsia="宋体" w:cs="宋体"/>
          <w:color w:val="auto"/>
          <w:highlight w:val="none"/>
        </w:rPr>
        <w:t xml:space="preserve">将根据东台市环境卫生管理处考核办法对</w:t>
      </w:r>
      <w:r>
        <w:rPr>
          <w:rFonts w:hint="eastAsia" w:ascii="宋体" w:hAnsi="宋体" w:eastAsia="宋体" w:cs="宋体"/>
          <w:color w:val="auto"/>
          <w:highlight w:val="none"/>
          <w:lang w:val="en-US" w:eastAsia="zh-CN"/>
        </w:rPr>
        <w:t xml:space="preserve">中标人</w:t>
      </w:r>
      <w:r>
        <w:rPr>
          <w:rFonts w:hint="eastAsia" w:ascii="宋体" w:hAnsi="宋体" w:eastAsia="宋体" w:cs="宋体"/>
          <w:color w:val="auto"/>
          <w:highlight w:val="none"/>
        </w:rPr>
        <w:t xml:space="preserve">进行考核。</w:t>
      </w:r>
      <w:r/>
    </w:p>
    <w:p>
      <w:pPr>
        <w:pStyle w:val="865"/>
        <w:ind w:firstLine="480"/>
        <w:jc w:val="both"/>
        <w:keepLines w:val="0"/>
        <w:keepNext w:val="0"/>
        <w:pageBreakBefore w:val="0"/>
        <w:spacing w:beforeAutospacing="0" w:afterAutospacing="0" w:line="480" w:lineRule="exact"/>
        <w:widowControl w:val="off"/>
        <w:rPr>
          <w:rFonts w:ascii="宋体" w:hAnsi="宋体" w:eastAsia="宋体" w:cs="宋体"/>
          <w:b/>
          <w:bCs/>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验收合格的项目</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采购人</w:t>
      </w:r>
      <w:r>
        <w:rPr>
          <w:rFonts w:hint="eastAsia" w:ascii="宋体" w:hAnsi="宋体" w:eastAsia="宋体" w:cs="宋体"/>
          <w:color w:val="auto"/>
          <w:highlight w:val="none"/>
        </w:rPr>
        <w:t xml:space="preserve">根据采购合同的约定及时向</w:t>
      </w:r>
      <w:r>
        <w:rPr>
          <w:rFonts w:hint="eastAsia" w:ascii="宋体" w:hAnsi="宋体" w:eastAsia="宋体" w:cs="宋体"/>
          <w:color w:val="auto"/>
          <w:highlight w:val="none"/>
          <w:lang w:val="en-US" w:eastAsia="zh-CN"/>
        </w:rPr>
        <w:t xml:space="preserve">中标单位</w:t>
      </w:r>
      <w:r>
        <w:rPr>
          <w:rFonts w:hint="eastAsia" w:ascii="宋体" w:hAnsi="宋体" w:eastAsia="宋体" w:cs="宋体"/>
          <w:color w:val="auto"/>
          <w:highlight w:val="none"/>
        </w:rPr>
        <w:t xml:space="preserve">支付合同款项、退还履约保证金。验收不合格的项目，</w:t>
      </w:r>
      <w:r>
        <w:rPr>
          <w:rFonts w:hint="eastAsia" w:ascii="宋体" w:hAnsi="宋体" w:eastAsia="宋体" w:cs="宋体"/>
          <w:color w:val="auto"/>
          <w:highlight w:val="none"/>
          <w:lang w:val="en-US" w:eastAsia="zh-CN"/>
        </w:rPr>
        <w:t xml:space="preserve">采购人</w:t>
      </w:r>
      <w:r>
        <w:rPr>
          <w:rFonts w:hint="eastAsia" w:ascii="宋体" w:hAnsi="宋体" w:eastAsia="宋体" w:cs="宋体"/>
          <w:color w:val="auto"/>
          <w:highlight w:val="none"/>
        </w:rPr>
        <w:t xml:space="preserve">依法及时处理。采购合同的履行、违约责任和解决争议的方式等适用《</w:t>
      </w:r>
      <w:r>
        <w:rPr>
          <w:rFonts w:hint="eastAsia" w:ascii="宋体" w:hAnsi="宋体" w:eastAsia="宋体" w:cs="宋体"/>
          <w:color w:val="auto"/>
          <w:highlight w:val="none"/>
          <w:lang w:eastAsia="zh-CN"/>
        </w:rPr>
        <w:t xml:space="preserve">中华人民共和国民法典</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中标单位</w:t>
      </w:r>
      <w:r>
        <w:rPr>
          <w:rFonts w:hint="eastAsia" w:ascii="宋体" w:hAnsi="宋体" w:eastAsia="宋体" w:cs="宋体"/>
          <w:color w:val="auto"/>
          <w:highlight w:val="none"/>
        </w:rPr>
        <w:t xml:space="preserve">在履约过程中有政府采购法律法规规定的违法违规情形的</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采购人</w:t>
      </w:r>
      <w:r>
        <w:rPr>
          <w:rFonts w:hint="eastAsia" w:ascii="宋体" w:hAnsi="宋体" w:eastAsia="宋体" w:cs="宋体"/>
          <w:color w:val="auto"/>
          <w:highlight w:val="none"/>
        </w:rPr>
        <w:t xml:space="preserve">将及时报告本级财政部门。</w:t>
      </w:r>
      <w:r/>
    </w:p>
    <w:p>
      <w:pPr>
        <w:pStyle w:val="865"/>
        <w:ind w:firstLine="482"/>
        <w:jc w:val="both"/>
        <w:spacing w:beforeAutospacing="0" w:afterAutospacing="0" w:line="440" w:lineRule="exact"/>
        <w:rPr>
          <w:rFonts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三</w:t>
      </w:r>
      <w:r>
        <w:rPr>
          <w:rFonts w:hint="eastAsia" w:ascii="宋体" w:hAnsi="宋体" w:eastAsia="宋体" w:cs="宋体"/>
          <w:b/>
          <w:bCs/>
          <w:color w:val="auto"/>
          <w:highlight w:val="none"/>
        </w:rPr>
        <w:t xml:space="preserve">、采购标的对应的中小企业划分标准所属行业一览表</w:t>
      </w:r>
      <w:r/>
    </w:p>
    <w:tbl>
      <w:tblPr>
        <w:tblStyle w:val="857"/>
        <w:tblW w:w="8072"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79"/>
        <w:gridCol w:w="4323"/>
        <w:gridCol w:w="2870"/>
      </w:tblGrid>
      <w:tr>
        <w:trPr>
          <w:jc w:val="center"/>
          <w:tblCellSpacing w:w="0" w:type="dxa"/>
          <w:trHeight w:val="936"/>
        </w:trPr>
        <w:tc>
          <w:tcPr>
            <w:shd w:val="clear" w:color="auto" w:fill="auto"/>
            <w:tcBorders>
              <w:top w:val="single" w:color="auto" w:sz="4" w:space="0"/>
              <w:left w:val="single" w:color="auto" w:sz="4" w:space="0"/>
              <w:bottom w:val="single" w:color="auto" w:sz="4" w:space="0"/>
              <w:right w:val="single" w:color="auto" w:sz="4" w:space="0"/>
            </w:tcBorders>
            <w:tcW w:w="879" w:type="dxa"/>
            <w:vAlign w:val="center"/>
            <w:textDirection w:val="lrTb"/>
            <w:noWrap w:val="false"/>
          </w:tcPr>
          <w:p>
            <w:pPr>
              <w:pStyle w:val="86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4323" w:type="dxa"/>
            <w:vAlign w:val="center"/>
            <w:textDirection w:val="lrTb"/>
            <w:noWrap w:val="false"/>
          </w:tcPr>
          <w:p>
            <w:pPr>
              <w:pStyle w:val="86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采购标的</w:t>
            </w:r>
            <w:r/>
          </w:p>
        </w:tc>
        <w:tc>
          <w:tcPr>
            <w:shd w:val="clear" w:color="auto" w:fill="auto"/>
            <w:tcBorders>
              <w:top w:val="single" w:color="auto" w:sz="4" w:space="0"/>
              <w:left w:val="single" w:color="auto" w:sz="4" w:space="0"/>
              <w:bottom w:val="single" w:color="auto" w:sz="4" w:space="0"/>
              <w:right w:val="single" w:color="auto" w:sz="4" w:space="0"/>
            </w:tcBorders>
            <w:tcW w:w="2870" w:type="dxa"/>
            <w:vAlign w:val="center"/>
            <w:textDirection w:val="lrTb"/>
            <w:noWrap w:val="false"/>
          </w:tcPr>
          <w:p>
            <w:pPr>
              <w:pStyle w:val="86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对应中小微企业划分标准所属行业</w:t>
            </w:r>
            <w:r/>
          </w:p>
        </w:tc>
      </w:tr>
      <w:tr>
        <w:trPr>
          <w:jc w:val="center"/>
          <w:tblCellSpacing w:w="0" w:type="dxa"/>
          <w:trHeight w:val="936"/>
        </w:trPr>
        <w:tc>
          <w:tcPr>
            <w:shd w:val="clear" w:color="auto" w:fill="auto"/>
            <w:tcBorders>
              <w:top w:val="single" w:color="auto" w:sz="4" w:space="0"/>
              <w:left w:val="single" w:color="auto" w:sz="4" w:space="0"/>
              <w:bottom w:val="single" w:color="auto" w:sz="4" w:space="0"/>
              <w:right w:val="single" w:color="auto" w:sz="4" w:space="0"/>
            </w:tcBorders>
            <w:tcW w:w="879" w:type="dxa"/>
            <w:vAlign w:val="center"/>
            <w:textDirection w:val="lrTb"/>
            <w:noWrap w:val="false"/>
          </w:tcPr>
          <w:p>
            <w:pPr>
              <w:pStyle w:val="86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323" w:type="dxa"/>
            <w:vAlign w:val="center"/>
            <w:textDirection w:val="lrTb"/>
            <w:noWrap w:val="false"/>
          </w:tcPr>
          <w:p>
            <w:pPr>
              <w:pStyle w:val="865"/>
              <w:jc w:val="center"/>
              <w:spacing w:beforeAutospacing="0" w:afterAutospacing="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2026年东台市新曹填埋场渗滤液设施运营服务采购项目</w:t>
            </w:r>
            <w:r/>
          </w:p>
        </w:tc>
        <w:tc>
          <w:tcPr>
            <w:shd w:val="clear" w:color="auto" w:fill="auto"/>
            <w:tcBorders>
              <w:top w:val="single" w:color="auto" w:sz="4" w:space="0"/>
              <w:left w:val="single" w:color="auto" w:sz="4" w:space="0"/>
              <w:bottom w:val="single" w:color="auto" w:sz="4" w:space="0"/>
              <w:right w:val="single" w:color="auto" w:sz="4" w:space="0"/>
            </w:tcBorders>
            <w:tcW w:w="2870" w:type="dxa"/>
            <w:vAlign w:val="center"/>
            <w:textDirection w:val="lrTb"/>
            <w:noWrap w:val="false"/>
          </w:tcPr>
          <w:p>
            <w:pPr>
              <w:pStyle w:val="86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其他未列明行业</w:t>
            </w:r>
            <w:r/>
          </w:p>
        </w:tc>
      </w:tr>
    </w:tbl>
    <w:p>
      <w:pPr>
        <w:pStyle w:val="865"/>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65"/>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p>
    <w:p>
      <w:pPr>
        <w:pStyle w:val="865"/>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5"/>
        <w:ind w:firstLine="60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5"/>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5"/>
        <w:jc w:val="both"/>
        <w:spacing w:beforeAutospacing="0" w:afterAutospacing="0"/>
        <w:tabs>
          <w:tab w:val="left" w:pos="620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5"/>
        <w:jc w:val="center"/>
        <w:keepNext/>
        <w:spacing w:beforeAutospacing="0" w:afterAutospacing="0"/>
        <w:rPr>
          <w:rFonts w:hint="eastAsia" w:ascii="宋体" w:hAnsi="宋体" w:eastAsia="宋体" w:cs="宋体"/>
          <w:color w:val="auto"/>
          <w:sz w:val="24"/>
          <w:szCs w:val="24"/>
          <w:highlight w:val="none"/>
        </w:rPr>
      </w:pPr>
      <w:r/>
      <w:bookmarkStart w:id="180" w:name="_Toc120614281"/>
      <w:r>
        <w:rPr>
          <w:rFonts w:hint="eastAsia" w:ascii="宋体" w:hAnsi="宋体" w:eastAsia="宋体" w:cs="宋体"/>
          <w:color w:val="auto"/>
          <w:sz w:val="24"/>
          <w:szCs w:val="24"/>
          <w:highlight w:val="none"/>
        </w:rPr>
        <w:t xml:space="preserve"> </w:t>
      </w:r>
      <w:r/>
    </w:p>
    <w:p>
      <w:pPr>
        <w:pStyle w:val="865"/>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5"/>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5"/>
        <w:jc w:val="both"/>
        <w:spacing w:beforeAutospacing="0" w:afterAutospacing="0"/>
        <w:rPr>
          <w:color w:val="auto"/>
          <w:highlight w:val="none"/>
        </w:rPr>
      </w:pPr>
      <w:r>
        <w:rPr>
          <w:color w:val="auto"/>
          <w:highlight w:val="none"/>
        </w:rPr>
      </w:r>
      <w:r/>
    </w:p>
    <w:p>
      <w:pPr>
        <w:pStyle w:val="865"/>
        <w:jc w:val="both"/>
        <w:spacing w:beforeAutospacing="0" w:afterAutospacing="0"/>
        <w:rPr>
          <w:color w:val="auto"/>
          <w:highlight w:val="none"/>
        </w:rPr>
      </w:pPr>
      <w:r>
        <w:rPr>
          <w:color w:val="auto"/>
          <w:highlight w:val="none"/>
        </w:rPr>
      </w:r>
      <w:r/>
    </w:p>
    <w:p>
      <w:pPr>
        <w:pStyle w:val="865"/>
        <w:jc w:val="both"/>
        <w:spacing w:beforeAutospacing="0" w:afterAutospacing="0"/>
        <w:rPr>
          <w:color w:val="auto"/>
          <w:highlight w:val="none"/>
        </w:rPr>
      </w:pPr>
      <w:r>
        <w:rPr>
          <w:color w:val="auto"/>
          <w:highlight w:val="none"/>
        </w:rPr>
      </w:r>
      <w:r/>
    </w:p>
    <w:p>
      <w:pPr>
        <w:pStyle w:val="865"/>
        <w:jc w:val="center"/>
        <w:keepNext/>
        <w:spacing w:beforeAutospacing="0" w:afterAutospacing="0"/>
        <w:rPr>
          <w:color w:val="auto"/>
          <w:highlight w:val="none"/>
        </w:rPr>
      </w:pPr>
      <w:r>
        <w:rPr>
          <w:color w:val="auto"/>
          <w:highlight w:val="none"/>
        </w:rPr>
        <w:t xml:space="preserve"> </w:t>
      </w:r>
      <w:r/>
    </w:p>
    <w:p>
      <w:pPr>
        <w:pStyle w:val="865"/>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r/>
    </w:p>
    <w:p>
      <w:pPr>
        <w:pStyle w:val="865"/>
        <w:jc w:val="both"/>
        <w:spacing w:beforeAutospacing="0" w:afterAutospacing="0"/>
        <w:rPr>
          <w:color w:val="auto"/>
          <w:highlight w:val="none"/>
        </w:rPr>
      </w:pPr>
      <w:r>
        <w:rPr>
          <w:color w:val="auto"/>
          <w:highlight w:val="none"/>
        </w:rPr>
        <w:t xml:space="preserve"> </w:t>
      </w:r>
      <w:r/>
    </w:p>
    <w:p>
      <w:pPr>
        <w:ind w:left="0" w:firstLine="482"/>
        <w:keepLines w:val="0"/>
        <w:keepNext w:val="0"/>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865"/>
        <w:ind w:left="0" w:firstLine="482"/>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政府采购政策功能落实</w:t>
      </w:r>
      <w:r/>
    </w:p>
    <w:p>
      <w:pPr>
        <w:pStyle w:val="865"/>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1.</w:t>
      </w:r>
      <w:r>
        <w:rPr>
          <w:rFonts w:hint="eastAsia" w:ascii="宋体" w:hAnsi="宋体" w:eastAsia="宋体" w:cs="宋体"/>
          <w:color w:val="auto"/>
          <w:highlight w:val="none"/>
        </w:rPr>
        <w:t xml:space="preserve">小微型企业价格扣除</w:t>
      </w:r>
      <w:r/>
    </w:p>
    <w:p>
      <w:pPr>
        <w:pStyle w:val="868"/>
        <w:ind w:left="0" w:firstLine="480"/>
        <w:keepLines w:val="0"/>
        <w:keepNext w:val="0"/>
        <w:pageBreakBefore w:val="0"/>
        <w:spacing w:before="0" w:after="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（1）本项目若不专门面向中小企业采购，对</w:t>
      </w:r>
      <w:r>
        <w:rPr>
          <w:rFonts w:hint="eastAsia" w:ascii="宋体" w:hAnsi="宋体" w:eastAsia="宋体" w:cs="宋体"/>
          <w:color w:val="auto"/>
          <w:highlight w:val="none"/>
          <w:lang w:val="en-US" w:eastAsia="zh-CN"/>
        </w:rPr>
        <w:t xml:space="preserve">符合规定的</w:t>
      </w:r>
      <w:r>
        <w:rPr>
          <w:rFonts w:hint="eastAsia" w:ascii="宋体" w:hAnsi="宋体" w:eastAsia="宋体" w:cs="宋体"/>
          <w:color w:val="auto"/>
          <w:highlight w:val="none"/>
        </w:rPr>
        <w:t xml:space="preserve">小型和微型企业</w:t>
      </w:r>
      <w:r>
        <w:rPr>
          <w:rFonts w:hint="eastAsia" w:ascii="宋体" w:hAnsi="宋体" w:eastAsia="宋体" w:cs="宋体"/>
          <w:color w:val="auto"/>
          <w:highlight w:val="none"/>
          <w:lang w:val="en-US" w:eastAsia="zh-CN"/>
        </w:rPr>
        <w:t xml:space="preserve">报价</w:t>
      </w:r>
      <w:r>
        <w:rPr>
          <w:rFonts w:hint="eastAsia" w:ascii="宋体" w:hAnsi="宋体" w:eastAsia="宋体" w:cs="宋体"/>
          <w:color w:val="auto"/>
          <w:highlight w:val="none"/>
        </w:rPr>
        <w:t xml:space="preserve">给予20%的扣除价格，用扣除后的价格参与评审；若专门面向中小企业采购，不再对小型和微型企业</w:t>
      </w:r>
      <w:r>
        <w:rPr>
          <w:rFonts w:hint="eastAsia" w:ascii="宋体" w:hAnsi="宋体" w:eastAsia="宋体" w:cs="宋体"/>
          <w:color w:val="auto"/>
          <w:highlight w:val="none"/>
          <w:lang w:val="en-US" w:eastAsia="zh-CN"/>
        </w:rPr>
        <w:t xml:space="preserve">报价</w:t>
      </w:r>
      <w:r>
        <w:rPr>
          <w:rFonts w:hint="eastAsia" w:ascii="宋体" w:hAnsi="宋体" w:eastAsia="宋体" w:cs="宋体"/>
          <w:color w:val="auto"/>
          <w:highlight w:val="none"/>
        </w:rPr>
        <w:t xml:space="preserve">给予价格扣除。</w:t>
      </w:r>
      <w:r/>
    </w:p>
    <w:p>
      <w:pPr>
        <w:pStyle w:val="865"/>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（2）供应商需按照采购文件的要求提供相应的《</w:t>
      </w:r>
      <w:r>
        <w:rPr>
          <w:rFonts w:hint="eastAsia" w:ascii="宋体" w:hAnsi="宋体" w:eastAsia="宋体" w:cs="宋体"/>
          <w:color w:val="auto"/>
          <w:highlight w:val="none"/>
          <w:lang w:val="en-US" w:eastAsia="zh-CN"/>
        </w:rPr>
        <w:t xml:space="preserve">中小</w:t>
      </w:r>
      <w:r>
        <w:rPr>
          <w:rFonts w:hint="eastAsia" w:ascii="宋体" w:hAnsi="宋体" w:eastAsia="宋体" w:cs="宋体"/>
          <w:color w:val="auto"/>
          <w:highlight w:val="none"/>
        </w:rPr>
        <w:t xml:space="preserve">企业声明函》。</w:t>
      </w:r>
      <w:r/>
    </w:p>
    <w:p>
      <w:pPr>
        <w:pStyle w:val="865"/>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（3）企业标准请参照《关于印发中小企业划型标准规定的通知》（工信部联企业</w:t>
      </w:r>
      <w:r>
        <w:rPr>
          <w:rFonts w:hint="eastAsia" w:ascii="宋体" w:hAnsi="宋体" w:eastAsia="宋体" w:cs="宋体"/>
          <w:color w:val="auto"/>
          <w:highlight w:val="none"/>
          <w:lang w:eastAsia="zh-CN"/>
        </w:rPr>
        <w:t xml:space="preserve">〔2011〕300号</w:t>
      </w:r>
      <w:r>
        <w:rPr>
          <w:rFonts w:hint="eastAsia" w:ascii="宋体" w:hAnsi="宋体" w:eastAsia="宋体" w:cs="宋体"/>
          <w:color w:val="auto"/>
          <w:highlight w:val="none"/>
        </w:rPr>
        <w:t xml:space="preserve">）文件规定自行填写。</w:t>
      </w:r>
      <w:r/>
    </w:p>
    <w:p>
      <w:pPr>
        <w:pStyle w:val="865"/>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rPr>
        <w:t xml:space="preserve">残疾人福利单位价格扣除</w:t>
      </w:r>
      <w:r/>
    </w:p>
    <w:p>
      <w:pPr>
        <w:pStyle w:val="865"/>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 xml:space="preserve">（1）本项目对残疾人福利性单位视同小型、微型企业，给予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u w:val="single"/>
          <w:lang w:eastAsia="zh-CN"/>
        </w:rPr>
        <w:t xml:space="preserve">的价格扣除。</w:t>
      </w:r>
      <w:r/>
    </w:p>
    <w:p>
      <w:pPr>
        <w:pStyle w:val="865"/>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（2）残疾人福利单位需按照采购文件的要求提供《残疾人福利性单位声明函》。</w:t>
      </w:r>
      <w:r/>
    </w:p>
    <w:p>
      <w:pPr>
        <w:pStyle w:val="865"/>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（3）残疾人福利单位标准请参照《关于促进残疾人就业政府采购政策的通知》（财库〔2017〕141号）。</w:t>
      </w:r>
      <w:r/>
    </w:p>
    <w:p>
      <w:pPr>
        <w:pStyle w:val="865"/>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3.</w:t>
      </w:r>
      <w:r>
        <w:rPr>
          <w:rFonts w:hint="eastAsia" w:ascii="宋体" w:hAnsi="宋体" w:eastAsia="宋体" w:cs="宋体"/>
          <w:color w:val="auto"/>
          <w:highlight w:val="none"/>
        </w:rPr>
        <w:t xml:space="preserve">监狱和戒毒企业价格扣除</w:t>
      </w:r>
      <w:r/>
    </w:p>
    <w:p>
      <w:pPr>
        <w:pStyle w:val="865"/>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（1）本项目对监狱和戒毒企业（简称监狱企业）视同小型、微型企业，给予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u w:val="single"/>
          <w:lang w:eastAsia="zh-CN"/>
        </w:rPr>
        <w:t xml:space="preserve">的价格扣除。</w:t>
      </w:r>
      <w:r/>
    </w:p>
    <w:p>
      <w:pPr>
        <w:pStyle w:val="865"/>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（2）监狱企业参加政府采购活动时，需提供由省级以上监狱管理局、戒毒管理局</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含新疆生产建设兵团</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出具的属于监狱企业的证明文件。供应商如不提供上述证明文件，价格将不做相应扣除。</w:t>
      </w:r>
      <w:r/>
    </w:p>
    <w:p>
      <w:pPr>
        <w:pStyle w:val="865"/>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（3）监狱企业标准请参照《关于政府采购支持监狱企业发展有关问题的通知》（财库</w:t>
      </w:r>
      <w:r>
        <w:rPr>
          <w:rFonts w:hint="eastAsia" w:ascii="宋体" w:hAnsi="宋体" w:eastAsia="宋体" w:cs="宋体"/>
          <w:color w:val="auto"/>
          <w:highlight w:val="none"/>
          <w:lang w:eastAsia="zh-CN"/>
        </w:rPr>
        <w:t xml:space="preserve">〔2014〕68号</w:t>
      </w:r>
      <w:r>
        <w:rPr>
          <w:rFonts w:hint="eastAsia" w:ascii="宋体" w:hAnsi="宋体" w:eastAsia="宋体" w:cs="宋体"/>
          <w:color w:val="auto"/>
          <w:highlight w:val="none"/>
        </w:rPr>
        <w:t xml:space="preserve">）。</w:t>
      </w:r>
      <w:r/>
    </w:p>
    <w:p>
      <w:pPr>
        <w:pStyle w:val="865"/>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4.</w:t>
      </w:r>
      <w:r>
        <w:rPr>
          <w:rFonts w:hint="eastAsia" w:ascii="宋体" w:hAnsi="宋体" w:eastAsia="宋体" w:cs="宋体"/>
          <w:color w:val="auto"/>
          <w:highlight w:val="none"/>
        </w:rPr>
        <w:t xml:space="preserve">残疾人福利单位、监狱企业属于小型、微型企业的，不重复享受政策。</w:t>
      </w:r>
      <w:r/>
    </w:p>
    <w:p>
      <w:pPr>
        <w:pStyle w:val="865"/>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5.</w:t>
      </w:r>
      <w:r>
        <w:rPr>
          <w:rFonts w:hint="eastAsia" w:ascii="宋体" w:hAnsi="宋体" w:eastAsia="宋体" w:cs="宋体"/>
          <w:color w:val="auto"/>
          <w:highlight w:val="none"/>
        </w:rPr>
        <w:t xml:space="preserve">如果本项目同意联合体投标或同意分包履行合同的</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highlight w:val="none"/>
          <w:u w:val="single"/>
        </w:rPr>
        <w:t xml:space="preserve">6%</w:t>
      </w:r>
      <w:r>
        <w:rPr>
          <w:rFonts w:hint="eastAsia" w:ascii="宋体" w:hAnsi="宋体" w:eastAsia="宋体" w:cs="宋体"/>
          <w:color w:val="auto"/>
          <w:highlight w:val="none"/>
        </w:rPr>
        <w:t xml:space="preserve">的价格扣除，用扣除后的价格参与评审。</w:t>
      </w:r>
      <w:r/>
    </w:p>
    <w:p>
      <w:pPr>
        <w:pStyle w:val="865"/>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u w:val="single"/>
          <w:lang w:eastAsia="zh-CN"/>
        </w:rPr>
      </w:pPr>
      <w:r>
        <w:rPr>
          <w:rFonts w:hint="eastAsia" w:ascii="宋体" w:hAnsi="宋体" w:eastAsia="宋体" w:cs="宋体"/>
          <w:color w:val="auto"/>
          <w:highlight w:val="none"/>
          <w:lang w:eastAsia="zh-CN"/>
        </w:rPr>
        <w:t xml:space="preserve">6.</w:t>
      </w:r>
      <w:r>
        <w:rPr>
          <w:rFonts w:hint="eastAsia" w:ascii="宋体" w:hAnsi="宋体" w:eastAsia="宋体" w:cs="宋体"/>
          <w:color w:val="auto"/>
          <w:highlight w:val="none"/>
        </w:rPr>
        <w:t xml:space="preserve">联合体各方均为小型、微型企业（残疾人福利单位、监狱企业）的，联合体享受</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u w:val="single"/>
          <w:lang w:eastAsia="zh-CN"/>
        </w:rPr>
        <w:t xml:space="preserve">的价格扣除。</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7.</w:t>
      </w:r>
      <w:r>
        <w:rPr>
          <w:rFonts w:hint="eastAsia" w:ascii="宋体" w:hAnsi="宋体" w:eastAsia="宋体" w:cs="宋体"/>
          <w:color w:val="auto"/>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中提供所投产品的相关证书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由国家确定的认证机构出具的、处于有效期之内的节能产品、环境标志产品认证证书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。节能产品、环境标志产品品目清单以递交</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65"/>
        <w:ind w:left="0" w:firstLine="482"/>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评标方法与评标标准</w:t>
      </w:r>
      <w:r/>
    </w:p>
    <w:tbl>
      <w:tblPr>
        <w:tblStyle w:val="857"/>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2"/>
        <w:gridCol w:w="1114"/>
        <w:gridCol w:w="1286"/>
        <w:gridCol w:w="735"/>
        <w:gridCol w:w="4830"/>
      </w:tblGrid>
      <w:tr>
        <w:trPr>
          <w:jc w:val="center"/>
          <w:trHeight w:val="526"/>
        </w:trPr>
        <w:tc>
          <w:tcPr>
            <w:tcBorders>
              <w:top w:val="single" w:color="auto" w:sz="4" w:space="0"/>
              <w:left w:val="single" w:color="auto" w:sz="4" w:space="0"/>
              <w:bottom w:val="single" w:color="auto" w:sz="4" w:space="0"/>
              <w:right w:val="single" w:color="auto" w:sz="4" w:space="0"/>
            </w:tcBorders>
            <w:tcW w:w="572"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序</w:t>
            </w:r>
            <w:r/>
          </w:p>
        </w:tc>
        <w:tc>
          <w:tcPr>
            <w:tcBorders>
              <w:top w:val="single" w:color="auto" w:sz="4" w:space="0"/>
              <w:left w:val="single" w:color="auto" w:sz="4" w:space="0"/>
              <w:bottom w:val="single" w:color="auto" w:sz="4" w:space="0"/>
              <w:right w:val="single" w:color="auto" w:sz="4" w:space="0"/>
            </w:tcBorders>
            <w:tcW w:w="1114"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分部内容</w:t>
            </w:r>
            <w:r/>
          </w:p>
        </w:tc>
        <w:tc>
          <w:tcPr>
            <w:tcBorders>
              <w:top w:val="single" w:color="auto" w:sz="4" w:space="0"/>
              <w:left w:val="single" w:color="auto" w:sz="4" w:space="0"/>
              <w:bottom w:val="single" w:color="auto" w:sz="4" w:space="0"/>
              <w:right w:val="single" w:color="auto" w:sz="4" w:space="0"/>
            </w:tcBorders>
            <w:tcW w:w="128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分项内容</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分值</w:t>
            </w:r>
            <w:r/>
          </w:p>
        </w:tc>
        <w:tc>
          <w:tcPr>
            <w:tcBorders>
              <w:top w:val="single" w:color="auto" w:sz="4" w:space="0"/>
              <w:left w:val="single" w:color="auto" w:sz="4" w:space="0"/>
              <w:bottom w:val="single" w:color="auto" w:sz="4" w:space="0"/>
              <w:right w:val="single" w:color="auto" w:sz="4" w:space="0"/>
            </w:tcBorders>
            <w:tcW w:w="4830" w:type="dxa"/>
            <w:vAlign w:val="center"/>
            <w:textDirection w:val="lrTb"/>
            <w:noWrap w:val="false"/>
          </w:tcPr>
          <w:p>
            <w:pPr>
              <w:ind w:firstLine="420"/>
              <w:jc w:val="center"/>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打分要求</w:t>
            </w:r>
            <w:r/>
          </w:p>
        </w:tc>
      </w:tr>
      <w:tr>
        <w:trPr>
          <w:jc w:val="center"/>
          <w:trHeight w:val="471"/>
        </w:trPr>
        <w:tc>
          <w:tcPr>
            <w:tcBorders>
              <w:top w:val="single" w:color="auto" w:sz="4" w:space="0"/>
              <w:left w:val="single" w:color="auto" w:sz="4" w:space="0"/>
              <w:bottom w:val="single" w:color="auto" w:sz="4" w:space="0"/>
              <w:right w:val="single" w:color="auto" w:sz="4" w:space="0"/>
            </w:tcBorders>
            <w:tcW w:w="572"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一</w:t>
            </w:r>
            <w:r/>
          </w:p>
        </w:tc>
        <w:tc>
          <w:tcPr>
            <w:tcBorders>
              <w:top w:val="single" w:color="auto" w:sz="4" w:space="0"/>
              <w:left w:val="single" w:color="auto" w:sz="4" w:space="0"/>
              <w:bottom w:val="single" w:color="auto" w:sz="4" w:space="0"/>
              <w:right w:val="single" w:color="auto" w:sz="4" w:space="0"/>
            </w:tcBorders>
            <w:tcW w:w="1114"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lang w:eastAsia="zh-CN"/>
                <w14:ligatures w14:val="none"/>
              </w:rPr>
            </w:pPr>
            <w:r>
              <w:rPr>
                <w:rFonts w:hint="eastAsia" w:ascii="宋体" w:hAnsi="宋体" w:eastAsia="宋体" w:cs="宋体"/>
                <w:color w:val="auto"/>
                <w:sz w:val="21"/>
                <w:szCs w:val="21"/>
                <w:highlight w:val="none"/>
                <w14:ligatures w14:val="none"/>
              </w:rPr>
              <w:t xml:space="preserve">价格部分</w:t>
            </w:r>
            <w:r>
              <w:rPr>
                <w:rFonts w:hint="eastAsia" w:ascii="宋体" w:hAnsi="宋体" w:eastAsia="宋体" w:cs="宋体"/>
                <w:color w:val="auto"/>
                <w:sz w:val="21"/>
                <w:szCs w:val="21"/>
                <w:highlight w:val="none"/>
                <w:lang w:eastAsia="zh-CN"/>
                <w14:ligatures w14:val="none"/>
              </w:rPr>
              <w:t xml:space="preserve">（</w:t>
            </w:r>
            <w:r>
              <w:rPr>
                <w:rFonts w:hint="eastAsia" w:ascii="宋体" w:hAnsi="宋体" w:eastAsia="宋体" w:cs="宋体"/>
                <w:color w:val="auto"/>
                <w:sz w:val="21"/>
                <w:szCs w:val="21"/>
                <w:highlight w:val="none"/>
                <w:lang w:val="en-US" w:eastAsia="zh-CN"/>
                <w14:ligatures w14:val="none"/>
              </w:rPr>
              <w:t xml:space="preserve">15分</w:t>
            </w:r>
            <w:r>
              <w:rPr>
                <w:rFonts w:hint="eastAsia" w:ascii="宋体" w:hAnsi="宋体" w:eastAsia="宋体" w:cs="宋体"/>
                <w:color w:val="auto"/>
                <w:sz w:val="21"/>
                <w:szCs w:val="21"/>
                <w:highlight w:val="none"/>
                <w:lang w:eastAsia="zh-CN"/>
                <w14:ligatures w14:val="none"/>
              </w:rPr>
              <w:t xml:space="preserve">）</w:t>
            </w:r>
            <w:r/>
          </w:p>
        </w:tc>
        <w:tc>
          <w:tcPr>
            <w:tcBorders>
              <w:top w:val="single" w:color="auto" w:sz="4" w:space="0"/>
              <w:left w:val="single" w:color="auto" w:sz="4" w:space="0"/>
              <w:bottom w:val="single" w:color="auto" w:sz="4" w:space="0"/>
              <w:right w:val="single" w:color="auto" w:sz="4" w:space="0"/>
            </w:tcBorders>
            <w:tcW w:w="128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投标报价</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after="0" w:line="240" w:lineRule="auto"/>
              <w:rPr>
                <w:rFonts w:hint="default" w:ascii="宋体" w:hAnsi="宋体" w:eastAsia="宋体" w:cs="宋体"/>
                <w:color w:val="auto"/>
                <w:sz w:val="21"/>
                <w:szCs w:val="21"/>
                <w:highlight w:val="none"/>
                <w:lang w:val="en-US" w:eastAsia="zh-CN"/>
                <w14:ligatures w14:val="none"/>
              </w:rPr>
            </w:pPr>
            <w:r>
              <w:rPr>
                <w:rFonts w:hint="eastAsia" w:ascii="宋体" w:hAnsi="宋体" w:eastAsia="宋体" w:cs="宋体"/>
                <w:color w:val="auto"/>
                <w:sz w:val="21"/>
                <w:szCs w:val="21"/>
                <w:highlight w:val="none"/>
                <w:lang w:val="en-US" w:eastAsia="zh-CN"/>
                <w14:ligatures w14:val="none"/>
              </w:rPr>
              <w:t xml:space="preserve">15</w:t>
            </w:r>
            <w:r/>
          </w:p>
        </w:tc>
        <w:tc>
          <w:tcPr>
            <w:tcBorders>
              <w:top w:val="single" w:color="auto" w:sz="4" w:space="0"/>
              <w:left w:val="single" w:color="auto" w:sz="4" w:space="0"/>
              <w:bottom w:val="single" w:color="auto" w:sz="4" w:space="0"/>
              <w:right w:val="single" w:color="auto" w:sz="4" w:space="0"/>
            </w:tcBorders>
            <w:tcW w:w="4830" w:type="dxa"/>
            <w:vAlign w:val="center"/>
            <w:textDirection w:val="lrTb"/>
            <w:noWrap w:val="false"/>
          </w:tcPr>
          <w:p>
            <w:pPr>
              <w:ind w:firstLine="420"/>
              <w:jc w:val="both"/>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满足招标文件要求且投标价格最低的投标报价为基准价，其价格分为满分。报价得分=（评标基准价/投标报价）×</w:t>
            </w:r>
            <w:r>
              <w:rPr>
                <w:rFonts w:hint="eastAsia" w:ascii="宋体" w:hAnsi="宋体" w:eastAsia="宋体" w:cs="宋体"/>
                <w:color w:val="auto"/>
                <w:sz w:val="21"/>
                <w:szCs w:val="21"/>
                <w:highlight w:val="none"/>
                <w:lang w:val="en-US" w:eastAsia="zh-CN"/>
                <w14:ligatures w14:val="none"/>
              </w:rPr>
              <w:t xml:space="preserve">15</w:t>
            </w:r>
            <w:r>
              <w:rPr>
                <w:rFonts w:hint="eastAsia" w:ascii="宋体" w:hAnsi="宋体" w:eastAsia="宋体" w:cs="宋体"/>
                <w:color w:val="auto"/>
                <w:sz w:val="21"/>
                <w:szCs w:val="21"/>
                <w:highlight w:val="none"/>
                <w14:ligatures w14:val="none"/>
              </w:rPr>
              <w:t xml:space="preserve">。</w:t>
            </w:r>
            <w:r/>
          </w:p>
        </w:tc>
      </w:tr>
      <w:tr>
        <w:trPr>
          <w:jc w:val="center"/>
          <w:trHeight w:val="626"/>
        </w:trPr>
        <w:tc>
          <w:tcPr>
            <w:tcBorders>
              <w:top w:val="single" w:color="auto" w:sz="4" w:space="0"/>
              <w:left w:val="single" w:color="auto" w:sz="4" w:space="0"/>
              <w:right w:val="single" w:color="auto" w:sz="4" w:space="0"/>
            </w:tcBorders>
            <w:tcW w:w="572" w:type="dxa"/>
            <w:vAlign w:val="center"/>
            <w:vMerge w:val="restart"/>
            <w:textDirection w:val="lrTb"/>
            <w:noWrap w:val="false"/>
          </w:tcPr>
          <w:p>
            <w:pPr>
              <w:jc w:val="center"/>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二</w:t>
            </w:r>
            <w:r/>
          </w:p>
        </w:tc>
        <w:tc>
          <w:tcPr>
            <w:tcBorders>
              <w:top w:val="single" w:color="auto" w:sz="4" w:space="0"/>
              <w:left w:val="single" w:color="auto" w:sz="4" w:space="0"/>
              <w:right w:val="single" w:color="auto" w:sz="4" w:space="0"/>
            </w:tcBorders>
            <w:tcW w:w="1114" w:type="dxa"/>
            <w:vAlign w:val="center"/>
            <w:vMerge w:val="restart"/>
            <w:textDirection w:val="lrTb"/>
            <w:noWrap w:val="false"/>
          </w:tcPr>
          <w:p>
            <w:pPr>
              <w:jc w:val="center"/>
              <w:spacing w:after="0" w:line="240" w:lineRule="auto"/>
              <w:rPr>
                <w:rFonts w:hint="eastAsia" w:ascii="宋体" w:hAnsi="宋体" w:eastAsia="宋体" w:cs="宋体"/>
                <w:color w:val="auto"/>
                <w:sz w:val="21"/>
                <w:szCs w:val="21"/>
                <w:highlight w:val="none"/>
                <w:lang w:eastAsia="zh-CN"/>
                <w14:ligatures w14:val="none"/>
              </w:rPr>
            </w:pPr>
            <w:r>
              <w:rPr>
                <w:rFonts w:hint="eastAsia" w:ascii="宋体" w:hAnsi="宋体" w:eastAsia="宋体" w:cs="宋体"/>
                <w:color w:val="auto"/>
                <w:sz w:val="21"/>
                <w:szCs w:val="21"/>
                <w:highlight w:val="none"/>
                <w14:ligatures w14:val="none"/>
              </w:rPr>
              <w:t xml:space="preserve">技术部分</w:t>
            </w:r>
            <w:r>
              <w:rPr>
                <w:rFonts w:hint="eastAsia" w:ascii="宋体" w:hAnsi="宋体" w:eastAsia="宋体" w:cs="宋体"/>
                <w:color w:val="auto"/>
                <w:sz w:val="21"/>
                <w:szCs w:val="21"/>
                <w:highlight w:val="none"/>
                <w:lang w:eastAsia="zh-CN"/>
                <w14:ligatures w14:val="none"/>
              </w:rPr>
              <w:t xml:space="preserve">（</w:t>
            </w:r>
            <w:r>
              <w:rPr>
                <w:rFonts w:hint="eastAsia" w:ascii="宋体" w:hAnsi="宋体" w:eastAsia="宋体" w:cs="宋体"/>
                <w:color w:val="auto"/>
                <w:sz w:val="21"/>
                <w:szCs w:val="21"/>
                <w:highlight w:val="none"/>
                <w:lang w:val="en-US" w:eastAsia="zh-CN"/>
                <w14:ligatures w14:val="none"/>
              </w:rPr>
              <w:t xml:space="preserve">50分</w:t>
            </w:r>
            <w:r>
              <w:rPr>
                <w:rFonts w:hint="eastAsia" w:ascii="宋体" w:hAnsi="宋体" w:eastAsia="宋体" w:cs="宋体"/>
                <w:color w:val="auto"/>
                <w:sz w:val="21"/>
                <w:szCs w:val="21"/>
                <w:highlight w:val="none"/>
                <w:lang w:eastAsia="zh-CN"/>
                <w14:ligatures w14:val="none"/>
              </w:rPr>
              <w:t xml:space="preserve">）</w:t>
            </w:r>
            <w:r/>
          </w:p>
        </w:tc>
        <w:tc>
          <w:tcPr>
            <w:tcBorders>
              <w:top w:val="single" w:color="auto" w:sz="4" w:space="0"/>
              <w:left w:val="single" w:color="auto" w:sz="4" w:space="0"/>
              <w:right w:val="single" w:color="auto" w:sz="4" w:space="0"/>
            </w:tcBorders>
            <w:tcW w:w="1286" w:type="dxa"/>
            <w:vAlign w:val="center"/>
            <w:textDirection w:val="lrTb"/>
            <w:noWrap w:val="false"/>
          </w:tcPr>
          <w:p>
            <w:pPr>
              <w:ind w:firstLine="105"/>
              <w:jc w:val="both"/>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项目理解</w:t>
            </w:r>
            <w:r/>
          </w:p>
        </w:tc>
        <w:tc>
          <w:tcPr>
            <w:tcBorders>
              <w:top w:val="single" w:color="auto" w:sz="4" w:space="0"/>
              <w:left w:val="single" w:color="auto" w:sz="4" w:space="0"/>
              <w:right w:val="single" w:color="auto" w:sz="4" w:space="0"/>
            </w:tcBorders>
            <w:tcW w:w="735"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lang w:eastAsia="zh-CN"/>
                <w14:ligatures w14:val="none"/>
              </w:rPr>
            </w:pPr>
            <w:r>
              <w:rPr>
                <w:rFonts w:hint="eastAsia" w:ascii="宋体" w:hAnsi="宋体" w:eastAsia="宋体" w:cs="宋体"/>
                <w:color w:val="auto"/>
                <w:sz w:val="21"/>
                <w:szCs w:val="21"/>
                <w:highlight w:val="none"/>
                <w:lang w:val="en-US" w:eastAsia="zh-CN"/>
                <w14:ligatures w14:val="none"/>
              </w:rPr>
              <w:t xml:space="preserve">8</w:t>
            </w:r>
            <w:r/>
          </w:p>
        </w:tc>
        <w:tc>
          <w:tcPr>
            <w:tcBorders>
              <w:top w:val="single" w:color="auto" w:sz="4" w:space="0"/>
              <w:left w:val="single" w:color="auto" w:sz="4" w:space="0"/>
              <w:bottom w:val="single" w:color="auto" w:sz="4" w:space="0"/>
              <w:right w:val="single" w:color="auto" w:sz="4" w:space="0"/>
            </w:tcBorders>
            <w:tcW w:w="4830" w:type="dxa"/>
            <w:vAlign w:val="center"/>
            <w:textDirection w:val="lrTb"/>
            <w:noWrap w:val="false"/>
          </w:tcPr>
          <w:p>
            <w:pPr>
              <w:ind w:firstLine="420"/>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投标单位对现场实地勘察后，对项目现状情况，污水工艺参数、水质数据、设备参数等进行描述，评标委员会根据投标人所报方案是否全面、</w:t>
            </w:r>
            <w:r>
              <w:rPr>
                <w:rFonts w:hint="eastAsia" w:ascii="宋体" w:hAnsi="宋体" w:eastAsia="宋体" w:cs="宋体"/>
                <w:color w:val="auto"/>
                <w:sz w:val="21"/>
                <w:szCs w:val="21"/>
                <w:highlight w:val="none"/>
                <w:lang w:eastAsia="zh-CN"/>
                <w14:ligatures w14:val="none"/>
              </w:rPr>
              <w:t xml:space="preserve">翔实</w:t>
            </w:r>
            <w:r>
              <w:rPr>
                <w:rFonts w:hint="eastAsia" w:ascii="宋体" w:hAnsi="宋体" w:eastAsia="宋体" w:cs="宋体"/>
                <w:color w:val="auto"/>
                <w:sz w:val="21"/>
                <w:szCs w:val="21"/>
                <w:highlight w:val="none"/>
                <w14:ligatures w14:val="none"/>
              </w:rPr>
              <w:t xml:space="preserve">等进行综合评审：</w:t>
            </w:r>
            <w:r/>
          </w:p>
          <w:p>
            <w:pPr>
              <w:ind w:firstLine="420"/>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1.方案完整详尽，专业性、可行性强，考虑周全，思路清晰，符合项目需求该项得</w:t>
            </w:r>
            <w:r>
              <w:rPr>
                <w:rFonts w:hint="eastAsia" w:ascii="宋体" w:hAnsi="宋体" w:eastAsia="宋体" w:cs="宋体"/>
                <w:color w:val="auto"/>
                <w:sz w:val="21"/>
                <w:szCs w:val="21"/>
                <w:highlight w:val="none"/>
                <w:lang w:val="en-US" w:eastAsia="zh-CN"/>
                <w14:ligatures w14:val="none"/>
              </w:rPr>
              <w:t xml:space="preserve">8</w:t>
            </w:r>
            <w:r>
              <w:rPr>
                <w:rFonts w:hint="eastAsia" w:ascii="宋体" w:hAnsi="宋体" w:eastAsia="宋体" w:cs="宋体"/>
                <w:color w:val="auto"/>
                <w:sz w:val="21"/>
                <w:szCs w:val="21"/>
                <w:highlight w:val="none"/>
                <w14:ligatures w14:val="none"/>
              </w:rPr>
              <w:t xml:space="preserve">分；</w:t>
            </w:r>
            <w:r/>
          </w:p>
          <w:p>
            <w:pPr>
              <w:ind w:firstLine="420"/>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2.对项目总体有一定的认识，方案较为完整、细致，思路较清晰，基本符合项目需求，该项得</w:t>
            </w:r>
            <w:r>
              <w:rPr>
                <w:rFonts w:hint="eastAsia" w:ascii="宋体" w:hAnsi="宋体" w:eastAsia="宋体" w:cs="宋体"/>
                <w:color w:val="auto"/>
                <w:sz w:val="21"/>
                <w:szCs w:val="21"/>
                <w:highlight w:val="none"/>
                <w:lang w:val="en-US" w:eastAsia="zh-CN"/>
                <w14:ligatures w14:val="none"/>
              </w:rPr>
              <w:t xml:space="preserve">6</w:t>
            </w:r>
            <w:r>
              <w:rPr>
                <w:rFonts w:hint="eastAsia" w:ascii="宋体" w:hAnsi="宋体" w:eastAsia="宋体" w:cs="宋体"/>
                <w:color w:val="auto"/>
                <w:sz w:val="21"/>
                <w:szCs w:val="21"/>
                <w:highlight w:val="none"/>
                <w14:ligatures w14:val="none"/>
              </w:rPr>
              <w:t xml:space="preserve">分；</w:t>
            </w:r>
            <w:r/>
          </w:p>
          <w:p>
            <w:pPr>
              <w:ind w:firstLine="420"/>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3.方案不细致，欠完善，与项目需求响应度低，项目理解思路一般该项得</w:t>
            </w:r>
            <w:r>
              <w:rPr>
                <w:rFonts w:hint="eastAsia" w:ascii="宋体" w:hAnsi="宋体" w:eastAsia="宋体" w:cs="宋体"/>
                <w:color w:val="auto"/>
                <w:sz w:val="21"/>
                <w:szCs w:val="21"/>
                <w:highlight w:val="none"/>
                <w:lang w:val="en-US" w:eastAsia="zh-CN"/>
                <w14:ligatures w14:val="none"/>
              </w:rPr>
              <w:t xml:space="preserve">4</w:t>
            </w:r>
            <w:r>
              <w:rPr>
                <w:rFonts w:hint="eastAsia" w:ascii="宋体" w:hAnsi="宋体" w:eastAsia="宋体" w:cs="宋体"/>
                <w:color w:val="auto"/>
                <w:sz w:val="21"/>
                <w:szCs w:val="21"/>
                <w:highlight w:val="none"/>
                <w14:ligatures w14:val="none"/>
              </w:rPr>
              <w:t xml:space="preserve">分。</w:t>
            </w:r>
            <w:r/>
          </w:p>
          <w:p>
            <w:pPr>
              <w:ind w:firstLine="420"/>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4.不提供或者经评标委员会不认可的不得分。</w:t>
            </w:r>
            <w:r/>
          </w:p>
        </w:tc>
      </w:tr>
      <w:tr>
        <w:trPr>
          <w:jc w:val="center"/>
          <w:trHeight w:val="385"/>
        </w:trPr>
        <w:tc>
          <w:tcPr>
            <w:tcBorders>
              <w:left w:val="single" w:color="auto" w:sz="4" w:space="0"/>
              <w:right w:val="single" w:color="auto" w:sz="4" w:space="0"/>
            </w:tcBorders>
            <w:tcW w:w="572" w:type="dxa"/>
            <w:vAlign w:val="center"/>
            <w:vMerge w:val="continue"/>
            <w:textDirection w:val="lrTb"/>
            <w:noWrap w:val="false"/>
          </w:tcPr>
          <w:p>
            <w:pPr>
              <w:ind w:firstLine="420"/>
              <w:jc w:val="center"/>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r>
            <w:r/>
          </w:p>
        </w:tc>
        <w:tc>
          <w:tcPr>
            <w:tcBorders>
              <w:left w:val="single" w:color="auto" w:sz="4" w:space="0"/>
              <w:right w:val="single" w:color="auto" w:sz="4" w:space="0"/>
            </w:tcBorders>
            <w:tcW w:w="1114" w:type="dxa"/>
            <w:vAlign w:val="center"/>
            <w:vMerge w:val="continue"/>
            <w:textDirection w:val="lrTb"/>
            <w:noWrap w:val="false"/>
          </w:tcPr>
          <w:p>
            <w:pPr>
              <w:ind w:firstLine="420"/>
              <w:jc w:val="center"/>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r>
            <w:r/>
          </w:p>
        </w:tc>
        <w:tc>
          <w:tcPr>
            <w:tcBorders>
              <w:left w:val="single" w:color="auto" w:sz="4" w:space="0"/>
              <w:bottom w:val="single" w:color="auto" w:sz="4" w:space="0"/>
              <w:right w:val="single" w:color="auto" w:sz="4" w:space="0"/>
            </w:tcBorders>
            <w:tcW w:w="128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重难点分析</w:t>
            </w:r>
            <w:r/>
          </w:p>
        </w:tc>
        <w:tc>
          <w:tcPr>
            <w:tcBorders>
              <w:left w:val="single" w:color="auto" w:sz="4" w:space="0"/>
              <w:bottom w:val="single" w:color="auto" w:sz="4" w:space="0"/>
              <w:right w:val="single" w:color="auto" w:sz="4" w:space="0"/>
            </w:tcBorders>
            <w:tcW w:w="735"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8</w:t>
            </w:r>
            <w:r/>
          </w:p>
        </w:tc>
        <w:tc>
          <w:tcPr>
            <w:tcBorders>
              <w:top w:val="single" w:color="auto" w:sz="4" w:space="0"/>
              <w:left w:val="single" w:color="auto" w:sz="4" w:space="0"/>
              <w:bottom w:val="single" w:color="auto" w:sz="4" w:space="0"/>
              <w:right w:val="single" w:color="auto" w:sz="4" w:space="0"/>
            </w:tcBorders>
            <w:tcW w:w="4830" w:type="dxa"/>
            <w:vAlign w:val="center"/>
            <w:textDirection w:val="lrTb"/>
            <w:noWrap w:val="false"/>
          </w:tcPr>
          <w:p>
            <w:pPr>
              <w:ind w:firstLine="420"/>
              <w:jc w:val="both"/>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评标委员会根据投标人对本项目水质特点、生化系统、膜系统、预处理系统、尾水处理系统等的特点、运维重点、运维难点的分析是否到位、准确、是否能抓住关键要素，解决方法是否合理可行等进行综合评审：</w:t>
            </w:r>
            <w:r/>
          </w:p>
          <w:p>
            <w:pPr>
              <w:ind w:firstLine="420"/>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1.方案完整详尽，专业性、可行性强，考虑周全，思路清晰，符合项目需求该项得8分；</w:t>
            </w:r>
            <w:r/>
          </w:p>
          <w:p>
            <w:pPr>
              <w:ind w:firstLine="420"/>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2.对项目总体有一定的认识，方案较为完整、细致，思路较清晰，基本符合项目需求，该项得6分；</w:t>
            </w:r>
            <w:r/>
          </w:p>
          <w:p>
            <w:pPr>
              <w:ind w:firstLine="420"/>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3.方案不细致，欠完善，与项目需求响应度低，项目理解思路一般该项得4分。</w:t>
            </w:r>
            <w:r/>
          </w:p>
          <w:p>
            <w:pPr>
              <w:ind w:firstLine="420"/>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4.不提供或者经评标委员会不认可的不得分。</w:t>
            </w:r>
            <w:r/>
          </w:p>
        </w:tc>
      </w:tr>
      <w:tr>
        <w:trPr>
          <w:jc w:val="center"/>
          <w:trHeight w:val="626"/>
        </w:trPr>
        <w:tc>
          <w:tcPr>
            <w:tcBorders>
              <w:left w:val="single" w:color="auto" w:sz="4" w:space="0"/>
              <w:right w:val="single" w:color="auto" w:sz="4" w:space="0"/>
            </w:tcBorders>
            <w:tcW w:w="572" w:type="dxa"/>
            <w:vAlign w:val="center"/>
            <w:vMerge w:val="continue"/>
            <w:textDirection w:val="lrTb"/>
            <w:noWrap w:val="false"/>
          </w:tcPr>
          <w:p>
            <w:pPr>
              <w:ind w:firstLine="420"/>
              <w:jc w:val="center"/>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r>
            <w:r/>
          </w:p>
        </w:tc>
        <w:tc>
          <w:tcPr>
            <w:tcBorders>
              <w:left w:val="single" w:color="auto" w:sz="4" w:space="0"/>
              <w:right w:val="single" w:color="auto" w:sz="4" w:space="0"/>
            </w:tcBorders>
            <w:tcW w:w="1114" w:type="dxa"/>
            <w:vAlign w:val="center"/>
            <w:vMerge w:val="continue"/>
            <w:textDirection w:val="lrTb"/>
            <w:noWrap w:val="false"/>
          </w:tcPr>
          <w:p>
            <w:pPr>
              <w:ind w:firstLine="420"/>
              <w:jc w:val="center"/>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r>
            <w:r/>
          </w:p>
        </w:tc>
        <w:tc>
          <w:tcPr>
            <w:tcBorders>
              <w:left w:val="single" w:color="auto" w:sz="4" w:space="0"/>
              <w:bottom w:val="single" w:color="auto" w:sz="4" w:space="0"/>
              <w:right w:val="single" w:color="auto" w:sz="4" w:space="0"/>
            </w:tcBorders>
            <w:tcW w:w="128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运维方案</w:t>
            </w:r>
            <w:r/>
          </w:p>
        </w:tc>
        <w:tc>
          <w:tcPr>
            <w:tcBorders>
              <w:left w:val="single" w:color="auto" w:sz="4" w:space="0"/>
              <w:bottom w:val="single" w:color="auto" w:sz="4" w:space="0"/>
              <w:right w:val="single" w:color="auto" w:sz="4" w:space="0"/>
            </w:tcBorders>
            <w:tcW w:w="735" w:type="dxa"/>
            <w:vAlign w:val="center"/>
            <w:textDirection w:val="lrTb"/>
            <w:noWrap w:val="false"/>
          </w:tcPr>
          <w:p>
            <w:pPr>
              <w:jc w:val="center"/>
              <w:spacing w:after="0" w:line="240" w:lineRule="auto"/>
              <w:rPr>
                <w:rFonts w:hint="default" w:ascii="宋体" w:hAnsi="宋体" w:eastAsia="宋体" w:cs="宋体"/>
                <w:color w:val="auto"/>
                <w:sz w:val="21"/>
                <w:szCs w:val="21"/>
                <w:highlight w:val="none"/>
                <w:lang w:val="en-US" w:eastAsia="zh-CN"/>
                <w14:ligatures w14:val="none"/>
              </w:rPr>
            </w:pPr>
            <w:r>
              <w:rPr>
                <w:rFonts w:hint="eastAsia" w:ascii="宋体" w:hAnsi="宋体" w:eastAsia="宋体" w:cs="宋体"/>
                <w:color w:val="auto"/>
                <w:sz w:val="21"/>
                <w:szCs w:val="21"/>
                <w:highlight w:val="none"/>
                <w:lang w:val="en-US" w:eastAsia="zh-CN"/>
                <w14:ligatures w14:val="none"/>
              </w:rPr>
              <w:t xml:space="preserve">10</w:t>
            </w:r>
            <w:r/>
          </w:p>
        </w:tc>
        <w:tc>
          <w:tcPr>
            <w:tcBorders>
              <w:top w:val="single" w:color="auto" w:sz="4" w:space="0"/>
              <w:left w:val="single" w:color="auto" w:sz="4" w:space="0"/>
              <w:bottom w:val="single" w:color="auto" w:sz="4" w:space="0"/>
              <w:right w:val="single" w:color="auto" w:sz="4" w:space="0"/>
            </w:tcBorders>
            <w:tcW w:w="4830" w:type="dxa"/>
            <w:vAlign w:val="center"/>
            <w:textDirection w:val="lrTb"/>
            <w:noWrap w:val="false"/>
          </w:tcPr>
          <w:p>
            <w:pPr>
              <w:ind w:firstLine="420"/>
              <w:jc w:val="both"/>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评标委员会根据投标人所报方案中运维服务安排、工艺调试计划、水质化验管理、人员配置、激励考核方案、台账制度等措施得力与否、是否切合实际等进行综合评审：</w:t>
            </w:r>
            <w:r/>
          </w:p>
          <w:p>
            <w:pPr>
              <w:ind w:firstLine="420"/>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1.方案完整详尽，专业性、可行性强，考虑周全，思路清晰，符合项目需求该项得</w:t>
            </w:r>
            <w:r>
              <w:rPr>
                <w:rFonts w:hint="eastAsia" w:ascii="宋体" w:hAnsi="宋体" w:eastAsia="宋体" w:cs="宋体"/>
                <w:color w:val="auto"/>
                <w:sz w:val="21"/>
                <w:szCs w:val="21"/>
                <w:highlight w:val="none"/>
                <w:lang w:val="en-US" w:eastAsia="zh-CN"/>
                <w14:ligatures w14:val="none"/>
              </w:rPr>
              <w:t xml:space="preserve">10</w:t>
            </w:r>
            <w:r>
              <w:rPr>
                <w:rFonts w:hint="eastAsia" w:ascii="宋体" w:hAnsi="宋体" w:eastAsia="宋体" w:cs="宋体"/>
                <w:color w:val="auto"/>
                <w:sz w:val="21"/>
                <w:szCs w:val="21"/>
                <w:highlight w:val="none"/>
                <w14:ligatures w14:val="none"/>
              </w:rPr>
              <w:t xml:space="preserve">分；</w:t>
            </w:r>
            <w:r/>
          </w:p>
          <w:p>
            <w:pPr>
              <w:ind w:firstLine="420"/>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2.对项目总体有一定的认识，方案较为完整、细致，思路较清晰，基本符合项目需求，该项得</w:t>
            </w:r>
            <w:r>
              <w:rPr>
                <w:rFonts w:hint="eastAsia" w:ascii="宋体" w:hAnsi="宋体" w:eastAsia="宋体" w:cs="宋体"/>
                <w:color w:val="auto"/>
                <w:sz w:val="21"/>
                <w:szCs w:val="21"/>
                <w:highlight w:val="none"/>
                <w:lang w:val="en-US" w:eastAsia="zh-CN"/>
                <w14:ligatures w14:val="none"/>
              </w:rPr>
              <w:t xml:space="preserve">7</w:t>
            </w:r>
            <w:r>
              <w:rPr>
                <w:rFonts w:hint="eastAsia" w:ascii="宋体" w:hAnsi="宋体" w:eastAsia="宋体" w:cs="宋体"/>
                <w:color w:val="auto"/>
                <w:sz w:val="21"/>
                <w:szCs w:val="21"/>
                <w:highlight w:val="none"/>
                <w14:ligatures w14:val="none"/>
              </w:rPr>
              <w:t xml:space="preserve">分；</w:t>
            </w:r>
            <w:r/>
          </w:p>
          <w:p>
            <w:pPr>
              <w:ind w:firstLine="420"/>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3.方案不细致，欠完善，与项目需求响应度低，项目理解思路一般该项得4分。</w:t>
            </w:r>
            <w:r/>
          </w:p>
          <w:p>
            <w:pPr>
              <w:ind w:firstLine="420"/>
              <w:spacing w:after="0" w:line="240" w:lineRule="auto"/>
              <w:rPr>
                <w:rFonts w:hint="eastAsia" w:ascii="宋体" w:hAnsi="宋体" w:eastAsia="宋体" w:cs="宋体"/>
                <w:color w:val="auto"/>
                <w:sz w:val="21"/>
                <w:highlight w:val="none"/>
                <w14:ligatures w14:val="none"/>
              </w:rPr>
            </w:pPr>
            <w:r>
              <w:rPr>
                <w:rFonts w:hint="eastAsia" w:ascii="宋体" w:hAnsi="宋体" w:eastAsia="宋体" w:cs="宋体"/>
                <w:color w:val="auto"/>
                <w:sz w:val="21"/>
                <w:szCs w:val="21"/>
                <w:highlight w:val="none"/>
                <w14:ligatures w14:val="none"/>
              </w:rPr>
              <w:t xml:space="preserve">4.不提供或者经评标委员会不认可的不得分。</w:t>
            </w:r>
            <w:r/>
          </w:p>
        </w:tc>
      </w:tr>
      <w:tr>
        <w:trPr>
          <w:jc w:val="center"/>
          <w:trHeight w:val="471"/>
        </w:trPr>
        <w:tc>
          <w:tcPr>
            <w:tcBorders>
              <w:left w:val="single" w:color="auto" w:sz="4" w:space="0"/>
              <w:bottom w:val="single" w:color="auto" w:sz="4" w:space="0"/>
              <w:right w:val="single" w:color="auto" w:sz="4" w:space="0"/>
            </w:tcBorders>
            <w:tcW w:w="572" w:type="dxa"/>
            <w:vAlign w:val="center"/>
            <w:vMerge w:val="continue"/>
            <w:textDirection w:val="lrTb"/>
            <w:noWrap w:val="false"/>
          </w:tcPr>
          <w:p>
            <w:pPr>
              <w:ind w:firstLine="420"/>
              <w:jc w:val="center"/>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r>
            <w:r/>
          </w:p>
        </w:tc>
        <w:tc>
          <w:tcPr>
            <w:tcBorders>
              <w:left w:val="single" w:color="auto" w:sz="4" w:space="0"/>
              <w:bottom w:val="single" w:color="auto" w:sz="4" w:space="0"/>
              <w:right w:val="single" w:color="auto" w:sz="4" w:space="0"/>
            </w:tcBorders>
            <w:tcW w:w="1114" w:type="dxa"/>
            <w:vAlign w:val="center"/>
            <w:vMerge w:val="continue"/>
            <w:textDirection w:val="lrTb"/>
            <w:noWrap w:val="false"/>
          </w:tcPr>
          <w:p>
            <w:pPr>
              <w:ind w:firstLine="420"/>
              <w:jc w:val="center"/>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r>
            <w:r/>
          </w:p>
        </w:tc>
        <w:tc>
          <w:tcPr>
            <w:tcBorders>
              <w:left w:val="single" w:color="auto" w:sz="4" w:space="0"/>
              <w:bottom w:val="single" w:color="auto" w:sz="4" w:space="0"/>
              <w:right w:val="single" w:color="auto" w:sz="4" w:space="0"/>
            </w:tcBorders>
            <w:tcW w:w="128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安全措施</w:t>
            </w:r>
            <w:r/>
          </w:p>
        </w:tc>
        <w:tc>
          <w:tcPr>
            <w:tcBorders>
              <w:left w:val="single" w:color="auto" w:sz="4" w:space="0"/>
              <w:bottom w:val="single" w:color="auto" w:sz="4" w:space="0"/>
              <w:right w:val="single" w:color="auto" w:sz="4" w:space="0"/>
            </w:tcBorders>
            <w:tcW w:w="735"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8</w:t>
            </w:r>
            <w:r/>
          </w:p>
        </w:tc>
        <w:tc>
          <w:tcPr>
            <w:tcBorders>
              <w:top w:val="single" w:color="auto" w:sz="4" w:space="0"/>
              <w:left w:val="single" w:color="auto" w:sz="4" w:space="0"/>
              <w:bottom w:val="single" w:color="auto" w:sz="4" w:space="0"/>
              <w:right w:val="single" w:color="auto" w:sz="4" w:space="0"/>
            </w:tcBorders>
            <w:tcW w:w="4830" w:type="dxa"/>
            <w:vAlign w:val="center"/>
            <w:textDirection w:val="lrTb"/>
            <w:noWrap w:val="false"/>
          </w:tcPr>
          <w:p>
            <w:pPr>
              <w:ind w:firstLine="420"/>
              <w:jc w:val="both"/>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评标委员会根据投标人所报方案中安全管理一般制度，电气设备安全操作规程、化学品安排操作安全规程、登高作业安全操作规程、受限空间作业规程等安全控制措施方案是否全面、可靠等进行综合评审：</w:t>
            </w:r>
            <w:r/>
          </w:p>
          <w:p>
            <w:pPr>
              <w:ind w:firstLine="420"/>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1.方案完整详尽，专业性、可行性强，考虑周全，思路清晰，符合项目需求该项得8分；</w:t>
            </w:r>
            <w:r/>
          </w:p>
          <w:p>
            <w:pPr>
              <w:ind w:firstLine="420"/>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2.对项目总体有一定的认识，方案较为完整、细致，思路较清晰，基本符合项目需求，该项得8分；</w:t>
            </w:r>
            <w:r/>
          </w:p>
          <w:p>
            <w:pPr>
              <w:ind w:firstLine="420"/>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3.方案不细致，欠完善，与项目需求响应度低，项目理解思路一般该项得4分。</w:t>
            </w:r>
            <w:r/>
          </w:p>
          <w:p>
            <w:pPr>
              <w:ind w:firstLine="420"/>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4.不提供或者经评标委员会不认可的不得分。</w:t>
            </w:r>
            <w:r/>
          </w:p>
        </w:tc>
      </w:tr>
      <w:tr>
        <w:trPr>
          <w:jc w:val="center"/>
          <w:trHeight w:val="423"/>
        </w:trPr>
        <w:tc>
          <w:tcPr>
            <w:tcBorders>
              <w:left w:val="single" w:color="auto" w:sz="4" w:space="0"/>
              <w:bottom w:val="single" w:color="auto" w:sz="4" w:space="0"/>
              <w:right w:val="single" w:color="auto" w:sz="4" w:space="0"/>
            </w:tcBorders>
            <w:tcW w:w="572" w:type="dxa"/>
            <w:vAlign w:val="center"/>
            <w:vMerge w:val="continue"/>
            <w:textDirection w:val="lrTb"/>
            <w:noWrap w:val="false"/>
          </w:tcPr>
          <w:p>
            <w:pPr>
              <w:ind w:firstLine="420"/>
              <w:jc w:val="center"/>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r>
            <w:r/>
          </w:p>
        </w:tc>
        <w:tc>
          <w:tcPr>
            <w:tcBorders>
              <w:left w:val="single" w:color="auto" w:sz="4" w:space="0"/>
              <w:bottom w:val="single" w:color="auto" w:sz="4" w:space="0"/>
              <w:right w:val="single" w:color="auto" w:sz="4" w:space="0"/>
            </w:tcBorders>
            <w:tcW w:w="1114" w:type="dxa"/>
            <w:vAlign w:val="center"/>
            <w:vMerge w:val="continue"/>
            <w:textDirection w:val="lrTb"/>
            <w:noWrap w:val="false"/>
          </w:tcPr>
          <w:p>
            <w:pPr>
              <w:ind w:firstLine="420"/>
              <w:jc w:val="center"/>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r>
            <w:r/>
          </w:p>
        </w:tc>
        <w:tc>
          <w:tcPr>
            <w:shd w:val="clear" w:color="auto" w:fill="auto"/>
            <w:tcBorders>
              <w:left w:val="single" w:color="auto" w:sz="4" w:space="0"/>
              <w:right w:val="single" w:color="auto" w:sz="4" w:space="0"/>
            </w:tcBorders>
            <w:tcW w:w="128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设备保养方案</w:t>
            </w:r>
            <w:r/>
          </w:p>
        </w:tc>
        <w:tc>
          <w:tcPr>
            <w:shd w:val="clear" w:color="auto" w:fill="auto"/>
            <w:tcBorders>
              <w:left w:val="single" w:color="auto" w:sz="4" w:space="0"/>
              <w:bottom w:val="single" w:color="auto" w:sz="4" w:space="0"/>
              <w:right w:val="single" w:color="auto" w:sz="4" w:space="0"/>
            </w:tcBorders>
            <w:tcW w:w="735"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8</w:t>
            </w:r>
            <w:r/>
          </w:p>
        </w:tc>
        <w:tc>
          <w:tcPr>
            <w:shd w:val="clear" w:color="auto" w:fill="auto"/>
            <w:tcBorders>
              <w:top w:val="single" w:color="auto" w:sz="4" w:space="0"/>
              <w:left w:val="single" w:color="auto" w:sz="4" w:space="0"/>
              <w:right w:val="single" w:color="auto" w:sz="4" w:space="0"/>
            </w:tcBorders>
            <w:tcW w:w="4830" w:type="dxa"/>
            <w:vAlign w:val="center"/>
            <w:textDirection w:val="lrTb"/>
            <w:noWrap w:val="false"/>
          </w:tcPr>
          <w:p>
            <w:pPr>
              <w:ind w:firstLine="420"/>
              <w:jc w:val="both"/>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评标委员会根据投标人对预处理设备、生化设施、膜系统设备，尾水处理设备、通用仪表阀门等设备维保方案及常见故障处理进行综合评审：</w:t>
            </w:r>
            <w:r/>
          </w:p>
          <w:p>
            <w:pPr>
              <w:ind w:firstLine="420"/>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1.方案完整详尽，专业性、可行性强，考虑周全，思路清晰，符合项目需求该项得8分；</w:t>
            </w:r>
            <w:r/>
          </w:p>
          <w:p>
            <w:pPr>
              <w:ind w:firstLine="420"/>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2.对项目总体有一定的认识，方案较为完整、细致，思路较清晰，基本符合项目需求，该项得6分；</w:t>
            </w:r>
            <w:r/>
          </w:p>
          <w:p>
            <w:pPr>
              <w:ind w:firstLine="420"/>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3.方案不细致，欠完善，与项目需求响应度低，项目理解思路一般该项得4分。</w:t>
            </w:r>
            <w:r/>
          </w:p>
          <w:p>
            <w:pPr>
              <w:ind w:firstLine="420"/>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4.不提供或者经评标委员会不认可的不得分。</w:t>
            </w:r>
            <w:r/>
          </w:p>
        </w:tc>
      </w:tr>
      <w:tr>
        <w:trPr>
          <w:jc w:val="center"/>
          <w:trHeight w:val="423"/>
        </w:trPr>
        <w:tc>
          <w:tcPr>
            <w:tcBorders>
              <w:left w:val="single" w:color="auto" w:sz="4" w:space="0"/>
              <w:bottom w:val="single" w:color="auto" w:sz="4" w:space="0"/>
              <w:right w:val="single" w:color="auto" w:sz="4" w:space="0"/>
            </w:tcBorders>
            <w:tcW w:w="572" w:type="dxa"/>
            <w:vAlign w:val="center"/>
            <w:vMerge w:val="continue"/>
            <w:textDirection w:val="lrTb"/>
            <w:noWrap w:val="false"/>
          </w:tcPr>
          <w:p>
            <w:pPr>
              <w:ind w:firstLine="420"/>
              <w:jc w:val="center"/>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r>
            <w:r/>
          </w:p>
        </w:tc>
        <w:tc>
          <w:tcPr>
            <w:tcBorders>
              <w:left w:val="single" w:color="auto" w:sz="4" w:space="0"/>
              <w:bottom w:val="single" w:color="auto" w:sz="4" w:space="0"/>
              <w:right w:val="single" w:color="auto" w:sz="4" w:space="0"/>
            </w:tcBorders>
            <w:tcW w:w="1114" w:type="dxa"/>
            <w:vAlign w:val="center"/>
            <w:vMerge w:val="continue"/>
            <w:textDirection w:val="lrTb"/>
            <w:noWrap w:val="false"/>
          </w:tcPr>
          <w:p>
            <w:pPr>
              <w:ind w:firstLine="420"/>
              <w:jc w:val="center"/>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r>
            <w:r/>
          </w:p>
        </w:tc>
        <w:tc>
          <w:tcPr>
            <w:tcBorders>
              <w:left w:val="single" w:color="auto" w:sz="4" w:space="0"/>
              <w:right w:val="single" w:color="auto" w:sz="4" w:space="0"/>
            </w:tcBorders>
            <w:tcW w:w="128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应急管理</w:t>
            </w:r>
            <w:r/>
          </w:p>
        </w:tc>
        <w:tc>
          <w:tcPr>
            <w:tcBorders>
              <w:left w:val="single" w:color="auto" w:sz="4" w:space="0"/>
              <w:bottom w:val="single" w:color="auto" w:sz="4" w:space="0"/>
              <w:right w:val="single" w:color="auto" w:sz="4" w:space="0"/>
            </w:tcBorders>
            <w:tcW w:w="735"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8</w:t>
            </w:r>
            <w:r/>
          </w:p>
        </w:tc>
        <w:tc>
          <w:tcPr>
            <w:tcBorders>
              <w:top w:val="single" w:color="auto" w:sz="4" w:space="0"/>
              <w:left w:val="single" w:color="auto" w:sz="4" w:space="0"/>
              <w:right w:val="single" w:color="auto" w:sz="4" w:space="0"/>
            </w:tcBorders>
            <w:tcW w:w="4830" w:type="dxa"/>
            <w:vAlign w:val="center"/>
            <w:textDirection w:val="lrTb"/>
            <w:noWrap w:val="false"/>
          </w:tcPr>
          <w:p>
            <w:pPr>
              <w:ind w:firstLine="420"/>
              <w:jc w:val="both"/>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评标委员会根据投标人针对恶劣天气、火灾、人员事故、工艺事故、设备故障等特殊情况下的应急方案的合理性、针对性进行综合评审：</w:t>
            </w:r>
            <w:r/>
          </w:p>
          <w:p>
            <w:pPr>
              <w:ind w:firstLine="420"/>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1.方案完整详尽，专业性、可行性强，考虑周全，思路清晰，符合项目需求该项得8分；</w:t>
            </w:r>
            <w:r/>
          </w:p>
          <w:p>
            <w:pPr>
              <w:ind w:firstLine="420"/>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2.对项目总体有一定的认识，方案较为完整、细致，思路较清晰，基本符合项目需求，该项得6分；</w:t>
            </w:r>
            <w:r/>
          </w:p>
          <w:p>
            <w:pPr>
              <w:ind w:firstLine="420"/>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3.方案不细致，欠完善，与项目需求响应度低，项目理解思路一般该项得4分。</w:t>
            </w:r>
            <w:r/>
          </w:p>
          <w:p>
            <w:pPr>
              <w:ind w:firstLine="420"/>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4.不提供或者经评标委员会不认可的不得分。</w:t>
            </w:r>
            <w:r/>
          </w:p>
        </w:tc>
      </w:tr>
      <w:tr>
        <w:trPr>
          <w:jc w:val="center"/>
          <w:trHeight w:val="195"/>
        </w:trPr>
        <w:tc>
          <w:tcPr>
            <w:tcBorders>
              <w:left w:val="single" w:color="auto" w:sz="4" w:space="0"/>
              <w:right w:val="single" w:color="auto" w:sz="4" w:space="0"/>
            </w:tcBorders>
            <w:tcW w:w="572" w:type="dxa"/>
            <w:vAlign w:val="center"/>
            <w:vMerge w:val="restart"/>
            <w:textDirection w:val="lrTb"/>
            <w:noWrap w:val="false"/>
          </w:tcPr>
          <w:p>
            <w:pPr>
              <w:jc w:val="center"/>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三</w:t>
            </w:r>
            <w:r/>
          </w:p>
        </w:tc>
        <w:tc>
          <w:tcPr>
            <w:tcBorders>
              <w:left w:val="single" w:color="auto" w:sz="4" w:space="0"/>
              <w:right w:val="single" w:color="auto" w:sz="4" w:space="0"/>
            </w:tcBorders>
            <w:tcW w:w="1114" w:type="dxa"/>
            <w:vAlign w:val="center"/>
            <w:vMerge w:val="restart"/>
            <w:textDirection w:val="lrTb"/>
            <w:noWrap w:val="false"/>
          </w:tcPr>
          <w:p>
            <w:pPr>
              <w:jc w:val="center"/>
              <w:spacing w:after="0" w:line="240" w:lineRule="auto"/>
              <w:rPr>
                <w:rFonts w:hint="eastAsia" w:ascii="宋体" w:hAnsi="宋体" w:eastAsia="宋体" w:cs="宋体"/>
                <w:color w:val="auto"/>
                <w:sz w:val="21"/>
                <w:szCs w:val="21"/>
                <w:highlight w:val="none"/>
                <w:lang w:eastAsia="zh-CN"/>
                <w14:ligatures w14:val="none"/>
              </w:rPr>
            </w:pPr>
            <w:r>
              <w:rPr>
                <w:rFonts w:hint="eastAsia" w:ascii="宋体" w:hAnsi="宋体" w:eastAsia="宋体" w:cs="宋体"/>
                <w:color w:val="auto"/>
                <w:sz w:val="21"/>
                <w:szCs w:val="21"/>
                <w:highlight w:val="none"/>
                <w:lang w:val="en-US" w:eastAsia="zh-CN"/>
                <w14:ligatures w14:val="none"/>
              </w:rPr>
              <w:t xml:space="preserve">商务部分（35分）</w:t>
            </w:r>
            <w:r/>
          </w:p>
        </w:tc>
        <w:tc>
          <w:tcPr>
            <w:tcBorders>
              <w:top w:val="single" w:color="auto" w:sz="4" w:space="0"/>
              <w:left w:val="single" w:color="auto" w:sz="4" w:space="0"/>
              <w:bottom w:val="single" w:color="auto" w:sz="4" w:space="0"/>
              <w:right w:val="single" w:color="auto" w:sz="4" w:space="0"/>
            </w:tcBorders>
            <w:tcW w:w="128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企业实力</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lang w:eastAsia="zh-CN"/>
                <w14:ligatures w14:val="none"/>
              </w:rPr>
            </w:pPr>
            <w:r>
              <w:rPr>
                <w:rFonts w:hint="eastAsia" w:ascii="宋体" w:hAnsi="宋体" w:eastAsia="宋体" w:cs="宋体"/>
                <w:color w:val="auto"/>
                <w:sz w:val="21"/>
                <w:szCs w:val="21"/>
                <w:highlight w:val="none"/>
                <w:lang w:val="en-US" w:eastAsia="zh-CN"/>
                <w14:ligatures w14:val="none"/>
              </w:rPr>
              <w:t xml:space="preserve">3</w:t>
            </w:r>
            <w:r/>
          </w:p>
        </w:tc>
        <w:tc>
          <w:tcPr>
            <w:tcBorders>
              <w:top w:val="single" w:color="auto" w:sz="4" w:space="0"/>
              <w:left w:val="single" w:color="auto" w:sz="4" w:space="0"/>
              <w:bottom w:val="single" w:color="auto" w:sz="4" w:space="0"/>
              <w:right w:val="single" w:color="auto" w:sz="4" w:space="0"/>
            </w:tcBorders>
            <w:tcW w:w="4830" w:type="dxa"/>
            <w:vAlign w:val="center"/>
            <w:textDirection w:val="lrTb"/>
            <w:noWrap w:val="false"/>
          </w:tcPr>
          <w:p>
            <w:pPr>
              <w:ind w:firstLine="420"/>
              <w:spacing w:after="0" w:line="240" w:lineRule="auto"/>
              <w:rPr>
                <w:rFonts w:hint="eastAsia" w:ascii="宋体" w:hAnsi="宋体" w:eastAsia="宋体" w:cs="宋体"/>
                <w:color w:val="auto"/>
                <w:sz w:val="21"/>
                <w:highlight w:val="none"/>
                <w14:ligatures w14:val="none"/>
              </w:rPr>
            </w:pPr>
            <w:r>
              <w:rPr>
                <w:rFonts w:hint="eastAsia" w:ascii="宋体" w:hAnsi="宋体" w:eastAsia="宋体" w:cs="宋体"/>
                <w:color w:val="auto"/>
                <w:sz w:val="21"/>
                <w:highlight w:val="none"/>
                <w14:ligatures w14:val="none"/>
              </w:rPr>
              <w:t xml:space="preserve">截至开标时，投标人近两年内取得过全国科技型中小企业认定的得</w:t>
            </w:r>
            <w:r>
              <w:rPr>
                <w:rFonts w:hint="eastAsia" w:ascii="宋体" w:hAnsi="宋体" w:eastAsia="宋体" w:cs="宋体"/>
                <w:color w:val="auto"/>
                <w:sz w:val="21"/>
                <w:highlight w:val="none"/>
                <w:lang w:val="en-US" w:eastAsia="zh-CN"/>
                <w14:ligatures w14:val="none"/>
              </w:rPr>
              <w:t xml:space="preserve">3</w:t>
            </w:r>
            <w:r>
              <w:rPr>
                <w:rFonts w:hint="eastAsia" w:ascii="宋体" w:hAnsi="宋体" w:eastAsia="宋体" w:cs="宋体"/>
                <w:color w:val="auto"/>
                <w:sz w:val="21"/>
                <w:highlight w:val="none"/>
                <w14:ligatures w14:val="none"/>
              </w:rPr>
              <w:t xml:space="preserve">分（投标时须提供全国科技型中小企业查询截图及入库编号，未提供不得分）。</w:t>
            </w:r>
            <w:r/>
          </w:p>
        </w:tc>
      </w:tr>
      <w:tr>
        <w:trPr>
          <w:jc w:val="center"/>
          <w:trHeight w:val="195"/>
        </w:trPr>
        <w:tc>
          <w:tcPr>
            <w:tcBorders>
              <w:left w:val="single" w:color="auto" w:sz="4" w:space="0"/>
              <w:right w:val="single" w:color="auto" w:sz="4" w:space="0"/>
            </w:tcBorders>
            <w:tcW w:w="572" w:type="dxa"/>
            <w:vAlign w:val="center"/>
            <w:vMerge w:val="continue"/>
            <w:textDirection w:val="lrTb"/>
            <w:noWrap w:val="false"/>
          </w:tcPr>
          <w:p>
            <w:pPr>
              <w:jc w:val="center"/>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r>
            <w:r/>
          </w:p>
        </w:tc>
        <w:tc>
          <w:tcPr>
            <w:tcBorders>
              <w:left w:val="single" w:color="auto" w:sz="4" w:space="0"/>
              <w:right w:val="single" w:color="auto" w:sz="4" w:space="0"/>
            </w:tcBorders>
            <w:tcW w:w="1114" w:type="dxa"/>
            <w:vAlign w:val="center"/>
            <w:vMerge w:val="continue"/>
            <w:textDirection w:val="lrTb"/>
            <w:noWrap w:val="false"/>
          </w:tcPr>
          <w:p>
            <w:pPr>
              <w:jc w:val="center"/>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r>
            <w:r/>
          </w:p>
        </w:tc>
        <w:tc>
          <w:tcPr>
            <w:tcBorders>
              <w:top w:val="single" w:color="auto" w:sz="4" w:space="0"/>
              <w:left w:val="single" w:color="auto" w:sz="4" w:space="0"/>
              <w:bottom w:val="single" w:color="auto" w:sz="4" w:space="0"/>
              <w:right w:val="single" w:color="auto" w:sz="4" w:space="0"/>
            </w:tcBorders>
            <w:tcW w:w="128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资质证书</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lang w:eastAsia="zh-CN"/>
                <w14:ligatures w14:val="none"/>
              </w:rPr>
            </w:pPr>
            <w:r>
              <w:rPr>
                <w:rFonts w:hint="eastAsia" w:ascii="宋体" w:hAnsi="宋体" w:eastAsia="宋体" w:cs="宋体"/>
                <w:color w:val="auto"/>
                <w:sz w:val="21"/>
                <w:szCs w:val="21"/>
                <w:highlight w:val="none"/>
                <w:lang w:val="en-US" w:eastAsia="zh-CN"/>
                <w14:ligatures w14:val="none"/>
              </w:rPr>
              <w:t xml:space="preserve">3</w:t>
            </w:r>
            <w:r/>
          </w:p>
        </w:tc>
        <w:tc>
          <w:tcPr>
            <w:tcBorders>
              <w:top w:val="single" w:color="auto" w:sz="4" w:space="0"/>
              <w:left w:val="single" w:color="auto" w:sz="4" w:space="0"/>
              <w:bottom w:val="single" w:color="auto" w:sz="4" w:space="0"/>
              <w:right w:val="single" w:color="auto" w:sz="4" w:space="0"/>
            </w:tcBorders>
            <w:tcW w:w="4830" w:type="dxa"/>
            <w:vAlign w:val="center"/>
            <w:textDirection w:val="lrTb"/>
            <w:noWrap w:val="false"/>
          </w:tcPr>
          <w:p>
            <w:pPr>
              <w:ind w:firstLine="210"/>
              <w:spacing w:after="0" w:line="240" w:lineRule="auto"/>
              <w:rPr>
                <w:rFonts w:hint="eastAsia" w:ascii="宋体" w:hAnsi="宋体" w:eastAsia="宋体" w:cs="宋体"/>
                <w:color w:val="auto"/>
                <w:sz w:val="21"/>
                <w:highlight w:val="none"/>
                <w14:ligatures w14:val="none"/>
              </w:rPr>
            </w:pPr>
            <w:r>
              <w:rPr>
                <w:rFonts w:hint="eastAsia" w:ascii="宋体" w:hAnsi="宋体" w:eastAsia="宋体" w:cs="宋体"/>
                <w:color w:val="auto"/>
                <w:sz w:val="21"/>
                <w:highlight w:val="none"/>
                <w14:ligatures w14:val="none"/>
              </w:rPr>
              <w:t xml:space="preserve">投标人具有第三方征信机构认定的AAA级信用企业证书的得</w:t>
            </w:r>
            <w:r>
              <w:rPr>
                <w:rFonts w:hint="eastAsia" w:ascii="宋体" w:hAnsi="宋体" w:eastAsia="宋体" w:cs="宋体"/>
                <w:color w:val="auto"/>
                <w:sz w:val="21"/>
                <w:highlight w:val="none"/>
                <w:lang w:val="en-US" w:eastAsia="zh-CN"/>
                <w14:ligatures w14:val="none"/>
              </w:rPr>
              <w:t xml:space="preserve">3</w:t>
            </w:r>
            <w:r>
              <w:rPr>
                <w:rFonts w:hint="eastAsia" w:ascii="宋体" w:hAnsi="宋体" w:eastAsia="宋体" w:cs="宋体"/>
                <w:color w:val="auto"/>
                <w:sz w:val="21"/>
                <w:highlight w:val="none"/>
                <w14:ligatures w14:val="none"/>
              </w:rPr>
              <w:t xml:space="preserve">分（提供证书扫描件，未提供不得分）。</w:t>
            </w:r>
            <w:r/>
          </w:p>
        </w:tc>
      </w:tr>
      <w:tr>
        <w:trPr>
          <w:jc w:val="center"/>
          <w:trHeight w:val="127"/>
        </w:trPr>
        <w:tc>
          <w:tcPr>
            <w:tcBorders>
              <w:left w:val="single" w:color="auto" w:sz="4" w:space="0"/>
              <w:right w:val="single" w:color="auto" w:sz="4" w:space="0"/>
            </w:tcBorders>
            <w:tcW w:w="572" w:type="dxa"/>
            <w:vAlign w:val="center"/>
            <w:vMerge w:val="continue"/>
            <w:textDirection w:val="lrTb"/>
            <w:noWrap w:val="false"/>
          </w:tcPr>
          <w:p>
            <w:pPr>
              <w:jc w:val="center"/>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r>
            <w:r/>
          </w:p>
        </w:tc>
        <w:tc>
          <w:tcPr>
            <w:tcBorders>
              <w:left w:val="single" w:color="auto" w:sz="4" w:space="0"/>
              <w:right w:val="single" w:color="auto" w:sz="4" w:space="0"/>
            </w:tcBorders>
            <w:tcW w:w="1114" w:type="dxa"/>
            <w:vAlign w:val="center"/>
            <w:vMerge w:val="continue"/>
            <w:textDirection w:val="lrTb"/>
            <w:noWrap w:val="false"/>
          </w:tcPr>
          <w:p>
            <w:pPr>
              <w:jc w:val="center"/>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r>
            <w:r/>
          </w:p>
        </w:tc>
        <w:tc>
          <w:tcPr>
            <w:tcBorders>
              <w:top w:val="single" w:color="auto" w:sz="4" w:space="0"/>
              <w:left w:val="single" w:color="auto" w:sz="4" w:space="0"/>
              <w:bottom w:val="single" w:color="auto" w:sz="4" w:space="0"/>
              <w:right w:val="single" w:color="auto" w:sz="4" w:space="0"/>
            </w:tcBorders>
            <w:tcW w:w="128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专利技术</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10</w:t>
            </w:r>
            <w:r/>
          </w:p>
        </w:tc>
        <w:tc>
          <w:tcPr>
            <w:tcBorders>
              <w:top w:val="single" w:color="auto" w:sz="4" w:space="0"/>
              <w:left w:val="single" w:color="auto" w:sz="4" w:space="0"/>
              <w:bottom w:val="single" w:color="auto" w:sz="4" w:space="0"/>
              <w:right w:val="single" w:color="auto" w:sz="4" w:space="0"/>
            </w:tcBorders>
            <w:tcW w:w="4830" w:type="dxa"/>
            <w:vAlign w:val="center"/>
            <w:textDirection w:val="lrTb"/>
            <w:noWrap w:val="false"/>
          </w:tcPr>
          <w:p>
            <w:pPr>
              <w:ind w:firstLine="420"/>
              <w:spacing w:after="0" w:line="240" w:lineRule="auto"/>
              <w:rPr>
                <w:rFonts w:hint="eastAsia" w:ascii="宋体" w:hAnsi="宋体" w:eastAsia="宋体" w:cs="宋体"/>
                <w:color w:val="auto"/>
                <w:sz w:val="21"/>
                <w:highlight w:val="none"/>
                <w14:ligatures w14:val="none"/>
              </w:rPr>
            </w:pPr>
            <w:r>
              <w:rPr>
                <w:rFonts w:hint="eastAsia" w:ascii="宋体" w:hAnsi="宋体" w:eastAsia="宋体" w:cs="宋体"/>
                <w:color w:val="auto"/>
                <w:sz w:val="21"/>
                <w:highlight w:val="none"/>
                <w14:ligatures w14:val="none"/>
              </w:rPr>
              <w:t xml:space="preserve">1.投标人</w:t>
            </w:r>
            <w:r>
              <w:rPr>
                <w:rFonts w:hint="eastAsia" w:ascii="宋体" w:hAnsi="宋体" w:eastAsia="宋体" w:cs="宋体"/>
                <w:color w:val="auto"/>
                <w:sz w:val="21"/>
                <w:highlight w:val="none"/>
                <w:lang w:val="en-US" w:eastAsia="zh-CN"/>
                <w14:ligatures w14:val="none"/>
              </w:rPr>
              <w:t xml:space="preserve">具有</w:t>
            </w:r>
            <w:r>
              <w:rPr>
                <w:rFonts w:hint="eastAsia" w:ascii="宋体" w:hAnsi="宋体" w:eastAsia="宋体" w:cs="宋体"/>
                <w:color w:val="auto"/>
                <w:sz w:val="21"/>
                <w:highlight w:val="none"/>
                <w14:ligatures w14:val="none"/>
              </w:rPr>
              <w:t xml:space="preserve">三维微电</w:t>
            </w:r>
            <w:r>
              <w:rPr>
                <w:rFonts w:hint="eastAsia" w:ascii="宋体" w:hAnsi="宋体" w:eastAsia="宋体" w:cs="宋体"/>
                <w:color w:val="auto"/>
                <w:sz w:val="21"/>
                <w:highlight w:val="none"/>
                <w:lang w:val="en-US" w:eastAsia="zh-CN"/>
                <w14:ligatures w14:val="none"/>
              </w:rPr>
              <w:t xml:space="preserve">解</w:t>
            </w:r>
            <w:r>
              <w:rPr>
                <w:rFonts w:hint="eastAsia" w:ascii="宋体" w:hAnsi="宋体" w:eastAsia="宋体" w:cs="宋体"/>
                <w:color w:val="auto"/>
                <w:sz w:val="21"/>
                <w:highlight w:val="none"/>
                <w14:ligatures w14:val="none"/>
              </w:rPr>
              <w:t xml:space="preserve">装置相关专利，专利处于有效期内，有一个加5分，最多得5分</w:t>
            </w:r>
            <w:r>
              <w:rPr>
                <w:rFonts w:hint="eastAsia" w:ascii="宋体" w:hAnsi="宋体" w:eastAsia="宋体" w:cs="宋体"/>
                <w:color w:val="auto"/>
                <w:sz w:val="21"/>
                <w:highlight w:val="none"/>
                <w:lang w:eastAsia="zh-CN"/>
                <w14:ligatures w14:val="none"/>
              </w:rPr>
              <w:t xml:space="preserve">（</w:t>
            </w:r>
            <w:r>
              <w:rPr>
                <w:rFonts w:hint="eastAsia" w:ascii="宋体" w:hAnsi="宋体" w:eastAsia="宋体" w:cs="宋体"/>
                <w:color w:val="auto"/>
                <w:sz w:val="21"/>
                <w:highlight w:val="none"/>
                <w14:ligatures w14:val="none"/>
              </w:rPr>
              <w:t xml:space="preserve">投标时提供专利证书扫描件及相关专利检索“摘要”内容截图。未提供或不能体现相关内容的不得分</w:t>
            </w:r>
            <w:r>
              <w:rPr>
                <w:rFonts w:hint="eastAsia" w:ascii="宋体" w:hAnsi="宋体" w:eastAsia="宋体" w:cs="宋体"/>
                <w:color w:val="auto"/>
                <w:sz w:val="21"/>
                <w:highlight w:val="none"/>
                <w:lang w:eastAsia="zh-CN"/>
                <w14:ligatures w14:val="none"/>
              </w:rPr>
              <w:t xml:space="preserve">）</w:t>
            </w:r>
            <w:r>
              <w:rPr>
                <w:rFonts w:hint="eastAsia" w:ascii="宋体" w:hAnsi="宋体" w:eastAsia="宋体" w:cs="宋体"/>
                <w:color w:val="auto"/>
                <w:sz w:val="21"/>
                <w:highlight w:val="none"/>
                <w14:ligatures w14:val="none"/>
              </w:rPr>
              <w:t xml:space="preserve">。</w:t>
            </w:r>
            <w:r/>
          </w:p>
          <w:p>
            <w:pPr>
              <w:ind w:firstLine="420"/>
              <w:spacing w:after="0" w:line="240" w:lineRule="auto"/>
              <w:rPr>
                <w:rFonts w:hint="eastAsia" w:ascii="宋体" w:hAnsi="宋体" w:eastAsia="宋体" w:cs="宋体"/>
                <w:color w:val="auto"/>
                <w:sz w:val="21"/>
                <w:highlight w:val="none"/>
                <w14:ligatures w14:val="none"/>
              </w:rPr>
            </w:pPr>
            <w:r>
              <w:rPr>
                <w:rFonts w:hint="eastAsia" w:ascii="宋体" w:hAnsi="宋体" w:eastAsia="宋体" w:cs="宋体"/>
                <w:color w:val="auto"/>
                <w:sz w:val="21"/>
                <w:highlight w:val="none"/>
                <w14:ligatures w14:val="none"/>
              </w:rPr>
              <w:t xml:space="preserve">2.投标人</w:t>
            </w:r>
            <w:r>
              <w:rPr>
                <w:rFonts w:hint="eastAsia" w:ascii="宋体" w:hAnsi="宋体" w:eastAsia="宋体" w:cs="宋体"/>
                <w:color w:val="auto"/>
                <w:sz w:val="21"/>
                <w:highlight w:val="none"/>
                <w:lang w:val="en-US" w:eastAsia="zh-CN"/>
                <w14:ligatures w14:val="none"/>
              </w:rPr>
              <w:t xml:space="preserve">具有</w:t>
            </w:r>
            <w:r>
              <w:rPr>
                <w:rFonts w:hint="eastAsia" w:ascii="宋体" w:hAnsi="宋体" w:eastAsia="宋体" w:cs="宋体"/>
                <w:color w:val="auto"/>
                <w:sz w:val="21"/>
                <w:highlight w:val="none"/>
                <w14:ligatures w14:val="none"/>
              </w:rPr>
              <w:t xml:space="preserve">芬顿氧化装置相关专利，专利处于有效期内，有一个加5分，最多得5分</w:t>
            </w:r>
            <w:r>
              <w:rPr>
                <w:rFonts w:hint="eastAsia" w:ascii="宋体" w:hAnsi="宋体" w:eastAsia="宋体" w:cs="宋体"/>
                <w:color w:val="auto"/>
                <w:sz w:val="21"/>
                <w:highlight w:val="none"/>
                <w:lang w:eastAsia="zh-CN"/>
                <w14:ligatures w14:val="none"/>
              </w:rPr>
              <w:t xml:space="preserve">（</w:t>
            </w:r>
            <w:r>
              <w:rPr>
                <w:rFonts w:hint="eastAsia" w:ascii="宋体" w:hAnsi="宋体" w:eastAsia="宋体" w:cs="宋体"/>
                <w:color w:val="auto"/>
                <w:sz w:val="21"/>
                <w:highlight w:val="none"/>
                <w14:ligatures w14:val="none"/>
              </w:rPr>
              <w:t xml:space="preserve">投标时提供专利证书扫描件及相关专利检索“摘要”内容截图，未提供或不能体现相关内容的不得分</w:t>
            </w:r>
            <w:r>
              <w:rPr>
                <w:rFonts w:hint="eastAsia" w:ascii="宋体" w:hAnsi="宋体" w:eastAsia="宋体" w:cs="宋体"/>
                <w:color w:val="auto"/>
                <w:sz w:val="21"/>
                <w:highlight w:val="none"/>
                <w:lang w:eastAsia="zh-CN"/>
                <w14:ligatures w14:val="none"/>
              </w:rPr>
              <w:t xml:space="preserve">）</w:t>
            </w:r>
            <w:r>
              <w:rPr>
                <w:rFonts w:hint="eastAsia" w:ascii="宋体" w:hAnsi="宋体" w:eastAsia="宋体" w:cs="宋体"/>
                <w:color w:val="auto"/>
                <w:sz w:val="21"/>
                <w:highlight w:val="none"/>
                <w14:ligatures w14:val="none"/>
              </w:rPr>
              <w:t xml:space="preserve">。</w:t>
            </w:r>
            <w:r/>
          </w:p>
        </w:tc>
      </w:tr>
      <w:tr>
        <w:trPr>
          <w:jc w:val="center"/>
          <w:trHeight w:val="1301"/>
        </w:trPr>
        <w:tc>
          <w:tcPr>
            <w:tcBorders>
              <w:left w:val="single" w:color="auto" w:sz="4" w:space="0"/>
              <w:right w:val="single" w:color="auto" w:sz="4" w:space="0"/>
            </w:tcBorders>
            <w:tcW w:w="572" w:type="dxa"/>
            <w:vAlign w:val="center"/>
            <w:vMerge w:val="continue"/>
            <w:textDirection w:val="lrTb"/>
            <w:noWrap w:val="false"/>
          </w:tcPr>
          <w:p>
            <w:pPr>
              <w:jc w:val="center"/>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r>
            <w:r/>
          </w:p>
        </w:tc>
        <w:tc>
          <w:tcPr>
            <w:tcBorders>
              <w:left w:val="single" w:color="auto" w:sz="4" w:space="0"/>
              <w:right w:val="single" w:color="auto" w:sz="4" w:space="0"/>
            </w:tcBorders>
            <w:tcW w:w="1114" w:type="dxa"/>
            <w:vAlign w:val="center"/>
            <w:vMerge w:val="continue"/>
            <w:textDirection w:val="lrTb"/>
            <w:noWrap w:val="false"/>
          </w:tcPr>
          <w:p>
            <w:pPr>
              <w:jc w:val="center"/>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r>
            <w:r/>
          </w:p>
        </w:tc>
        <w:tc>
          <w:tcPr>
            <w:tcBorders>
              <w:top w:val="single" w:color="auto" w:sz="4" w:space="0"/>
              <w:left w:val="single" w:color="auto" w:sz="4" w:space="0"/>
              <w:right w:val="single" w:color="auto" w:sz="4" w:space="0"/>
            </w:tcBorders>
            <w:tcW w:w="1286" w:type="dxa"/>
            <w:vAlign w:val="center"/>
            <w:vMerge w:val="restart"/>
            <w:textDirection w:val="lrTb"/>
            <w:noWrap w:val="false"/>
          </w:tcPr>
          <w:p>
            <w:pPr>
              <w:jc w:val="center"/>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团队人员</w:t>
            </w:r>
            <w:r/>
          </w:p>
        </w:tc>
        <w:tc>
          <w:tcPr>
            <w:tcBorders>
              <w:top w:val="single" w:color="auto" w:sz="4" w:space="0"/>
              <w:left w:val="single" w:color="auto" w:sz="4" w:space="0"/>
              <w:right w:val="single" w:color="auto" w:sz="4" w:space="0"/>
            </w:tcBorders>
            <w:tcW w:w="735"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14:ligatures w14:val="none"/>
              </w:rPr>
            </w:pPr>
            <w:r>
              <w:rPr>
                <w:rFonts w:hint="eastAsia" w:ascii="仿宋" w:hAnsi="仿宋" w:eastAsia="仿宋" w:cs="仿宋"/>
                <w:color w:val="auto"/>
                <w:sz w:val="21"/>
                <w:szCs w:val="21"/>
                <w:highlight w:val="none"/>
                <w14:ligatures w14:val="none"/>
              </w:rPr>
              <w:t xml:space="preserve">4</w:t>
            </w:r>
            <w:r/>
          </w:p>
        </w:tc>
        <w:tc>
          <w:tcPr>
            <w:tcBorders>
              <w:top w:val="single" w:color="auto" w:sz="4" w:space="0"/>
              <w:left w:val="single" w:color="auto" w:sz="4" w:space="0"/>
              <w:bottom w:val="single" w:color="auto" w:sz="4" w:space="0"/>
              <w:right w:val="single" w:color="auto" w:sz="4" w:space="0"/>
            </w:tcBorders>
            <w:tcW w:w="4830" w:type="dxa"/>
            <w:vAlign w:val="center"/>
            <w:textDirection w:val="lrTb"/>
            <w:noWrap w:val="false"/>
          </w:tcPr>
          <w:p>
            <w:pPr>
              <w:ind w:firstLine="420"/>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项目负责人具有市政工程类建造师资格证书且具有注册咨询工程师职业资格证书的加4分（投标时提供相关人员证书扫描件及社保缴费凭证，未提供不得分）。</w:t>
            </w:r>
            <w:r/>
          </w:p>
        </w:tc>
      </w:tr>
      <w:tr>
        <w:trPr>
          <w:jc w:val="center"/>
          <w:trHeight w:val="90"/>
        </w:trPr>
        <w:tc>
          <w:tcPr>
            <w:tcBorders>
              <w:left w:val="single" w:color="auto" w:sz="4" w:space="0"/>
              <w:right w:val="single" w:color="auto" w:sz="4" w:space="0"/>
            </w:tcBorders>
            <w:tcW w:w="572" w:type="dxa"/>
            <w:vAlign w:val="center"/>
            <w:vMerge w:val="continue"/>
            <w:textDirection w:val="lrTb"/>
            <w:noWrap w:val="false"/>
          </w:tcPr>
          <w:p>
            <w:pPr>
              <w:jc w:val="center"/>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r>
            <w:r/>
          </w:p>
        </w:tc>
        <w:tc>
          <w:tcPr>
            <w:tcBorders>
              <w:left w:val="single" w:color="auto" w:sz="4" w:space="0"/>
              <w:right w:val="single" w:color="auto" w:sz="4" w:space="0"/>
            </w:tcBorders>
            <w:tcW w:w="1114" w:type="dxa"/>
            <w:vAlign w:val="center"/>
            <w:vMerge w:val="continue"/>
            <w:textDirection w:val="lrTb"/>
            <w:noWrap w:val="false"/>
          </w:tcPr>
          <w:p>
            <w:pPr>
              <w:jc w:val="center"/>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r>
            <w:r/>
          </w:p>
        </w:tc>
        <w:tc>
          <w:tcPr>
            <w:tcBorders>
              <w:left w:val="single" w:color="auto" w:sz="4" w:space="0"/>
              <w:right w:val="single" w:color="auto" w:sz="4" w:space="0"/>
            </w:tcBorders>
            <w:tcW w:w="1286" w:type="dxa"/>
            <w:vAlign w:val="center"/>
            <w:vMerge w:val="continue"/>
            <w:textDirection w:val="lrTb"/>
            <w:noWrap w:val="false"/>
          </w:tcPr>
          <w:p>
            <w:pPr>
              <w:jc w:val="center"/>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r>
            <w:r/>
          </w:p>
        </w:tc>
        <w:tc>
          <w:tcPr>
            <w:tcBorders>
              <w:top w:val="single" w:color="auto" w:sz="4" w:space="0"/>
              <w:left w:val="single" w:color="auto" w:sz="4" w:space="0"/>
              <w:right w:val="single" w:color="auto" w:sz="4" w:space="0"/>
            </w:tcBorders>
            <w:tcW w:w="735"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14:ligatures w14:val="none"/>
              </w:rPr>
            </w:pPr>
            <w:r>
              <w:rPr>
                <w:rFonts w:hint="eastAsia" w:ascii="仿宋" w:hAnsi="仿宋" w:eastAsia="仿宋" w:cs="仿宋"/>
                <w:color w:val="auto"/>
                <w:sz w:val="21"/>
                <w:szCs w:val="21"/>
                <w:highlight w:val="none"/>
                <w14:ligatures w14:val="none"/>
              </w:rPr>
              <w:t xml:space="preserve">3</w:t>
            </w:r>
            <w:r/>
          </w:p>
        </w:tc>
        <w:tc>
          <w:tcPr>
            <w:tcBorders>
              <w:top w:val="single" w:color="auto" w:sz="4" w:space="0"/>
              <w:left w:val="single" w:color="auto" w:sz="4" w:space="0"/>
              <w:bottom w:val="single" w:color="auto" w:sz="4" w:space="0"/>
              <w:right w:val="single" w:color="auto" w:sz="4" w:space="0"/>
            </w:tcBorders>
            <w:tcW w:w="4830" w:type="dxa"/>
            <w:vAlign w:val="center"/>
            <w:textDirection w:val="lrTb"/>
            <w:noWrap w:val="false"/>
          </w:tcPr>
          <w:p>
            <w:pPr>
              <w:ind w:firstLine="420"/>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技术负责人具有环境工程类高级工程师职称证书的得3分（投标时提供相关人员证书扫描件及社保缴费凭证，未提供不得分）。</w:t>
            </w:r>
            <w:r/>
          </w:p>
        </w:tc>
      </w:tr>
      <w:tr>
        <w:trPr>
          <w:jc w:val="center"/>
          <w:trHeight w:val="90"/>
        </w:trPr>
        <w:tc>
          <w:tcPr>
            <w:tcBorders>
              <w:left w:val="single" w:color="auto" w:sz="4" w:space="0"/>
              <w:right w:val="single" w:color="auto" w:sz="4" w:space="0"/>
            </w:tcBorders>
            <w:tcW w:w="572" w:type="dxa"/>
            <w:vAlign w:val="center"/>
            <w:vMerge w:val="continue"/>
            <w:textDirection w:val="lrTb"/>
            <w:noWrap w:val="false"/>
          </w:tcPr>
          <w:p>
            <w:pPr>
              <w:jc w:val="center"/>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r>
            <w:r/>
          </w:p>
        </w:tc>
        <w:tc>
          <w:tcPr>
            <w:tcBorders>
              <w:left w:val="single" w:color="auto" w:sz="4" w:space="0"/>
              <w:right w:val="single" w:color="auto" w:sz="4" w:space="0"/>
            </w:tcBorders>
            <w:tcW w:w="1114" w:type="dxa"/>
            <w:vAlign w:val="center"/>
            <w:vMerge w:val="continue"/>
            <w:textDirection w:val="lrTb"/>
            <w:noWrap w:val="false"/>
          </w:tcPr>
          <w:p>
            <w:pPr>
              <w:jc w:val="center"/>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r>
            <w:r/>
          </w:p>
        </w:tc>
        <w:tc>
          <w:tcPr>
            <w:tcBorders>
              <w:left w:val="single" w:color="auto" w:sz="4" w:space="0"/>
              <w:right w:val="single" w:color="auto" w:sz="4" w:space="0"/>
            </w:tcBorders>
            <w:tcW w:w="1286" w:type="dxa"/>
            <w:vAlign w:val="center"/>
            <w:vMerge w:val="continue"/>
            <w:textDirection w:val="lrTb"/>
            <w:noWrap w:val="false"/>
          </w:tcPr>
          <w:p>
            <w:pPr>
              <w:jc w:val="center"/>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r>
            <w:r/>
          </w:p>
        </w:tc>
        <w:tc>
          <w:tcPr>
            <w:tcBorders>
              <w:top w:val="single" w:color="auto" w:sz="4" w:space="0"/>
              <w:left w:val="single" w:color="auto" w:sz="4" w:space="0"/>
              <w:right w:val="single" w:color="auto" w:sz="4" w:space="0"/>
            </w:tcBorders>
            <w:tcW w:w="735"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14:ligatures w14:val="none"/>
              </w:rPr>
            </w:pPr>
            <w:r>
              <w:rPr>
                <w:rFonts w:hint="eastAsia" w:ascii="仿宋" w:hAnsi="仿宋" w:eastAsia="仿宋" w:cs="仿宋"/>
                <w:color w:val="auto"/>
                <w:sz w:val="21"/>
                <w:szCs w:val="21"/>
                <w:highlight w:val="none"/>
                <w14:ligatures w14:val="none"/>
              </w:rPr>
              <w:t xml:space="preserve">6</w:t>
            </w:r>
            <w:r/>
          </w:p>
        </w:tc>
        <w:tc>
          <w:tcPr>
            <w:tcBorders>
              <w:top w:val="single" w:color="auto" w:sz="4" w:space="0"/>
              <w:left w:val="single" w:color="auto" w:sz="4" w:space="0"/>
              <w:bottom w:val="single" w:color="auto" w:sz="4" w:space="0"/>
              <w:right w:val="single" w:color="auto" w:sz="4" w:space="0"/>
            </w:tcBorders>
            <w:tcW w:w="4830" w:type="dxa"/>
            <w:vAlign w:val="center"/>
            <w:textDirection w:val="lrTb"/>
            <w:noWrap w:val="false"/>
          </w:tcPr>
          <w:p>
            <w:pPr>
              <w:ind w:firstLine="420"/>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团队人员具有电力化学类工程师职称证书、电焊工作业资格证书的有一类加3分，最多得6分。一人具有多个资格证书的仅按其中一项加分，不重复累加；多人具有同一类资格证书的，仅按1人加分，不重复累加（投标时提供相关人员证书扫描件及社保缴费凭证，未提供不得分）。</w:t>
            </w:r>
            <w:r/>
          </w:p>
        </w:tc>
      </w:tr>
      <w:tr>
        <w:trPr>
          <w:jc w:val="center"/>
          <w:trHeight w:val="552"/>
        </w:trPr>
        <w:tc>
          <w:tcPr>
            <w:tcBorders>
              <w:left w:val="single" w:color="auto" w:sz="4" w:space="0"/>
              <w:right w:val="single" w:color="auto" w:sz="4" w:space="0"/>
            </w:tcBorders>
            <w:tcW w:w="572" w:type="dxa"/>
            <w:vAlign w:val="center"/>
            <w:vMerge w:val="continue"/>
            <w:textDirection w:val="lrTb"/>
            <w:noWrap w:val="false"/>
          </w:tcPr>
          <w:p>
            <w:pPr>
              <w:jc w:val="center"/>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r>
            <w:r/>
          </w:p>
        </w:tc>
        <w:tc>
          <w:tcPr>
            <w:tcBorders>
              <w:left w:val="single" w:color="auto" w:sz="4" w:space="0"/>
              <w:right w:val="single" w:color="auto" w:sz="4" w:space="0"/>
            </w:tcBorders>
            <w:tcW w:w="1114" w:type="dxa"/>
            <w:vAlign w:val="center"/>
            <w:vMerge w:val="continue"/>
            <w:textDirection w:val="lrTb"/>
            <w:noWrap w:val="false"/>
          </w:tcPr>
          <w:p>
            <w:pPr>
              <w:jc w:val="center"/>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r>
            <w:r/>
          </w:p>
        </w:tc>
        <w:tc>
          <w:tcPr>
            <w:tcBorders>
              <w:top w:val="single" w:color="auto" w:sz="4" w:space="0"/>
              <w:left w:val="single" w:color="auto" w:sz="4" w:space="0"/>
              <w:right w:val="single" w:color="auto" w:sz="4" w:space="0"/>
            </w:tcBorders>
            <w:tcW w:w="128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类似业绩</w:t>
            </w:r>
            <w:r/>
          </w:p>
        </w:tc>
        <w:tc>
          <w:tcPr>
            <w:tcBorders>
              <w:top w:val="single" w:color="auto" w:sz="4" w:space="0"/>
              <w:left w:val="single" w:color="auto" w:sz="4" w:space="0"/>
              <w:right w:val="single" w:color="auto" w:sz="4" w:space="0"/>
            </w:tcBorders>
            <w:tcW w:w="735"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6</w:t>
            </w:r>
            <w:r/>
          </w:p>
        </w:tc>
        <w:tc>
          <w:tcPr>
            <w:tcBorders>
              <w:top w:val="single" w:color="auto" w:sz="4" w:space="0"/>
              <w:left w:val="single" w:color="auto" w:sz="4" w:space="0"/>
              <w:bottom w:val="single" w:color="auto" w:sz="4" w:space="0"/>
              <w:right w:val="single" w:color="auto" w:sz="4" w:space="0"/>
            </w:tcBorders>
            <w:tcW w:w="4830" w:type="dxa"/>
            <w:vAlign w:val="center"/>
            <w:textDirection w:val="lrTb"/>
            <w:noWrap w:val="false"/>
          </w:tcPr>
          <w:p>
            <w:pPr>
              <w:ind w:firstLine="420"/>
              <w:spacing w:after="0" w:line="240" w:lineRule="auto"/>
              <w:tabs>
                <w:tab w:val="center" w:pos="4153" w:leader="none"/>
                <w:tab w:val="right" w:pos="8306" w:leader="none"/>
              </w:tabs>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1.2022年1月1日以来，投标人</w:t>
            </w:r>
            <w:r>
              <w:rPr>
                <w:rFonts w:hint="eastAsia" w:ascii="宋体" w:hAnsi="宋体" w:eastAsia="宋体" w:cs="宋体"/>
                <w:color w:val="auto"/>
                <w:sz w:val="21"/>
                <w:szCs w:val="21"/>
                <w:highlight w:val="none"/>
                <w:lang w:val="en-US" w:eastAsia="zh-CN"/>
                <w14:ligatures w14:val="none"/>
              </w:rPr>
              <w:t xml:space="preserve">具</w:t>
            </w:r>
            <w:r>
              <w:rPr>
                <w:rFonts w:hint="eastAsia" w:ascii="宋体" w:hAnsi="宋体" w:eastAsia="宋体" w:cs="宋体"/>
                <w:color w:val="auto"/>
                <w:sz w:val="21"/>
                <w:szCs w:val="21"/>
                <w:highlight w:val="none"/>
                <w14:ligatures w14:val="none"/>
              </w:rPr>
              <w:t xml:space="preserve">有电化学污水处理设备供货服务业绩的，得3分（投标时提供合同扫描件，否则不得分。合同中不能体现相关内容的，需提供相关证明材料及设备现场照片）。</w:t>
            </w:r>
            <w:r/>
          </w:p>
          <w:p>
            <w:pPr>
              <w:ind w:firstLine="420"/>
              <w:spacing w:after="0" w:line="240" w:lineRule="auto"/>
              <w:tabs>
                <w:tab w:val="center" w:pos="4153" w:leader="none"/>
                <w:tab w:val="right" w:pos="8306" w:leader="none"/>
              </w:tabs>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2.2022年1月1日以来，投标人</w:t>
            </w:r>
            <w:r>
              <w:rPr>
                <w:rFonts w:hint="eastAsia" w:ascii="宋体" w:hAnsi="宋体" w:eastAsia="宋体" w:cs="宋体"/>
                <w:color w:val="auto"/>
                <w:sz w:val="21"/>
                <w:szCs w:val="21"/>
                <w:highlight w:val="none"/>
                <w:lang w:val="en-US" w:eastAsia="zh-CN"/>
                <w14:ligatures w14:val="none"/>
              </w:rPr>
              <w:t xml:space="preserve">具</w:t>
            </w:r>
            <w:r>
              <w:rPr>
                <w:rFonts w:hint="eastAsia" w:ascii="宋体" w:hAnsi="宋体" w:eastAsia="宋体" w:cs="宋体"/>
                <w:color w:val="auto"/>
                <w:sz w:val="21"/>
                <w:szCs w:val="21"/>
                <w:highlight w:val="none"/>
                <w14:ligatures w14:val="none"/>
              </w:rPr>
              <w:t xml:space="preserve">有垃圾渗滤液处理设备供货或渗滤液处理站委托运营业绩的，得3分（投标时提供合同扫描件，否则不得分。合同中不能体现相关内容的，需提供相关证明材料）。</w:t>
            </w:r>
            <w:r/>
          </w:p>
          <w:p>
            <w:pPr>
              <w:ind w:firstLine="420"/>
              <w:spacing w:after="0" w:line="240" w:lineRule="auto"/>
              <w:tabs>
                <w:tab w:val="center" w:pos="4153" w:leader="none"/>
                <w:tab w:val="right" w:pos="8306" w:leader="none"/>
              </w:tabs>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以上业绩以合同签订时间为准，同一个业绩若同时满足上述两种得分类型，以其中分值较高类型得分，不累计加分。</w:t>
            </w:r>
            <w:r/>
          </w:p>
        </w:tc>
      </w:tr>
    </w:tbl>
    <w:p>
      <w:pPr>
        <w:pStyle w:val="865"/>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注：</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每部分的得分保留小数点后两位，合计得分保留小数点后两位。</w:t>
      </w:r>
      <w:r/>
    </w:p>
    <w:p>
      <w:pPr>
        <w:pStyle w:val="865"/>
        <w:numPr>
          <w:ilvl w:val="0"/>
          <w:numId w:val="0"/>
        </w:numPr>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highlight w:val="none"/>
        </w:rPr>
        <w:t xml:space="preserve">所有提供的材料复印件应清晰。若证明材料复印件因模糊等原因，导致评标专家无法判定，最终造成得分不</w:t>
      </w:r>
      <w:r>
        <w:rPr>
          <w:rFonts w:hint="eastAsia" w:ascii="宋体" w:hAnsi="宋体" w:eastAsia="宋体" w:cs="宋体"/>
          <w:color w:val="auto"/>
          <w:highlight w:val="none"/>
          <w:lang w:eastAsia="zh-CN"/>
        </w:rPr>
        <w:t xml:space="preserve">予</w:t>
      </w:r>
      <w:r>
        <w:rPr>
          <w:rFonts w:hint="eastAsia" w:ascii="宋体" w:hAnsi="宋体" w:eastAsia="宋体" w:cs="宋体"/>
          <w:color w:val="auto"/>
          <w:highlight w:val="none"/>
        </w:rPr>
        <w:t xml:space="preserve">计取的后果由投标供应商自行承担。</w:t>
      </w:r>
      <w:r/>
    </w:p>
    <w:p>
      <w:pPr>
        <w:pStyle w:val="865"/>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5"/>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5"/>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5"/>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5"/>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5"/>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5"/>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5"/>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5"/>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5"/>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5"/>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5"/>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5"/>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5"/>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5"/>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5"/>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5"/>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5"/>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5"/>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5"/>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5"/>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5"/>
        <w:numPr>
          <w:ilvl w:val="0"/>
          <w:numId w:val="0"/>
        </w:numPr>
        <w:jc w:val="center"/>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5"/>
        <w:numPr>
          <w:ilvl w:val="0"/>
          <w:numId w:val="0"/>
        </w:numPr>
        <w:jc w:val="center"/>
        <w:keepLines w:val="0"/>
        <w:keepNext w:val="0"/>
        <w:pageBreakBefore w:val="0"/>
        <w:spacing w:beforeAutospacing="0" w:afterAutospacing="0" w:line="480" w:lineRule="exact"/>
        <w:widowControl w:val="off"/>
        <w:rPr>
          <w:color w:val="auto"/>
          <w:highlight w:val="none"/>
        </w:rPr>
      </w:pPr>
      <w:r>
        <w:rPr>
          <w:rFonts w:hint="eastAsia" w:ascii="黑体" w:hAnsi="宋体" w:eastAsia="黑体" w:cs="黑体"/>
          <w:color w:val="auto"/>
          <w:sz w:val="44"/>
          <w:szCs w:val="44"/>
          <w:highlight w:val="none"/>
        </w:rPr>
        <w:t xml:space="preserve">第六章  投标文件格式</w:t>
      </w:r>
      <w:r/>
    </w:p>
    <w:p>
      <w:pPr>
        <w:pStyle w:val="865"/>
        <w:jc w:val="center"/>
        <w:spacing w:beforeAutospacing="0" w:afterAutospacing="0"/>
        <w:rPr>
          <w:rFonts w:hint="eastAsia" w:ascii="宋体" w:hAnsi="宋体" w:eastAsia="宋体" w:cs="宋体"/>
          <w:b/>
          <w:color w:val="auto"/>
          <w:sz w:val="72"/>
          <w:szCs w:val="72"/>
          <w:highlight w:val="none"/>
        </w:rPr>
      </w:pPr>
      <w:r/>
      <w:bookmarkStart w:id="181" w:name="_Hlt26955039"/>
      <w:r/>
      <w:bookmarkEnd w:id="181"/>
      <w:r/>
      <w:bookmarkStart w:id="182" w:name="_Hlt26671244"/>
      <w:r/>
      <w:bookmarkEnd w:id="182"/>
      <w:r/>
      <w:bookmarkStart w:id="183" w:name="_Toc26554094"/>
      <w:r/>
      <w:bookmarkEnd w:id="183"/>
      <w:r/>
      <w:bookmarkStart w:id="184" w:name="_Toc49090576"/>
      <w:r/>
      <w:bookmarkStart w:id="185" w:name="_Toc120614282"/>
      <w:r/>
      <w:r/>
    </w:p>
    <w:p>
      <w:pPr>
        <w:pStyle w:val="865"/>
        <w:jc w:val="center"/>
        <w:spacing w:beforeAutospacing="0" w:afterAutospacing="0"/>
        <w:rPr>
          <w:color w:val="auto"/>
          <w:highlight w:val="none"/>
        </w:rPr>
      </w:pPr>
      <w:r>
        <w:rPr>
          <w:rFonts w:hint="eastAsia" w:ascii="宋体" w:hAnsi="宋体" w:eastAsia="宋体" w:cs="宋体"/>
          <w:b/>
          <w:color w:val="auto"/>
          <w:sz w:val="72"/>
          <w:szCs w:val="72"/>
          <w:highlight w:val="none"/>
        </w:rPr>
        <w:t xml:space="preserve">投  标  文  件</w:t>
      </w:r>
      <w:r/>
    </w:p>
    <w:p>
      <w:pPr>
        <w:pStyle w:val="865"/>
        <w:jc w:val="center"/>
        <w:spacing w:beforeAutospacing="0" w:afterAutospacing="0"/>
        <w:rPr>
          <w:color w:val="auto"/>
          <w:highlight w:val="none"/>
        </w:rPr>
      </w:pPr>
      <w:r>
        <w:rPr>
          <w:color w:val="auto"/>
          <w:highlight w:val="none"/>
        </w:rPr>
        <w:t xml:space="preserve"> </w:t>
      </w:r>
      <w:r/>
    </w:p>
    <w:p>
      <w:pPr>
        <w:pStyle w:val="865"/>
        <w:jc w:val="center"/>
        <w:spacing w:beforeAutospacing="0" w:afterAutospacing="0"/>
        <w:rPr>
          <w:color w:val="auto"/>
          <w:highlight w:val="none"/>
        </w:rPr>
      </w:pPr>
      <w:r>
        <w:rPr>
          <w:color w:val="auto"/>
          <w:highlight w:val="none"/>
        </w:rPr>
        <w:t xml:space="preserve"> </w:t>
      </w:r>
      <w:r/>
    </w:p>
    <w:p>
      <w:pPr>
        <w:pStyle w:val="865"/>
        <w:jc w:val="center"/>
        <w:spacing w:beforeAutospacing="0" w:afterAutospacing="0"/>
        <w:rPr>
          <w:color w:val="auto"/>
          <w:highlight w:val="none"/>
        </w:rPr>
      </w:pPr>
      <w:r>
        <w:rPr>
          <w:color w:val="auto"/>
          <w:highlight w:val="none"/>
        </w:rPr>
        <w:t xml:space="preserve"> </w:t>
      </w:r>
      <w:r/>
    </w:p>
    <w:p>
      <w:pPr>
        <w:pStyle w:val="865"/>
        <w:jc w:val="center"/>
        <w:spacing w:beforeAutospacing="0" w:afterAutospacing="0"/>
        <w:rPr>
          <w:color w:val="auto"/>
          <w:highlight w:val="none"/>
        </w:rPr>
      </w:pPr>
      <w:r>
        <w:rPr>
          <w:color w:val="auto"/>
          <w:highlight w:val="none"/>
        </w:rPr>
        <w:t xml:space="preserve"> </w:t>
      </w:r>
      <w:r/>
    </w:p>
    <w:p>
      <w:pPr>
        <w:pStyle w:val="865"/>
        <w:jc w:val="center"/>
        <w:spacing w:beforeAutospacing="0" w:afterAutospacing="0"/>
        <w:rPr>
          <w:color w:val="auto"/>
          <w:highlight w:val="none"/>
        </w:rPr>
      </w:pPr>
      <w:r>
        <w:rPr>
          <w:color w:val="auto"/>
          <w:highlight w:val="none"/>
        </w:rPr>
        <w:t xml:space="preserve"> </w:t>
      </w:r>
      <w:r/>
    </w:p>
    <w:p>
      <w:pPr>
        <w:pStyle w:val="865"/>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pStyle w:val="865"/>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pStyle w:val="865"/>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投标人名称：</w:t>
      </w:r>
      <w:r>
        <w:rPr>
          <w:rFonts w:hint="eastAsia" w:ascii="宋体" w:hAnsi="宋体" w:eastAsia="宋体" w:cs="宋体"/>
          <w:b/>
          <w:color w:val="auto"/>
          <w:sz w:val="36"/>
          <w:szCs w:val="36"/>
          <w:highlight w:val="none"/>
          <w:u w:val="single"/>
        </w:rPr>
        <w:t xml:space="preserve">（加盖CA电子公章）        </w:t>
      </w:r>
      <w:r/>
    </w:p>
    <w:p>
      <w:pPr>
        <w:pStyle w:val="865"/>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w:t>
      </w:r>
      <w:r>
        <w:rPr>
          <w:rFonts w:hint="eastAsia" w:ascii="宋体" w:hAnsi="宋体" w:eastAsia="宋体" w:cs="宋体"/>
          <w:b/>
          <w:color w:val="auto"/>
          <w:sz w:val="36"/>
          <w:szCs w:val="36"/>
          <w:highlight w:val="none"/>
          <w:u w:val="single"/>
        </w:rPr>
        <w:t xml:space="preserve">                          </w:t>
      </w:r>
      <w:r/>
    </w:p>
    <w:p>
      <w:pPr>
        <w:pStyle w:val="865"/>
        <w:jc w:val="center"/>
        <w:spacing w:beforeAutospacing="0" w:afterAutospacing="0" w:line="0" w:lineRule="atLeast"/>
        <w:rPr>
          <w:color w:val="auto"/>
          <w:highlight w:val="none"/>
        </w:rPr>
      </w:pPr>
      <w:r>
        <w:rPr>
          <w:color w:val="auto"/>
          <w:highlight w:val="none"/>
        </w:rPr>
        <w:t xml:space="preserve"> </w:t>
      </w:r>
      <w:r/>
    </w:p>
    <w:p>
      <w:pPr>
        <w:pStyle w:val="865"/>
        <w:jc w:val="both"/>
        <w:spacing w:beforeAutospacing="0" w:afterAutospacing="0" w:line="0" w:lineRule="atLeast"/>
        <w:rPr>
          <w:color w:val="auto"/>
          <w:highlight w:val="none"/>
        </w:rPr>
      </w:pPr>
      <w:r>
        <w:rPr>
          <w:color w:val="auto"/>
          <w:highlight w:val="none"/>
        </w:rPr>
        <w:t xml:space="preserve"> </w:t>
      </w:r>
      <w:r/>
    </w:p>
    <w:p>
      <w:pPr>
        <w:pStyle w:val="86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6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6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6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6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6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6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6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6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6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6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6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65"/>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865"/>
        <w:jc w:val="center"/>
        <w:spacing w:beforeAutospacing="0" w:afterAutospacing="0" w:line="0" w:lineRule="atLeast"/>
        <w:rPr>
          <w:color w:val="auto"/>
          <w:highlight w:val="none"/>
        </w:rPr>
      </w:pPr>
      <w:r>
        <w:rPr>
          <w:color w:val="auto"/>
          <w:highlight w:val="none"/>
        </w:rPr>
        <w:t xml:space="preserve"> </w:t>
      </w:r>
      <w:r/>
    </w:p>
    <w:p>
      <w:pPr>
        <w:pStyle w:val="865"/>
        <w:ind w:left="0" w:firstLine="480"/>
        <w:jc w:val="both"/>
        <w:keepLines w:val="0"/>
        <w:keepNext w:val="0"/>
        <w:pageBreakBefore w:val="0"/>
        <w:spacing w:beforeAutospacing="0" w:afterAutospacing="0" w:line="48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一、法人或者其他组织的营业执照等证明文件，自然人的身份证明</w:t>
      </w:r>
      <w:r/>
    </w:p>
    <w:p>
      <w:pPr>
        <w:ind w:left="0" w:firstLine="480"/>
        <w:jc w:val="left"/>
        <w:keepLines w:val="0"/>
        <w:keepNext w:val="0"/>
        <w:pageBreakBefore w:val="0"/>
        <w:spacing w:line="480" w:lineRule="exact"/>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二、上一年度或上上年度的财务状况报表（至少提供资产负债表、利润表、现金流量表，投标人成立不满一年无需提供）</w:t>
      </w:r>
      <w:r/>
    </w:p>
    <w:p>
      <w:pPr>
        <w:pStyle w:val="865"/>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、具备履行合同所必需的设备和专业技术能力的书面声明</w:t>
      </w:r>
      <w:r/>
    </w:p>
    <w:p>
      <w:pPr>
        <w:pStyle w:val="865"/>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65"/>
        <w:ind w:left="0" w:firstLine="480"/>
        <w:jc w:val="both"/>
        <w:keepLines w:val="0"/>
        <w:keepNext w:val="0"/>
        <w:pageBreakBefore w:val="0"/>
        <w:spacing w:beforeAutospacing="0" w:afterAutospacing="0" w:line="48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五、参加政府采购活动前 3 年内在经营活动中没有重大违法记录的书面声明</w:t>
      </w:r>
      <w:r/>
    </w:p>
    <w:p>
      <w:pPr>
        <w:pStyle w:val="865"/>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六、供应商法定代表人身份证明和</w:t>
      </w:r>
      <w:r>
        <w:rPr>
          <w:rFonts w:hint="eastAsia" w:ascii="宋体" w:hAnsi="宋体" w:eastAsia="宋体" w:cs="宋体"/>
          <w:i w:val="0"/>
          <w:iCs/>
          <w:color w:val="auto"/>
          <w:highlight w:val="none"/>
          <w:u w:val="none"/>
          <w:lang w:eastAsia="zh-CN"/>
        </w:rPr>
        <w:t xml:space="preserve">投标文件</w:t>
      </w:r>
      <w:r>
        <w:rPr>
          <w:rFonts w:hint="eastAsia" w:ascii="宋体" w:hAnsi="宋体" w:eastAsia="宋体" w:cs="宋体"/>
          <w:i w:val="0"/>
          <w:iCs/>
          <w:color w:val="auto"/>
          <w:highlight w:val="none"/>
          <w:u w:val="none"/>
        </w:rPr>
        <w:t xml:space="preserve">签署授权委托书（另附法定代表人和被授权人的身份证复印件）</w:t>
      </w:r>
      <w:r/>
    </w:p>
    <w:p>
      <w:pPr>
        <w:pStyle w:val="865"/>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 xml:space="preserve">七、供应商为被授权人缴纳的社会养老保险证明</w:t>
      </w:r>
      <w:r/>
    </w:p>
    <w:p>
      <w:pPr>
        <w:pStyle w:val="865"/>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八、投标函</w:t>
      </w:r>
      <w:r/>
    </w:p>
    <w:p>
      <w:pPr>
        <w:pStyle w:val="865"/>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九</w:t>
      </w:r>
      <w:r>
        <w:rPr>
          <w:rFonts w:hint="eastAsia" w:ascii="宋体" w:hAnsi="宋体" w:eastAsia="宋体" w:cs="宋体"/>
          <w:i w:val="0"/>
          <w:iCs/>
          <w:color w:val="auto"/>
          <w:highlight w:val="none"/>
          <w:u w:val="none"/>
        </w:rPr>
        <w:t xml:space="preserve">、</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865"/>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十、残疾人福利性单位声明函</w:t>
      </w:r>
      <w:r/>
    </w:p>
    <w:p>
      <w:pPr>
        <w:pStyle w:val="865"/>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一</w:t>
      </w:r>
      <w:r>
        <w:rPr>
          <w:rFonts w:hint="eastAsia" w:ascii="宋体" w:hAnsi="宋体" w:eastAsia="宋体" w:cs="宋体"/>
          <w:i w:val="0"/>
          <w:iCs/>
          <w:color w:val="auto"/>
          <w:highlight w:val="none"/>
          <w:u w:val="none"/>
        </w:rPr>
        <w:t xml:space="preserve">、投标报价表</w:t>
      </w:r>
      <w:r/>
    </w:p>
    <w:p>
      <w:pPr>
        <w:pStyle w:val="865"/>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二</w:t>
      </w:r>
      <w:r>
        <w:rPr>
          <w:rFonts w:hint="eastAsia" w:ascii="宋体" w:hAnsi="宋体" w:eastAsia="宋体" w:cs="宋体"/>
          <w:i w:val="0"/>
          <w:iCs/>
          <w:color w:val="auto"/>
          <w:highlight w:val="none"/>
          <w:u w:val="none"/>
        </w:rPr>
        <w:t xml:space="preserve">、盐城市政府采购事前信用承诺书</w:t>
      </w:r>
      <w:r/>
    </w:p>
    <w:p>
      <w:pPr>
        <w:pStyle w:val="865"/>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、与评审有关的其他资料</w:t>
      </w:r>
      <w:r/>
    </w:p>
    <w:p>
      <w:pPr>
        <w:pStyle w:val="865"/>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865"/>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865"/>
        <w:ind w:firstLine="480"/>
        <w:jc w:val="both"/>
        <w:spacing w:beforeAutospacing="0" w:afterAutospacing="0" w:line="0" w:lineRule="atLeast"/>
        <w:rPr>
          <w:color w:val="auto"/>
          <w:highlight w:val="none"/>
        </w:rPr>
      </w:pPr>
      <w:r>
        <w:rPr>
          <w:color w:val="auto"/>
          <w:highlight w:val="none"/>
        </w:rPr>
        <w:t xml:space="preserve"> </w:t>
      </w:r>
      <w:r/>
    </w:p>
    <w:p>
      <w:pPr>
        <w:pStyle w:val="865"/>
        <w:ind w:firstLine="480"/>
        <w:jc w:val="both"/>
        <w:spacing w:beforeAutospacing="0" w:afterAutospacing="0" w:line="0" w:lineRule="atLeast"/>
        <w:rPr>
          <w:color w:val="auto"/>
          <w:highlight w:val="none"/>
        </w:rPr>
      </w:pPr>
      <w:r>
        <w:rPr>
          <w:color w:val="auto"/>
          <w:highlight w:val="none"/>
        </w:rPr>
        <w:t xml:space="preserve"> </w:t>
      </w:r>
      <w:r/>
    </w:p>
    <w:p>
      <w:pPr>
        <w:pStyle w:val="865"/>
        <w:ind w:firstLine="480"/>
        <w:jc w:val="both"/>
        <w:spacing w:beforeAutospacing="0" w:afterAutospacing="0" w:line="0" w:lineRule="atLeast"/>
        <w:rPr>
          <w:color w:val="auto"/>
          <w:highlight w:val="none"/>
        </w:rPr>
      </w:pPr>
      <w:r>
        <w:rPr>
          <w:color w:val="auto"/>
          <w:highlight w:val="none"/>
        </w:rPr>
        <w:t xml:space="preserve"> </w:t>
      </w:r>
      <w:r/>
    </w:p>
    <w:p>
      <w:pPr>
        <w:pStyle w:val="865"/>
        <w:ind w:firstLine="480"/>
        <w:jc w:val="both"/>
        <w:spacing w:beforeAutospacing="0" w:afterAutospacing="0" w:line="0" w:lineRule="atLeast"/>
        <w:rPr>
          <w:color w:val="auto"/>
          <w:highlight w:val="none"/>
        </w:rPr>
      </w:pPr>
      <w:r>
        <w:rPr>
          <w:color w:val="auto"/>
          <w:highlight w:val="none"/>
        </w:rPr>
        <w:t xml:space="preserve"> </w:t>
      </w:r>
      <w:r/>
    </w:p>
    <w:p>
      <w:pPr>
        <w:pStyle w:val="865"/>
        <w:ind w:firstLine="480"/>
        <w:jc w:val="both"/>
        <w:spacing w:beforeAutospacing="0" w:afterAutospacing="0" w:line="0" w:lineRule="atLeast"/>
        <w:rPr>
          <w:color w:val="auto"/>
          <w:highlight w:val="none"/>
        </w:rPr>
      </w:pPr>
      <w:r>
        <w:rPr>
          <w:color w:val="auto"/>
          <w:highlight w:val="none"/>
        </w:rPr>
      </w:r>
      <w:r/>
    </w:p>
    <w:p>
      <w:pPr>
        <w:pStyle w:val="865"/>
        <w:ind w:firstLine="480"/>
        <w:jc w:val="both"/>
        <w:spacing w:beforeAutospacing="0" w:afterAutospacing="0" w:line="0" w:lineRule="atLeast"/>
        <w:rPr>
          <w:color w:val="auto"/>
          <w:highlight w:val="none"/>
        </w:rPr>
      </w:pPr>
      <w:r>
        <w:rPr>
          <w:color w:val="auto"/>
          <w:highlight w:val="none"/>
        </w:rPr>
      </w:r>
      <w:r/>
    </w:p>
    <w:p>
      <w:pPr>
        <w:pStyle w:val="865"/>
        <w:ind w:firstLine="480"/>
        <w:jc w:val="both"/>
        <w:spacing w:beforeAutospacing="0" w:afterAutospacing="0" w:line="0" w:lineRule="atLeast"/>
        <w:rPr>
          <w:color w:val="auto"/>
          <w:highlight w:val="none"/>
        </w:rPr>
      </w:pPr>
      <w:r>
        <w:rPr>
          <w:color w:val="auto"/>
          <w:highlight w:val="none"/>
        </w:rPr>
      </w:r>
      <w:r/>
    </w:p>
    <w:p>
      <w:pPr>
        <w:pStyle w:val="865"/>
        <w:ind w:firstLine="480"/>
        <w:jc w:val="both"/>
        <w:spacing w:beforeAutospacing="0" w:afterAutospacing="0" w:line="0" w:lineRule="atLeast"/>
        <w:rPr>
          <w:color w:val="auto"/>
          <w:highlight w:val="none"/>
        </w:rPr>
      </w:pPr>
      <w:r>
        <w:rPr>
          <w:color w:val="auto"/>
          <w:highlight w:val="none"/>
        </w:rPr>
      </w:r>
      <w:r>
        <w:rPr>
          <w:color w:val="auto"/>
          <w:highlight w:val="none"/>
        </w:rPr>
      </w:r>
      <w:r/>
    </w:p>
    <w:p>
      <w:pPr>
        <w:pStyle w:val="865"/>
        <w:ind w:firstLine="480"/>
        <w:jc w:val="both"/>
        <w:spacing w:beforeAutospacing="0" w:afterAutospacing="0" w:line="0" w:lineRule="atLeast"/>
        <w:rPr>
          <w:color w:val="auto"/>
          <w:highlight w:val="none"/>
        </w:rPr>
      </w:pPr>
      <w:r>
        <w:rPr>
          <w:color w:val="auto"/>
          <w:highlight w:val="none"/>
        </w:rPr>
      </w:r>
      <w:r/>
    </w:p>
    <w:p>
      <w:pPr>
        <w:pStyle w:val="865"/>
        <w:ind w:firstLine="480"/>
        <w:jc w:val="both"/>
        <w:spacing w:beforeAutospacing="0" w:afterAutospacing="0" w:line="0" w:lineRule="atLeast"/>
        <w:rPr>
          <w:color w:val="auto"/>
          <w:highlight w:val="none"/>
        </w:rPr>
      </w:pPr>
      <w:r>
        <w:rPr>
          <w:color w:val="auto"/>
          <w:highlight w:val="none"/>
        </w:rPr>
      </w:r>
      <w:r/>
    </w:p>
    <w:p>
      <w:pPr>
        <w:pStyle w:val="865"/>
        <w:ind w:firstLine="480"/>
        <w:jc w:val="both"/>
        <w:spacing w:beforeAutospacing="0" w:afterAutospacing="0" w:line="0" w:lineRule="atLeast"/>
        <w:rPr>
          <w:color w:val="auto"/>
          <w:highlight w:val="none"/>
        </w:rPr>
      </w:pPr>
      <w:r>
        <w:rPr>
          <w:color w:val="auto"/>
          <w:highlight w:val="none"/>
        </w:rPr>
      </w:r>
      <w:r/>
    </w:p>
    <w:p>
      <w:pPr>
        <w:pStyle w:val="865"/>
        <w:ind w:firstLine="480"/>
        <w:jc w:val="both"/>
        <w:spacing w:beforeAutospacing="0" w:afterAutospacing="0" w:line="0" w:lineRule="atLeast"/>
        <w:rPr>
          <w:color w:val="auto"/>
          <w:highlight w:val="none"/>
        </w:rPr>
      </w:pPr>
      <w:r>
        <w:rPr>
          <w:color w:val="auto"/>
          <w:highlight w:val="none"/>
        </w:rPr>
      </w:r>
      <w:r/>
    </w:p>
    <w:p>
      <w:pPr>
        <w:pStyle w:val="865"/>
        <w:ind w:firstLine="480"/>
        <w:jc w:val="both"/>
        <w:spacing w:beforeAutospacing="0" w:afterAutospacing="0" w:line="0" w:lineRule="atLeast"/>
        <w:rPr>
          <w:color w:val="auto"/>
          <w:highlight w:val="none"/>
        </w:rPr>
      </w:pPr>
      <w:r>
        <w:rPr>
          <w:color w:val="auto"/>
          <w:highlight w:val="none"/>
        </w:rPr>
      </w:r>
      <w:r/>
    </w:p>
    <w:p>
      <w:pPr>
        <w:pStyle w:val="865"/>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865"/>
        <w:ind w:firstLine="480"/>
        <w:jc w:val="both"/>
        <w:spacing w:beforeAutospacing="0" w:afterAutospacing="0" w:line="0" w:lineRule="atLeast"/>
        <w:rPr>
          <w:color w:val="auto"/>
          <w:highlight w:val="none"/>
        </w:rPr>
      </w:pPr>
      <w:r>
        <w:rPr>
          <w:color w:val="auto"/>
          <w:highlight w:val="none"/>
        </w:rPr>
        <w:t xml:space="preserve"> </w:t>
      </w:r>
      <w:r/>
    </w:p>
    <w:p>
      <w:pPr>
        <w:pStyle w:val="865"/>
        <w:jc w:val="both"/>
        <w:spacing w:beforeAutospacing="0" w:afterAutospacing="0"/>
        <w:rPr>
          <w:rFonts w:eastAsia="黑体"/>
          <w:color w:val="auto"/>
          <w:highlight w:val="none"/>
        </w:rPr>
      </w:pPr>
      <w:r>
        <w:rPr>
          <w:rFonts w:hint="eastAsia" w:ascii="黑体" w:hAnsi="宋体" w:eastAsia="黑体" w:cs="黑体"/>
          <w:i/>
          <w:color w:val="auto"/>
          <w:sz w:val="32"/>
          <w:szCs w:val="32"/>
          <w:highlight w:val="none"/>
          <w:u w:val="single"/>
        </w:rPr>
        <w:t xml:space="preserve">二、上一年度的财务状况报表</w:t>
      </w:r>
      <w:r/>
    </w:p>
    <w:p>
      <w:pPr>
        <w:pStyle w:val="865"/>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投标人成立不满一年不需提供</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r/>
    </w:p>
    <w:p>
      <w:pPr>
        <w:pStyle w:val="865"/>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865"/>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6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65"/>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r/>
    </w:p>
    <w:p>
      <w:pPr>
        <w:pStyle w:val="865"/>
        <w:ind w:firstLine="480"/>
        <w:jc w:val="both"/>
        <w:spacing w:beforeAutospacing="0" w:afterAutospacing="0"/>
        <w:rPr>
          <w:color w:val="auto"/>
          <w:highlight w:val="none"/>
        </w:rPr>
      </w:pPr>
      <w:r/>
      <w:bookmarkStart w:id="186" w:name="_Toc120614284"/>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bookmarkEnd w:id="186"/>
      <w:r/>
      <w:r/>
    </w:p>
    <w:p>
      <w:pPr>
        <w:pStyle w:val="865"/>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pStyle w:val="865"/>
        <w:jc w:val="both"/>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       声  明</w:t>
      </w:r>
      <w:r/>
    </w:p>
    <w:p>
      <w:pPr>
        <w:pStyle w:val="865"/>
        <w:jc w:val="both"/>
        <w:spacing w:beforeAutospacing="0" w:afterAutospacing="0" w:line="0" w:lineRule="atLeast"/>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865"/>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865"/>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865"/>
        <w:jc w:val="both"/>
        <w:spacing w:beforeAutospacing="0" w:afterAutospacing="0"/>
        <w:rPr>
          <w:rFonts w:hint="eastAsia" w:ascii="黑体" w:hAnsi="宋体" w:eastAsia="黑体" w:cs="黑体"/>
          <w:bCs/>
          <w:i/>
          <w:color w:val="auto"/>
          <w:sz w:val="32"/>
          <w:szCs w:val="32"/>
          <w:highlight w:val="none"/>
          <w:u w:val="single"/>
        </w:rPr>
      </w:pPr>
      <w:r>
        <w:rPr>
          <w:rFonts w:hint="eastAsia" w:ascii="黑体" w:hAnsi="宋体" w:eastAsia="黑体" w:cs="黑体"/>
          <w:i/>
          <w:color w:val="auto"/>
          <w:sz w:val="32"/>
          <w:szCs w:val="32"/>
          <w:highlight w:val="none"/>
          <w:u w:val="single"/>
        </w:rPr>
      </w:r>
      <w:r>
        <w:rPr>
          <w:rFonts w:hint="eastAsia" w:ascii="黑体" w:hAnsi="宋体" w:eastAsia="黑体" w:cs="黑体"/>
          <w:i/>
          <w:color w:val="auto"/>
          <w:sz w:val="32"/>
          <w:szCs w:val="32"/>
          <w:highlight w:val="none"/>
          <w:u w:val="single"/>
        </w:rPr>
      </w:r>
      <w:r/>
    </w:p>
    <w:p>
      <w:pPr>
        <w:pStyle w:val="865"/>
        <w:jc w:val="both"/>
        <w:spacing w:beforeAutospacing="0" w:afterAutospacing="0"/>
        <w:rPr>
          <w:rFonts w:hint="eastAsia" w:ascii="黑体" w:hAnsi="宋体" w:eastAsia="黑体" w:cs="黑体"/>
          <w:bCs/>
          <w:i/>
          <w:color w:val="auto"/>
          <w:sz w:val="32"/>
          <w:szCs w:val="32"/>
          <w:highlight w:val="none"/>
          <w:u w:val="single"/>
        </w:rPr>
      </w:pPr>
      <w:r>
        <w:rPr>
          <w:rFonts w:hint="eastAsia" w:ascii="黑体" w:hAnsi="宋体" w:eastAsia="黑体" w:cs="黑体"/>
          <w:bCs/>
          <w:i/>
          <w:color w:val="auto"/>
          <w:sz w:val="32"/>
          <w:szCs w:val="32"/>
          <w:highlight w:val="none"/>
          <w:u w:val="single"/>
        </w:rPr>
      </w:r>
      <w:r>
        <w:rPr>
          <w:rFonts w:hint="eastAsia" w:ascii="黑体" w:hAnsi="宋体" w:eastAsia="黑体" w:cs="黑体"/>
          <w:bCs/>
          <w:i/>
          <w:color w:val="auto"/>
          <w:sz w:val="32"/>
          <w:szCs w:val="32"/>
          <w:highlight w:val="none"/>
          <w:u w:val="single"/>
        </w:rPr>
      </w:r>
      <w:r/>
    </w:p>
    <w:p>
      <w:pPr>
        <w:pStyle w:val="865"/>
        <w:jc w:val="both"/>
        <w:spacing w:beforeAutospacing="0" w:afterAutospacing="0"/>
        <w:rPr>
          <w:rFonts w:hint="eastAsia" w:ascii="黑体" w:hAnsi="宋体" w:eastAsia="黑体" w:cs="黑体"/>
          <w:bCs/>
          <w:i/>
          <w:color w:val="auto"/>
          <w:sz w:val="32"/>
          <w:szCs w:val="32"/>
          <w:highlight w:val="none"/>
          <w:u w:val="single"/>
        </w:rPr>
      </w:pPr>
      <w:r>
        <w:rPr>
          <w:rFonts w:hint="eastAsia" w:ascii="黑体" w:hAnsi="宋体" w:eastAsia="黑体" w:cs="黑体"/>
          <w:bCs/>
          <w:i/>
          <w:color w:val="auto"/>
          <w:sz w:val="32"/>
          <w:szCs w:val="32"/>
          <w:highlight w:val="none"/>
          <w:u w:val="single"/>
        </w:rPr>
      </w:r>
      <w:r>
        <w:rPr>
          <w:rFonts w:hint="eastAsia" w:ascii="黑体" w:hAnsi="宋体" w:eastAsia="黑体" w:cs="黑体"/>
          <w:bCs/>
          <w:i/>
          <w:color w:val="auto"/>
          <w:sz w:val="32"/>
          <w:szCs w:val="32"/>
          <w:highlight w:val="none"/>
          <w:u w:val="single"/>
        </w:rPr>
      </w:r>
      <w:r/>
    </w:p>
    <w:p>
      <w:pPr>
        <w:pStyle w:val="865"/>
        <w:jc w:val="both"/>
        <w:spacing w:beforeAutospacing="0" w:afterAutospacing="0"/>
        <w:rPr>
          <w:rFonts w:hint="eastAsia" w:ascii="黑体" w:hAnsi="宋体" w:eastAsia="黑体" w:cs="黑体"/>
          <w:bCs/>
          <w:i/>
          <w:color w:val="auto"/>
          <w:sz w:val="32"/>
          <w:szCs w:val="32"/>
          <w:highlight w:val="none"/>
          <w:u w:val="single"/>
        </w:rPr>
      </w:pPr>
      <w:r>
        <w:rPr>
          <w:rFonts w:hint="eastAsia" w:ascii="黑体" w:hAnsi="宋体" w:eastAsia="黑体" w:cs="黑体"/>
          <w:bCs/>
          <w:i/>
          <w:color w:val="auto"/>
          <w:sz w:val="32"/>
          <w:szCs w:val="32"/>
          <w:highlight w:val="none"/>
          <w:u w:val="single"/>
        </w:rPr>
      </w:r>
      <w:r>
        <w:rPr>
          <w:rFonts w:hint="eastAsia" w:ascii="黑体" w:hAnsi="宋体" w:eastAsia="黑体" w:cs="黑体"/>
          <w:bCs/>
          <w:i/>
          <w:color w:val="auto"/>
          <w:sz w:val="32"/>
          <w:szCs w:val="32"/>
          <w:highlight w:val="none"/>
          <w:u w:val="single"/>
        </w:rPr>
      </w:r>
      <w:r/>
    </w:p>
    <w:p>
      <w:pPr>
        <w:pStyle w:val="865"/>
        <w:jc w:val="both"/>
        <w:spacing w:beforeAutospacing="0" w:afterAutospacing="0"/>
        <w:rPr>
          <w:rFonts w:hint="eastAsia" w:ascii="黑体" w:hAnsi="宋体" w:eastAsia="黑体" w:cs="黑体"/>
          <w:bCs/>
          <w:i/>
          <w:color w:val="auto"/>
          <w:sz w:val="32"/>
          <w:szCs w:val="32"/>
          <w:highlight w:val="none"/>
          <w:u w:val="single"/>
        </w:rPr>
      </w:pPr>
      <w:r>
        <w:rPr>
          <w:rFonts w:hint="eastAsia" w:ascii="黑体" w:hAnsi="宋体" w:eastAsia="黑体" w:cs="黑体"/>
          <w:bCs/>
          <w:i/>
          <w:color w:val="auto"/>
          <w:sz w:val="32"/>
          <w:szCs w:val="32"/>
          <w:highlight w:val="none"/>
          <w:u w:val="single"/>
        </w:rPr>
      </w:r>
      <w:r>
        <w:rPr>
          <w:rFonts w:hint="eastAsia" w:ascii="黑体" w:hAnsi="宋体" w:eastAsia="黑体" w:cs="黑体"/>
          <w:bCs/>
          <w:i/>
          <w:color w:val="auto"/>
          <w:sz w:val="32"/>
          <w:szCs w:val="32"/>
          <w:highlight w:val="none"/>
          <w:u w:val="single"/>
        </w:rPr>
      </w:r>
      <w:r/>
    </w:p>
    <w:p>
      <w:pPr>
        <w:pStyle w:val="865"/>
        <w:jc w:val="both"/>
        <w:spacing w:beforeAutospacing="0" w:afterAutospacing="0"/>
        <w:rPr>
          <w:rFonts w:hint="eastAsia" w:ascii="黑体" w:hAnsi="宋体" w:eastAsia="黑体" w:cs="黑体"/>
          <w:bCs/>
          <w:i/>
          <w:color w:val="auto"/>
          <w:sz w:val="32"/>
          <w:szCs w:val="32"/>
          <w:highlight w:val="none"/>
          <w:u w:val="single"/>
        </w:rPr>
      </w:pPr>
      <w:r>
        <w:rPr>
          <w:rFonts w:hint="eastAsia" w:ascii="黑体" w:hAnsi="宋体" w:eastAsia="黑体" w:cs="黑体"/>
          <w:bCs/>
          <w:i/>
          <w:color w:val="auto"/>
          <w:sz w:val="32"/>
          <w:szCs w:val="32"/>
          <w:highlight w:val="none"/>
          <w:u w:val="single"/>
        </w:rPr>
      </w:r>
      <w:r>
        <w:rPr>
          <w:rFonts w:hint="eastAsia" w:ascii="黑体" w:hAnsi="宋体" w:eastAsia="黑体" w:cs="黑体"/>
          <w:bCs/>
          <w:i/>
          <w:color w:val="auto"/>
          <w:sz w:val="32"/>
          <w:szCs w:val="32"/>
          <w:highlight w:val="none"/>
          <w:u w:val="single"/>
        </w:rPr>
      </w:r>
      <w:r/>
    </w:p>
    <w:p>
      <w:pPr>
        <w:pStyle w:val="865"/>
        <w:jc w:val="both"/>
        <w:spacing w:beforeAutospacing="0" w:afterAutospacing="0"/>
        <w:rPr>
          <w:rFonts w:hint="eastAsia" w:ascii="黑体" w:hAnsi="宋体" w:eastAsia="黑体" w:cs="黑体"/>
          <w:bCs/>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865"/>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865"/>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865"/>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865"/>
        <w:jc w:val="both"/>
        <w:spacing w:beforeAutospacing="0" w:afterAutospacing="0"/>
        <w:rPr>
          <w:rFonts w:hint="eastAsia" w:ascii="宋体" w:hAnsi="宋体" w:eastAsia="宋体" w:cs="宋体"/>
          <w:color w:val="auto"/>
          <w:highlight w:val="none"/>
        </w:rPr>
      </w:pPr>
      <w:r/>
      <w:bookmarkStart w:id="187" w:name="_格式3__银行出具的资信证明"/>
      <w:r/>
      <w:bookmarkStart w:id="188" w:name="_Hlt26955070"/>
      <w:r/>
      <w:bookmarkStart w:id="189" w:name="_Hlt26671380"/>
      <w:r>
        <w:rPr>
          <w:rFonts w:hint="eastAsia" w:ascii="宋体" w:hAnsi="宋体" w:eastAsia="宋体" w:cs="宋体"/>
          <w:i/>
          <w:color w:val="auto"/>
          <w:sz w:val="32"/>
          <w:szCs w:val="32"/>
          <w:highlight w:val="none"/>
          <w:u w:val="single"/>
        </w:rPr>
        <w:t xml:space="preserve">六、</w:t>
      </w:r>
      <w:r>
        <w:rPr>
          <w:rFonts w:hint="eastAsia" w:ascii="宋体" w:hAnsi="宋体" w:eastAsia="宋体" w:cs="宋体"/>
          <w:i/>
          <w:color w:val="auto"/>
          <w:sz w:val="32"/>
          <w:szCs w:val="32"/>
          <w:highlight w:val="none"/>
          <w:u w:val="single"/>
          <w:lang w:val="en-US" w:eastAsia="zh-CN"/>
        </w:rPr>
        <w:t xml:space="preserve">供应商</w:t>
      </w:r>
      <w:r>
        <w:rPr>
          <w:rFonts w:hint="eastAsia" w:ascii="宋体" w:hAnsi="宋体" w:eastAsia="宋体" w:cs="宋体"/>
          <w:i/>
          <w:color w:val="auto"/>
          <w:sz w:val="32"/>
          <w:szCs w:val="32"/>
          <w:highlight w:val="none"/>
          <w:u w:val="single"/>
        </w:rPr>
        <w:t xml:space="preserve">法定代表人身份证明和</w:t>
      </w:r>
      <w:r>
        <w:rPr>
          <w:rFonts w:hint="eastAsia" w:ascii="宋体" w:hAnsi="宋体" w:eastAsia="宋体" w:cs="宋体"/>
          <w:i/>
          <w:color w:val="auto"/>
          <w:sz w:val="32"/>
          <w:szCs w:val="32"/>
          <w:highlight w:val="none"/>
          <w:u w:val="single"/>
          <w:lang w:val="en-US" w:eastAsia="zh-CN"/>
        </w:rPr>
        <w:t xml:space="preserve">投标</w:t>
      </w:r>
      <w:r>
        <w:rPr>
          <w:rFonts w:hint="eastAsia" w:ascii="宋体" w:hAnsi="宋体" w:eastAsia="宋体" w:cs="宋体"/>
          <w:i/>
          <w:color w:val="auto"/>
          <w:sz w:val="32"/>
          <w:szCs w:val="32"/>
          <w:highlight w:val="none"/>
          <w:u w:val="single"/>
          <w:lang w:eastAsia="zh-CN"/>
        </w:rPr>
        <w:t xml:space="preserve">文件</w:t>
      </w:r>
      <w:r>
        <w:rPr>
          <w:rFonts w:hint="eastAsia" w:ascii="宋体" w:hAnsi="宋体" w:eastAsia="宋体" w:cs="宋体"/>
          <w:i/>
          <w:color w:val="auto"/>
          <w:sz w:val="32"/>
          <w:szCs w:val="32"/>
          <w:highlight w:val="none"/>
          <w:u w:val="single"/>
        </w:rPr>
        <w:t xml:space="preserve">签署授权委托书（另附法定代表人和被授权人的身份证复印件）</w:t>
      </w:r>
      <w:r/>
    </w:p>
    <w:p>
      <w:pPr>
        <w:jc w:val="center"/>
        <w:spacing w:line="600" w:lineRule="exact"/>
        <w:rPr>
          <w:rFonts w:hint="eastAsia" w:ascii="宋体" w:hAnsi="宋体" w:eastAsia="宋体" w:cs="宋体"/>
          <w:b/>
          <w:bCs/>
          <w:color w:val="auto"/>
          <w:sz w:val="32"/>
          <w:szCs w:val="32"/>
          <w:highlight w:val="none"/>
        </w:rPr>
        <w:outlineLvl w:val="1"/>
      </w:pPr>
      <w:r>
        <w:rPr>
          <w:rFonts w:hint="eastAsia" w:ascii="宋体" w:hAnsi="宋体" w:eastAsia="宋体" w:cs="宋体"/>
          <w:b/>
          <w:bCs/>
          <w:color w:val="auto"/>
          <w:sz w:val="32"/>
          <w:szCs w:val="32"/>
          <w:highlight w:val="none"/>
        </w:rPr>
        <w:t xml:space="preserve">法定代表人身份证明书</w:t>
      </w:r>
      <w:r/>
    </w:p>
    <w:p>
      <w:pPr>
        <w:jc w:val="center"/>
        <w:spacing w:line="600" w:lineRule="exact"/>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：（采购人名称）</w:t>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（法定代表人姓名） </w:t>
      </w:r>
      <w:r>
        <w:rPr>
          <w:rFonts w:hint="eastAsia" w:ascii="宋体" w:hAnsi="宋体" w:eastAsia="宋体" w:cs="宋体"/>
          <w:color w:val="auto"/>
          <w:sz w:val="24"/>
          <w:highlight w:val="none"/>
        </w:rPr>
        <w:t xml:space="preserve">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供应商</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 任</w:t>
      </w:r>
      <w:r>
        <w:rPr>
          <w:rFonts w:hint="eastAsia" w:ascii="宋体" w:hAnsi="宋体" w:eastAsia="宋体" w:cs="宋体"/>
          <w:color w:val="auto"/>
          <w:sz w:val="24"/>
          <w:highlight w:val="none"/>
          <w:u w:val="single"/>
        </w:rPr>
        <w:t xml:space="preserve">（职务名称）</w:t>
      </w:r>
      <w:r>
        <w:rPr>
          <w:rFonts w:hint="eastAsia" w:ascii="宋体" w:hAnsi="宋体" w:eastAsia="宋体" w:cs="宋体"/>
          <w:color w:val="auto"/>
          <w:sz w:val="24"/>
          <w:highlight w:val="none"/>
        </w:rPr>
        <w:t xml:space="preserve">职务，是</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供应商</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的法定代表人，联系电话（手机号码）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特此证明。</w:t>
      </w:r>
      <w:r/>
    </w:p>
    <w:p>
      <w:pPr>
        <w:ind w:firstLine="45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（盖单位公章）      </w:t>
      </w:r>
      <w:r/>
    </w:p>
    <w:p>
      <w:pPr>
        <w:ind w:firstLine="120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126"/>
        <w:jc w:val="right"/>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 </w:t>
      </w:r>
      <w:r/>
    </w:p>
    <w:p>
      <w:pPr>
        <w:jc w:val="left"/>
        <w:spacing w:line="6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spacing w:line="6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（附：法定代表人身份证正反面复印件）</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400" w:lineRule="exact"/>
        <w:rPr>
          <w:rFonts w:hint="eastAsia" w:ascii="宋体" w:hAnsi="宋体" w:eastAsia="宋体" w:cs="宋体"/>
          <w:color w:val="auto"/>
          <w:sz w:val="28"/>
          <w:highlight w:val="none"/>
        </w:rPr>
      </w:pPr>
      <w:r>
        <w:rPr>
          <w:rFonts w:hint="eastAsia" w:ascii="宋体" w:hAnsi="宋体" w:eastAsia="宋体" w:cs="宋体"/>
          <w:color w:val="auto"/>
          <w:sz w:val="24"/>
          <w:highlight w:val="none"/>
        </w:rPr>
        <w:br w:type="page" w:clear="all"/>
      </w:r>
      <w:r>
        <w:rPr>
          <w:rFonts w:hint="eastAsia" w:ascii="宋体" w:hAnsi="宋体" w:eastAsia="宋体" w:cs="宋体"/>
          <w:b/>
          <w:bCs/>
          <w:color w:val="auto"/>
          <w:sz w:val="32"/>
          <w:szCs w:val="32"/>
          <w:highlight w:val="none"/>
          <w:lang w:eastAsia="zh-CN"/>
        </w:rPr>
        <w:t xml:space="preserve">投标文件</w:t>
      </w:r>
      <w:r>
        <w:rPr>
          <w:rFonts w:hint="eastAsia" w:ascii="宋体" w:hAnsi="宋体" w:eastAsia="宋体" w:cs="宋体"/>
          <w:b/>
          <w:bCs/>
          <w:color w:val="auto"/>
          <w:sz w:val="32"/>
          <w:szCs w:val="32"/>
          <w:highlight w:val="none"/>
        </w:rPr>
        <w:t xml:space="preserve">签署授权委托书</w:t>
      </w:r>
      <w:r/>
    </w:p>
    <w:p>
      <w:pPr>
        <w:jc w:val="center"/>
        <w:spacing w:line="400" w:lineRule="exact"/>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本授权委托书声明：我</w:t>
      </w:r>
      <w:r>
        <w:rPr>
          <w:rFonts w:hint="eastAsia" w:ascii="宋体" w:hAnsi="宋体" w:eastAsia="宋体" w:cs="宋体"/>
          <w:color w:val="auto"/>
          <w:sz w:val="24"/>
          <w:highlight w:val="none"/>
          <w:u w:val="single"/>
        </w:rPr>
        <w:t xml:space="preserve">       （姓名）      </w:t>
      </w: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供应商</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 的法定代表人，现授权</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供应商</w:t>
      </w:r>
      <w:r>
        <w:rPr>
          <w:rFonts w:hint="eastAsia" w:ascii="宋体" w:hAnsi="宋体" w:eastAsia="宋体" w:cs="宋体"/>
          <w:color w:val="auto"/>
          <w:sz w:val="24"/>
          <w:highlight w:val="none"/>
          <w:u w:val="single"/>
        </w:rPr>
        <w:t xml:space="preserve">名称）</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        （姓名）         </w:t>
      </w:r>
      <w:r>
        <w:rPr>
          <w:rFonts w:hint="eastAsia" w:ascii="宋体" w:hAnsi="宋体" w:eastAsia="宋体" w:cs="宋体"/>
          <w:color w:val="auto"/>
          <w:sz w:val="24"/>
          <w:highlight w:val="none"/>
        </w:rPr>
        <w:t xml:space="preserve">为我公司签署本项目的</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的法定代表人授权委托代</w:t>
      </w:r>
      <w:r>
        <w:rPr>
          <w:rFonts w:hint="eastAsia" w:ascii="宋体" w:hAnsi="宋体" w:eastAsia="宋体" w:cs="宋体"/>
          <w:color w:val="auto"/>
          <w:sz w:val="24"/>
          <w:highlight w:val="none"/>
          <w:lang w:eastAsia="zh-CN"/>
        </w:rPr>
        <w:t xml:space="preserve">理人</w:t>
      </w:r>
      <w:r>
        <w:rPr>
          <w:rFonts w:hint="eastAsia" w:ascii="宋体" w:hAnsi="宋体" w:eastAsia="宋体" w:cs="宋体"/>
          <w:color w:val="auto"/>
          <w:sz w:val="24"/>
          <w:highlight w:val="none"/>
        </w:rPr>
        <w:t xml:space="preserve">，我承认被授权人全权代表我所签署的本项目的</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的内容。</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特此委托。</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代理人（被授权人）：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联系电话</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身份证号码：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职务：</w:t>
      </w:r>
      <w:r>
        <w:rPr>
          <w:rFonts w:hint="eastAsia" w:ascii="宋体" w:hAnsi="宋体" w:eastAsia="宋体" w:cs="宋体"/>
          <w:color w:val="auto"/>
          <w:sz w:val="24"/>
          <w:highlight w:val="none"/>
          <w:u w:val="single"/>
        </w:rPr>
        <w:t xml:space="preserve">        </w:t>
      </w:r>
      <w:r/>
    </w:p>
    <w:p>
      <w:pPr>
        <w:pStyle w:val="858"/>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szCs w:val="22"/>
          <w:highlight w:val="none"/>
        </w:rPr>
        <w:t xml:space="preserve">联系号码（手机号码）</w:t>
      </w:r>
      <w:r>
        <w:rPr>
          <w:rFonts w:hint="eastAsia" w:ascii="宋体" w:hAnsi="宋体" w:eastAsia="宋体" w:cs="宋体"/>
          <w:color w:val="auto"/>
          <w:sz w:val="24"/>
          <w:szCs w:val="22"/>
          <w:highlight w:val="none"/>
          <w:lang w:eastAsia="zh-CN"/>
        </w:rPr>
        <w:t xml:space="preserve">；</w:t>
      </w:r>
      <w:r>
        <w:rPr>
          <w:rFonts w:hint="eastAsia" w:ascii="宋体" w:hAnsi="宋体" w:eastAsia="宋体" w:cs="宋体"/>
          <w:color w:val="auto"/>
          <w:sz w:val="24"/>
          <w:highlight w:val="none"/>
          <w:u w:val="single"/>
        </w:rPr>
        <w:t xml:space="preserve">                               </w:t>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ind w:firstLine="212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（盖单位公章）</w:t>
      </w:r>
      <w:r/>
    </w:p>
    <w:p>
      <w:pPr>
        <w:ind w:firstLine="212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（盖章）</w:t>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ind w:firstLine="212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授权委托日期：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firstLine="212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（附：被授权人身份证正反面复印件）</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pStyle w:val="858"/>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pStyle w:val="858"/>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pStyle w:val="858"/>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pStyle w:val="858"/>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pStyle w:val="858"/>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pStyle w:val="865"/>
        <w:jc w:val="both"/>
        <w:spacing w:beforeAutospacing="0" w:afterAutospacing="0" w:line="0" w:lineRule="atLeast"/>
        <w:rPr>
          <w:rFonts w:hint="eastAsia" w:ascii="宋体" w:hAnsi="宋体" w:eastAsia="宋体" w:cs="宋体"/>
          <w:b/>
          <w:iCs/>
          <w:color w:val="auto"/>
          <w:sz w:val="32"/>
          <w:szCs w:val="32"/>
          <w:highlight w:val="none"/>
          <w:u w:val="single"/>
        </w:rPr>
      </w:pPr>
      <w:r>
        <w:rPr>
          <w:rFonts w:hint="eastAsia" w:ascii="宋体" w:hAnsi="宋体" w:eastAsia="宋体" w:cs="宋体"/>
          <w:b/>
          <w:iCs/>
          <w:color w:val="auto"/>
          <w:sz w:val="32"/>
          <w:szCs w:val="32"/>
          <w:highlight w:val="none"/>
          <w:u w:val="single"/>
        </w:rPr>
      </w:r>
      <w:r/>
    </w:p>
    <w:p>
      <w:pPr>
        <w:pStyle w:val="865"/>
        <w:numPr>
          <w:ilvl w:val="0"/>
          <w:numId w:val="0"/>
        </w:numPr>
        <w:jc w:val="center"/>
        <w:spacing w:beforeAutospacing="0" w:afterAutospacing="0" w:line="0" w:lineRule="atLeast"/>
        <w:rPr>
          <w:rFonts w:ascii="黑体" w:hAnsi="宋体" w:eastAsia="黑体" w:cs="黑体"/>
          <w:b/>
          <w:color w:val="auto"/>
          <w:sz w:val="32"/>
          <w:szCs w:val="32"/>
          <w:highlight w:val="none"/>
        </w:rPr>
      </w:pPr>
      <w:r>
        <w:rPr>
          <w:rFonts w:hint="eastAsia" w:ascii="黑体" w:hAnsi="宋体" w:eastAsia="黑体" w:cs="黑体"/>
          <w:b/>
          <w:color w:val="auto"/>
          <w:sz w:val="32"/>
          <w:szCs w:val="32"/>
          <w:highlight w:val="none"/>
          <w:lang w:val="en-US" w:eastAsia="zh-CN" w:bidi="ar-SA"/>
        </w:rPr>
        <w:t xml:space="preserve">八、</w:t>
      </w:r>
      <w:r>
        <w:rPr>
          <w:rFonts w:hint="eastAsia" w:ascii="黑体" w:hAnsi="宋体" w:eastAsia="黑体" w:cs="黑体"/>
          <w:b/>
          <w:color w:val="auto"/>
          <w:sz w:val="32"/>
          <w:szCs w:val="32"/>
          <w:highlight w:val="none"/>
        </w:rPr>
        <w:t xml:space="preserve">投标函</w:t>
      </w:r>
      <w:r/>
    </w:p>
    <w:p>
      <w:pPr>
        <w:pStyle w:val="865"/>
        <w:keepLines w:val="0"/>
        <w:keepNext w:val="0"/>
        <w:pageBreakBefore w:val="0"/>
        <w:spacing w:beforeAutospacing="0" w:afterAutospacing="0" w:line="480" w:lineRule="exact"/>
        <w:widowControl w:val="off"/>
        <w:rPr>
          <w:rFonts w:hint="default" w:eastAsia="宋体"/>
          <w:color w:val="auto"/>
          <w:highlight w:val="none"/>
          <w:lang w:val="en-US" w:eastAsia="zh-CN"/>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lang w:val="en-US" w:eastAsia="zh-CN"/>
        </w:rPr>
        <w:t xml:space="preserve">   （采购人名称）   </w:t>
      </w:r>
      <w:r/>
    </w:p>
    <w:p>
      <w:pPr>
        <w:pStyle w:val="865"/>
        <w:ind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根据贵方</w:t>
      </w:r>
      <w:r>
        <w:rPr>
          <w:rFonts w:hint="eastAsia" w:ascii="宋体" w:hAnsi="宋体" w:eastAsia="宋体" w:cs="宋体"/>
          <w:color w:val="auto"/>
          <w:highlight w:val="none"/>
          <w:lang w:val="en-US" w:eastAsia="zh-CN"/>
        </w:rPr>
        <w:t xml:space="preserve">编号</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none"/>
          <w:lang w:val="en-US" w:eastAsia="zh-CN"/>
        </w:rPr>
        <w:t xml:space="preserve">的</w:t>
      </w:r>
      <w:r>
        <w:rPr>
          <w:rFonts w:hint="eastAsia" w:ascii="宋体" w:hAnsi="宋体" w:eastAsia="宋体" w:cs="宋体"/>
          <w:color w:val="auto"/>
          <w:highlight w:val="none"/>
        </w:rPr>
        <w:t xml:space="preserve">招标文件，正式授权下述签字人______</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姓名</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代表我方______________（投标人的名称），全权处理本次项目投标的有关事宜。</w:t>
      </w:r>
      <w:r/>
    </w:p>
    <w:p>
      <w:pPr>
        <w:pStyle w:val="865"/>
        <w:ind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据此函，__________签字人兹宣布同意如下：</w:t>
      </w:r>
      <w:r/>
    </w:p>
    <w:p>
      <w:pPr>
        <w:pStyle w:val="865"/>
        <w:ind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1.按招标文件规定的各项要求，向买方提供所需服务（包含与服务相关的货物）。</w:t>
      </w:r>
      <w:r/>
    </w:p>
    <w:p>
      <w:pPr>
        <w:pStyle w:val="865"/>
        <w:ind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865"/>
        <w:ind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865"/>
        <w:ind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865"/>
        <w:ind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865"/>
        <w:ind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6.一旦我方中标</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我方将根据招标文件的规定，严格履行合同的责任和义务</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并保证在招标文件规定的时</w:t>
      </w:r>
      <w:r>
        <w:rPr>
          <w:rFonts w:hint="eastAsia" w:ascii="宋体" w:hAnsi="宋体" w:eastAsia="宋体" w:cs="宋体"/>
          <w:color w:val="auto"/>
          <w:highlight w:val="none"/>
          <w:lang w:eastAsia="zh-CN"/>
        </w:rPr>
        <w:t xml:space="preserve">间内</w:t>
      </w:r>
      <w:r>
        <w:rPr>
          <w:rFonts w:hint="eastAsia" w:ascii="宋体" w:hAnsi="宋体" w:eastAsia="宋体" w:cs="宋体"/>
          <w:color w:val="auto"/>
          <w:highlight w:val="none"/>
        </w:rPr>
        <w:t xml:space="preserve">完成项目，交付买方验收、使用。</w:t>
      </w:r>
      <w:r/>
    </w:p>
    <w:p>
      <w:pPr>
        <w:pStyle w:val="865"/>
        <w:ind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7.与本投标有关的正式通讯地址为：</w:t>
      </w:r>
      <w:r/>
    </w:p>
    <w:p>
      <w:pPr>
        <w:pStyle w:val="865"/>
        <w:ind w:left="420"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地          址：</w:t>
      </w:r>
      <w:r/>
    </w:p>
    <w:p>
      <w:pPr>
        <w:pStyle w:val="865"/>
        <w:ind w:left="420"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邮          编：</w:t>
      </w:r>
      <w:r/>
    </w:p>
    <w:p>
      <w:pPr>
        <w:pStyle w:val="865"/>
        <w:ind w:left="420"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电          话：</w:t>
      </w:r>
      <w:r/>
    </w:p>
    <w:p>
      <w:pPr>
        <w:pStyle w:val="865"/>
        <w:ind w:left="420"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传          真：</w:t>
      </w:r>
      <w:r/>
    </w:p>
    <w:p>
      <w:pPr>
        <w:pStyle w:val="865"/>
        <w:ind w:left="420"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投标人开户行：</w:t>
      </w:r>
      <w:r/>
    </w:p>
    <w:p>
      <w:pPr>
        <w:pStyle w:val="865"/>
        <w:ind w:left="420"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账          号： </w:t>
      </w:r>
      <w:r/>
    </w:p>
    <w:p>
      <w:pPr>
        <w:pStyle w:val="865"/>
        <w:ind w:left="420"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日           期：________年____月____日</w:t>
      </w:r>
      <w:r/>
    </w:p>
    <w:p>
      <w:pPr>
        <w:pStyle w:val="865"/>
        <w:ind w:firstLine="240"/>
        <w:jc w:val="center"/>
        <w:spacing w:beforeAutospacing="0" w:afterAutospacing="0" w:line="0" w:lineRule="atLeast"/>
        <w:rPr>
          <w:color w:val="auto"/>
          <w:highlight w:val="none"/>
        </w:rPr>
      </w:pPr>
      <w:r>
        <w:rPr>
          <w:color w:val="auto"/>
          <w:highlight w:val="none"/>
        </w:rPr>
        <w:t xml:space="preserve"> </w:t>
      </w:r>
      <w:r/>
    </w:p>
    <w:p>
      <w:pPr>
        <w:pStyle w:val="865"/>
        <w:ind w:firstLine="240"/>
        <w:jc w:val="center"/>
        <w:spacing w:beforeAutospacing="0" w:afterAutospacing="0" w:line="0" w:lineRule="atLeast"/>
        <w:rPr>
          <w:color w:val="auto"/>
          <w:highlight w:val="none"/>
        </w:rPr>
      </w:pPr>
      <w:r>
        <w:rPr>
          <w:color w:val="auto"/>
          <w:highlight w:val="none"/>
        </w:rPr>
        <w:t xml:space="preserve"> </w:t>
      </w:r>
      <w:r/>
    </w:p>
    <w:p>
      <w:pPr>
        <w:pStyle w:val="865"/>
        <w:ind w:firstLine="240"/>
        <w:jc w:val="center"/>
        <w:spacing w:beforeAutospacing="0" w:afterAutospacing="0" w:line="0" w:lineRule="atLeast"/>
        <w:rPr>
          <w:color w:val="auto"/>
          <w:highlight w:val="none"/>
        </w:rPr>
      </w:pPr>
      <w:r>
        <w:rPr>
          <w:color w:val="auto"/>
          <w:highlight w:val="none"/>
        </w:rPr>
        <w:t xml:space="preserve"> </w:t>
      </w:r>
      <w:r/>
    </w:p>
    <w:p>
      <w:pPr>
        <w:pStyle w:val="865"/>
        <w:ind w:firstLine="240"/>
        <w:jc w:val="center"/>
        <w:spacing w:beforeAutospacing="0" w:afterAutospacing="0" w:line="0" w:lineRule="atLeast"/>
        <w:rPr>
          <w:color w:val="auto"/>
          <w:highlight w:val="none"/>
        </w:rPr>
      </w:pPr>
      <w:r>
        <w:rPr>
          <w:color w:val="auto"/>
          <w:highlight w:val="none"/>
        </w:rPr>
        <w:t xml:space="preserve"> </w:t>
      </w:r>
      <w:r/>
    </w:p>
    <w:p>
      <w:pPr>
        <w:pStyle w:val="865"/>
        <w:ind w:firstLine="240"/>
        <w:jc w:val="center"/>
        <w:spacing w:beforeAutospacing="0" w:afterAutospacing="0" w:line="0" w:lineRule="atLeast"/>
        <w:rPr>
          <w:color w:val="auto"/>
          <w:highlight w:val="none"/>
        </w:rPr>
      </w:pPr>
      <w:r>
        <w:rPr>
          <w:color w:val="auto"/>
          <w:highlight w:val="none"/>
        </w:rPr>
        <w:t xml:space="preserve"> </w:t>
      </w:r>
      <w:r/>
    </w:p>
    <w:p>
      <w:pPr>
        <w:pStyle w:val="865"/>
        <w:ind w:firstLine="240"/>
        <w:jc w:val="center"/>
        <w:spacing w:beforeAutospacing="0" w:afterAutospacing="0" w:line="0" w:lineRule="atLeast"/>
        <w:rPr>
          <w:color w:val="auto"/>
          <w:highlight w:val="none"/>
        </w:rPr>
      </w:pPr>
      <w:r>
        <w:rPr>
          <w:color w:val="auto"/>
          <w:highlight w:val="none"/>
        </w:rPr>
      </w:r>
      <w:r/>
    </w:p>
    <w:p>
      <w:pPr>
        <w:pStyle w:val="865"/>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lang w:val="en-US" w:eastAsia="zh-CN"/>
        </w:rPr>
        <w:t xml:space="preserve">九</w:t>
      </w:r>
      <w:r>
        <w:rPr>
          <w:rFonts w:hint="eastAsia" w:ascii="黑体" w:hAnsi="宋体" w:eastAsia="黑体" w:cs="黑体"/>
          <w:b/>
          <w:color w:val="auto"/>
          <w:sz w:val="32"/>
          <w:szCs w:val="32"/>
          <w:highlight w:val="none"/>
        </w:rPr>
        <w:t xml:space="preserve">、</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w:t>
      </w:r>
      <w:r/>
    </w:p>
    <w:p>
      <w:pPr>
        <w:ind w:firstLine="480"/>
        <w:jc w:val="both"/>
        <w:keepLines w:val="0"/>
        <w:keepNext w:val="0"/>
        <w:pageBreakBefore w:val="0"/>
        <w:spacing w:line="480" w:lineRule="exact"/>
        <w:widowControl w:val="off"/>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color w:val="auto"/>
          <w:sz w:val="24"/>
          <w:highlight w:val="none"/>
          <w:u w:val="single"/>
          <w:lang w:val="en-US" w:eastAsia="zh-CN"/>
        </w:rPr>
        <w:t xml:space="preserve"> （采购人名称） </w:t>
      </w:r>
      <w:r>
        <w:rPr>
          <w:rFonts w:hint="eastAsia"/>
          <w:color w:val="auto"/>
          <w:sz w:val="24"/>
          <w:highlight w:val="none"/>
        </w:rPr>
        <w:t xml:space="preserve">组织的采购编号为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1"/>
        </w:numPr>
        <w:ind w:firstLine="480"/>
        <w:jc w:val="both"/>
        <w:keepLines w:val="0"/>
        <w:keepNext w:val="0"/>
        <w:pageBreakBefore w:val="0"/>
        <w:spacing w:line="480" w:lineRule="exact"/>
        <w:widowControl w:val="off"/>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1"/>
        </w:numPr>
        <w:ind w:left="0" w:firstLine="480"/>
        <w:jc w:val="both"/>
        <w:keepLines w:val="0"/>
        <w:keepNext w:val="0"/>
        <w:pageBreakBefore w:val="0"/>
        <w:spacing w:line="480" w:lineRule="exact"/>
        <w:widowControl w:val="off"/>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keepLines w:val="0"/>
        <w:keepNext w:val="0"/>
        <w:pageBreakBefore w:val="0"/>
        <w:spacing w:line="480" w:lineRule="exact"/>
        <w:widowControl w:val="off"/>
        <w:rPr>
          <w:rFonts w:hint="eastAsia"/>
          <w:color w:val="auto"/>
          <w:sz w:val="24"/>
          <w:highlight w:val="none"/>
        </w:rPr>
      </w:pPr>
      <w:r>
        <w:rPr>
          <w:rFonts w:hint="eastAsia"/>
          <w:color w:val="auto"/>
          <w:sz w:val="24"/>
          <w:highlight w:val="none"/>
        </w:rPr>
        <w:t xml:space="preserve">……</w:t>
      </w:r>
      <w:r/>
    </w:p>
    <w:p>
      <w:pPr>
        <w:numPr>
          <w:ilvl w:val="0"/>
          <w:numId w:val="0"/>
        </w:numPr>
        <w:ind w:firstLine="480"/>
        <w:jc w:val="both"/>
        <w:keepLines w:val="0"/>
        <w:keepNext w:val="0"/>
        <w:pageBreakBefore w:val="0"/>
        <w:spacing w:line="480" w:lineRule="exact"/>
        <w:widowControl w:val="off"/>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keepLines w:val="0"/>
        <w:keepNext w:val="0"/>
        <w:pageBreakBefore w:val="0"/>
        <w:spacing w:line="480" w:lineRule="exact"/>
        <w:widowControl w:val="off"/>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865"/>
        <w:ind w:right="720"/>
        <w:jc w:val="both"/>
        <w:keepLines w:val="0"/>
        <w:keepNext w:val="0"/>
        <w:pageBreakBefore w:val="0"/>
        <w:spacing w:beforeAutospacing="0" w:afterAutospacing="0" w:line="480" w:lineRule="exact"/>
        <w:widowControl w:val="off"/>
        <w:rPr>
          <w:color w:val="auto"/>
          <w:highlight w:val="none"/>
        </w:rPr>
      </w:pPr>
      <w:r>
        <w:rPr>
          <w:color w:val="auto"/>
          <w:highlight w:val="none"/>
        </w:rPr>
        <w:t xml:space="preserve"> </w:t>
      </w:r>
      <w:r/>
    </w:p>
    <w:p>
      <w:pPr>
        <w:pStyle w:val="865"/>
        <w:ind w:right="180" w:firstLine="360"/>
        <w:jc w:val="right"/>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企业名称（加盖CA电子公章）：</w:t>
      </w:r>
      <w:r/>
    </w:p>
    <w:p>
      <w:pPr>
        <w:pStyle w:val="865"/>
        <w:ind w:right="480" w:firstLine="540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日  期：</w:t>
      </w:r>
      <w:r/>
    </w:p>
    <w:p>
      <w:pPr>
        <w:pStyle w:val="865"/>
        <w:ind w:firstLine="240"/>
        <w:jc w:val="both"/>
        <w:keepLines w:val="0"/>
        <w:keepNext w:val="0"/>
        <w:pageBreakBefore w:val="0"/>
        <w:spacing w:beforeAutospacing="0" w:afterAutospacing="0" w:line="480" w:lineRule="exact"/>
        <w:widowControl w:val="off"/>
        <w:rPr>
          <w:color w:val="auto"/>
          <w:highlight w:val="none"/>
        </w:rPr>
      </w:pPr>
      <w:r>
        <w:rPr>
          <w:color w:val="auto"/>
          <w:highlight w:val="none"/>
        </w:rPr>
        <w:t xml:space="preserve"> </w:t>
      </w:r>
      <w:r/>
    </w:p>
    <w:p>
      <w:pPr>
        <w:pStyle w:val="865"/>
        <w:ind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865"/>
        <w:ind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865"/>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 xml:space="preserve"> 十、残疾人福利性单位声明函（分包号：**）</w:t>
      </w:r>
      <w:r/>
    </w:p>
    <w:p>
      <w:pPr>
        <w:pStyle w:val="865"/>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5"/>
        <w:ind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项目（分包号：**）采购活动由本单位提供服务。</w:t>
      </w:r>
      <w:r/>
    </w:p>
    <w:p>
      <w:pPr>
        <w:pStyle w:val="865"/>
        <w:ind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865"/>
        <w:ind w:firstLine="480"/>
        <w:jc w:val="both"/>
        <w:keepLines w:val="0"/>
        <w:keepNext w:val="0"/>
        <w:pageBreakBefore w:val="0"/>
        <w:spacing w:beforeAutospacing="0" w:afterAutospacing="0" w:line="480" w:lineRule="exact"/>
        <w:widowControl w:val="off"/>
        <w:rPr>
          <w:color w:val="auto"/>
          <w:highlight w:val="none"/>
        </w:rPr>
      </w:pPr>
      <w:r>
        <w:rPr>
          <w:color w:val="auto"/>
          <w:highlight w:val="none"/>
        </w:rPr>
        <w:t xml:space="preserve"> </w:t>
      </w:r>
      <w:r/>
    </w:p>
    <w:p>
      <w:pPr>
        <w:pStyle w:val="865"/>
        <w:ind w:firstLine="480"/>
        <w:jc w:val="both"/>
        <w:keepLines w:val="0"/>
        <w:keepNext w:val="0"/>
        <w:pageBreakBefore w:val="0"/>
        <w:spacing w:beforeAutospacing="0" w:afterAutospacing="0" w:line="480" w:lineRule="exact"/>
        <w:widowControl w:val="off"/>
        <w:rPr>
          <w:rFonts w:hint="eastAsia" w:eastAsia="宋体"/>
          <w:color w:val="auto"/>
          <w:highlight w:val="none"/>
          <w:lang w:eastAsia="zh-CN"/>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p>
    <w:p>
      <w:pPr>
        <w:pStyle w:val="865"/>
        <w:ind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rPr>
        <w:t xml:space="preserve">中标人为残疾人福利单位的，此声明函将随中标结果同时公告，接受社会监督</w:t>
      </w:r>
      <w:r/>
    </w:p>
    <w:p>
      <w:pPr>
        <w:pStyle w:val="865"/>
        <w:ind w:firstLine="624"/>
        <w:jc w:val="both"/>
        <w:keepLines w:val="0"/>
        <w:keepNext w:val="0"/>
        <w:pageBreakBefore w:val="0"/>
        <w:spacing w:beforeAutospacing="0" w:afterAutospacing="0" w:line="480" w:lineRule="exact"/>
        <w:widowControl w:val="off"/>
        <w:rPr>
          <w:color w:val="auto"/>
          <w:highlight w:val="none"/>
        </w:rPr>
      </w:pPr>
      <w:r>
        <w:rPr>
          <w:color w:val="auto"/>
          <w:highlight w:val="none"/>
        </w:rPr>
        <w:t xml:space="preserve"> </w:t>
      </w:r>
      <w:r/>
    </w:p>
    <w:p>
      <w:pPr>
        <w:pStyle w:val="865"/>
        <w:ind w:right="1560" w:firstLine="624"/>
        <w:jc w:val="center"/>
        <w:keepLines w:val="0"/>
        <w:keepNext w:val="0"/>
        <w:pageBreakBefore w:val="0"/>
        <w:spacing w:beforeAutospacing="0" w:afterAutospacing="0" w:line="480" w:lineRule="exact"/>
        <w:widowControl w:val="off"/>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865"/>
        <w:ind w:right="1560" w:firstLine="480"/>
        <w:jc w:val="center"/>
        <w:keepLines w:val="0"/>
        <w:keepNext w:val="0"/>
        <w:pageBreakBefore w:val="0"/>
        <w:spacing w:beforeAutospacing="0" w:afterAutospacing="0" w:line="480" w:lineRule="exact"/>
        <w:widowControl w:val="off"/>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5"/>
        <w:ind w:right="1560" w:firstLine="480"/>
        <w:jc w:val="center"/>
        <w:keepLines w:val="0"/>
        <w:keepNext w:val="0"/>
        <w:pageBreakBefore w:val="0"/>
        <w:spacing w:beforeAutospacing="0" w:afterAutospacing="0" w:line="480" w:lineRule="exact"/>
        <w:widowControl w:val="off"/>
        <w:tabs>
          <w:tab w:val="left" w:pos="4864" w:leader="none"/>
        </w:tabs>
        <w:rPr>
          <w:color w:val="auto"/>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       期：</w:t>
      </w:r>
      <w:r/>
    </w:p>
    <w:p>
      <w:pPr>
        <w:pStyle w:val="865"/>
        <w:jc w:val="center"/>
        <w:spacing w:beforeAutospacing="0" w:afterAutospacing="0" w:line="0" w:lineRule="atLeast"/>
        <w:rPr>
          <w:color w:val="auto"/>
          <w:highlight w:val="none"/>
        </w:rPr>
      </w:pPr>
      <w:r>
        <w:rPr>
          <w:color w:val="auto"/>
          <w:highlight w:val="none"/>
        </w:rPr>
        <w:t xml:space="preserve"> </w:t>
      </w:r>
      <w:r/>
    </w:p>
    <w:p>
      <w:pPr>
        <w:pStyle w:val="865"/>
        <w:jc w:val="center"/>
        <w:spacing w:beforeAutospacing="0" w:afterAutospacing="0" w:line="0" w:lineRule="atLeast"/>
        <w:rPr>
          <w:color w:val="auto"/>
          <w:highlight w:val="none"/>
        </w:rPr>
      </w:pPr>
      <w:r>
        <w:rPr>
          <w:color w:val="auto"/>
          <w:highlight w:val="none"/>
        </w:rPr>
        <w:t xml:space="preserve"> </w:t>
      </w:r>
      <w:r/>
    </w:p>
    <w:p>
      <w:pPr>
        <w:pStyle w:val="865"/>
        <w:jc w:val="center"/>
        <w:spacing w:beforeAutospacing="0" w:afterAutospacing="0" w:line="0" w:lineRule="atLeast"/>
        <w:rPr>
          <w:color w:val="auto"/>
          <w:highlight w:val="none"/>
        </w:rPr>
      </w:pPr>
      <w:r>
        <w:rPr>
          <w:color w:val="auto"/>
          <w:highlight w:val="none"/>
        </w:rPr>
        <w:t xml:space="preserve"> </w:t>
      </w:r>
      <w:r/>
    </w:p>
    <w:p>
      <w:pPr>
        <w:pStyle w:val="865"/>
        <w:jc w:val="center"/>
        <w:spacing w:beforeAutospacing="0" w:afterAutospacing="0" w:line="0" w:lineRule="atLeast"/>
        <w:rPr>
          <w:color w:val="auto"/>
          <w:highlight w:val="none"/>
        </w:rPr>
      </w:pPr>
      <w:r>
        <w:rPr>
          <w:color w:val="auto"/>
          <w:highlight w:val="none"/>
        </w:rPr>
        <w:t xml:space="preserve"> </w:t>
      </w:r>
      <w:r/>
    </w:p>
    <w:p>
      <w:pPr>
        <w:pStyle w:val="865"/>
        <w:jc w:val="center"/>
        <w:spacing w:beforeAutospacing="0" w:afterAutospacing="0" w:line="0" w:lineRule="atLeast"/>
        <w:rPr>
          <w:color w:val="auto"/>
          <w:highlight w:val="none"/>
        </w:rPr>
      </w:pPr>
      <w:r>
        <w:rPr>
          <w:color w:val="auto"/>
          <w:highlight w:val="none"/>
        </w:rPr>
        <w:t xml:space="preserve"> </w:t>
      </w:r>
      <w:r/>
    </w:p>
    <w:p>
      <w:pPr>
        <w:pStyle w:val="865"/>
        <w:jc w:val="center"/>
        <w:spacing w:beforeAutospacing="0" w:afterAutospacing="0" w:line="0" w:lineRule="atLeast"/>
        <w:rPr>
          <w:color w:val="auto"/>
          <w:highlight w:val="none"/>
        </w:rPr>
      </w:pPr>
      <w:r>
        <w:rPr>
          <w:color w:val="auto"/>
          <w:highlight w:val="none"/>
        </w:rPr>
        <w:t xml:space="preserve"> </w:t>
      </w:r>
      <w:r/>
    </w:p>
    <w:p>
      <w:pPr>
        <w:pStyle w:val="865"/>
        <w:jc w:val="center"/>
        <w:spacing w:beforeAutospacing="0" w:afterAutospacing="0" w:line="0" w:lineRule="atLeast"/>
        <w:rPr>
          <w:color w:val="auto"/>
          <w:highlight w:val="none"/>
        </w:rPr>
      </w:pPr>
      <w:r>
        <w:rPr>
          <w:color w:val="auto"/>
          <w:highlight w:val="none"/>
        </w:rPr>
        <w:t xml:space="preserve"> </w:t>
      </w:r>
      <w:r/>
    </w:p>
    <w:p>
      <w:pPr>
        <w:pStyle w:val="865"/>
        <w:jc w:val="center"/>
        <w:spacing w:beforeAutospacing="0" w:afterAutospacing="0" w:line="0" w:lineRule="atLeast"/>
        <w:rPr>
          <w:color w:val="auto"/>
          <w:highlight w:val="none"/>
        </w:rPr>
      </w:pPr>
      <w:r>
        <w:rPr>
          <w:color w:val="auto"/>
          <w:highlight w:val="none"/>
        </w:rPr>
        <w:t xml:space="preserve"> </w:t>
      </w:r>
      <w:r/>
    </w:p>
    <w:p>
      <w:pPr>
        <w:pStyle w:val="865"/>
        <w:jc w:val="center"/>
        <w:spacing w:beforeAutospacing="0" w:afterAutospacing="0" w:line="0" w:lineRule="atLeast"/>
        <w:rPr>
          <w:color w:val="auto"/>
          <w:highlight w:val="none"/>
        </w:rPr>
      </w:pPr>
      <w:r>
        <w:rPr>
          <w:color w:val="auto"/>
          <w:highlight w:val="none"/>
        </w:rPr>
      </w:r>
      <w:r/>
    </w:p>
    <w:p>
      <w:pPr>
        <w:pStyle w:val="865"/>
        <w:jc w:val="center"/>
        <w:spacing w:beforeAutospacing="0" w:afterAutospacing="0" w:line="0" w:lineRule="atLeast"/>
        <w:rPr>
          <w:color w:val="auto"/>
          <w:highlight w:val="none"/>
        </w:rPr>
      </w:pPr>
      <w:r>
        <w:rPr>
          <w:color w:val="auto"/>
          <w:highlight w:val="none"/>
        </w:rPr>
      </w:r>
      <w:r/>
    </w:p>
    <w:p>
      <w:pPr>
        <w:pStyle w:val="865"/>
        <w:jc w:val="center"/>
        <w:spacing w:beforeAutospacing="0" w:afterAutospacing="0" w:line="0" w:lineRule="atLeast"/>
        <w:rPr>
          <w:color w:val="auto"/>
          <w:highlight w:val="none"/>
        </w:rPr>
      </w:pPr>
      <w:r>
        <w:rPr>
          <w:color w:val="auto"/>
          <w:highlight w:val="none"/>
        </w:rPr>
      </w:r>
      <w:r/>
    </w:p>
    <w:p>
      <w:pPr>
        <w:pStyle w:val="865"/>
        <w:jc w:val="center"/>
        <w:spacing w:beforeAutospacing="0" w:afterAutospacing="0" w:line="0" w:lineRule="atLeast"/>
        <w:rPr>
          <w:color w:val="auto"/>
          <w:highlight w:val="none"/>
        </w:rPr>
      </w:pPr>
      <w:r>
        <w:rPr>
          <w:color w:val="auto"/>
          <w:highlight w:val="none"/>
        </w:rPr>
      </w:r>
      <w:r/>
    </w:p>
    <w:p>
      <w:pPr>
        <w:pStyle w:val="865"/>
        <w:jc w:val="center"/>
        <w:spacing w:beforeAutospacing="0" w:afterAutospacing="0" w:line="0" w:lineRule="atLeast"/>
        <w:rPr>
          <w:color w:val="auto"/>
          <w:highlight w:val="none"/>
        </w:rPr>
      </w:pPr>
      <w:r>
        <w:rPr>
          <w:color w:val="auto"/>
          <w:highlight w:val="none"/>
        </w:rPr>
      </w:r>
      <w:r/>
    </w:p>
    <w:p>
      <w:pPr>
        <w:pStyle w:val="865"/>
        <w:jc w:val="center"/>
        <w:spacing w:beforeAutospacing="0" w:afterAutospacing="0" w:line="0" w:lineRule="atLeast"/>
        <w:rPr>
          <w:color w:val="auto"/>
          <w:highlight w:val="none"/>
        </w:rPr>
      </w:pPr>
      <w:r>
        <w:rPr>
          <w:color w:val="auto"/>
          <w:highlight w:val="none"/>
        </w:rPr>
      </w:r>
      <w:r/>
    </w:p>
    <w:p>
      <w:pPr>
        <w:pStyle w:val="865"/>
        <w:jc w:val="center"/>
        <w:spacing w:beforeAutospacing="0" w:afterAutospacing="0" w:line="0" w:lineRule="atLeast"/>
        <w:rPr>
          <w:color w:val="auto"/>
          <w:highlight w:val="none"/>
        </w:rPr>
      </w:pPr>
      <w:r>
        <w:rPr>
          <w:color w:val="auto"/>
          <w:highlight w:val="none"/>
        </w:rPr>
      </w:r>
      <w:r/>
    </w:p>
    <w:p>
      <w:pPr>
        <w:pStyle w:val="865"/>
        <w:jc w:val="center"/>
        <w:spacing w:beforeAutospacing="0" w:afterAutospacing="0" w:line="0" w:lineRule="atLeast"/>
        <w:rPr>
          <w:color w:val="auto"/>
          <w:highlight w:val="none"/>
        </w:rPr>
      </w:pPr>
      <w:r>
        <w:rPr>
          <w:color w:val="auto"/>
          <w:highlight w:val="none"/>
        </w:rPr>
      </w:r>
      <w:r/>
    </w:p>
    <w:p>
      <w:pPr>
        <w:pStyle w:val="865"/>
        <w:jc w:val="center"/>
        <w:spacing w:beforeAutospacing="0" w:afterAutospacing="0" w:line="0" w:lineRule="atLeast"/>
        <w:rPr>
          <w:color w:val="auto"/>
          <w:highlight w:val="none"/>
        </w:rPr>
      </w:pPr>
      <w:r>
        <w:rPr>
          <w:color w:val="auto"/>
          <w:highlight w:val="none"/>
        </w:rPr>
      </w:r>
      <w:r/>
    </w:p>
    <w:p>
      <w:pPr>
        <w:pStyle w:val="865"/>
        <w:jc w:val="center"/>
        <w:spacing w:beforeAutospacing="0" w:afterAutospacing="0" w:line="0" w:lineRule="atLeast"/>
        <w:rPr>
          <w:color w:val="auto"/>
          <w:highlight w:val="none"/>
        </w:rPr>
      </w:pPr>
      <w:r>
        <w:rPr>
          <w:color w:val="auto"/>
          <w:highlight w:val="none"/>
        </w:rPr>
      </w:r>
      <w:r/>
    </w:p>
    <w:p>
      <w:pPr>
        <w:pStyle w:val="865"/>
        <w:jc w:val="center"/>
        <w:spacing w:beforeAutospacing="0" w:afterAutospacing="0" w:line="0" w:lineRule="atLeast"/>
        <w:rPr>
          <w:color w:val="auto"/>
          <w:highlight w:val="none"/>
        </w:rPr>
      </w:pPr>
      <w:r>
        <w:rPr>
          <w:color w:val="auto"/>
          <w:highlight w:val="none"/>
        </w:rPr>
      </w:r>
      <w:r/>
    </w:p>
    <w:p>
      <w:pPr>
        <w:pStyle w:val="865"/>
        <w:jc w:val="center"/>
        <w:spacing w:beforeAutospacing="0" w:afterAutospacing="0" w:line="0" w:lineRule="atLeast"/>
        <w:rPr>
          <w:color w:val="auto"/>
          <w:highlight w:val="none"/>
        </w:rPr>
      </w:pPr>
      <w:r>
        <w:rPr>
          <w:color w:val="auto"/>
          <w:highlight w:val="none"/>
        </w:rPr>
      </w:r>
      <w:r/>
    </w:p>
    <w:p>
      <w:pPr>
        <w:pStyle w:val="865"/>
        <w:jc w:val="center"/>
        <w:spacing w:beforeAutospacing="0" w:afterAutospacing="0" w:line="0" w:lineRule="atLeast"/>
        <w:rPr>
          <w:color w:val="auto"/>
          <w:highlight w:val="none"/>
        </w:rPr>
      </w:pPr>
      <w:r>
        <w:rPr>
          <w:color w:val="auto"/>
          <w:highlight w:val="none"/>
        </w:rPr>
      </w:r>
      <w:r/>
    </w:p>
    <w:p>
      <w:pPr>
        <w:pStyle w:val="865"/>
        <w:jc w:val="center"/>
        <w:spacing w:beforeAutospacing="0" w:afterAutospacing="0" w:line="0" w:lineRule="atLeast"/>
        <w:rPr>
          <w:color w:val="auto"/>
          <w:highlight w:val="none"/>
        </w:rPr>
      </w:pPr>
      <w:r>
        <w:rPr>
          <w:color w:val="auto"/>
          <w:highlight w:val="none"/>
        </w:rPr>
      </w:r>
      <w:r/>
    </w:p>
    <w:p>
      <w:pPr>
        <w:pStyle w:val="865"/>
        <w:jc w:val="center"/>
        <w:spacing w:beforeAutospacing="0" w:afterAutospacing="0" w:line="0" w:lineRule="atLeast"/>
        <w:rPr>
          <w:rFonts w:hint="default" w:ascii="黑体" w:hAnsi="宋体" w:eastAsia="黑体" w:cs="黑体"/>
          <w:b/>
          <w:color w:val="auto"/>
          <w:sz w:val="32"/>
          <w:szCs w:val="32"/>
          <w:highlight w:val="none"/>
          <w:lang w:val="en-US" w:eastAsia="zh-CN"/>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一</w:t>
      </w:r>
      <w:r>
        <w:rPr>
          <w:rFonts w:hint="eastAsia" w:ascii="黑体" w:hAnsi="宋体" w:eastAsia="黑体" w:cs="黑体"/>
          <w:b/>
          <w:color w:val="auto"/>
          <w:sz w:val="32"/>
          <w:szCs w:val="32"/>
          <w:highlight w:val="none"/>
        </w:rPr>
        <w:t xml:space="preserve">、</w:t>
      </w:r>
      <w:bookmarkStart w:id="190" w:name="_格式2__法定代表人授权书"/>
      <w:r/>
      <w:bookmarkStart w:id="191" w:name="_Hlt26671374"/>
      <w:r/>
      <w:bookmarkStart w:id="192" w:name="_Hlt26955066"/>
      <w:r/>
      <w:bookmarkStart w:id="193" w:name="_Hlt26609389"/>
      <w:r/>
      <w:bookmarkStart w:id="194" w:name="_Hlt26955054"/>
      <w:r/>
      <w:bookmarkStart w:id="195" w:name="_Toc462564146"/>
      <w:r>
        <w:rPr>
          <w:rFonts w:hint="eastAsia" w:ascii="黑体" w:hAnsi="宋体" w:eastAsia="黑体" w:cs="黑体"/>
          <w:b/>
          <w:color w:val="auto"/>
          <w:sz w:val="32"/>
          <w:szCs w:val="32"/>
          <w:highlight w:val="none"/>
          <w:lang w:val="en-US" w:eastAsia="zh-CN"/>
        </w:rPr>
        <w:t xml:space="preserve">投标报价表</w:t>
      </w:r>
      <w:r/>
    </w:p>
    <w:p>
      <w:pPr>
        <w:pStyle w:val="865"/>
        <w:ind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投标人全称（加盖CA电子签章）：</w:t>
      </w:r>
      <w:r/>
    </w:p>
    <w:p>
      <w:pPr>
        <w:pStyle w:val="865"/>
        <w:ind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项目名称：</w:t>
      </w:r>
      <w:r/>
    </w:p>
    <w:p>
      <w:pPr>
        <w:pStyle w:val="865"/>
        <w:ind w:firstLine="482"/>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865"/>
        <w:ind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分</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包</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号：</w:t>
      </w:r>
      <w:r/>
    </w:p>
    <w:tbl>
      <w:tblPr>
        <w:tblStyle w:val="857"/>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65"/>
              <w:jc w:val="center"/>
              <w:spacing w:beforeAutospacing="0" w:afterAutospacing="0"/>
              <w:rPr>
                <w:color w:val="auto"/>
                <w:highlight w:val="none"/>
              </w:rPr>
            </w:pPr>
            <w:r>
              <w:rPr>
                <w:rFonts w:hint="eastAsia" w:ascii="宋体" w:hAnsi="宋体" w:eastAsia="宋体" w:cs="宋体"/>
                <w:color w:val="auto"/>
                <w:highlight w:val="none"/>
              </w:rPr>
              <w:t xml:space="preserve">投标报价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65"/>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65"/>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rPr>
                <w:rFonts w:hint="eastAsia" w:ascii="宋体" w:hAnsi="宋体" w:eastAsia="宋体" w:cs="宋体"/>
                <w:color w:val="auto"/>
                <w:highlight w:val="none"/>
                <w:lang w:val="en-US" w:eastAsia="zh-CN"/>
              </w:rPr>
              <w:t xml:space="preserve">/m</w:t>
            </w:r>
            <w:r>
              <w:rPr>
                <w:rFonts w:hint="eastAsia" w:ascii="宋体" w:hAnsi="宋体" w:eastAsia="宋体" w:cs="宋体"/>
                <w:color w:val="auto"/>
                <w:highlight w:val="none"/>
                <w:vertAlign w:val="superscript"/>
                <w:lang w:val="en-US" w:eastAsia="zh-CN"/>
              </w:rPr>
              <w:t xml:space="preserve">3</w:t>
            </w:r>
            <w:r>
              <w:rPr>
                <w:rFonts w:hint="eastAsia" w:ascii="宋体" w:hAnsi="宋体" w:eastAsia="宋体" w:cs="宋体"/>
                <w:color w:val="auto"/>
                <w:highlight w:val="none"/>
              </w:rPr>
              <w:t xml:space="preserve">）</w:t>
            </w:r>
            <w:r/>
          </w:p>
        </w:tc>
      </w:tr>
    </w:tbl>
    <w:p>
      <w:pPr>
        <w:pStyle w:val="865"/>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color w:val="auto"/>
          <w:highlight w:val="none"/>
        </w:rPr>
        <w:t xml:space="preserve"> </w:t>
      </w:r>
      <w:r>
        <w:rPr>
          <w:rFonts w:hint="eastAsia"/>
          <w:color w:val="auto"/>
          <w:highlight w:val="none"/>
          <w:lang w:val="en-US" w:eastAsia="zh-CN"/>
        </w:rPr>
        <w:t xml:space="preserve">   </w:t>
      </w:r>
      <w:r>
        <w:rPr>
          <w:rFonts w:hint="eastAsia" w:ascii="宋体" w:hAnsi="宋体" w:eastAsia="宋体" w:cs="宋体"/>
          <w:color w:val="auto"/>
          <w:highlight w:val="none"/>
        </w:rPr>
        <w:t xml:space="preserve">     </w:t>
      </w:r>
      <w:r/>
    </w:p>
    <w:p>
      <w:pPr>
        <w:pStyle w:val="865"/>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5"/>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5"/>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5"/>
        <w:ind w:firstLine="3902"/>
        <w:jc w:val="both"/>
        <w:spacing w:beforeAutospacing="0" w:afterAutospacing="0"/>
        <w:rPr>
          <w:color w:val="auto"/>
          <w:highlight w:val="none"/>
        </w:rPr>
      </w:pPr>
      <w:r>
        <w:rPr>
          <w:rFonts w:hint="eastAsia" w:ascii="宋体" w:hAnsi="宋体" w:eastAsia="宋体" w:cs="宋体"/>
          <w:color w:val="auto"/>
          <w:highlight w:val="none"/>
        </w:rPr>
        <w:t xml:space="preserve">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865"/>
        <w:ind w:firstLine="480"/>
        <w:jc w:val="both"/>
        <w:spacing w:beforeAutospacing="0" w:afterAutospacing="0"/>
        <w:rPr>
          <w:color w:val="auto"/>
          <w:highlight w:val="none"/>
        </w:rPr>
      </w:pPr>
      <w:r>
        <w:rPr>
          <w:color w:val="auto"/>
          <w:highlight w:val="none"/>
        </w:rPr>
        <w:t xml:space="preserve"> </w:t>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pStyle w:val="858"/>
        <w:rPr>
          <w:color w:val="auto"/>
          <w:highlight w:val="none"/>
        </w:rPr>
      </w:pPr>
      <w:r>
        <w:rPr>
          <w:color w:val="auto"/>
          <w:highlight w:val="none"/>
        </w:rPr>
      </w:r>
      <w:r/>
    </w:p>
    <w:p>
      <w:pPr>
        <w:pStyle w:val="858"/>
        <w:rPr>
          <w:color w:val="auto"/>
          <w:highlight w:val="none"/>
        </w:rPr>
      </w:pPr>
      <w:r>
        <w:rPr>
          <w:color w:val="auto"/>
          <w:highlight w:val="none"/>
        </w:rPr>
      </w:r>
      <w:r/>
    </w:p>
    <w:p>
      <w:pPr>
        <w:pStyle w:val="858"/>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pStyle w:val="858"/>
        <w:rPr>
          <w:color w:val="auto"/>
          <w:highlight w:val="none"/>
        </w:rPr>
      </w:pPr>
      <w:r>
        <w:rPr>
          <w:color w:val="auto"/>
          <w:highlight w:val="none"/>
        </w:rPr>
      </w:r>
      <w:r/>
    </w:p>
    <w:p>
      <w:pPr>
        <w:pStyle w:val="858"/>
        <w:rPr>
          <w:color w:val="auto"/>
          <w:highlight w:val="none"/>
        </w:rPr>
      </w:pPr>
      <w:r>
        <w:rPr>
          <w:color w:val="auto"/>
          <w:highlight w:val="none"/>
        </w:rPr>
      </w:r>
      <w:r/>
    </w:p>
    <w:p>
      <w:pPr>
        <w:pStyle w:val="858"/>
        <w:rPr>
          <w:color w:val="auto"/>
          <w:highlight w:val="none"/>
        </w:rPr>
      </w:pPr>
      <w:r>
        <w:rPr>
          <w:color w:val="auto"/>
          <w:highlight w:val="none"/>
        </w:rPr>
      </w:r>
      <w:r/>
    </w:p>
    <w:p>
      <w:pPr>
        <w:pStyle w:val="858"/>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pStyle w:val="858"/>
        <w:rPr>
          <w:color w:val="auto"/>
          <w:highlight w:val="none"/>
        </w:rPr>
      </w:pPr>
      <w:r>
        <w:rPr>
          <w:color w:val="auto"/>
          <w:highlight w:val="none"/>
        </w:rPr>
      </w:r>
      <w:r/>
    </w:p>
    <w:p>
      <w:pPr>
        <w:pStyle w:val="858"/>
        <w:rPr>
          <w:color w:val="auto"/>
          <w:highlight w:val="none"/>
        </w:rPr>
      </w:pPr>
      <w:r>
        <w:rPr>
          <w:color w:val="auto"/>
          <w:highlight w:val="none"/>
        </w:rPr>
      </w:r>
      <w:r>
        <w:rPr>
          <w:color w:val="auto"/>
          <w:highlight w:val="none"/>
        </w:rPr>
      </w:r>
      <w:r/>
    </w:p>
    <w:p>
      <w:pPr>
        <w:pStyle w:val="858"/>
        <w:rPr>
          <w:color w:val="auto"/>
          <w:highlight w:val="none"/>
        </w:rPr>
      </w:pPr>
      <w:r>
        <w:rPr>
          <w:color w:val="auto"/>
          <w:highlight w:val="none"/>
        </w:rPr>
      </w:r>
      <w:r>
        <w:rPr>
          <w:color w:val="auto"/>
          <w:highlight w:val="none"/>
        </w:rPr>
      </w:r>
      <w:r/>
    </w:p>
    <w:p>
      <w:pPr>
        <w:pStyle w:val="858"/>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ind w:firstLine="1600"/>
        <w:spacing w:line="499" w:lineRule="atLeast"/>
        <w:widowControl/>
        <w:rPr>
          <w:rFonts w:ascii="宋体" w:hAnsi="宋体" w:eastAsia="宋体" w:cs="宋体"/>
          <w:b/>
          <w:bCs/>
          <w:color w:val="auto"/>
          <w:sz w:val="24"/>
          <w:highlight w:val="none"/>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二</w:t>
      </w:r>
      <w:r>
        <w:rPr>
          <w:rFonts w:hint="eastAsia" w:ascii="宋体" w:hAnsi="宋体" w:eastAsia="宋体" w:cs="宋体"/>
          <w:b/>
          <w:bCs/>
          <w:color w:val="auto"/>
          <w:sz w:val="32"/>
          <w:szCs w:val="32"/>
          <w:highlight w:val="none"/>
        </w:rPr>
        <w:t xml:space="preserve">、盐城市政府采购事前信用承诺书</w:t>
      </w:r>
      <w:r/>
    </w:p>
    <w:p>
      <w:pPr>
        <w:ind w:firstLine="480"/>
        <w:jc w:val="left"/>
        <w:keepLines w:val="0"/>
        <w:keepNext w:val="0"/>
        <w:pageBreakBefore w:val="0"/>
        <w:spacing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ind w:firstLine="480"/>
        <w:jc w:val="left"/>
        <w:keepLines w:val="0"/>
        <w:keepNext w:val="0"/>
        <w:pageBreakBefore w:val="0"/>
        <w:spacing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keepLines w:val="0"/>
        <w:keepNext w:val="0"/>
        <w:pageBreakBefore w:val="0"/>
        <w:spacing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keepLines w:val="0"/>
        <w:keepNext w:val="0"/>
        <w:pageBreakBefore w:val="0"/>
        <w:spacing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（三）严格依照国家和省、市关于政府采购的</w:t>
      </w:r>
      <w:r>
        <w:rPr>
          <w:rFonts w:hint="eastAsia" w:ascii="宋体" w:hAnsi="宋体" w:eastAsia="宋体" w:cs="宋体"/>
          <w:color w:val="auto"/>
          <w:sz w:val="24"/>
          <w:highlight w:val="none"/>
          <w:lang w:eastAsia="zh-CN"/>
        </w:rPr>
        <w:t xml:space="preserve">法律法规</w:t>
      </w:r>
      <w:r>
        <w:rPr>
          <w:rFonts w:hint="eastAsia" w:ascii="宋体" w:hAnsi="宋体" w:eastAsia="宋体" w:cs="宋体"/>
          <w:color w:val="auto"/>
          <w:sz w:val="24"/>
          <w:highlight w:val="none"/>
        </w:rPr>
        <w:t xml:space="preserve">、规章、规范性文件，参加政府采购投标活动；积极履行社会责任，促进廉政建设； </w:t>
      </w:r>
      <w:r/>
    </w:p>
    <w:p>
      <w:pPr>
        <w:ind w:firstLine="480"/>
        <w:jc w:val="left"/>
        <w:keepLines w:val="0"/>
        <w:keepNext w:val="0"/>
        <w:pageBreakBefore w:val="0"/>
        <w:spacing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ind w:firstLine="480"/>
        <w:jc w:val="left"/>
        <w:keepLines w:val="0"/>
        <w:keepNext w:val="0"/>
        <w:pageBreakBefore w:val="0"/>
        <w:spacing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keepLines w:val="0"/>
        <w:keepNext w:val="0"/>
        <w:pageBreakBefore w:val="0"/>
        <w:spacing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（六）自觉接受政府、行业组织、社会公众、新闻舆论的监督；</w:t>
      </w:r>
      <w:r/>
    </w:p>
    <w:p>
      <w:pPr>
        <w:ind w:firstLine="480"/>
        <w:jc w:val="left"/>
        <w:keepLines w:val="0"/>
        <w:keepNext w:val="0"/>
        <w:pageBreakBefore w:val="0"/>
        <w:spacing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keepLines w:val="0"/>
        <w:keepNext w:val="0"/>
        <w:pageBreakBefore w:val="0"/>
        <w:spacing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（八）本人已认真阅读了上述承诺，并向本单位员工</w:t>
      </w:r>
      <w:r>
        <w:rPr>
          <w:rFonts w:hint="eastAsia" w:ascii="宋体" w:hAnsi="宋体" w:eastAsia="宋体" w:cs="宋体"/>
          <w:color w:val="auto"/>
          <w:sz w:val="24"/>
          <w:highlight w:val="none"/>
          <w:lang w:eastAsia="zh-CN"/>
        </w:rPr>
        <w:t xml:space="preserve">做</w:t>
      </w:r>
      <w:r>
        <w:rPr>
          <w:rFonts w:hint="eastAsia" w:ascii="宋体" w:hAnsi="宋体" w:eastAsia="宋体" w:cs="宋体"/>
          <w:color w:val="auto"/>
          <w:sz w:val="24"/>
          <w:highlight w:val="none"/>
        </w:rPr>
        <w:t xml:space="preserve">了宣传教育。</w:t>
      </w:r>
      <w:r/>
    </w:p>
    <w:p>
      <w:pPr>
        <w:ind w:firstLine="480"/>
        <w:jc w:val="left"/>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560"/>
        <w:jc w:val="left"/>
        <w:keepLines w:val="0"/>
        <w:keepNext w:val="0"/>
        <w:pageBreakBefore w:val="0"/>
        <w:spacing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w:t>
      </w:r>
      <w:r>
        <w:rPr>
          <w:rFonts w:hint="eastAsia" w:ascii="宋体" w:hAnsi="宋体" w:eastAsia="宋体" w:cs="宋体"/>
          <w:color w:val="auto"/>
          <w:sz w:val="24"/>
          <w:highlight w:val="none"/>
          <w:lang w:val="en-US" w:eastAsia="zh-CN"/>
        </w:rPr>
        <w:t xml:space="preserve">名或</w:t>
      </w:r>
      <w:r>
        <w:rPr>
          <w:rFonts w:hint="eastAsia" w:ascii="宋体" w:hAnsi="宋体" w:eastAsia="宋体" w:cs="宋体"/>
          <w:color w:val="auto"/>
          <w:sz w:val="24"/>
          <w:highlight w:val="none"/>
        </w:rPr>
        <w:t xml:space="preserve">盖章）：</w:t>
      </w:r>
      <w:r/>
    </w:p>
    <w:p>
      <w:pPr>
        <w:ind w:firstLine="480"/>
        <w:jc w:val="center"/>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jc w:val="center"/>
        <w:keepLines w:val="0"/>
        <w:keepNext w:val="0"/>
        <w:pageBreakBefore w:val="0"/>
        <w:spacing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单位名称（盖章）：</w:t>
      </w:r>
      <w:r/>
    </w:p>
    <w:p>
      <w:pPr>
        <w:ind w:firstLine="480"/>
        <w:jc w:val="center"/>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jc w:val="center"/>
        <w:keepLines w:val="0"/>
        <w:keepNext w:val="0"/>
        <w:pageBreakBefore w:val="0"/>
        <w:spacing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r/>
    </w:p>
    <w:p>
      <w:pPr>
        <w:pStyle w:val="865"/>
        <w:jc w:val="center"/>
        <w:spacing w:beforeAutospacing="0" w:afterAutospacing="0"/>
        <w:rPr>
          <w:color w:val="auto"/>
          <w:highlight w:val="none"/>
        </w:rPr>
      </w:pPr>
      <w:r>
        <w:rPr>
          <w:color w:val="auto"/>
          <w:highlight w:val="none"/>
        </w:rPr>
      </w:r>
      <w:bookmarkEnd w:id="31"/>
      <w:r/>
      <w:bookmarkEnd w:id="45"/>
      <w:r/>
      <w:bookmarkEnd w:id="90"/>
      <w:r/>
      <w:bookmarkEnd w:id="91"/>
      <w:r/>
      <w:bookmarkEnd w:id="92"/>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12"/>
      <w:r/>
      <w:bookmarkEnd w:id="113"/>
      <w:r/>
      <w:bookmarkEnd w:id="114"/>
      <w:r/>
      <w:bookmarkEnd w:id="119"/>
      <w:r/>
      <w:bookmarkEnd w:id="120"/>
      <w:r/>
      <w:bookmarkEnd w:id="127"/>
      <w:r/>
      <w:bookmarkEnd w:id="177"/>
      <w:r/>
      <w:bookmarkEnd w:id="180"/>
      <w:r/>
      <w:bookmarkEnd w:id="184"/>
      <w:r/>
      <w:bookmarkEnd w:id="185"/>
      <w:r/>
      <w:bookmarkEnd w:id="187"/>
      <w:r/>
      <w:bookmarkEnd w:id="188"/>
      <w:r/>
      <w:bookmarkEnd w:id="189"/>
      <w:r/>
      <w:bookmarkEnd w:id="190"/>
      <w:r/>
      <w:bookmarkEnd w:id="191"/>
      <w:r/>
      <w:bookmarkEnd w:id="192"/>
      <w:r/>
      <w:bookmarkEnd w:id="193"/>
      <w:r/>
      <w:bookmarkEnd w:id="194"/>
      <w:r/>
      <w:bookmarkEnd w:id="195"/>
      <w:r/>
      <w:r/>
    </w:p>
    <w:p>
      <w:pPr>
        <w:rPr>
          <w:color w:val="auto"/>
          <w:highlight w:val="none"/>
        </w:rPr>
      </w:pPr>
      <w:r>
        <w:rPr>
          <w:color w:val="auto"/>
          <w:highlight w:val="none"/>
        </w:rPr>
      </w:r>
      <w:r/>
    </w:p>
    <w:p>
      <w:pPr>
        <w:pStyle w:val="865"/>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bidi="ar-SA"/>
        </w:rPr>
        <w:t xml:space="preserve">十三、</w:t>
      </w:r>
      <w:r>
        <w:rPr>
          <w:rFonts w:hint="eastAsia" w:ascii="宋体" w:hAnsi="宋体" w:eastAsia="宋体" w:cs="宋体"/>
          <w:b/>
          <w:bCs/>
          <w:color w:val="auto"/>
          <w:sz w:val="32"/>
          <w:szCs w:val="32"/>
          <w:highlight w:val="none"/>
        </w:rPr>
        <w:t xml:space="preserve">与评审有关的其他资料</w:t>
      </w:r>
      <w:r/>
    </w:p>
    <w:p>
      <w:pPr>
        <w:pStyle w:val="865"/>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5"/>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5"/>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5"/>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5"/>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5"/>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5"/>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5"/>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5"/>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5"/>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5"/>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5"/>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5"/>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5"/>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5"/>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5"/>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5"/>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5"/>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5"/>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r>
      <w:r>
        <w:rPr>
          <w:rFonts w:hint="eastAsia" w:ascii="宋体" w:hAnsi="宋体" w:eastAsia="宋体" w:cs="宋体"/>
          <w:b/>
          <w:color w:val="auto"/>
          <w:sz w:val="32"/>
          <w:szCs w:val="32"/>
          <w:highlight w:val="none"/>
        </w:rPr>
      </w:r>
      <w:r/>
    </w:p>
    <w:p>
      <w:pPr>
        <w:pStyle w:val="865"/>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pStyle w:val="865"/>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pStyle w:val="865"/>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pStyle w:val="865"/>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pStyle w:val="865"/>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pStyle w:val="865"/>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pStyle w:val="865"/>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pStyle w:val="865"/>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pStyle w:val="865"/>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pStyle w:val="865"/>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pStyle w:val="865"/>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r>
      <w:r/>
    </w:p>
    <w:p>
      <w:pPr>
        <w:pStyle w:val="865"/>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5"/>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5"/>
        <w:numPr>
          <w:ilvl w:val="0"/>
          <w:numId w:val="0"/>
        </w:numPr>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865"/>
        <w:jc w:val="both"/>
        <w:keepLines w:val="0"/>
        <w:keepNext w:val="0"/>
        <w:pageBreakBefore w:val="0"/>
        <w:spacing w:before="290"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865"/>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5"/>
        <w:jc w:val="both"/>
        <w:keepLines w:val="0"/>
        <w:keepNext w:val="0"/>
        <w:pageBreakBefore w:val="0"/>
        <w:spacing w:beforeAutospacing="0" w:afterAutospacing="0" w:line="48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5"/>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5"/>
        <w:jc w:val="both"/>
        <w:keepLines w:val="0"/>
        <w:keepNext w:val="0"/>
        <w:pageBreakBefore w:val="0"/>
        <w:spacing w:beforeAutospacing="0" w:afterAutospacing="0" w:line="48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5"/>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865"/>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5"/>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5"/>
        <w:jc w:val="both"/>
        <w:keepLines w:val="0"/>
        <w:keepNext w:val="0"/>
        <w:pageBreakBefore w:val="0"/>
        <w:spacing w:beforeAutospacing="0" w:afterAutospacing="0" w:line="48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5"/>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865"/>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865"/>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865"/>
        <w:jc w:val="both"/>
        <w:keepLines w:val="0"/>
        <w:keepNext w:val="0"/>
        <w:pageBreakBefore w:val="0"/>
        <w:spacing w:beforeAutospacing="0" w:afterAutospacing="0" w:line="48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865"/>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5"/>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865"/>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865"/>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865"/>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865"/>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865"/>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865"/>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865"/>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865"/>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865"/>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865"/>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签字</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签章</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                 公章：               日期：    </w:t>
      </w:r>
      <w:r/>
    </w:p>
    <w:p>
      <w:pPr>
        <w:pStyle w:val="865"/>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865"/>
        <w:ind w:firstLine="480"/>
        <w:keepLines w:val="0"/>
        <w:keepNext w:val="0"/>
        <w:pageBreakBefore w:val="0"/>
        <w:spacing w:beforeAutospacing="0" w:afterAutospacing="0" w:line="48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865"/>
        <w:ind w:firstLine="480"/>
        <w:keepLines w:val="0"/>
        <w:keepNext w:val="0"/>
        <w:pageBreakBefore w:val="0"/>
        <w:spacing w:beforeAutospacing="0" w:afterAutospacing="0" w:line="48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65"/>
        <w:ind w:firstLine="480"/>
        <w:keepLines w:val="0"/>
        <w:keepNext w:val="0"/>
        <w:pageBreakBefore w:val="0"/>
        <w:spacing w:beforeAutospacing="0" w:afterAutospacing="0" w:line="48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865"/>
        <w:ind w:firstLine="480"/>
        <w:keepLines w:val="0"/>
        <w:keepNext w:val="0"/>
        <w:pageBreakBefore w:val="0"/>
        <w:spacing w:beforeAutospacing="0" w:afterAutospacing="0" w:line="48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865"/>
        <w:ind w:firstLine="480"/>
        <w:keepLines w:val="0"/>
        <w:keepNext w:val="0"/>
        <w:pageBreakBefore w:val="0"/>
        <w:spacing w:beforeAutospacing="0" w:afterAutospacing="0" w:line="48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865"/>
        <w:ind w:firstLine="480"/>
        <w:keepLines w:val="0"/>
        <w:keepNext w:val="0"/>
        <w:pageBreakBefore w:val="0"/>
        <w:spacing w:beforeAutospacing="0" w:afterAutospacing="0" w:line="48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65"/>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color w:val="auto"/>
          <w:highlight w:val="none"/>
        </w:rPr>
      </w:pPr>
      <w:r>
        <w:rPr>
          <w:color w:val="auto"/>
          <w:highlight w:val="none"/>
        </w:rPr>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黑体">
    <w:panose1 w:val="02010609060101010101"/>
  </w:font>
  <w:font w:name="仿宋_GB2312">
    <w:panose1 w:val="02010609060101010101"/>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45</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45</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9">
    <w:name w:val="Heading 1"/>
    <w:basedOn w:val="854"/>
    <w:next w:val="854"/>
    <w:link w:val="680"/>
    <w:uiPriority w:val="9"/>
    <w:qFormat/>
    <w:pPr>
      <w:keepLines/>
      <w:keepNext/>
      <w:spacing w:before="480" w:after="200"/>
      <w:outlineLvl w:val="0"/>
    </w:pPr>
    <w:rPr>
      <w:rFonts w:ascii="Arial" w:hAnsi="Arial" w:eastAsia="Arial" w:cs="Arial"/>
      <w:sz w:val="40"/>
      <w:szCs w:val="40"/>
    </w:rPr>
  </w:style>
  <w:style w:type="character" w:styleId="680">
    <w:name w:val="Heading 1 Char"/>
    <w:basedOn w:val="856"/>
    <w:link w:val="679"/>
    <w:uiPriority w:val="9"/>
    <w:rPr>
      <w:rFonts w:ascii="Arial" w:hAnsi="Arial" w:eastAsia="Arial" w:cs="Arial"/>
      <w:sz w:val="40"/>
      <w:szCs w:val="40"/>
    </w:rPr>
  </w:style>
  <w:style w:type="character" w:styleId="681">
    <w:name w:val="Heading 2 Char"/>
    <w:basedOn w:val="856"/>
    <w:link w:val="855"/>
    <w:uiPriority w:val="9"/>
    <w:rPr>
      <w:rFonts w:ascii="Arial" w:hAnsi="Arial" w:eastAsia="Arial" w:cs="Arial"/>
      <w:sz w:val="34"/>
    </w:rPr>
  </w:style>
  <w:style w:type="paragraph" w:styleId="682">
    <w:name w:val="Heading 3"/>
    <w:basedOn w:val="854"/>
    <w:next w:val="854"/>
    <w:link w:val="683"/>
    <w:uiPriority w:val="9"/>
    <w:unhideWhenUsed/>
    <w:qFormat/>
    <w:pPr>
      <w:keepLines/>
      <w:keepNext/>
      <w:spacing w:before="320" w:after="200"/>
      <w:outlineLvl w:val="2"/>
    </w:pPr>
    <w:rPr>
      <w:rFonts w:ascii="Arial" w:hAnsi="Arial" w:eastAsia="Arial" w:cs="Arial"/>
      <w:sz w:val="30"/>
      <w:szCs w:val="30"/>
    </w:rPr>
  </w:style>
  <w:style w:type="character" w:styleId="683">
    <w:name w:val="Heading 3 Char"/>
    <w:basedOn w:val="856"/>
    <w:link w:val="682"/>
    <w:uiPriority w:val="9"/>
    <w:rPr>
      <w:rFonts w:ascii="Arial" w:hAnsi="Arial" w:eastAsia="Arial" w:cs="Arial"/>
      <w:sz w:val="30"/>
      <w:szCs w:val="30"/>
    </w:rPr>
  </w:style>
  <w:style w:type="paragraph" w:styleId="684">
    <w:name w:val="Heading 4"/>
    <w:basedOn w:val="854"/>
    <w:next w:val="854"/>
    <w:link w:val="685"/>
    <w:uiPriority w:val="9"/>
    <w:unhideWhenUsed/>
    <w:qFormat/>
    <w:pPr>
      <w:keepLines/>
      <w:keepNext/>
      <w:spacing w:before="320" w:after="200"/>
      <w:outlineLvl w:val="3"/>
    </w:pPr>
    <w:rPr>
      <w:rFonts w:ascii="Arial" w:hAnsi="Arial" w:eastAsia="Arial" w:cs="Arial"/>
      <w:b/>
      <w:bCs/>
      <w:sz w:val="26"/>
      <w:szCs w:val="26"/>
    </w:rPr>
  </w:style>
  <w:style w:type="character" w:styleId="685">
    <w:name w:val="Heading 4 Char"/>
    <w:basedOn w:val="856"/>
    <w:link w:val="684"/>
    <w:uiPriority w:val="9"/>
    <w:rPr>
      <w:rFonts w:ascii="Arial" w:hAnsi="Arial" w:eastAsia="Arial" w:cs="Arial"/>
      <w:b/>
      <w:bCs/>
      <w:sz w:val="26"/>
      <w:szCs w:val="26"/>
    </w:rPr>
  </w:style>
  <w:style w:type="paragraph" w:styleId="686">
    <w:name w:val="Heading 5"/>
    <w:basedOn w:val="854"/>
    <w:next w:val="854"/>
    <w:link w:val="687"/>
    <w:uiPriority w:val="9"/>
    <w:unhideWhenUsed/>
    <w:qFormat/>
    <w:pPr>
      <w:keepLines/>
      <w:keepNext/>
      <w:spacing w:before="320" w:after="200"/>
      <w:outlineLvl w:val="4"/>
    </w:pPr>
    <w:rPr>
      <w:rFonts w:ascii="Arial" w:hAnsi="Arial" w:eastAsia="Arial" w:cs="Arial"/>
      <w:b/>
      <w:bCs/>
      <w:sz w:val="24"/>
      <w:szCs w:val="24"/>
    </w:rPr>
  </w:style>
  <w:style w:type="character" w:styleId="687">
    <w:name w:val="Heading 5 Char"/>
    <w:basedOn w:val="856"/>
    <w:link w:val="686"/>
    <w:uiPriority w:val="9"/>
    <w:rPr>
      <w:rFonts w:ascii="Arial" w:hAnsi="Arial" w:eastAsia="Arial" w:cs="Arial"/>
      <w:b/>
      <w:bCs/>
      <w:sz w:val="24"/>
      <w:szCs w:val="24"/>
    </w:rPr>
  </w:style>
  <w:style w:type="paragraph" w:styleId="688">
    <w:name w:val="Heading 6"/>
    <w:basedOn w:val="854"/>
    <w:next w:val="854"/>
    <w:link w:val="689"/>
    <w:uiPriority w:val="9"/>
    <w:unhideWhenUsed/>
    <w:qFormat/>
    <w:pPr>
      <w:keepLines/>
      <w:keepNext/>
      <w:spacing w:before="320" w:after="200"/>
      <w:outlineLvl w:val="5"/>
    </w:pPr>
    <w:rPr>
      <w:rFonts w:ascii="Arial" w:hAnsi="Arial" w:eastAsia="Arial" w:cs="Arial"/>
      <w:b/>
      <w:bCs/>
      <w:sz w:val="22"/>
      <w:szCs w:val="22"/>
    </w:rPr>
  </w:style>
  <w:style w:type="character" w:styleId="689">
    <w:name w:val="Heading 6 Char"/>
    <w:basedOn w:val="856"/>
    <w:link w:val="688"/>
    <w:uiPriority w:val="9"/>
    <w:rPr>
      <w:rFonts w:ascii="Arial" w:hAnsi="Arial" w:eastAsia="Arial" w:cs="Arial"/>
      <w:b/>
      <w:bCs/>
      <w:sz w:val="22"/>
      <w:szCs w:val="22"/>
    </w:rPr>
  </w:style>
  <w:style w:type="paragraph" w:styleId="690">
    <w:name w:val="Heading 7"/>
    <w:basedOn w:val="854"/>
    <w:next w:val="854"/>
    <w:link w:val="691"/>
    <w:uiPriority w:val="9"/>
    <w:unhideWhenUsed/>
    <w:qFormat/>
    <w:pPr>
      <w:keepLines/>
      <w:keepNext/>
      <w:spacing w:before="320" w:after="200"/>
      <w:outlineLvl w:val="6"/>
    </w:pPr>
    <w:rPr>
      <w:rFonts w:ascii="Arial" w:hAnsi="Arial" w:eastAsia="Arial" w:cs="Arial"/>
      <w:b/>
      <w:bCs/>
      <w:i/>
      <w:iCs/>
      <w:sz w:val="22"/>
      <w:szCs w:val="22"/>
    </w:rPr>
  </w:style>
  <w:style w:type="character" w:styleId="691">
    <w:name w:val="Heading 7 Char"/>
    <w:basedOn w:val="856"/>
    <w:link w:val="690"/>
    <w:uiPriority w:val="9"/>
    <w:rPr>
      <w:rFonts w:ascii="Arial" w:hAnsi="Arial" w:eastAsia="Arial" w:cs="Arial"/>
      <w:b/>
      <w:bCs/>
      <w:i/>
      <w:iCs/>
      <w:sz w:val="22"/>
      <w:szCs w:val="22"/>
    </w:rPr>
  </w:style>
  <w:style w:type="paragraph" w:styleId="692">
    <w:name w:val="Heading 8"/>
    <w:basedOn w:val="854"/>
    <w:next w:val="854"/>
    <w:link w:val="693"/>
    <w:uiPriority w:val="9"/>
    <w:unhideWhenUsed/>
    <w:qFormat/>
    <w:pPr>
      <w:keepLines/>
      <w:keepNext/>
      <w:spacing w:before="320" w:after="200"/>
      <w:outlineLvl w:val="7"/>
    </w:pPr>
    <w:rPr>
      <w:rFonts w:ascii="Arial" w:hAnsi="Arial" w:eastAsia="Arial" w:cs="Arial"/>
      <w:i/>
      <w:iCs/>
      <w:sz w:val="22"/>
      <w:szCs w:val="22"/>
    </w:rPr>
  </w:style>
  <w:style w:type="character" w:styleId="693">
    <w:name w:val="Heading 8 Char"/>
    <w:basedOn w:val="856"/>
    <w:link w:val="692"/>
    <w:uiPriority w:val="9"/>
    <w:rPr>
      <w:rFonts w:ascii="Arial" w:hAnsi="Arial" w:eastAsia="Arial" w:cs="Arial"/>
      <w:i/>
      <w:iCs/>
      <w:sz w:val="22"/>
      <w:szCs w:val="22"/>
    </w:rPr>
  </w:style>
  <w:style w:type="paragraph" w:styleId="694">
    <w:name w:val="Heading 9"/>
    <w:basedOn w:val="854"/>
    <w:next w:val="854"/>
    <w:link w:val="695"/>
    <w:uiPriority w:val="9"/>
    <w:unhideWhenUsed/>
    <w:qFormat/>
    <w:pPr>
      <w:keepLines/>
      <w:keepNext/>
      <w:spacing w:before="320" w:after="200"/>
      <w:outlineLvl w:val="8"/>
    </w:pPr>
    <w:rPr>
      <w:rFonts w:ascii="Arial" w:hAnsi="Arial" w:eastAsia="Arial" w:cs="Arial"/>
      <w:i/>
      <w:iCs/>
      <w:sz w:val="21"/>
      <w:szCs w:val="21"/>
    </w:rPr>
  </w:style>
  <w:style w:type="character" w:styleId="695">
    <w:name w:val="Heading 9 Char"/>
    <w:basedOn w:val="856"/>
    <w:link w:val="694"/>
    <w:uiPriority w:val="9"/>
    <w:rPr>
      <w:rFonts w:ascii="Arial" w:hAnsi="Arial" w:eastAsia="Arial" w:cs="Arial"/>
      <w:i/>
      <w:iCs/>
      <w:sz w:val="21"/>
      <w:szCs w:val="21"/>
    </w:rPr>
  </w:style>
  <w:style w:type="paragraph" w:styleId="696">
    <w:name w:val="List Paragraph"/>
    <w:basedOn w:val="854"/>
    <w:uiPriority w:val="34"/>
    <w:qFormat/>
    <w:pPr>
      <w:contextualSpacing/>
      <w:ind w:left="720"/>
    </w:pPr>
  </w:style>
  <w:style w:type="paragraph" w:styleId="697">
    <w:name w:val="No Spacing"/>
    <w:uiPriority w:val="1"/>
    <w:qFormat/>
    <w:pPr>
      <w:spacing w:before="0" w:after="0" w:line="240" w:lineRule="auto"/>
    </w:pPr>
  </w:style>
  <w:style w:type="paragraph" w:styleId="698">
    <w:name w:val="Title"/>
    <w:basedOn w:val="854"/>
    <w:next w:val="854"/>
    <w:link w:val="699"/>
    <w:uiPriority w:val="10"/>
    <w:qFormat/>
    <w:pPr>
      <w:contextualSpacing/>
      <w:spacing w:before="300" w:after="200"/>
    </w:pPr>
    <w:rPr>
      <w:sz w:val="48"/>
      <w:szCs w:val="48"/>
    </w:rPr>
  </w:style>
  <w:style w:type="character" w:styleId="699">
    <w:name w:val="Title Char"/>
    <w:basedOn w:val="856"/>
    <w:link w:val="698"/>
    <w:uiPriority w:val="10"/>
    <w:rPr>
      <w:sz w:val="48"/>
      <w:szCs w:val="48"/>
    </w:rPr>
  </w:style>
  <w:style w:type="paragraph" w:styleId="700">
    <w:name w:val="Subtitle"/>
    <w:basedOn w:val="854"/>
    <w:next w:val="854"/>
    <w:link w:val="701"/>
    <w:uiPriority w:val="11"/>
    <w:qFormat/>
    <w:pPr>
      <w:spacing w:before="200" w:after="200"/>
    </w:pPr>
    <w:rPr>
      <w:sz w:val="24"/>
      <w:szCs w:val="24"/>
    </w:rPr>
  </w:style>
  <w:style w:type="character" w:styleId="701">
    <w:name w:val="Subtitle Char"/>
    <w:basedOn w:val="856"/>
    <w:link w:val="700"/>
    <w:uiPriority w:val="11"/>
    <w:rPr>
      <w:sz w:val="24"/>
      <w:szCs w:val="24"/>
    </w:rPr>
  </w:style>
  <w:style w:type="paragraph" w:styleId="702">
    <w:name w:val="Quote"/>
    <w:basedOn w:val="854"/>
    <w:next w:val="854"/>
    <w:link w:val="703"/>
    <w:uiPriority w:val="29"/>
    <w:qFormat/>
    <w:pPr>
      <w:ind w:left="720" w:right="720"/>
    </w:pPr>
    <w:rPr>
      <w:i/>
    </w:rPr>
  </w:style>
  <w:style w:type="character" w:styleId="703">
    <w:name w:val="Quote Char"/>
    <w:link w:val="702"/>
    <w:uiPriority w:val="29"/>
    <w:rPr>
      <w:i/>
    </w:rPr>
  </w:style>
  <w:style w:type="paragraph" w:styleId="704">
    <w:name w:val="Intense Quote"/>
    <w:basedOn w:val="854"/>
    <w:next w:val="854"/>
    <w:link w:val="7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5">
    <w:name w:val="Intense Quote Char"/>
    <w:link w:val="704"/>
    <w:uiPriority w:val="30"/>
    <w:rPr>
      <w:i/>
    </w:rPr>
  </w:style>
  <w:style w:type="character" w:styleId="706">
    <w:name w:val="Header Char"/>
    <w:basedOn w:val="856"/>
    <w:link w:val="864"/>
    <w:uiPriority w:val="99"/>
  </w:style>
  <w:style w:type="character" w:styleId="707">
    <w:name w:val="Footer Char"/>
    <w:basedOn w:val="856"/>
    <w:link w:val="863"/>
    <w:uiPriority w:val="99"/>
  </w:style>
  <w:style w:type="paragraph" w:styleId="708">
    <w:name w:val="Caption"/>
    <w:basedOn w:val="854"/>
    <w:next w:val="854"/>
    <w:uiPriority w:val="35"/>
    <w:semiHidden/>
    <w:unhideWhenUsed/>
    <w:qFormat/>
    <w:pPr>
      <w:spacing w:line="276" w:lineRule="auto"/>
    </w:pPr>
    <w:rPr>
      <w:b/>
      <w:bCs/>
      <w:color w:val="4f81bd" w:themeColor="accent1"/>
      <w:sz w:val="18"/>
      <w:szCs w:val="18"/>
    </w:rPr>
  </w:style>
  <w:style w:type="character" w:styleId="709">
    <w:name w:val="Caption Char"/>
    <w:basedOn w:val="708"/>
    <w:link w:val="863"/>
    <w:uiPriority w:val="99"/>
  </w:style>
  <w:style w:type="table" w:styleId="710">
    <w:name w:val="Table Grid"/>
    <w:basedOn w:val="85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1">
    <w:name w:val="Table Grid Light"/>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2">
    <w:name w:val="Plain Table 1"/>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2"/>
    <w:basedOn w:val="8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3"/>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5">
    <w:name w:val="Plain Table 4"/>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6">
    <w:name w:val="Plain Table 5"/>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7">
    <w:name w:val="Grid Table 1 Light"/>
    <w:basedOn w:val="8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8">
    <w:name w:val="Grid Table 1 Light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9">
    <w:name w:val="Grid Table 1 Light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0">
    <w:name w:val="Grid Table 1 Light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1">
    <w:name w:val="Grid Table 1 Light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2">
    <w:name w:val="Grid Table 1 Light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3">
    <w:name w:val="Grid Table 1 Light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4">
    <w:name w:val="Grid Table 2"/>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5">
    <w:name w:val="Grid Table 2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6">
    <w:name w:val="Grid Table 2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7">
    <w:name w:val="Grid Table 2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8">
    <w:name w:val="Grid Table 2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9">
    <w:name w:val="Grid Table 2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0">
    <w:name w:val="Grid Table 2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1">
    <w:name w:val="Grid Table 3"/>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4"/>
    <w:basedOn w:val="8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name w:val="Grid Table 4 - Accent 1"/>
    <w:basedOn w:val="8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0">
    <w:name w:val="Grid Table 4 - Accent 2"/>
    <w:basedOn w:val="8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1">
    <w:name w:val="Grid Table 4 - Accent 3"/>
    <w:basedOn w:val="8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2">
    <w:name w:val="Grid Table 4 - Accent 4"/>
    <w:basedOn w:val="8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3">
    <w:name w:val="Grid Table 4 - Accent 5"/>
    <w:basedOn w:val="8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4">
    <w:name w:val="Grid Table 4 - Accent 6"/>
    <w:basedOn w:val="8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5">
    <w:name w:val="Grid Table 5 Dark"/>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6">
    <w:name w:val="Grid Table 5 Dark- Accent 1"/>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47">
    <w:name w:val="Grid Table 5 Dark - Accent 2"/>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8">
    <w:name w:val="Grid Table 5 Dark - Accent 3"/>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9">
    <w:name w:val="Grid Table 5 Dark- Accent 4"/>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0">
    <w:name w:val="Grid Table 5 Dark - Accent 5"/>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51">
    <w:name w:val="Grid Table 5 Dark - Accent 6"/>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2">
    <w:name w:val="Grid Table 6 Colorful"/>
    <w:basedOn w:val="8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3">
    <w:name w:val="Grid Table 6 Colorful - Accent 1"/>
    <w:basedOn w:val="8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54">
    <w:name w:val="Grid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5">
    <w:name w:val="Grid Table 6 Colorful - Accent 3"/>
    <w:basedOn w:val="8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6">
    <w:name w:val="Grid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7">
    <w:name w:val="Grid Table 6 Colorful - Accent 5"/>
    <w:basedOn w:val="8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8">
    <w:name w:val="Grid Table 6 Colorful - Accent 6"/>
    <w:basedOn w:val="8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9">
    <w:name w:val="Grid Table 7 Colorful"/>
    <w:basedOn w:val="8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0">
    <w:name w:val="Grid Table 7 Colorful - Accent 1"/>
    <w:basedOn w:val="8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1">
    <w:name w:val="Grid Table 7 Colorful - Accent 2"/>
    <w:basedOn w:val="8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7 Colorful - Accent 3"/>
    <w:basedOn w:val="8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7 Colorful - Accent 4"/>
    <w:basedOn w:val="8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7 Colorful - Accent 5"/>
    <w:basedOn w:val="8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5">
    <w:name w:val="Grid Table 7 Colorful - Accent 6"/>
    <w:basedOn w:val="8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6">
    <w:name w:val="List Table 1 Light"/>
    <w:basedOn w:val="8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name w:val="List Table 1 Light - Accent 1"/>
    <w:basedOn w:val="85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8">
    <w:name w:val="List Table 1 Light - Accent 2"/>
    <w:basedOn w:val="85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9">
    <w:name w:val="List Table 1 Light - Accent 3"/>
    <w:basedOn w:val="85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0">
    <w:name w:val="List Table 1 Light - Accent 4"/>
    <w:basedOn w:val="85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1">
    <w:name w:val="List Table 1 Light - Accent 5"/>
    <w:basedOn w:val="85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2">
    <w:name w:val="List Table 1 Light - Accent 6"/>
    <w:basedOn w:val="85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3">
    <w:name w:val="List Table 2"/>
    <w:basedOn w:val="8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4">
    <w:name w:val="List Table 2 - Accent 1"/>
    <w:basedOn w:val="8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5">
    <w:name w:val="List Table 2 - Accent 2"/>
    <w:basedOn w:val="8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6">
    <w:name w:val="List Table 2 - Accent 3"/>
    <w:basedOn w:val="8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7">
    <w:name w:val="List Table 2 - Accent 4"/>
    <w:basedOn w:val="8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8">
    <w:name w:val="List Table 2 - Accent 5"/>
    <w:basedOn w:val="8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9">
    <w:name w:val="List Table 2 - Accent 6"/>
    <w:basedOn w:val="8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0">
    <w:name w:val="List Table 3"/>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1">
    <w:name w:val="List Table 3 - Accent 1"/>
    <w:basedOn w:val="8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2">
    <w:name w:val="List Table 3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3">
    <w:name w:val="List Table 3 - Accent 3"/>
    <w:basedOn w:val="8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4">
    <w:name w:val="List Table 3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5">
    <w:name w:val="List Table 3 - Accent 5"/>
    <w:basedOn w:val="8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86">
    <w:name w:val="List Table 3 - Accent 6"/>
    <w:basedOn w:val="8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7">
    <w:name w:val="List Table 4"/>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4 - Accent 1"/>
    <w:basedOn w:val="8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9">
    <w:name w:val="List Table 4 - Accent 2"/>
    <w:basedOn w:val="8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0">
    <w:name w:val="List Table 4 - Accent 3"/>
    <w:basedOn w:val="8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1">
    <w:name w:val="List Table 4 - Accent 4"/>
    <w:basedOn w:val="8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2">
    <w:name w:val="List Table 4 - Accent 5"/>
    <w:basedOn w:val="8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3">
    <w:name w:val="List Table 4 - Accent 6"/>
    <w:basedOn w:val="8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4">
    <w:name w:val="List Table 5 Dark"/>
    <w:basedOn w:val="8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1"/>
    <w:basedOn w:val="8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2"/>
    <w:basedOn w:val="8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3"/>
    <w:basedOn w:val="8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4"/>
    <w:basedOn w:val="8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5"/>
    <w:basedOn w:val="8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6"/>
    <w:basedOn w:val="8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6 Colorful"/>
    <w:basedOn w:val="8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2">
    <w:name w:val="List Table 6 Colorful - Accent 1"/>
    <w:basedOn w:val="8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3">
    <w:name w:val="List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4">
    <w:name w:val="List Table 6 Colorful - Accent 3"/>
    <w:basedOn w:val="8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5">
    <w:name w:val="List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6">
    <w:name w:val="List Table 6 Colorful - Accent 5"/>
    <w:basedOn w:val="8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07">
    <w:name w:val="List Table 6 Colorful - Accent 6"/>
    <w:basedOn w:val="8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8">
    <w:name w:val="List Table 7 Colorful"/>
    <w:basedOn w:val="8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9">
    <w:name w:val="List Table 7 Colorful - Accent 1"/>
    <w:basedOn w:val="8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10">
    <w:name w:val="List Table 7 Colorful - Accent 2"/>
    <w:basedOn w:val="8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1">
    <w:name w:val="List Table 7 Colorful - Accent 3"/>
    <w:basedOn w:val="8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2">
    <w:name w:val="List Table 7 Colorful - Accent 4"/>
    <w:basedOn w:val="8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3">
    <w:name w:val="List Table 7 Colorful - Accent 5"/>
    <w:basedOn w:val="8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14">
    <w:name w:val="List Table 7 Colorful - Accent 6"/>
    <w:basedOn w:val="8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5">
    <w:name w:val="Lined - Accent"/>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6">
    <w:name w:val="Lined - Accent 1"/>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7">
    <w:name w:val="Lined - Accent 2"/>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8">
    <w:name w:val="Lined - Accent 3"/>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9">
    <w:name w:val="Lined - Accent 4"/>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0">
    <w:name w:val="Lined - Accent 5"/>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1">
    <w:name w:val="Lined - Accent 6"/>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2">
    <w:name w:val="Bordered &amp; Lined - Accent"/>
    <w:basedOn w:val="8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3">
    <w:name w:val="Bordered &amp; Lined - Accent 1"/>
    <w:basedOn w:val="8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4">
    <w:name w:val="Bordered &amp; Lined - Accent 2"/>
    <w:basedOn w:val="8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5">
    <w:name w:val="Bordered &amp; Lined - Accent 3"/>
    <w:basedOn w:val="8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6">
    <w:name w:val="Bordered &amp; Lined - Accent 4"/>
    <w:basedOn w:val="8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7">
    <w:name w:val="Bordered &amp; Lined - Accent 5"/>
    <w:basedOn w:val="8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8">
    <w:name w:val="Bordered &amp; Lined - Accent 6"/>
    <w:basedOn w:val="8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9">
    <w:name w:val="Bordered"/>
    <w:basedOn w:val="8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0">
    <w:name w:val="Bordered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1">
    <w:name w:val="Bordered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2">
    <w:name w:val="Bordered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3">
    <w:name w:val="Bordered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4">
    <w:name w:val="Bordered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5">
    <w:name w:val="Bordered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6">
    <w:name w:val="Hyperlink"/>
    <w:uiPriority w:val="99"/>
    <w:unhideWhenUsed/>
    <w:rPr>
      <w:color w:val="0000ff" w:themeColor="hyperlink"/>
      <w:u w:val="single"/>
    </w:rPr>
  </w:style>
  <w:style w:type="paragraph" w:styleId="837">
    <w:name w:val="footnote text"/>
    <w:basedOn w:val="854"/>
    <w:link w:val="838"/>
    <w:uiPriority w:val="99"/>
    <w:semiHidden/>
    <w:unhideWhenUsed/>
    <w:pPr>
      <w:spacing w:after="40" w:line="240" w:lineRule="auto"/>
    </w:pPr>
    <w:rPr>
      <w:sz w:val="18"/>
    </w:rPr>
  </w:style>
  <w:style w:type="character" w:styleId="838">
    <w:name w:val="Footnote Text Char"/>
    <w:link w:val="837"/>
    <w:uiPriority w:val="99"/>
    <w:rPr>
      <w:sz w:val="18"/>
    </w:rPr>
  </w:style>
  <w:style w:type="character" w:styleId="839">
    <w:name w:val="footnote reference"/>
    <w:basedOn w:val="856"/>
    <w:uiPriority w:val="99"/>
    <w:unhideWhenUsed/>
    <w:rPr>
      <w:vertAlign w:val="superscript"/>
    </w:rPr>
  </w:style>
  <w:style w:type="paragraph" w:styleId="840">
    <w:name w:val="endnote text"/>
    <w:basedOn w:val="854"/>
    <w:link w:val="841"/>
    <w:uiPriority w:val="99"/>
    <w:semiHidden/>
    <w:unhideWhenUsed/>
    <w:pPr>
      <w:spacing w:after="0" w:line="240" w:lineRule="auto"/>
    </w:pPr>
    <w:rPr>
      <w:sz w:val="20"/>
    </w:rPr>
  </w:style>
  <w:style w:type="character" w:styleId="841">
    <w:name w:val="Endnote Text Char"/>
    <w:link w:val="840"/>
    <w:uiPriority w:val="99"/>
    <w:rPr>
      <w:sz w:val="20"/>
    </w:rPr>
  </w:style>
  <w:style w:type="character" w:styleId="842">
    <w:name w:val="endnote reference"/>
    <w:basedOn w:val="856"/>
    <w:uiPriority w:val="99"/>
    <w:semiHidden/>
    <w:unhideWhenUsed/>
    <w:rPr>
      <w:vertAlign w:val="superscript"/>
    </w:rPr>
  </w:style>
  <w:style w:type="paragraph" w:styleId="843">
    <w:name w:val="toc 1"/>
    <w:basedOn w:val="854"/>
    <w:next w:val="854"/>
    <w:uiPriority w:val="39"/>
    <w:unhideWhenUsed/>
    <w:pPr>
      <w:ind w:left="0" w:right="0" w:firstLine="0"/>
      <w:spacing w:after="57"/>
    </w:pPr>
  </w:style>
  <w:style w:type="paragraph" w:styleId="844">
    <w:name w:val="toc 2"/>
    <w:basedOn w:val="854"/>
    <w:next w:val="854"/>
    <w:uiPriority w:val="39"/>
    <w:unhideWhenUsed/>
    <w:pPr>
      <w:ind w:left="283" w:right="0" w:firstLine="0"/>
      <w:spacing w:after="57"/>
    </w:pPr>
  </w:style>
  <w:style w:type="paragraph" w:styleId="845">
    <w:name w:val="toc 3"/>
    <w:basedOn w:val="854"/>
    <w:next w:val="854"/>
    <w:uiPriority w:val="39"/>
    <w:unhideWhenUsed/>
    <w:pPr>
      <w:ind w:left="567" w:right="0" w:firstLine="0"/>
      <w:spacing w:after="57"/>
    </w:pPr>
  </w:style>
  <w:style w:type="paragraph" w:styleId="846">
    <w:name w:val="toc 4"/>
    <w:basedOn w:val="854"/>
    <w:next w:val="854"/>
    <w:uiPriority w:val="39"/>
    <w:unhideWhenUsed/>
    <w:pPr>
      <w:ind w:left="850" w:right="0" w:firstLine="0"/>
      <w:spacing w:after="57"/>
    </w:pPr>
  </w:style>
  <w:style w:type="paragraph" w:styleId="847">
    <w:name w:val="toc 5"/>
    <w:basedOn w:val="854"/>
    <w:next w:val="854"/>
    <w:uiPriority w:val="39"/>
    <w:unhideWhenUsed/>
    <w:pPr>
      <w:ind w:left="1134" w:right="0" w:firstLine="0"/>
      <w:spacing w:after="57"/>
    </w:pPr>
  </w:style>
  <w:style w:type="paragraph" w:styleId="848">
    <w:name w:val="toc 6"/>
    <w:basedOn w:val="854"/>
    <w:next w:val="854"/>
    <w:uiPriority w:val="39"/>
    <w:unhideWhenUsed/>
    <w:pPr>
      <w:ind w:left="1417" w:right="0" w:firstLine="0"/>
      <w:spacing w:after="57"/>
    </w:pPr>
  </w:style>
  <w:style w:type="paragraph" w:styleId="849">
    <w:name w:val="toc 7"/>
    <w:basedOn w:val="854"/>
    <w:next w:val="854"/>
    <w:uiPriority w:val="39"/>
    <w:unhideWhenUsed/>
    <w:pPr>
      <w:ind w:left="1701" w:right="0" w:firstLine="0"/>
      <w:spacing w:after="57"/>
    </w:pPr>
  </w:style>
  <w:style w:type="paragraph" w:styleId="850">
    <w:name w:val="toc 8"/>
    <w:basedOn w:val="854"/>
    <w:next w:val="854"/>
    <w:uiPriority w:val="39"/>
    <w:unhideWhenUsed/>
    <w:pPr>
      <w:ind w:left="1984" w:right="0" w:firstLine="0"/>
      <w:spacing w:after="57"/>
    </w:pPr>
  </w:style>
  <w:style w:type="paragraph" w:styleId="851">
    <w:name w:val="toc 9"/>
    <w:basedOn w:val="854"/>
    <w:next w:val="854"/>
    <w:uiPriority w:val="39"/>
    <w:unhideWhenUsed/>
    <w:pPr>
      <w:ind w:left="2268" w:right="0" w:firstLine="0"/>
      <w:spacing w:after="57"/>
    </w:pPr>
  </w:style>
  <w:style w:type="paragraph" w:styleId="852">
    <w:name w:val="TOC Heading"/>
    <w:uiPriority w:val="39"/>
    <w:unhideWhenUsed/>
  </w:style>
  <w:style w:type="paragraph" w:styleId="853">
    <w:name w:val="table of figures"/>
    <w:basedOn w:val="854"/>
    <w:next w:val="854"/>
    <w:uiPriority w:val="99"/>
    <w:unhideWhenUsed/>
    <w:pPr>
      <w:spacing w:after="0" w:afterAutospacing="0"/>
    </w:pPr>
  </w:style>
  <w:style w:type="paragraph" w:styleId="854" w:default="1">
    <w:name w:val="Normal"/>
    <w:next w:val="858"/>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55">
    <w:name w:val="Heading 2"/>
    <w:basedOn w:val="854"/>
    <w:next w:val="854"/>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56" w:default="1">
    <w:name w:val="Default Paragraph Font"/>
    <w:uiPriority w:val="1"/>
    <w:semiHidden/>
    <w:unhideWhenUsed/>
    <w:qFormat/>
  </w:style>
  <w:style w:type="table" w:styleId="857" w:default="1">
    <w:name w:val="Normal Table"/>
    <w:uiPriority w:val="99"/>
    <w:semiHidden/>
    <w:unhideWhenUsed/>
    <w:qFormat/>
    <w:tblPr>
      <w:tblCellMar>
        <w:left w:w="108" w:type="dxa"/>
        <w:top w:w="0" w:type="dxa"/>
        <w:right w:w="108" w:type="dxa"/>
        <w:bottom w:w="0" w:type="dxa"/>
      </w:tblCellMar>
    </w:tblPr>
  </w:style>
  <w:style w:type="paragraph" w:styleId="858" w:customStyle="1">
    <w:name w:val="Default"/>
    <w:basedOn w:val="854"/>
    <w:uiPriority w:val="0"/>
    <w:semiHidden/>
    <w:qFormat/>
    <w:pPr>
      <w:jc w:val="left"/>
    </w:pPr>
    <w:rPr>
      <w:rFonts w:ascii="宋体" w:hAnsi="Calibri" w:cs="宋体"/>
      <w:color w:val="000000"/>
      <w:sz w:val="24"/>
    </w:rPr>
  </w:style>
  <w:style w:type="paragraph" w:styleId="859">
    <w:name w:val="annotation text"/>
    <w:basedOn w:val="854"/>
    <w:uiPriority w:val="0"/>
    <w:qFormat/>
    <w:pPr>
      <w:jc w:val="left"/>
    </w:pPr>
  </w:style>
  <w:style w:type="paragraph" w:styleId="860">
    <w:name w:val="Body Text"/>
    <w:basedOn w:val="854"/>
    <w:uiPriority w:val="0"/>
    <w:qFormat/>
    <w:pPr>
      <w:spacing w:after="120"/>
    </w:pPr>
  </w:style>
  <w:style w:type="paragraph" w:styleId="861">
    <w:name w:val="Body Text Indent"/>
    <w:basedOn w:val="854"/>
    <w:next w:val="862"/>
    <w:uiPriority w:val="0"/>
    <w:qFormat/>
    <w:pPr>
      <w:ind w:firstLine="600"/>
      <w:spacing w:line="360" w:lineRule="auto"/>
    </w:pPr>
    <w:rPr>
      <w:rFonts w:ascii="仿宋_GB2312" w:eastAsia="仿宋_GB2312"/>
      <w:sz w:val="30"/>
    </w:rPr>
  </w:style>
  <w:style w:type="paragraph" w:styleId="862">
    <w:name w:val="envelope return"/>
    <w:basedOn w:val="854"/>
    <w:uiPriority w:val="0"/>
    <w:qFormat/>
    <w:rPr>
      <w:rFonts w:ascii="Arial" w:hAnsi="Arial"/>
    </w:rPr>
  </w:style>
  <w:style w:type="paragraph" w:styleId="863">
    <w:name w:val="Footer"/>
    <w:basedOn w:val="854"/>
    <w:link w:val="867"/>
    <w:uiPriority w:val="0"/>
    <w:qFormat/>
    <w:pPr>
      <w:jc w:val="left"/>
      <w:tabs>
        <w:tab w:val="center" w:pos="4153" w:leader="none"/>
        <w:tab w:val="right" w:pos="8306" w:leader="none"/>
      </w:tabs>
    </w:pPr>
    <w:rPr>
      <w:sz w:val="18"/>
      <w:szCs w:val="18"/>
    </w:rPr>
  </w:style>
  <w:style w:type="paragraph" w:styleId="864">
    <w:name w:val="Header"/>
    <w:basedOn w:val="854"/>
    <w:link w:val="866"/>
    <w:uiPriority w:val="0"/>
    <w:qFormat/>
    <w:pPr>
      <w:jc w:val="center"/>
      <w:tabs>
        <w:tab w:val="center" w:pos="4153" w:leader="none"/>
        <w:tab w:val="right" w:pos="8306" w:leader="none"/>
      </w:tabs>
      <w:pBdr>
        <w:bottom w:val="single" w:color="auto" w:sz="6" w:space="1"/>
      </w:pBdr>
    </w:pPr>
    <w:rPr>
      <w:sz w:val="18"/>
      <w:szCs w:val="18"/>
    </w:rPr>
  </w:style>
  <w:style w:type="paragraph" w:styleId="865">
    <w:name w:val="Normal (Web)"/>
    <w:basedOn w:val="854"/>
    <w:uiPriority w:val="0"/>
    <w:qFormat/>
    <w:pPr>
      <w:jc w:val="left"/>
      <w:spacing w:beforeAutospacing="1" w:afterAutospacing="1"/>
    </w:pPr>
    <w:rPr>
      <w:rFonts w:cs="Times New Roman"/>
      <w:sz w:val="24"/>
    </w:rPr>
  </w:style>
  <w:style w:type="character" w:styleId="866" w:customStyle="1">
    <w:name w:val="页眉 Char"/>
    <w:basedOn w:val="856"/>
    <w:link w:val="864"/>
    <w:uiPriority w:val="0"/>
    <w:qFormat/>
    <w:rPr>
      <w:rFonts w:asciiTheme="minorHAnsi" w:hAnsiTheme="minorHAnsi" w:eastAsiaTheme="minorEastAsia" w:cstheme="minorBidi"/>
      <w:sz w:val="18"/>
      <w:szCs w:val="18"/>
    </w:rPr>
  </w:style>
  <w:style w:type="character" w:styleId="867" w:customStyle="1">
    <w:name w:val="页脚 Char"/>
    <w:basedOn w:val="856"/>
    <w:link w:val="863"/>
    <w:uiPriority w:val="0"/>
    <w:qFormat/>
    <w:rPr>
      <w:rFonts w:asciiTheme="minorHAnsi" w:hAnsiTheme="minorHAnsi" w:eastAsiaTheme="minorEastAsia" w:cstheme="minorBidi"/>
      <w:sz w:val="18"/>
      <w:szCs w:val="18"/>
    </w:rPr>
  </w:style>
  <w:style w:type="paragraph" w:styleId="868" w:customStyle="1">
    <w:name w:val="普通正文"/>
    <w:basedOn w:val="854"/>
    <w:uiPriority w:val="0"/>
    <w:qFormat/>
    <w:pPr>
      <w:ind w:firstLine="480"/>
      <w:jc w:val="left"/>
      <w:spacing w:before="120" w:after="120" w:line="360" w:lineRule="auto"/>
    </w:pPr>
    <w:rPr>
      <w:rFonts w:ascii="Arial" w:hAnsi="Arial" w:eastAsia="等线" w:cs="Arial"/>
      <w:sz w:val="24"/>
      <w:szCs w:val="24"/>
    </w:rPr>
  </w:style>
  <w:style w:type="paragraph" w:styleId="869" w:customStyle="1">
    <w:name w:val="正文首行缩进 21"/>
    <w:basedOn w:val="870"/>
    <w:uiPriority w:val="0"/>
    <w:qFormat/>
    <w:pPr>
      <w:ind w:firstLine="420"/>
    </w:pPr>
  </w:style>
  <w:style w:type="paragraph" w:styleId="870" w:customStyle="1">
    <w:name w:val="正文文本缩进1"/>
    <w:basedOn w:val="854"/>
    <w:uiPriority w:val="0"/>
    <w:qFormat/>
    <w:pPr>
      <w:ind w:left="420"/>
      <w:spacing w:after="120"/>
    </w:pPr>
  </w:style>
  <w:style w:type="paragraph" w:styleId="871" w:customStyle="1">
    <w:name w:val="正文首行缩进1"/>
    <w:basedOn w:val="860"/>
    <w:uiPriority w:val="0"/>
    <w:qFormat/>
    <w:pPr>
      <w:ind w:firstLine="200"/>
      <w:spacing w:line="360" w:lineRule="auto"/>
    </w:pPr>
    <w:rPr>
      <w:rFonts w:ascii="仿宋_GB2312" w:hAnsi="仿宋_GB2312" w:eastAsia="仿宋_GB2312"/>
      <w:sz w:val="30"/>
      <w:szCs w:val="30"/>
    </w:rPr>
  </w:style>
  <w:style w:type="paragraph" w:styleId="872" w:customStyle="1">
    <w:name w:val="小节标题"/>
    <w:basedOn w:val="854"/>
    <w:next w:val="854"/>
    <w:uiPriority w:val="0"/>
    <w:qFormat/>
    <w:pPr>
      <w:spacing w:before="175" w:after="102" w:line="351" w:lineRule="atLeast"/>
      <w:widowControl/>
    </w:pPr>
    <w:rPr>
      <w:rFonts w:eastAsia="黑体"/>
      <w:color w:val="000000"/>
    </w:rPr>
  </w:style>
  <w:style w:type="paragraph" w:styleId="873" w:customStyle="1">
    <w:name w:val="正文1"/>
    <w:next w:val="854"/>
    <w:uiPriority w:val="0"/>
    <w:qFormat/>
    <w:pPr>
      <w:jc w:val="both"/>
    </w:pPr>
    <w:rPr>
      <w:rFonts w:ascii="Times New Roman" w:hAnsi="Times New Roman" w:eastAsia="宋体" w:cs="Times New Roman"/>
      <w:sz w:val="21"/>
      <w:szCs w:val="21"/>
      <w:lang w:val="en-US" w:eastAsia="zh-CN" w:bidi="ar-SA"/>
    </w:rPr>
  </w:style>
  <w:style w:type="numbering" w:styleId="8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ddb354c5-e1f3-48e0-a0b9-644823fed71a</errorID>
      <errorWord>-</errorWord>
      <group>L1_Format</group>
      <groupName>格式问题</groupName>
      <ability>L2_HalfPunc</ability>
      <abilityName>全半角检查</abilityName>
      <candidateList>
        <item>－</item>
      </candidateList>
      <explain>文本全半角错误。</explain>
      <paraID>32A21B87</paraID>
      <start>14</start>
      <end>15</end>
      <status>ignored</status>
      <modifiedWord/>
      <trackRevisions>false</trackRevisions>
    </reviewItem>
    <reviewItem>
      <errorID>884b0d65-7c45-4541-b8c4-216aaaafca8c</errorID>
      <errorWord>-</errorWord>
      <group>L1_Format</group>
      <groupName>格式问题</groupName>
      <ability>L2_HalfPunc</ability>
      <abilityName>全半角检查</abilityName>
      <candidateList>
        <item>－</item>
      </candidateList>
      <explain>文本全半角错误。</explain>
      <paraID>32A21B87</paraID>
      <start>15</start>
      <end>16</end>
      <status>ignored</status>
      <modifiedWord/>
      <trackRevisions>false</trackRevisions>
    </reviewItem>
    <reviewItem>
      <errorID>2e513945-8f68-4ce2-b97e-3ffe700bfa8d</errorID>
      <errorWord>“.</errorWord>
      <group>L1_Punc</group>
      <groupName>标点问题</groupName>
      <ability>L2_Punc</ability>
      <abilityName>标点符号检查</abilityName>
      <candidateList>
        <item>“</item>
      </candidateList>
      <explain/>
      <paraID>32A21B87</paraID>
      <start>57</start>
      <end>59</end>
      <status>ignored</status>
      <modifiedWord/>
      <trackRevisions>false</trackRevisions>
    </reviewItem>
    <reviewItem>
      <errorID>87ff9983-d248-4383-92a4-6511a98d36a2</errorID>
      <errorWord>“.</errorWord>
      <group>L1_Punc</group>
      <groupName>标点问题</groupName>
      <ability>L2_Punc</ability>
      <abilityName>标点符号检查</abilityName>
      <candidateList>
        <item>“</item>
      </candidateList>
      <explain/>
      <paraID>32A21B87</paraID>
      <start>72</start>
      <end>74</end>
      <status>ignored</status>
      <modifiedWord/>
      <trackRevisions>false</trackRevisions>
    </reviewItem>
    <reviewItem>
      <errorID>5bd1a675-6d5c-40ce-a0e1-3c631d50b67d</errorID>
      <errorWord>-</errorWord>
      <group>L1_Format</group>
      <groupName>格式问题</groupName>
      <ability>L2_HalfPunc</ability>
      <abilityName>全半角检查</abilityName>
      <candidateList>
        <item>－</item>
      </candidateList>
      <explain>文本全半角错误。</explain>
      <paraID>32A21B87</paraID>
      <start>95</start>
      <end>96</end>
      <status>ignored</status>
      <modifiedWord/>
      <trackRevisions>false</trackRevisions>
    </reviewItem>
    <reviewItem>
      <errorID>93380aeb-beaa-47d4-b7b2-d15876d6c943</errorID>
      <errorWord>-</errorWord>
      <group>L1_Format</group>
      <groupName>格式问题</groupName>
      <ability>L2_HalfPunc</ability>
      <abilityName>全半角检查</abilityName>
      <candidateList>
        <item>－</item>
      </candidateList>
      <explain>文本全半角错误。</explain>
      <paraID>32A21B87</paraID>
      <start>96</start>
      <end>97</end>
      <status>ignored</status>
      <modifiedWord/>
      <trackRevisions>false</trackRevisions>
    </reviewItem>
    <reviewItem>
      <errorID>e72207ef-03ba-422c-8c9d-ee9cbd336492</errorID>
      <errorWord>-</errorWord>
      <group>L1_Format</group>
      <groupName>格式问题</groupName>
      <ability>L2_HalfPunc</ability>
      <abilityName>全半角检查</abilityName>
      <candidateList>
        <item>－</item>
      </candidateList>
      <explain>文本全半角错误。</explain>
      <paraID>32A21B87</paraID>
      <start>103</start>
      <end>104</end>
      <status>ignored</status>
      <modifiedWord/>
      <trackRevisions>false</trackRevisions>
    </reviewItem>
    <reviewItem>
      <errorID>d37ae88c-1ef5-4538-b5a1-3f060ffd7a55</errorID>
      <errorWord>-</errorWord>
      <group>L1_Format</group>
      <groupName>格式问题</groupName>
      <ability>L2_HalfPunc</ability>
      <abilityName>全半角检查</abilityName>
      <candidateList>
        <item>－</item>
      </candidateList>
      <explain>文本全半角错误。</explain>
      <paraID>32A21B87</paraID>
      <start>104</start>
      <end>105</end>
      <status>ignored</status>
      <modifiedWord/>
      <trackRevisions>false</trackRevisions>
    </reviewItem>
    <reviewItem>
      <errorID>b74ebdf4-613f-4c9d-af94-545a6e20c2bf</errorID>
      <errorWord>-</errorWord>
      <group>L1_Format</group>
      <groupName>格式问题</groupName>
      <ability>L2_HalfPunc</ability>
      <abilityName>全半角检查</abilityName>
      <candidateList>
        <item>－</item>
      </candidateList>
      <explain>文本全半角错误。</explain>
      <paraID>32A21B87</paraID>
      <start>175</start>
      <end>176</end>
      <status>ignored</status>
      <modifiedWord/>
      <trackRevisions>false</trackRevisions>
    </reviewItem>
    <reviewItem>
      <errorID>b02101d7-973a-41e6-839f-4b7e4b3f7c40</errorID>
      <errorWord>-</errorWord>
      <group>L1_Format</group>
      <groupName>格式问题</groupName>
      <ability>L2_HalfPunc</ability>
      <abilityName>全半角检查</abilityName>
      <candidateList>
        <item>－</item>
      </candidateList>
      <explain>文本全半角错误。</explain>
      <paraID>26A03879</paraID>
      <start>31</start>
      <end>32</end>
      <status>ignored</status>
      <modifiedWord/>
      <trackRevisions>false</trackRevisions>
    </reviewItem>
    <reviewItem>
      <errorID>ad5538c4-f779-4861-91f1-016756a40d9f</errorID>
      <errorWord>“.</errorWord>
      <group>L1_Punc</group>
      <groupName>标点问题</groupName>
      <ability>L2_Punc</ability>
      <abilityName>标点符号检查</abilityName>
      <candidateList>
        <item>“</item>
      </candidateList>
      <explain/>
      <paraID>5B5DA349</paraID>
      <start>13</start>
      <end>15</end>
      <status>ignored</status>
      <modifiedWord/>
      <trackRevisions>false</trackRevisions>
    </reviewItem>
    <reviewItem>
      <errorID>d1c9567c-6c38-483d-afb8-a1ec60c6a77e</errorID>
      <errorWord>做</errorWord>
      <group>L1_Word</group>
      <groupName>字词问题</groupName>
      <ability>L2_Typo</ability>
      <abilityName>字词错误</abilityName>
      <candidateList>
        <item>作</item>
      </candidateList>
      <explain>存在发音相同字词的误用。</explain>
      <paraID>237BBC07</paraID>
      <start>68</start>
      <end>69</end>
      <status>ignored</status>
      <modifiedWord/>
      <trackRevisions>false</trackRevisions>
    </reviewItem>
    <reviewItem>
      <errorID>9e76a5b1-cfde-4902-a3b3-539a7a57df2c</errorID>
      <errorWord>&lt;</errorWord>
      <group>L1_Format</group>
      <groupName>格式问题</groupName>
      <ability>L2_HalfPunc</ability>
      <abilityName>全半角检查</abilityName>
      <candidateList>
        <item>〈</item>
      </candidateList>
      <explain>文本全半角错误。</explain>
      <paraID>56593D64</paraID>
      <start>37</start>
      <end>38</end>
      <status>ignored</status>
      <modifiedWord/>
      <trackRevisions>false</trackRevisions>
    </reviewItem>
    <reviewItem>
      <errorID>e3733c21-e898-43f8-928f-fceb50c8b653</errorID>
      <errorWord>&lt;</errorWord>
      <group>L1_Format</group>
      <groupName>格式问题</groupName>
      <ability>L2_HalfPunc</ability>
      <abilityName>全半角检查</abilityName>
      <candidateList>
        <item>〈</item>
      </candidateList>
      <explain>文本全半角错误。</explain>
      <paraID>1FF1541A</paraID>
      <start>37</start>
      <end>38</end>
      <status>ignored</status>
      <modifiedWord/>
      <trackRevisions>false</trackRevisions>
    </reviewItem>
    <reviewItem>
      <errorID>077d5fcd-d8aa-40dc-b06e-1a848f74a082</errorID>
      <errorWord>&lt;</errorWord>
      <group>L1_Format</group>
      <groupName>格式问题</groupName>
      <ability>L2_HalfPunc</ability>
      <abilityName>全半角检查</abilityName>
      <candidateList>
        <item>〈</item>
      </candidateList>
      <explain>文本全半角错误。</explain>
      <paraID>4DAB9A50</paraID>
      <start>26</start>
      <end>27</end>
      <status>ignored</status>
      <modifiedWord/>
      <trackRevisions>false</trackRevisions>
    </reviewItem>
    <reviewItem>
      <errorID>49b41528-d09e-402a-a708-505c2379dc09</errorID>
      <errorWord>&lt;</errorWord>
      <group>L1_Format</group>
      <groupName>格式问题</groupName>
      <ability>L2_HalfPunc</ability>
      <abilityName>全半角检查</abilityName>
      <candidateList>
        <item>〈</item>
      </candidateList>
      <explain>文本全半角错误。</explain>
      <paraID>7831DEFD</paraID>
      <start>22</start>
      <end>23</end>
      <status>ignored</status>
      <modifiedWord/>
      <trackRevisions>false</trackRevisions>
    </reviewItem>
    <reviewItem>
      <errorID>86ac1add-d891-492b-9aed-a5099f9cb1db</errorID>
      <errorWord>）</errorWord>
      <group>L1_Format</group>
      <groupName>格式问题</groupName>
      <ability>L2_HalfPunc</ability>
      <abilityName>全半角检查</abilityName>
      <candidateList>
        <item>)</item>
      </candidateList>
      <explain>文本全半角错误。</explain>
      <paraID> 1A19AFE</paraID>
      <start>9</start>
      <end>10</end>
      <status>modified</status>
      <modifiedWord>)</modifiedWord>
      <trackRevisions>false</trackRevisions>
    </reviewItem>
    <reviewItem>
      <errorID>bfc8075d-5782-4973-a119-21e391614ed2</errorID>
      <errorWord>翔实</errorWord>
      <group>L1_Word</group>
      <groupName>字词问题</groupName>
      <ability>L2_Typo</ability>
      <abilityName>字词错误</abilityName>
      <candidateList>
        <item>详实</item>
      </candidateList>
      <explain>存在发音相同字词的误用。</explain>
      <paraID>191B4C68</paraID>
      <start>62</start>
      <end>64</end>
      <status>ignored</status>
      <modifiedWord/>
      <trackRevisions>false</trackRevisions>
    </reviewItem>
    <reviewItem>
      <errorID>2d97effd-3991-4c37-a0ad-54a234efc231</errorID>
      <errorWord>工做</errorWord>
      <group>L1_Word</group>
      <groupName>字词问题</groupName>
      <ability>L2_Typo</ability>
      <abilityName>字词错误</abilityName>
      <candidateList>
        <item>工作</item>
      </candidateList>
      <explain>存在发音相同字词的误用。</explain>
      <paraID>17E8A388</paraID>
      <start>22</start>
      <end>24</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28E702C4-152F-491D-8084-F48AB93BAB1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刘伟</cp:lastModifiedBy>
  <cp:revision>274</cp:revision>
  <dcterms:created xsi:type="dcterms:W3CDTF">2014-10-29T12:08:00Z</dcterms:created>
  <dcterms:modified xsi:type="dcterms:W3CDTF">2026-04-10T07:59:02Z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57C8CCB90637474C8196A3B757A1B8D4_13</vt:lpwstr>
  </property>
  <property fmtid="{D5CDD505-2E9C-101B-9397-08002B2CF9AE}" pid="4" name="KSOTemplateDocerSaveRecord">
    <vt:lpwstr>eyJoZGlkIjoiYjA5ZGM2ZWEzZTFmMTNmZjQ5MzY5NzkxNDYyYzFhMTYiLCJ1c2VySWQiOiIxMzA2NDU5MDMyIn0=</vt:lpwstr>
  </property>
</Properties>
</file>