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99B94D5">
      <w:pPr>
        <w:spacing w:line="360" w:lineRule="auto"/>
        <w:rPr>
          <w:rFonts w:hint="eastAsia" w:ascii="CESI黑体-GB2312" w:hAnsi="CESI黑体-GB2312" w:eastAsia="CESI黑体-GB2312" w:cs="CESI黑体-GB2312"/>
          <w:color w:val="000000"/>
          <w:sz w:val="32"/>
          <w:szCs w:val="32"/>
          <w:highlight w:val="none"/>
        </w:rPr>
      </w:pPr>
    </w:p>
    <w:p w14:paraId="7A046CCF">
      <w:pPr>
        <w:spacing w:line="360" w:lineRule="auto"/>
        <w:ind w:firstLine="300"/>
        <w:rPr>
          <w:color w:val="000000"/>
          <w:sz w:val="60"/>
          <w:szCs w:val="60"/>
          <w:highlight w:val="none"/>
        </w:rPr>
      </w:pPr>
    </w:p>
    <w:p w14:paraId="407544F8">
      <w:pPr>
        <w:pStyle w:val="185"/>
        <w:rPr>
          <w:color w:val="000000"/>
          <w:highlight w:val="none"/>
        </w:rPr>
      </w:pPr>
    </w:p>
    <w:p w14:paraId="11B4891F">
      <w:pPr>
        <w:rPr>
          <w:color w:val="000000"/>
          <w:highlight w:val="none"/>
        </w:rPr>
      </w:pPr>
    </w:p>
    <w:p w14:paraId="3856A5FC">
      <w:pPr>
        <w:jc w:val="center"/>
        <w:rPr>
          <w:rFonts w:hint="eastAsia" w:ascii="宋体" w:hAnsi="宋体" w:eastAsia="宋体" w:cs="宋体"/>
          <w:b/>
          <w:bCs/>
          <w:color w:val="000000"/>
          <w:sz w:val="60"/>
          <w:szCs w:val="60"/>
          <w:highlight w:val="none"/>
        </w:rPr>
      </w:pPr>
      <w:r>
        <w:rPr>
          <w:rFonts w:hint="eastAsia" w:ascii="宋体" w:hAnsi="宋体" w:eastAsia="宋体" w:cs="宋体"/>
          <w:b/>
          <w:bCs/>
          <w:color w:val="000000"/>
          <w:sz w:val="60"/>
          <w:szCs w:val="60"/>
          <w:highlight w:val="none"/>
        </w:rPr>
        <w:t>常州市政府采购项目</w:t>
      </w:r>
    </w:p>
    <w:p w14:paraId="7F52DE54">
      <w:pPr>
        <w:jc w:val="center"/>
        <w:rPr>
          <w:rFonts w:hint="eastAsia" w:ascii="宋体" w:hAnsi="宋体" w:eastAsia="宋体" w:cs="宋体"/>
          <w:b/>
          <w:bCs/>
          <w:color w:val="000000"/>
          <w:sz w:val="60"/>
          <w:szCs w:val="60"/>
          <w:highlight w:val="none"/>
        </w:rPr>
      </w:pPr>
      <w:r>
        <w:rPr>
          <w:rFonts w:hint="eastAsia" w:ascii="宋体" w:hAnsi="宋体" w:eastAsia="宋体" w:cs="宋体"/>
          <w:b/>
          <w:bCs/>
          <w:color w:val="000000"/>
          <w:sz w:val="60"/>
          <w:szCs w:val="60"/>
          <w:highlight w:val="none"/>
        </w:rPr>
        <w:t>公开招标文件</w:t>
      </w:r>
    </w:p>
    <w:p w14:paraId="1EF9018C">
      <w:pPr>
        <w:jc w:val="center"/>
        <w:rPr>
          <w:rFonts w:hint="eastAsia" w:ascii="宋体" w:hAnsi="宋体" w:eastAsia="宋体" w:cs="宋体"/>
          <w:b/>
          <w:bCs/>
          <w:color w:val="000000"/>
          <w:sz w:val="60"/>
          <w:szCs w:val="60"/>
          <w:highlight w:val="none"/>
        </w:rPr>
      </w:pPr>
      <w:r>
        <w:rPr>
          <w:rFonts w:hint="eastAsia" w:ascii="宋体" w:hAnsi="宋体" w:eastAsia="宋体" w:cs="宋体"/>
          <w:b/>
          <w:bCs/>
          <w:color w:val="000000"/>
          <w:sz w:val="60"/>
          <w:szCs w:val="60"/>
          <w:highlight w:val="none"/>
        </w:rPr>
        <w:t>(服务类)</w:t>
      </w:r>
    </w:p>
    <w:p w14:paraId="49E9CF49">
      <w:pPr>
        <w:spacing w:line="360" w:lineRule="auto"/>
        <w:jc w:val="center"/>
        <w:rPr>
          <w:rFonts w:ascii="宋体" w:hAnsi="宋体"/>
          <w:b/>
          <w:bCs/>
          <w:color w:val="000000"/>
          <w:sz w:val="60"/>
          <w:szCs w:val="60"/>
          <w:highlight w:val="none"/>
        </w:rPr>
      </w:pPr>
    </w:p>
    <w:p w14:paraId="0E48922F">
      <w:pPr>
        <w:spacing w:line="360" w:lineRule="auto"/>
        <w:jc w:val="center"/>
        <w:rPr>
          <w:rFonts w:ascii="宋体" w:hAnsi="宋体"/>
          <w:b/>
          <w:bCs/>
          <w:color w:val="000000"/>
          <w:sz w:val="60"/>
          <w:szCs w:val="60"/>
          <w:highlight w:val="none"/>
        </w:rPr>
      </w:pPr>
    </w:p>
    <w:p w14:paraId="1FE008A4">
      <w:pPr>
        <w:pStyle w:val="185"/>
        <w:ind w:firstLine="420"/>
        <w:rPr>
          <w:color w:val="000000"/>
          <w:highlight w:val="none"/>
        </w:rPr>
      </w:pPr>
    </w:p>
    <w:p w14:paraId="0DACB269">
      <w:pPr>
        <w:spacing w:line="480" w:lineRule="auto"/>
        <w:ind w:left="3293" w:hanging="2100"/>
        <w:rPr>
          <w:rFonts w:hint="eastAsia" w:ascii="Times New Roman" w:hAnsi="Times New Roman" w:eastAsia="宋体" w:cs="Times New Roman"/>
          <w:bCs/>
          <w:color w:val="000000"/>
          <w:sz w:val="30"/>
          <w:szCs w:val="30"/>
          <w:highlight w:val="none"/>
          <w:lang w:eastAsia="zh-CN"/>
        </w:rPr>
      </w:pPr>
      <w:r>
        <w:rPr>
          <w:rFonts w:hint="eastAsia" w:ascii="Times New Roman" w:hAnsi="Times New Roman" w:eastAsia="宋体" w:cs="Times New Roman"/>
          <w:bCs/>
          <w:color w:val="000000"/>
          <w:sz w:val="30"/>
          <w:szCs w:val="30"/>
          <w:highlight w:val="none"/>
        </w:rPr>
        <w:t>项</w:t>
      </w:r>
      <w:r>
        <w:rPr>
          <w:rFonts w:hint="eastAsia" w:ascii="Times New Roman" w:hAnsi="Times New Roman" w:eastAsia="宋体" w:cs="Times New Roman"/>
          <w:bCs/>
          <w:color w:val="000000"/>
          <w:sz w:val="30"/>
          <w:szCs w:val="30"/>
          <w:highlight w:val="none"/>
          <w:lang w:val="en-US" w:eastAsia="zh-CN"/>
        </w:rPr>
        <w:t xml:space="preserve"> </w:t>
      </w:r>
      <w:r>
        <w:rPr>
          <w:rFonts w:hint="eastAsia" w:ascii="Times New Roman" w:hAnsi="Times New Roman" w:eastAsia="宋体" w:cs="Times New Roman"/>
          <w:bCs/>
          <w:color w:val="000000"/>
          <w:sz w:val="30"/>
          <w:szCs w:val="30"/>
          <w:highlight w:val="none"/>
        </w:rPr>
        <w:t>目</w:t>
      </w:r>
      <w:r>
        <w:rPr>
          <w:rFonts w:hint="eastAsia" w:ascii="Times New Roman" w:hAnsi="Times New Roman" w:eastAsia="宋体" w:cs="Times New Roman"/>
          <w:bCs/>
          <w:color w:val="000000"/>
          <w:sz w:val="30"/>
          <w:szCs w:val="30"/>
          <w:highlight w:val="none"/>
          <w:lang w:val="en-US" w:eastAsia="zh-CN"/>
        </w:rPr>
        <w:t xml:space="preserve">  </w:t>
      </w:r>
      <w:r>
        <w:rPr>
          <w:rFonts w:hint="eastAsia" w:ascii="Times New Roman" w:hAnsi="Times New Roman" w:eastAsia="宋体" w:cs="Times New Roman"/>
          <w:bCs/>
          <w:color w:val="000000"/>
          <w:sz w:val="30"/>
          <w:szCs w:val="30"/>
          <w:highlight w:val="none"/>
        </w:rPr>
        <w:t>名</w:t>
      </w:r>
      <w:r>
        <w:rPr>
          <w:rFonts w:hint="eastAsia" w:ascii="Times New Roman" w:hAnsi="Times New Roman" w:eastAsia="宋体" w:cs="Times New Roman"/>
          <w:bCs/>
          <w:color w:val="000000"/>
          <w:sz w:val="30"/>
          <w:szCs w:val="30"/>
          <w:highlight w:val="none"/>
          <w:lang w:val="en-US" w:eastAsia="zh-CN"/>
        </w:rPr>
        <w:t xml:space="preserve"> </w:t>
      </w:r>
      <w:r>
        <w:rPr>
          <w:rFonts w:hint="eastAsia" w:ascii="Times New Roman" w:hAnsi="Times New Roman" w:eastAsia="宋体" w:cs="Times New Roman"/>
          <w:bCs/>
          <w:color w:val="000000"/>
          <w:sz w:val="30"/>
          <w:szCs w:val="30"/>
          <w:highlight w:val="none"/>
        </w:rPr>
        <w:t>称：</w:t>
      </w:r>
      <w:bookmarkStart w:id="0" w:name="OLE_LINK3"/>
      <w:r>
        <w:rPr>
          <w:rFonts w:hint="eastAsia" w:ascii="Times New Roman" w:hAnsi="Times New Roman" w:eastAsia="宋体" w:cs="Times New Roman"/>
          <w:bCs/>
          <w:color w:val="000000"/>
          <w:sz w:val="30"/>
          <w:szCs w:val="30"/>
          <w:highlight w:val="none"/>
          <w:lang w:val="en-US" w:eastAsia="zh-CN"/>
        </w:rPr>
        <w:t>溧阳市残疾人商业补充保险</w:t>
      </w:r>
    </w:p>
    <w:bookmarkEnd w:id="0"/>
    <w:p w14:paraId="29BA1473">
      <w:pPr>
        <w:spacing w:line="480" w:lineRule="auto"/>
        <w:ind w:firstLine="1200"/>
        <w:rPr>
          <w:rFonts w:ascii="Times New Roman" w:hAnsi="Times New Roman" w:eastAsia="宋体" w:cs="Times New Roman"/>
          <w:bCs/>
          <w:color w:val="000000"/>
          <w:sz w:val="30"/>
          <w:szCs w:val="30"/>
          <w:highlight w:val="green"/>
          <w:lang w:val="en-US"/>
        </w:rPr>
      </w:pPr>
      <w:r>
        <w:rPr>
          <w:rFonts w:hint="eastAsia" w:ascii="Times New Roman" w:hAnsi="Times New Roman" w:eastAsia="宋体" w:cs="Times New Roman"/>
          <w:bCs/>
          <w:color w:val="000000"/>
          <w:sz w:val="30"/>
          <w:szCs w:val="30"/>
          <w:highlight w:val="none"/>
        </w:rPr>
        <w:t>项</w:t>
      </w:r>
      <w:r>
        <w:rPr>
          <w:rFonts w:hint="eastAsia" w:ascii="Times New Roman" w:hAnsi="Times New Roman" w:eastAsia="宋体" w:cs="Times New Roman"/>
          <w:bCs/>
          <w:color w:val="000000"/>
          <w:sz w:val="30"/>
          <w:szCs w:val="30"/>
          <w:highlight w:val="none"/>
          <w:lang w:val="en-US" w:eastAsia="zh-CN"/>
        </w:rPr>
        <w:t xml:space="preserve"> </w:t>
      </w:r>
      <w:r>
        <w:rPr>
          <w:rFonts w:hint="eastAsia" w:ascii="Times New Roman" w:hAnsi="Times New Roman" w:eastAsia="宋体" w:cs="Times New Roman"/>
          <w:bCs/>
          <w:color w:val="000000"/>
          <w:sz w:val="30"/>
          <w:szCs w:val="30"/>
          <w:highlight w:val="none"/>
        </w:rPr>
        <w:t>目</w:t>
      </w:r>
      <w:r>
        <w:rPr>
          <w:rFonts w:hint="eastAsia" w:ascii="Times New Roman" w:hAnsi="Times New Roman" w:eastAsia="宋体" w:cs="Times New Roman"/>
          <w:bCs/>
          <w:color w:val="000000"/>
          <w:sz w:val="30"/>
          <w:szCs w:val="30"/>
          <w:highlight w:val="none"/>
          <w:lang w:val="en-US" w:eastAsia="zh-CN"/>
        </w:rPr>
        <w:t xml:space="preserve">  </w:t>
      </w:r>
      <w:r>
        <w:rPr>
          <w:rFonts w:hint="eastAsia" w:ascii="Times New Roman" w:hAnsi="Times New Roman" w:eastAsia="宋体" w:cs="Times New Roman"/>
          <w:bCs/>
          <w:color w:val="000000"/>
          <w:sz w:val="30"/>
          <w:szCs w:val="30"/>
          <w:highlight w:val="none"/>
        </w:rPr>
        <w:t>编</w:t>
      </w:r>
      <w:r>
        <w:rPr>
          <w:rFonts w:hint="eastAsia" w:ascii="Times New Roman" w:hAnsi="Times New Roman" w:eastAsia="宋体" w:cs="Times New Roman"/>
          <w:bCs/>
          <w:color w:val="000000"/>
          <w:sz w:val="30"/>
          <w:szCs w:val="30"/>
          <w:highlight w:val="none"/>
          <w:lang w:val="en-US" w:eastAsia="zh-CN"/>
        </w:rPr>
        <w:t xml:space="preserve"> </w:t>
      </w:r>
      <w:r>
        <w:rPr>
          <w:rFonts w:hint="eastAsia" w:ascii="Times New Roman" w:hAnsi="Times New Roman" w:eastAsia="宋体" w:cs="Times New Roman"/>
          <w:bCs/>
          <w:color w:val="000000"/>
          <w:sz w:val="30"/>
          <w:szCs w:val="30"/>
          <w:highlight w:val="none"/>
        </w:rPr>
        <w:t>号</w:t>
      </w:r>
      <w:r>
        <w:rPr>
          <w:rFonts w:hint="eastAsia" w:ascii="Times New Roman" w:hAnsi="Times New Roman" w:eastAsia="宋体" w:cs="Times New Roman"/>
          <w:bCs/>
          <w:color w:val="000000"/>
          <w:sz w:val="30"/>
          <w:szCs w:val="30"/>
          <w:highlight w:val="none"/>
          <w:lang w:eastAsia="zh-CN"/>
        </w:rPr>
        <w:t>：</w:t>
      </w:r>
      <w:r>
        <w:rPr>
          <w:rFonts w:hint="eastAsia" w:cs="Times New Roman"/>
          <w:bCs/>
          <w:color w:val="000000"/>
          <w:sz w:val="30"/>
          <w:szCs w:val="30"/>
          <w:highlight w:val="none"/>
          <w:lang w:eastAsia="zh-CN"/>
        </w:rPr>
        <w:t>JSZC-320481-XYNN-G2026-0002</w:t>
      </w:r>
    </w:p>
    <w:p w14:paraId="48C98A53">
      <w:pPr>
        <w:spacing w:line="480" w:lineRule="auto"/>
        <w:ind w:left="3293" w:hanging="2100"/>
        <w:rPr>
          <w:rFonts w:hint="eastAsia"/>
          <w:lang w:eastAsia="zh-CN"/>
        </w:rPr>
      </w:pPr>
      <w:r>
        <w:rPr>
          <w:rFonts w:hint="eastAsia" w:ascii="Times New Roman" w:hAnsi="Times New Roman" w:eastAsia="宋体" w:cs="Times New Roman"/>
          <w:bCs/>
          <w:color w:val="000000"/>
          <w:sz w:val="30"/>
          <w:szCs w:val="30"/>
          <w:highlight w:val="none"/>
        </w:rPr>
        <w:t>采购</w:t>
      </w:r>
      <w:r>
        <w:rPr>
          <w:rFonts w:hint="eastAsia" w:ascii="Times New Roman" w:hAnsi="Times New Roman" w:eastAsia="宋体" w:cs="Times New Roman"/>
          <w:bCs/>
          <w:color w:val="000000"/>
          <w:sz w:val="30"/>
          <w:szCs w:val="30"/>
          <w:highlight w:val="none"/>
          <w:lang w:val="en-US" w:eastAsia="zh-CN"/>
        </w:rPr>
        <w:t xml:space="preserve"> </w:t>
      </w:r>
      <w:r>
        <w:rPr>
          <w:rFonts w:hint="eastAsia" w:ascii="Times New Roman" w:hAnsi="Times New Roman" w:eastAsia="宋体" w:cs="Times New Roman"/>
          <w:bCs/>
          <w:color w:val="000000"/>
          <w:sz w:val="30"/>
          <w:szCs w:val="30"/>
          <w:highlight w:val="none"/>
        </w:rPr>
        <w:t>人名</w:t>
      </w:r>
      <w:r>
        <w:rPr>
          <w:rFonts w:hint="eastAsia" w:ascii="Times New Roman" w:hAnsi="Times New Roman" w:eastAsia="宋体" w:cs="Times New Roman"/>
          <w:bCs/>
          <w:color w:val="000000"/>
          <w:sz w:val="30"/>
          <w:szCs w:val="30"/>
          <w:highlight w:val="none"/>
          <w:lang w:val="en-US" w:eastAsia="zh-CN"/>
        </w:rPr>
        <w:t xml:space="preserve"> </w:t>
      </w:r>
      <w:r>
        <w:rPr>
          <w:rFonts w:hint="eastAsia" w:ascii="Times New Roman" w:hAnsi="Times New Roman" w:eastAsia="宋体" w:cs="Times New Roman"/>
          <w:bCs/>
          <w:color w:val="000000"/>
          <w:sz w:val="30"/>
          <w:szCs w:val="30"/>
          <w:highlight w:val="none"/>
        </w:rPr>
        <w:t>称：</w:t>
      </w:r>
      <w:r>
        <w:rPr>
          <w:rFonts w:hint="eastAsia" w:ascii="Times New Roman" w:hAnsi="Times New Roman" w:eastAsia="宋体" w:cs="Times New Roman"/>
          <w:bCs/>
          <w:color w:val="000000"/>
          <w:sz w:val="30"/>
          <w:szCs w:val="30"/>
          <w:highlight w:val="none"/>
          <w:lang w:eastAsia="zh-CN"/>
        </w:rPr>
        <w:t>溧阳市残疾人联合会（本级）</w:t>
      </w:r>
    </w:p>
    <w:p w14:paraId="3DA987BD">
      <w:pPr>
        <w:spacing w:line="480" w:lineRule="auto"/>
        <w:ind w:firstLine="1200"/>
        <w:rPr>
          <w:rFonts w:hint="eastAsia" w:ascii="Times New Roman" w:hAnsi="Times New Roman" w:eastAsia="宋体" w:cs="Times New Roman"/>
          <w:bCs/>
          <w:color w:val="000000"/>
          <w:sz w:val="30"/>
          <w:szCs w:val="30"/>
          <w:highlight w:val="none"/>
        </w:rPr>
      </w:pPr>
      <w:r>
        <w:rPr>
          <w:rFonts w:hint="eastAsia" w:ascii="Times New Roman" w:hAnsi="Times New Roman" w:eastAsia="宋体" w:cs="Times New Roman"/>
          <w:bCs/>
          <w:color w:val="000000"/>
          <w:sz w:val="30"/>
          <w:szCs w:val="30"/>
          <w:highlight w:val="none"/>
        </w:rPr>
        <w:t>采购代理机构：</w:t>
      </w:r>
      <w:r>
        <w:rPr>
          <w:rFonts w:hint="eastAsia" w:ascii="Times New Roman" w:hAnsi="Times New Roman" w:eastAsia="宋体" w:cs="Times New Roman"/>
          <w:bCs/>
          <w:color w:val="000000"/>
          <w:sz w:val="30"/>
          <w:szCs w:val="30"/>
          <w:highlight w:val="none"/>
          <w:lang w:eastAsia="zh-CN"/>
        </w:rPr>
        <w:t>江苏鑫轶工程咨询有限公司</w:t>
      </w:r>
    </w:p>
    <w:p w14:paraId="1CDBB518">
      <w:pPr>
        <w:spacing w:line="480" w:lineRule="auto"/>
        <w:rPr>
          <w:color w:val="000000"/>
          <w:sz w:val="24"/>
          <w:highlight w:val="none"/>
        </w:rPr>
      </w:pPr>
    </w:p>
    <w:p w14:paraId="2FF97FE5">
      <w:pPr>
        <w:pStyle w:val="183"/>
        <w:rPr>
          <w:color w:val="000000"/>
          <w:sz w:val="24"/>
          <w:highlight w:val="none"/>
        </w:rPr>
      </w:pPr>
    </w:p>
    <w:p w14:paraId="59E4865A">
      <w:pPr>
        <w:pStyle w:val="184"/>
        <w:rPr>
          <w:color w:val="000000"/>
          <w:sz w:val="24"/>
          <w:highlight w:val="none"/>
        </w:rPr>
      </w:pPr>
    </w:p>
    <w:p w14:paraId="11FE94A6">
      <w:pPr>
        <w:rPr>
          <w:color w:val="000000"/>
          <w:sz w:val="24"/>
          <w:highlight w:val="none"/>
        </w:rPr>
      </w:pPr>
    </w:p>
    <w:p w14:paraId="1D5AD28C">
      <w:pPr>
        <w:pStyle w:val="213"/>
      </w:pPr>
    </w:p>
    <w:p w14:paraId="53E18FA9"/>
    <w:p w14:paraId="281C11E5">
      <w:pPr>
        <w:rPr>
          <w:rFonts w:hint="eastAsia"/>
          <w:color w:val="000000"/>
          <w:sz w:val="24"/>
          <w:highlight w:val="none"/>
          <w:lang w:val="en-US" w:eastAsia="zh-CN"/>
        </w:rPr>
      </w:pPr>
    </w:p>
    <w:p w14:paraId="2788C110">
      <w:pPr>
        <w:pStyle w:val="362"/>
        <w:spacing w:line="360" w:lineRule="auto"/>
        <w:rPr>
          <w:rFonts w:ascii="Times New Roman" w:hAnsi="Times New Roman" w:cs="Times New Roman"/>
          <w:color w:val="000000"/>
          <w:highlight w:val="none"/>
        </w:rPr>
      </w:pPr>
    </w:p>
    <w:p w14:paraId="799BED56">
      <w:pPr>
        <w:spacing w:line="360" w:lineRule="auto"/>
        <w:jc w:val="center"/>
        <w:outlineLvl w:val="0"/>
        <w:rPr>
          <w:rFonts w:hint="eastAsia" w:ascii="宋体" w:hAnsi="宋体" w:eastAsia="宋体" w:cs="宋体"/>
          <w:color w:val="000000"/>
          <w:sz w:val="24"/>
          <w:szCs w:val="24"/>
          <w:highlight w:val="none"/>
        </w:rPr>
      </w:pPr>
      <w:bookmarkStart w:id="1" w:name="_Toc104818924"/>
      <w:r>
        <w:rPr>
          <w:rFonts w:hint="eastAsia" w:ascii="宋体" w:hAnsi="宋体" w:eastAsia="宋体" w:cs="宋体"/>
          <w:b/>
          <w:color w:val="000000"/>
          <w:sz w:val="24"/>
          <w:szCs w:val="24"/>
          <w:highlight w:val="none"/>
        </w:rPr>
        <w:t>目      录</w:t>
      </w:r>
      <w:bookmarkEnd w:id="1"/>
    </w:p>
    <w:p w14:paraId="25811C16">
      <w:pPr>
        <w:pStyle w:val="234"/>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fldChar w:fldCharType="begin"/>
      </w:r>
      <w:r>
        <w:rPr>
          <w:rFonts w:hint="eastAsia" w:ascii="宋体" w:hAnsi="宋体" w:eastAsia="宋体" w:cs="宋体"/>
          <w:b w:val="0"/>
          <w:color w:val="000000"/>
          <w:sz w:val="24"/>
          <w:szCs w:val="24"/>
          <w:highlight w:val="none"/>
        </w:rPr>
        <w:instrText xml:space="preserve"> TOC \o "1-1" \h \z \u </w:instrText>
      </w:r>
      <w:r>
        <w:rPr>
          <w:rFonts w:hint="eastAsia" w:ascii="宋体" w:hAnsi="宋体" w:eastAsia="宋体" w:cs="宋体"/>
          <w:b w:val="0"/>
          <w:color w:val="000000"/>
          <w:sz w:val="24"/>
          <w:szCs w:val="24"/>
          <w:highlight w:val="none"/>
        </w:rPr>
        <w:fldChar w:fldCharType="separate"/>
      </w:r>
    </w:p>
    <w:p w14:paraId="41AE35D9">
      <w:pPr>
        <w:pStyle w:val="234"/>
        <w:spacing w:line="360" w:lineRule="auto"/>
        <w:rPr>
          <w:rFonts w:ascii="Times New Roman" w:hAnsi="Times New Roman"/>
          <w:b w:val="0"/>
          <w:sz w:val="21"/>
          <w:szCs w:val="22"/>
        </w:rPr>
      </w:pPr>
      <w:r>
        <w:fldChar w:fldCharType="begin"/>
      </w:r>
      <w:r>
        <w:instrText xml:space="preserve"> HYPERLINK \l "_Toc99301419" </w:instrText>
      </w:r>
      <w:r>
        <w:fldChar w:fldCharType="separate"/>
      </w:r>
      <w:r>
        <w:rPr>
          <w:rStyle w:val="259"/>
          <w:rFonts w:ascii="Times New Roman" w:hAnsi="Times New Roman"/>
        </w:rPr>
        <w:t>第一章   投标邀请</w:t>
      </w:r>
      <w:r>
        <w:rPr>
          <w:rFonts w:ascii="Times New Roman" w:hAnsi="Times New Roman"/>
        </w:rPr>
        <w:tab/>
      </w:r>
      <w:r>
        <w:rPr>
          <w:rFonts w:hint="eastAsia" w:ascii="Times New Roman" w:hAnsi="Times New Roman"/>
          <w:lang w:val="en-US" w:eastAsia="zh-CN"/>
        </w:rPr>
        <w:t>3</w:t>
      </w:r>
      <w:r>
        <w:rPr>
          <w:rFonts w:ascii="Times New Roman" w:hAnsi="Times New Roman"/>
        </w:rPr>
        <w:fldChar w:fldCharType="end"/>
      </w:r>
    </w:p>
    <w:p w14:paraId="6C40040B">
      <w:pPr>
        <w:pStyle w:val="234"/>
        <w:spacing w:line="360" w:lineRule="auto"/>
        <w:rPr>
          <w:rFonts w:ascii="Times New Roman" w:hAnsi="Times New Roman"/>
          <w:b w:val="0"/>
          <w:sz w:val="21"/>
          <w:szCs w:val="22"/>
        </w:rPr>
      </w:pPr>
      <w:r>
        <w:fldChar w:fldCharType="begin"/>
      </w:r>
      <w:r>
        <w:instrText xml:space="preserve"> HYPERLINK \l "_Toc99301420" </w:instrText>
      </w:r>
      <w:r>
        <w:fldChar w:fldCharType="separate"/>
      </w:r>
      <w:r>
        <w:rPr>
          <w:rStyle w:val="259"/>
          <w:rFonts w:ascii="Times New Roman" w:hAnsi="Times New Roman"/>
        </w:rPr>
        <w:t>第二章   投标人须知</w:t>
      </w:r>
      <w:r>
        <w:rPr>
          <w:rFonts w:ascii="Times New Roman" w:hAnsi="Times New Roman"/>
        </w:rPr>
        <w:tab/>
      </w:r>
      <w:r>
        <w:rPr>
          <w:rFonts w:hint="eastAsia" w:ascii="Times New Roman" w:hAnsi="Times New Roman"/>
          <w:lang w:val="en-US" w:eastAsia="zh-CN"/>
        </w:rPr>
        <w:t>6</w:t>
      </w:r>
      <w:r>
        <w:rPr>
          <w:rFonts w:ascii="Times New Roman" w:hAnsi="Times New Roman"/>
        </w:rPr>
        <w:fldChar w:fldCharType="end"/>
      </w:r>
    </w:p>
    <w:p w14:paraId="1C89F565">
      <w:pPr>
        <w:pStyle w:val="234"/>
        <w:spacing w:line="360" w:lineRule="auto"/>
        <w:rPr>
          <w:rFonts w:hint="eastAsia" w:ascii="Times New Roman" w:hAnsi="Times New Roman" w:eastAsia="宋体"/>
          <w:b w:val="0"/>
          <w:sz w:val="21"/>
          <w:szCs w:val="22"/>
          <w:lang w:val="en-US" w:eastAsia="zh-CN"/>
        </w:rPr>
      </w:pPr>
      <w:r>
        <w:fldChar w:fldCharType="begin"/>
      </w:r>
      <w:r>
        <w:instrText xml:space="preserve"> HYPERLINK \l "_Toc99301421" </w:instrText>
      </w:r>
      <w:r>
        <w:fldChar w:fldCharType="separate"/>
      </w:r>
      <w:r>
        <w:rPr>
          <w:rStyle w:val="259"/>
          <w:rFonts w:ascii="Times New Roman" w:hAnsi="Times New Roman"/>
        </w:rPr>
        <w:t>第三章   资</w:t>
      </w:r>
      <w:bookmarkStart w:id="2" w:name="_Hlt100754117"/>
      <w:r>
        <w:rPr>
          <w:rStyle w:val="259"/>
          <w:rFonts w:ascii="Times New Roman" w:hAnsi="Times New Roman"/>
        </w:rPr>
        <w:t>格</w:t>
      </w:r>
      <w:bookmarkEnd w:id="2"/>
      <w:r>
        <w:rPr>
          <w:rStyle w:val="259"/>
          <w:rFonts w:ascii="Times New Roman" w:hAnsi="Times New Roman"/>
        </w:rPr>
        <w:t>审查</w:t>
      </w:r>
      <w:r>
        <w:rPr>
          <w:rFonts w:ascii="Times New Roman" w:hAnsi="Times New Roman"/>
        </w:rPr>
        <w:tab/>
      </w:r>
      <w:r>
        <w:rPr>
          <w:rFonts w:hint="eastAsia" w:ascii="Times New Roman" w:hAnsi="Times New Roman"/>
          <w:lang w:val="en-US" w:eastAsia="zh-CN"/>
        </w:rPr>
        <w:t>1</w:t>
      </w:r>
      <w:r>
        <w:rPr>
          <w:rFonts w:ascii="Times New Roman" w:hAnsi="Times New Roman"/>
        </w:rPr>
        <w:fldChar w:fldCharType="end"/>
      </w:r>
      <w:r>
        <w:rPr>
          <w:rFonts w:hint="eastAsia" w:ascii="Times New Roman" w:hAnsi="Times New Roman"/>
          <w:lang w:val="en-US" w:eastAsia="zh-CN"/>
        </w:rPr>
        <w:t>3</w:t>
      </w:r>
    </w:p>
    <w:p w14:paraId="4B75D54F">
      <w:pPr>
        <w:pStyle w:val="234"/>
        <w:spacing w:line="360" w:lineRule="auto"/>
        <w:rPr>
          <w:rFonts w:ascii="Times New Roman" w:hAnsi="Times New Roman"/>
          <w:b w:val="0"/>
          <w:sz w:val="21"/>
          <w:szCs w:val="22"/>
        </w:rPr>
      </w:pPr>
      <w:r>
        <w:fldChar w:fldCharType="begin"/>
      </w:r>
      <w:r>
        <w:instrText xml:space="preserve"> HYPERLINK \l "_Toc99301423" </w:instrText>
      </w:r>
      <w:r>
        <w:fldChar w:fldCharType="separate"/>
      </w:r>
      <w:r>
        <w:rPr>
          <w:rStyle w:val="259"/>
          <w:rFonts w:ascii="Times New Roman" w:hAnsi="Times New Roman"/>
        </w:rPr>
        <w:t>第四章   评标程序、评标方法和评标标准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_Toc99301423 \h </w:instrText>
      </w:r>
      <w:r>
        <w:rPr>
          <w:rFonts w:ascii="Times New Roman" w:hAnsi="Times New Roman"/>
        </w:rPr>
        <w:fldChar w:fldCharType="separate"/>
      </w:r>
      <w:r>
        <w:rPr>
          <w:rFonts w:ascii="Times New Roman" w:hAnsi="Times New Roman"/>
        </w:rPr>
        <w:t>15</w:t>
      </w:r>
      <w:r>
        <w:rPr>
          <w:rFonts w:ascii="Times New Roman" w:hAnsi="Times New Roman"/>
        </w:rPr>
        <w:fldChar w:fldCharType="end"/>
      </w:r>
      <w:r>
        <w:rPr>
          <w:rFonts w:ascii="Times New Roman" w:hAnsi="Times New Roman"/>
        </w:rPr>
        <w:fldChar w:fldCharType="end"/>
      </w:r>
    </w:p>
    <w:p w14:paraId="2791DFA1">
      <w:pPr>
        <w:pStyle w:val="234"/>
        <w:spacing w:line="360" w:lineRule="auto"/>
        <w:rPr>
          <w:rFonts w:hint="eastAsia" w:ascii="Times New Roman" w:hAnsi="Times New Roman" w:eastAsia="宋体"/>
          <w:b w:val="0"/>
          <w:sz w:val="21"/>
          <w:szCs w:val="22"/>
          <w:lang w:val="en-US" w:eastAsia="zh-CN"/>
        </w:rPr>
      </w:pPr>
      <w:r>
        <w:fldChar w:fldCharType="begin"/>
      </w:r>
      <w:r>
        <w:instrText xml:space="preserve"> HYPERLINK \l "_Toc99301424" </w:instrText>
      </w:r>
      <w:r>
        <w:fldChar w:fldCharType="separate"/>
      </w:r>
      <w:r>
        <w:rPr>
          <w:rStyle w:val="259"/>
          <w:rFonts w:ascii="Times New Roman" w:hAnsi="Times New Roman"/>
        </w:rPr>
        <w:t>第五章   采购</w:t>
      </w:r>
      <w:bookmarkStart w:id="3" w:name="_Hlt100754103"/>
      <w:bookmarkStart w:id="4" w:name="_Hlt100754102"/>
      <w:r>
        <w:rPr>
          <w:rStyle w:val="259"/>
          <w:rFonts w:ascii="Times New Roman" w:hAnsi="Times New Roman"/>
        </w:rPr>
        <w:t>需</w:t>
      </w:r>
      <w:bookmarkEnd w:id="3"/>
      <w:bookmarkEnd w:id="4"/>
      <w:r>
        <w:rPr>
          <w:rStyle w:val="259"/>
          <w:rFonts w:ascii="Times New Roman" w:hAnsi="Times New Roman"/>
        </w:rPr>
        <w:t>求</w:t>
      </w:r>
      <w:r>
        <w:rPr>
          <w:rFonts w:ascii="Times New Roman" w:hAnsi="Times New Roman"/>
        </w:rPr>
        <w:tab/>
      </w:r>
      <w:r>
        <w:rPr>
          <w:rFonts w:hint="eastAsia" w:ascii="Times New Roman" w:hAnsi="Times New Roman"/>
          <w:lang w:val="en-US" w:eastAsia="zh-CN"/>
        </w:rPr>
        <w:t>2</w:t>
      </w:r>
      <w:r>
        <w:rPr>
          <w:rFonts w:ascii="Times New Roman" w:hAnsi="Times New Roman"/>
        </w:rPr>
        <w:fldChar w:fldCharType="end"/>
      </w:r>
      <w:r>
        <w:rPr>
          <w:rFonts w:hint="eastAsia" w:ascii="Times New Roman" w:hAnsi="Times New Roman"/>
          <w:lang w:val="en-US" w:eastAsia="zh-CN"/>
        </w:rPr>
        <w:t>3</w:t>
      </w:r>
    </w:p>
    <w:p w14:paraId="2163CA74">
      <w:pPr>
        <w:pStyle w:val="234"/>
        <w:spacing w:line="360" w:lineRule="auto"/>
        <w:rPr>
          <w:rFonts w:hint="eastAsia" w:ascii="Times New Roman" w:hAnsi="Times New Roman" w:eastAsia="宋体"/>
          <w:b w:val="0"/>
          <w:sz w:val="21"/>
          <w:szCs w:val="22"/>
          <w:lang w:val="en-US" w:eastAsia="zh-CN"/>
        </w:rPr>
      </w:pPr>
      <w:r>
        <w:fldChar w:fldCharType="begin"/>
      </w:r>
      <w:r>
        <w:instrText xml:space="preserve"> HYPERLINK \l "_Toc99301425" </w:instrText>
      </w:r>
      <w:r>
        <w:fldChar w:fldCharType="separate"/>
      </w:r>
      <w:r>
        <w:rPr>
          <w:rStyle w:val="259"/>
          <w:rFonts w:ascii="Times New Roman" w:hAnsi="Times New Roman"/>
        </w:rPr>
        <w:t>第六章   拟签订的合同文本</w:t>
      </w:r>
      <w:r>
        <w:rPr>
          <w:rFonts w:ascii="Times New Roman" w:hAnsi="Times New Roman"/>
        </w:rPr>
        <w:tab/>
      </w:r>
      <w:r>
        <w:rPr>
          <w:rFonts w:hint="eastAsia" w:ascii="Times New Roman" w:hAnsi="Times New Roman"/>
          <w:lang w:val="en-US" w:eastAsia="zh-CN"/>
        </w:rPr>
        <w:t>4</w:t>
      </w:r>
      <w:r>
        <w:rPr>
          <w:rFonts w:ascii="Times New Roman" w:hAnsi="Times New Roman"/>
        </w:rPr>
        <w:fldChar w:fldCharType="end"/>
      </w:r>
      <w:r>
        <w:rPr>
          <w:rFonts w:hint="eastAsia" w:ascii="Times New Roman" w:hAnsi="Times New Roman"/>
          <w:lang w:val="en-US" w:eastAsia="zh-CN"/>
        </w:rPr>
        <w:t>0</w:t>
      </w:r>
    </w:p>
    <w:p w14:paraId="40D4B1ED">
      <w:pPr>
        <w:pStyle w:val="234"/>
        <w:spacing w:line="360" w:lineRule="auto"/>
        <w:rPr>
          <w:rFonts w:hint="eastAsia" w:ascii="Times New Roman" w:hAnsi="Times New Roman" w:eastAsia="宋体"/>
          <w:b w:val="0"/>
          <w:sz w:val="21"/>
          <w:szCs w:val="22"/>
          <w:lang w:val="en-US" w:eastAsia="zh-CN"/>
        </w:rPr>
      </w:pPr>
      <w:r>
        <w:fldChar w:fldCharType="begin"/>
      </w:r>
      <w:r>
        <w:instrText xml:space="preserve"> HYPERLINK \l "_Toc99301426" </w:instrText>
      </w:r>
      <w:r>
        <w:fldChar w:fldCharType="separate"/>
      </w:r>
      <w:r>
        <w:rPr>
          <w:rStyle w:val="259"/>
          <w:rFonts w:ascii="Times New Roman" w:hAnsi="Times New Roman"/>
        </w:rPr>
        <w:t>第七章   投标文件格式</w:t>
      </w:r>
      <w:r>
        <w:rPr>
          <w:rFonts w:ascii="Times New Roman" w:hAnsi="Times New Roman"/>
        </w:rPr>
        <w:tab/>
      </w:r>
      <w:r>
        <w:rPr>
          <w:rFonts w:hint="eastAsia" w:ascii="Times New Roman" w:hAnsi="Times New Roman"/>
          <w:lang w:val="en-US" w:eastAsia="zh-CN"/>
        </w:rPr>
        <w:t>4</w:t>
      </w:r>
      <w:r>
        <w:rPr>
          <w:rFonts w:ascii="Times New Roman" w:hAnsi="Times New Roman"/>
        </w:rPr>
        <w:fldChar w:fldCharType="end"/>
      </w:r>
      <w:r>
        <w:rPr>
          <w:rFonts w:hint="eastAsia" w:ascii="Times New Roman" w:hAnsi="Times New Roman"/>
          <w:lang w:val="en-US" w:eastAsia="zh-CN"/>
        </w:rPr>
        <w:t>3</w:t>
      </w:r>
    </w:p>
    <w:p w14:paraId="4B932FAC">
      <w:pPr>
        <w:pStyle w:val="234"/>
        <w:spacing w:line="360" w:lineRule="auto"/>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fldChar w:fldCharType="end"/>
      </w:r>
    </w:p>
    <w:p w14:paraId="0E4108CA">
      <w:pPr>
        <w:pStyle w:val="234"/>
        <w:spacing w:line="360" w:lineRule="auto"/>
        <w:rPr>
          <w:rFonts w:hint="eastAsia" w:ascii="宋体" w:hAnsi="宋体" w:eastAsia="宋体" w:cs="宋体"/>
          <w:b w:val="0"/>
          <w:color w:val="000000"/>
          <w:sz w:val="24"/>
          <w:szCs w:val="24"/>
          <w:highlight w:val="none"/>
        </w:rPr>
      </w:pPr>
    </w:p>
    <w:p w14:paraId="45EE61AE">
      <w:pPr>
        <w:spacing w:line="360" w:lineRule="auto"/>
        <w:jc w:val="center"/>
        <w:outlineLvl w:val="0"/>
        <w:rPr>
          <w:rFonts w:hint="eastAsia" w:ascii="宋体" w:hAnsi="宋体" w:eastAsia="宋体" w:cs="宋体"/>
          <w:b/>
          <w:color w:val="000000"/>
          <w:sz w:val="24"/>
          <w:szCs w:val="24"/>
          <w:highlight w:val="none"/>
        </w:rPr>
        <w:sectPr>
          <w:footerReference r:id="rId5" w:type="first"/>
          <w:footerReference r:id="rId3" w:type="default"/>
          <w:footerReference r:id="rId4" w:type="even"/>
          <w:type w:val="nextColumn"/>
          <w:pgSz w:w="11907" w:h="16840"/>
          <w:pgMar w:top="1418" w:right="1134" w:bottom="1418" w:left="1701" w:header="851" w:footer="851" w:gutter="0"/>
          <w:pgNumType w:fmt="decimal" w:start="1"/>
          <w:cols w:space="1701" w:num="1"/>
          <w:docGrid w:linePitch="360" w:charSpace="0"/>
        </w:sectPr>
      </w:pPr>
      <w:r>
        <w:rPr>
          <w:rFonts w:hint="eastAsia" w:ascii="宋体" w:hAnsi="宋体" w:eastAsia="宋体" w:cs="宋体"/>
          <w:b/>
          <w:color w:val="000000"/>
          <w:sz w:val="24"/>
          <w:szCs w:val="24"/>
          <w:highlight w:val="none"/>
        </w:rPr>
        <w:br w:type="page" w:clear="all"/>
      </w:r>
    </w:p>
    <w:p w14:paraId="31D65FE5">
      <w:pPr>
        <w:spacing w:line="360" w:lineRule="auto"/>
        <w:jc w:val="center"/>
        <w:outlineLvl w:val="0"/>
        <w:rPr>
          <w:rFonts w:hint="eastAsia" w:ascii="宋体" w:hAnsi="宋体" w:eastAsia="宋体" w:cs="宋体"/>
          <w:b/>
          <w:color w:val="000000"/>
          <w:sz w:val="24"/>
          <w:szCs w:val="24"/>
          <w:highlight w:val="none"/>
        </w:rPr>
      </w:pPr>
      <w:bookmarkStart w:id="5" w:name="_Toc104818925"/>
      <w:r>
        <w:rPr>
          <w:rFonts w:hint="eastAsia" w:ascii="宋体" w:hAnsi="宋体" w:eastAsia="宋体" w:cs="宋体"/>
          <w:b/>
          <w:color w:val="000000"/>
          <w:sz w:val="24"/>
          <w:szCs w:val="24"/>
          <w:highlight w:val="none"/>
        </w:rPr>
        <w:t>第一章   采购邀请</w:t>
      </w:r>
      <w:bookmarkEnd w:id="5"/>
      <w:bookmarkStart w:id="6" w:name="_Toc28359079"/>
      <w:bookmarkStart w:id="7" w:name="_Toc35393621"/>
      <w:bookmarkStart w:id="8" w:name="_Toc28359002"/>
      <w:bookmarkStart w:id="9" w:name="_Toc35393790"/>
      <w:bookmarkStart w:id="10" w:name="_Hlk24379207"/>
    </w:p>
    <w:p w14:paraId="7B093A83">
      <w:pPr>
        <w:pageBreakBefore w:val="0"/>
        <w:spacing w:line="360" w:lineRule="auto"/>
        <w:rPr>
          <w:rFonts w:hint="eastAsia" w:ascii="宋体" w:hAnsi="宋体" w:eastAsia="宋体" w:cs="宋体"/>
          <w:color w:val="000000"/>
          <w:sz w:val="24"/>
          <w:szCs w:val="24"/>
          <w:highlight w:val="none"/>
        </w:rPr>
      </w:pPr>
    </w:p>
    <w:p w14:paraId="45B2ECE2">
      <w:pPr>
        <w:pStyle w:val="183"/>
        <w:pageBreakBefore w:val="0"/>
        <w:spacing w:before="0" w:line="460" w:lineRule="exact"/>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一、项目基本情况</w:t>
      </w:r>
      <w:bookmarkEnd w:id="6"/>
      <w:bookmarkEnd w:id="7"/>
      <w:bookmarkEnd w:id="8"/>
      <w:bookmarkEnd w:id="9"/>
    </w:p>
    <w:p w14:paraId="38B424A2">
      <w:pPr>
        <w:pageBreakBefore w:val="0"/>
        <w:spacing w:line="460" w:lineRule="exact"/>
        <w:ind w:firstLine="480"/>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1.项目编号：</w:t>
      </w:r>
      <w:r>
        <w:rPr>
          <w:rFonts w:hint="eastAsia" w:ascii="宋体" w:hAnsi="宋体" w:cs="宋体"/>
          <w:color w:val="000000"/>
          <w:sz w:val="24"/>
          <w:szCs w:val="24"/>
          <w:highlight w:val="none"/>
          <w:lang w:eastAsia="zh-CN"/>
        </w:rPr>
        <w:t>JSZC-320481-XYNN-G2026-0002</w:t>
      </w:r>
    </w:p>
    <w:p w14:paraId="0EE4C1BA">
      <w:pPr>
        <w:pageBreakBefore w:val="0"/>
        <w:spacing w:line="460" w:lineRule="exact"/>
        <w:ind w:firstLine="480"/>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rPr>
        <w:t>2.项目名称</w:t>
      </w:r>
      <w:r>
        <w:rPr>
          <w:rFonts w:hint="eastAsia" w:ascii="宋体" w:hAnsi="宋体" w:eastAsia="宋体" w:cs="宋体"/>
          <w:color w:val="000000"/>
          <w:sz w:val="24"/>
          <w:szCs w:val="24"/>
          <w:highlight w:val="none"/>
          <w:u w:val="none"/>
        </w:rPr>
        <w:t>：</w:t>
      </w:r>
      <w:r>
        <w:rPr>
          <w:rFonts w:hint="eastAsia" w:ascii="宋体" w:hAnsi="宋体" w:eastAsia="宋体" w:cs="宋体"/>
          <w:color w:val="000000"/>
          <w:sz w:val="24"/>
          <w:szCs w:val="24"/>
          <w:highlight w:val="none"/>
          <w:u w:val="none"/>
          <w:lang w:eastAsia="zh-CN"/>
        </w:rPr>
        <w:t>溧阳市残疾人商业补充保险</w:t>
      </w:r>
    </w:p>
    <w:bookmarkEnd w:id="10"/>
    <w:p w14:paraId="6A3B4BA9">
      <w:pPr>
        <w:pageBreakBefore w:val="0"/>
        <w:spacing w:line="460" w:lineRule="exact"/>
        <w:ind w:firstLine="480"/>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rPr>
        <w:t>.项目预算金额：</w:t>
      </w:r>
      <w:r>
        <w:rPr>
          <w:rFonts w:hint="eastAsia" w:ascii="宋体" w:hAnsi="宋体" w:eastAsia="宋体" w:cs="宋体"/>
          <w:color w:val="000000"/>
          <w:sz w:val="24"/>
          <w:szCs w:val="24"/>
          <w:highlight w:val="none"/>
          <w:lang w:val="en-US" w:eastAsia="zh-CN"/>
        </w:rPr>
        <w:t>520万元，项目最高限价：260万元/年，固定价格，投标报价不得发生偏离</w:t>
      </w:r>
      <w:r>
        <w:rPr>
          <w:rFonts w:hint="eastAsia" w:ascii="宋体" w:hAnsi="宋体" w:eastAsia="宋体" w:cs="宋体"/>
          <w:color w:val="000000"/>
          <w:sz w:val="24"/>
          <w:szCs w:val="24"/>
          <w:highlight w:val="none"/>
          <w:lang w:eastAsia="zh-CN"/>
        </w:rPr>
        <w:t>。</w:t>
      </w:r>
    </w:p>
    <w:p w14:paraId="3D2BCD05">
      <w:pPr>
        <w:pageBreakBefore w:val="0"/>
        <w:spacing w:line="460" w:lineRule="exact"/>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rPr>
        <w:t>.采购需求：残疾人意外伤害险、残疾人大病补充保险</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详见采购需求</w:t>
      </w:r>
      <w:r>
        <w:rPr>
          <w:rFonts w:hint="eastAsia" w:ascii="宋体" w:hAnsi="宋体" w:eastAsia="宋体" w:cs="宋体"/>
          <w:color w:val="000000"/>
          <w:sz w:val="24"/>
          <w:szCs w:val="24"/>
          <w:highlight w:val="none"/>
          <w:lang w:eastAsia="zh-CN"/>
        </w:rPr>
        <w:t>。</w:t>
      </w:r>
    </w:p>
    <w:p w14:paraId="29000C36">
      <w:pPr>
        <w:pageBreakBefore w:val="0"/>
        <w:spacing w:line="460" w:lineRule="exact"/>
        <w:ind w:firstLine="480"/>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5.</w:t>
      </w:r>
      <w:r>
        <w:rPr>
          <w:rFonts w:hint="eastAsia" w:ascii="宋体" w:hAnsi="宋体" w:eastAsia="宋体" w:cs="宋体"/>
          <w:color w:val="000000"/>
          <w:sz w:val="24"/>
          <w:szCs w:val="24"/>
          <w:highlight w:val="none"/>
        </w:rPr>
        <w:t>合同履行期限：</w:t>
      </w:r>
      <w:r>
        <w:rPr>
          <w:rFonts w:hint="eastAsia" w:ascii="宋体" w:hAnsi="宋体" w:eastAsia="宋体" w:cs="宋体"/>
          <w:color w:val="000000"/>
          <w:sz w:val="24"/>
          <w:szCs w:val="24"/>
          <w:highlight w:val="none"/>
          <w:lang w:val="en-US" w:eastAsia="zh-CN"/>
        </w:rPr>
        <w:t>2年。</w:t>
      </w:r>
    </w:p>
    <w:p w14:paraId="1EF75F90">
      <w:pPr>
        <w:pageBreakBefore w:val="0"/>
        <w:numPr>
          <w:ilvl w:val="0"/>
          <w:numId w:val="0"/>
        </w:numPr>
        <w:spacing w:line="46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6</w:t>
      </w:r>
      <w:r>
        <w:rPr>
          <w:rFonts w:hint="eastAsia" w:ascii="宋体" w:hAnsi="宋体" w:eastAsia="宋体" w:cs="宋体"/>
          <w:color w:val="000000"/>
          <w:sz w:val="24"/>
          <w:szCs w:val="24"/>
          <w:highlight w:val="none"/>
        </w:rPr>
        <w:t>.本项目是否接受联合体：否。</w:t>
      </w:r>
    </w:p>
    <w:p w14:paraId="01464466">
      <w:pPr>
        <w:pageBreakBefore w:val="0"/>
        <w:spacing w:line="460" w:lineRule="exact"/>
        <w:ind w:firstLine="480"/>
        <w:rPr>
          <w:rFonts w:hint="eastAsia" w:ascii="宋体" w:hAnsi="宋体" w:eastAsia="宋体" w:cs="宋体"/>
          <w:color w:val="000000"/>
          <w:sz w:val="24"/>
          <w:szCs w:val="24"/>
          <w:highlight w:val="none"/>
        </w:rPr>
      </w:pPr>
      <w:bookmarkStart w:id="11" w:name="_Toc35393791"/>
      <w:bookmarkStart w:id="12" w:name="_Toc28359003"/>
      <w:bookmarkStart w:id="13" w:name="_Toc35393622"/>
      <w:bookmarkStart w:id="14" w:name="_Toc28359080"/>
      <w:r>
        <w:rPr>
          <w:rFonts w:hint="eastAsia" w:ascii="宋体" w:hAnsi="宋体" w:eastAsia="宋体" w:cs="宋体"/>
          <w:color w:val="000000"/>
          <w:sz w:val="24"/>
          <w:szCs w:val="24"/>
          <w:highlight w:val="none"/>
          <w:lang w:val="en-US" w:eastAsia="zh-CN"/>
        </w:rPr>
        <w:t>7</w:t>
      </w:r>
      <w:r>
        <w:rPr>
          <w:rFonts w:hint="eastAsia" w:ascii="宋体" w:hAnsi="宋体" w:eastAsia="宋体" w:cs="宋体"/>
          <w:color w:val="000000"/>
          <w:sz w:val="24"/>
          <w:szCs w:val="24"/>
          <w:highlight w:val="none"/>
        </w:rPr>
        <w:t>.本项目是否接受进口产品响应：否。</w:t>
      </w:r>
    </w:p>
    <w:p w14:paraId="33175589">
      <w:pPr>
        <w:pStyle w:val="183"/>
        <w:pageBreakBefore w:val="0"/>
        <w:spacing w:before="0" w:line="460" w:lineRule="exact"/>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二、申请人的资格要求</w:t>
      </w:r>
      <w:bookmarkEnd w:id="11"/>
      <w:bookmarkEnd w:id="12"/>
      <w:bookmarkEnd w:id="13"/>
      <w:bookmarkEnd w:id="14"/>
    </w:p>
    <w:p w14:paraId="5BE809D0">
      <w:pPr>
        <w:pageBreakBefore w:val="0"/>
        <w:spacing w:line="460" w:lineRule="exact"/>
        <w:ind w:firstLine="480"/>
        <w:rPr>
          <w:rFonts w:hint="eastAsia" w:ascii="宋体" w:hAnsi="宋体" w:eastAsia="宋体" w:cs="宋体"/>
          <w:color w:val="000000"/>
          <w:sz w:val="24"/>
          <w:szCs w:val="24"/>
          <w:highlight w:val="none"/>
        </w:rPr>
      </w:pPr>
      <w:bookmarkStart w:id="15" w:name="_Toc28359081"/>
      <w:bookmarkStart w:id="16" w:name="_Toc28359004"/>
      <w:r>
        <w:rPr>
          <w:rFonts w:hint="eastAsia" w:ascii="宋体" w:hAnsi="宋体" w:eastAsia="宋体" w:cs="宋体"/>
          <w:color w:val="000000"/>
          <w:sz w:val="24"/>
          <w:szCs w:val="24"/>
          <w:highlight w:val="none"/>
        </w:rPr>
        <w:t>1.满足《中华人民共和国政府采购法》第二十二条规定以及下列情形：</w:t>
      </w:r>
    </w:p>
    <w:p w14:paraId="140CA303">
      <w:pPr>
        <w:pageBreakBefore w:val="0"/>
        <w:spacing w:line="46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1.1未被“信用中国”网站（WWW.creditchina.gov.cn）或“中国政府采购网”网站（www.ccgp.gov.cn）列入失信被执行人、重大税收违法案件当事人名单、政府采购严重失信行为记录名单；</w:t>
      </w:r>
    </w:p>
    <w:p w14:paraId="129636B2">
      <w:pPr>
        <w:pageBreakBefore w:val="0"/>
        <w:spacing w:line="46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1.2单位负责人为同一人或者存在直接控股、管理关系的不同供应商（包含法定代表人为同一个人的两个及两个以上法人，母公司、全资子公司及其控股公司），不得参加同一合同项下的政府采购活动。</w:t>
      </w:r>
    </w:p>
    <w:bookmarkEnd w:id="15"/>
    <w:bookmarkEnd w:id="16"/>
    <w:p w14:paraId="28AA41F5">
      <w:pPr>
        <w:spacing w:line="360" w:lineRule="auto"/>
        <w:ind w:firstLine="480"/>
        <w:rPr>
          <w:rFonts w:hint="eastAsia" w:eastAsia="宋体"/>
          <w:sz w:val="24"/>
          <w:lang w:eastAsia="zh-CN"/>
        </w:rPr>
      </w:pPr>
      <w:bookmarkStart w:id="17" w:name="_Toc35393623"/>
      <w:bookmarkStart w:id="18" w:name="_Toc35393792"/>
      <w:r>
        <w:rPr>
          <w:sz w:val="24"/>
        </w:rPr>
        <w:t>2.落实政府采购政策需满足的资格要求：</w:t>
      </w:r>
      <w:r>
        <w:rPr>
          <w:rFonts w:hint="eastAsia"/>
          <w:b/>
          <w:bCs/>
          <w:sz w:val="24"/>
        </w:rPr>
        <w:t>本项目</w:t>
      </w:r>
      <w:r>
        <w:rPr>
          <w:rFonts w:hint="eastAsia"/>
          <w:b/>
          <w:bCs/>
          <w:sz w:val="24"/>
          <w:lang w:val="en-US" w:eastAsia="zh-CN"/>
        </w:rPr>
        <w:t>不</w:t>
      </w:r>
      <w:r>
        <w:rPr>
          <w:rFonts w:hint="eastAsia"/>
          <w:b/>
          <w:bCs/>
          <w:sz w:val="24"/>
        </w:rPr>
        <w:t>专门面向中小企业</w:t>
      </w:r>
      <w:r>
        <w:rPr>
          <w:rFonts w:hint="eastAsia"/>
          <w:b/>
          <w:bCs/>
          <w:sz w:val="24"/>
          <w:lang w:val="en-US" w:eastAsia="zh-CN"/>
        </w:rPr>
        <w:t>预留</w:t>
      </w:r>
      <w:r>
        <w:rPr>
          <w:rFonts w:hint="eastAsia"/>
          <w:b/>
          <w:bCs/>
          <w:sz w:val="24"/>
        </w:rPr>
        <w:t>采购</w:t>
      </w:r>
      <w:r>
        <w:rPr>
          <w:rFonts w:hint="eastAsia"/>
          <w:b/>
          <w:bCs/>
          <w:sz w:val="24"/>
          <w:lang w:val="en-US" w:eastAsia="zh-CN"/>
        </w:rPr>
        <w:t>份额</w:t>
      </w:r>
      <w:r>
        <w:rPr>
          <w:rFonts w:hint="eastAsia"/>
          <w:b/>
          <w:bCs/>
          <w:sz w:val="24"/>
          <w:lang w:eastAsia="zh-CN"/>
        </w:rPr>
        <w:t>。</w:t>
      </w:r>
    </w:p>
    <w:p w14:paraId="36E2A0D4">
      <w:pPr>
        <w:spacing w:line="360" w:lineRule="auto"/>
        <w:ind w:firstLine="480"/>
        <w:rPr>
          <w:i/>
          <w:iCs/>
          <w:sz w:val="24"/>
          <w:u w:val="single"/>
        </w:rPr>
      </w:pPr>
      <w:r>
        <w:rPr>
          <w:sz w:val="24"/>
        </w:rPr>
        <w:t>3.本项目的特定资格要求：</w:t>
      </w:r>
    </w:p>
    <w:p w14:paraId="2A053160">
      <w:pPr>
        <w:tabs>
          <w:tab w:val="left" w:pos="900"/>
          <w:tab w:val="left" w:pos="1134"/>
          <w:tab w:val="left" w:pos="1589"/>
          <w:tab w:val="left" w:pos="5521"/>
        </w:tabs>
        <w:spacing w:line="360" w:lineRule="auto"/>
        <w:ind w:firstLine="480"/>
        <w:rPr>
          <w:sz w:val="24"/>
        </w:rPr>
      </w:pPr>
      <w:r>
        <w:rPr>
          <w:sz w:val="24"/>
        </w:rPr>
        <w:t>3.1本项目是否接受分支机构参与响应：</w:t>
      </w:r>
      <w:r>
        <w:rPr>
          <w:rFonts w:hint="eastAsia"/>
          <w:sz w:val="24"/>
          <w:lang w:val="en-US" w:eastAsia="zh-CN"/>
        </w:rPr>
        <w:t>是</w:t>
      </w:r>
      <w:r>
        <w:rPr>
          <w:sz w:val="24"/>
        </w:rPr>
        <w:t>；</w:t>
      </w:r>
    </w:p>
    <w:p w14:paraId="4A44F7D6">
      <w:pPr>
        <w:tabs>
          <w:tab w:val="left" w:pos="900"/>
          <w:tab w:val="left" w:pos="1134"/>
          <w:tab w:val="left" w:pos="1589"/>
          <w:tab w:val="left" w:pos="5521"/>
        </w:tabs>
        <w:spacing w:line="360" w:lineRule="auto"/>
        <w:ind w:firstLine="480"/>
        <w:rPr>
          <w:rFonts w:eastAsia="宋体"/>
          <w:sz w:val="24"/>
          <w:lang w:val="en-US" w:eastAsia="zh-CN"/>
        </w:rPr>
      </w:pPr>
      <w:r>
        <w:rPr>
          <w:sz w:val="24"/>
        </w:rPr>
        <w:t>3.2 本项目是否属于政府购买服务：</w:t>
      </w:r>
      <w:r>
        <w:rPr>
          <w:rFonts w:hint="eastAsia"/>
          <w:sz w:val="24"/>
          <w:lang w:val="en-US" w:eastAsia="zh-CN"/>
        </w:rPr>
        <w:t>否，</w:t>
      </w:r>
      <w:r>
        <w:rPr>
          <w:rFonts w:hint="eastAsia" w:ascii="宋体" w:hAnsi="宋体" w:eastAsia="宋体" w:cs="宋体"/>
          <w:color w:val="000000"/>
          <w:sz w:val="24"/>
          <w:highlight w:val="none"/>
        </w:rPr>
        <w:t>公益一类事业单位、使用事业编制且由财政拨款保障的群团组织，不得作为承接主体。</w:t>
      </w:r>
      <w:r>
        <w:rPr>
          <w:rFonts w:hint="eastAsia"/>
          <w:sz w:val="24"/>
          <w:lang w:val="en-US" w:eastAsia="zh-CN"/>
        </w:rPr>
        <w:t xml:space="preserve">  </w:t>
      </w:r>
    </w:p>
    <w:p w14:paraId="7492E87A">
      <w:pPr>
        <w:tabs>
          <w:tab w:val="left" w:pos="900"/>
          <w:tab w:val="left" w:pos="1134"/>
          <w:tab w:val="left" w:pos="1589"/>
          <w:tab w:val="left" w:pos="5521"/>
        </w:tabs>
        <w:spacing w:line="360" w:lineRule="auto"/>
        <w:ind w:firstLine="480"/>
        <w:rPr>
          <w:rFonts w:hint="eastAsia" w:eastAsia="宋体"/>
          <w:highlight w:val="none"/>
          <w:lang w:val="en-US" w:eastAsia="zh-CN"/>
        </w:rPr>
      </w:pPr>
      <w:r>
        <w:rPr>
          <w:rFonts w:ascii="Times New Roman" w:hAnsi="Times New Roman" w:eastAsia="宋体" w:cs="Times New Roman"/>
          <w:sz w:val="24"/>
          <w:highlight w:val="none"/>
        </w:rPr>
        <w:t>3.3其他特定资格要求：</w:t>
      </w:r>
      <w:r>
        <w:rPr>
          <w:rFonts w:hint="eastAsia" w:ascii="宋体" w:hAnsi="宋体" w:eastAsia="宋体" w:cs="仿宋"/>
          <w:b/>
          <w:bCs/>
          <w:color w:val="000000"/>
          <w:sz w:val="24"/>
          <w:highlight w:val="none"/>
          <w:lang w:val="en-US" w:eastAsia="zh-CN" w:bidi="ar"/>
        </w:rPr>
        <w:t>具有</w:t>
      </w:r>
      <w:r>
        <w:rPr>
          <w:rFonts w:hint="eastAsia" w:ascii="宋体" w:hAnsi="宋体" w:eastAsia="宋体" w:cs="宋体"/>
          <w:b/>
          <w:bCs/>
          <w:color w:val="000000"/>
          <w:sz w:val="24"/>
          <w:highlight w:val="none"/>
        </w:rPr>
        <w:t>国家</w:t>
      </w:r>
      <w:r>
        <w:rPr>
          <w:rFonts w:hint="eastAsia"/>
          <w:b/>
          <w:bCs/>
          <w:sz w:val="24"/>
        </w:rPr>
        <w:t>保险监督管理委员会颁发的《保险许可证》，且有该项目所有保险责任经营的相关许可</w:t>
      </w:r>
      <w:r>
        <w:rPr>
          <w:rFonts w:hint="eastAsia"/>
          <w:sz w:val="24"/>
        </w:rPr>
        <w:t>。</w:t>
      </w:r>
    </w:p>
    <w:p w14:paraId="358412FE">
      <w:pPr>
        <w:pStyle w:val="183"/>
        <w:pageBreakBefore w:val="0"/>
        <w:widowControl/>
        <w:spacing w:before="0" w:line="460" w:lineRule="exact"/>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三、获取采购文件</w:t>
      </w:r>
      <w:bookmarkEnd w:id="17"/>
      <w:bookmarkEnd w:id="18"/>
    </w:p>
    <w:p w14:paraId="6F2D813A">
      <w:pPr>
        <w:pageBreakBefore w:val="0"/>
        <w:numPr>
          <w:ilvl w:val="0"/>
          <w:numId w:val="0"/>
        </w:numPr>
        <w:spacing w:line="460" w:lineRule="exact"/>
        <w:ind w:firstLine="480"/>
        <w:rPr>
          <w:rFonts w:hint="eastAsia"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1.时间：自本公告发布之日起五个工作日 。</w:t>
      </w:r>
    </w:p>
    <w:p w14:paraId="5E593FE8">
      <w:pPr>
        <w:pageBreakBefore w:val="0"/>
        <w:numPr>
          <w:ilvl w:val="0"/>
          <w:numId w:val="0"/>
        </w:numPr>
        <w:spacing w:line="460" w:lineRule="exact"/>
        <w:ind w:firstLine="480"/>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2.方式：</w:t>
      </w:r>
      <w:bookmarkStart w:id="19" w:name="_Toc35393629"/>
      <w:bookmarkStart w:id="20" w:name="_Toc28359012"/>
      <w:bookmarkStart w:id="21" w:name="_Toc35393798"/>
      <w:bookmarkStart w:id="22" w:name="_Toc28359089"/>
      <w:r>
        <w:rPr>
          <w:rFonts w:hint="eastAsia" w:ascii="宋体" w:hAnsi="宋体" w:eastAsia="宋体" w:cs="宋体"/>
          <w:b w:val="0"/>
          <w:color w:val="000000"/>
          <w:sz w:val="24"/>
          <w:szCs w:val="24"/>
          <w:highlight w:val="none"/>
          <w:lang w:val="en-US" w:eastAsia="zh-CN" w:bidi="ar-SA"/>
        </w:rPr>
        <w:t>供应商持CA数字认证证书登录“苏采云”系统</w:t>
      </w:r>
      <w:r>
        <w:rPr>
          <w:rFonts w:ascii="宋体" w:hAnsi="宋体" w:eastAsia="宋体" w:cs="宋体"/>
          <w:color w:val="000000"/>
          <w:sz w:val="24"/>
        </w:rPr>
        <w:t>（</w:t>
      </w:r>
      <w:r>
        <w:rPr>
          <w:rFonts w:ascii="Times New Roman" w:hAnsi="Times New Roman" w:eastAsia="Times New Roman" w:cs="Times New Roman"/>
          <w:color w:val="000000"/>
          <w:sz w:val="24"/>
        </w:rPr>
        <w:t>http://jszfcg.jsczt.cn/jszc/login</w:t>
      </w:r>
      <w:r>
        <w:rPr>
          <w:rFonts w:ascii="宋体" w:hAnsi="宋体" w:eastAsia="宋体" w:cs="宋体"/>
          <w:color w:val="000000"/>
          <w:sz w:val="24"/>
        </w:rPr>
        <w:t>）</w:t>
      </w:r>
      <w:r>
        <w:rPr>
          <w:rFonts w:hint="eastAsia" w:ascii="宋体" w:hAnsi="宋体" w:eastAsia="宋体" w:cs="宋体"/>
          <w:b w:val="0"/>
          <w:color w:val="000000"/>
          <w:sz w:val="24"/>
          <w:szCs w:val="24"/>
          <w:highlight w:val="none"/>
          <w:lang w:val="en-US" w:eastAsia="zh-CN" w:bidi="ar-SA"/>
        </w:rPr>
        <w:t>获取电子版招标文件</w:t>
      </w:r>
      <w:bookmarkEnd w:id="19"/>
      <w:bookmarkEnd w:id="20"/>
      <w:bookmarkEnd w:id="21"/>
      <w:bookmarkEnd w:id="22"/>
      <w:r>
        <w:rPr>
          <w:rFonts w:hint="eastAsia" w:ascii="宋体" w:hAnsi="宋体" w:eastAsia="宋体" w:cs="宋体"/>
          <w:b w:val="0"/>
          <w:color w:val="000000"/>
          <w:sz w:val="24"/>
          <w:szCs w:val="24"/>
          <w:highlight w:val="none"/>
          <w:lang w:val="en-US" w:eastAsia="zh-CN" w:bidi="ar-SA"/>
        </w:rPr>
        <w:t>。</w:t>
      </w:r>
    </w:p>
    <w:p w14:paraId="33ACDA7D">
      <w:pPr>
        <w:pageBreakBefore w:val="0"/>
        <w:numPr>
          <w:ilvl w:val="0"/>
          <w:numId w:val="0"/>
        </w:numPr>
        <w:spacing w:line="460" w:lineRule="exact"/>
        <w:ind w:firstLine="480"/>
        <w:rPr>
          <w:rFonts w:hint="eastAsia"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3.售价：0元。</w:t>
      </w:r>
    </w:p>
    <w:p w14:paraId="722B574A">
      <w:pPr>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四、响应文件提交：</w:t>
      </w:r>
    </w:p>
    <w:p w14:paraId="54968A48">
      <w:pPr>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截止时间：</w:t>
      </w:r>
      <w:r>
        <w:rPr>
          <w:rFonts w:hint="eastAsia" w:ascii="宋体" w:hAnsi="宋体" w:eastAsia="宋体" w:cs="宋体"/>
          <w:color w:val="000000"/>
          <w:sz w:val="24"/>
          <w:szCs w:val="24"/>
          <w:highlight w:val="none"/>
          <w:lang w:val="en-US" w:eastAsia="zh-CN"/>
        </w:rPr>
        <w:t>2026年</w:t>
      </w:r>
      <w:r>
        <w:rPr>
          <w:rFonts w:hint="eastAsia" w:ascii="宋体" w:hAnsi="宋体" w:cs="宋体"/>
          <w:color w:val="000000"/>
          <w:sz w:val="24"/>
          <w:szCs w:val="24"/>
          <w:highlight w:val="none"/>
          <w:lang w:val="en-US" w:eastAsia="zh-CN"/>
        </w:rPr>
        <w:t>6</w:t>
      </w:r>
      <w:r>
        <w:rPr>
          <w:rFonts w:hint="eastAsia" w:ascii="宋体" w:hAnsi="宋体" w:eastAsia="宋体" w:cs="宋体"/>
          <w:color w:val="000000"/>
          <w:sz w:val="24"/>
          <w:szCs w:val="24"/>
          <w:highlight w:val="none"/>
          <w:lang w:val="en-US" w:eastAsia="zh-CN"/>
        </w:rPr>
        <w:t>月</w:t>
      </w:r>
      <w:r>
        <w:rPr>
          <w:rFonts w:hint="eastAsia" w:ascii="宋体" w:hAnsi="宋体" w:cs="宋体"/>
          <w:color w:val="000000"/>
          <w:sz w:val="24"/>
          <w:szCs w:val="24"/>
          <w:highlight w:val="none"/>
          <w:lang w:val="en-US" w:eastAsia="zh-CN"/>
        </w:rPr>
        <w:t>5</w:t>
      </w:r>
      <w:r>
        <w:rPr>
          <w:rFonts w:hint="eastAsia" w:ascii="宋体" w:hAnsi="宋体" w:eastAsia="宋体" w:cs="宋体"/>
          <w:color w:val="000000"/>
          <w:sz w:val="24"/>
          <w:szCs w:val="24"/>
          <w:highlight w:val="none"/>
          <w:lang w:val="en-US" w:eastAsia="zh-CN"/>
        </w:rPr>
        <w:t>日9</w:t>
      </w:r>
      <w:r>
        <w:rPr>
          <w:rFonts w:hint="eastAsia" w:ascii="宋体" w:hAnsi="宋体" w:eastAsia="宋体" w:cs="宋体"/>
          <w:color w:val="000000"/>
          <w:sz w:val="24"/>
          <w:szCs w:val="24"/>
          <w:highlight w:val="none"/>
        </w:rPr>
        <w:t>点</w:t>
      </w:r>
      <w:r>
        <w:rPr>
          <w:rFonts w:hint="eastAsia" w:ascii="宋体" w:hAnsi="宋体" w:eastAsia="宋体" w:cs="宋体"/>
          <w:color w:val="000000"/>
          <w:sz w:val="24"/>
          <w:szCs w:val="24"/>
          <w:highlight w:val="none"/>
          <w:lang w:val="en-US" w:eastAsia="zh-CN"/>
        </w:rPr>
        <w:t>00</w:t>
      </w:r>
      <w:r>
        <w:rPr>
          <w:rFonts w:hint="eastAsia" w:ascii="宋体" w:hAnsi="宋体" w:eastAsia="宋体" w:cs="宋体"/>
          <w:color w:val="000000"/>
          <w:sz w:val="24"/>
          <w:szCs w:val="24"/>
          <w:highlight w:val="none"/>
        </w:rPr>
        <w:t>分（北京时间）</w:t>
      </w:r>
    </w:p>
    <w:p w14:paraId="56039407">
      <w:pPr>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地点</w:t>
      </w:r>
      <w:r>
        <w:rPr>
          <w:rFonts w:hint="eastAsia" w:ascii="宋体" w:hAnsi="宋体" w:eastAsia="宋体" w:cs="宋体"/>
          <w:b w:val="0"/>
          <w:color w:val="000000"/>
          <w:sz w:val="24"/>
          <w:szCs w:val="24"/>
          <w:highlight w:val="none"/>
          <w:lang w:val="en-US" w:eastAsia="zh-CN" w:bidi="ar-SA"/>
        </w:rPr>
        <w:t>：本项目采用不见面交易方式，无需到现场提交，供应商登录“苏采云”系统供应商端，通过系统在线提交电子响应文件</w:t>
      </w:r>
      <w:r>
        <w:rPr>
          <w:rFonts w:hint="eastAsia" w:ascii="宋体" w:hAnsi="宋体" w:eastAsia="宋体" w:cs="宋体"/>
          <w:b w:val="0"/>
          <w:color w:val="000000"/>
          <w:sz w:val="24"/>
          <w:szCs w:val="24"/>
          <w:highlight w:val="none"/>
          <w:lang w:val="zh-TW" w:eastAsia="zh-CN" w:bidi="ar-SA"/>
        </w:rPr>
        <w:t>。</w:t>
      </w:r>
    </w:p>
    <w:p w14:paraId="4D57200D">
      <w:pPr>
        <w:pageBreakBefore w:val="0"/>
        <w:spacing w:line="4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五、开启</w:t>
      </w:r>
    </w:p>
    <w:p w14:paraId="0CE29421">
      <w:pPr>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时间：</w:t>
      </w:r>
      <w:r>
        <w:rPr>
          <w:rFonts w:hint="eastAsia" w:ascii="宋体" w:hAnsi="宋体" w:eastAsia="宋体" w:cs="宋体"/>
          <w:color w:val="000000"/>
          <w:sz w:val="24"/>
          <w:szCs w:val="24"/>
          <w:highlight w:val="none"/>
          <w:lang w:val="en-US" w:eastAsia="zh-CN"/>
        </w:rPr>
        <w:t>2026</w:t>
      </w:r>
      <w:r>
        <w:rPr>
          <w:rFonts w:hint="eastAsia" w:ascii="宋体" w:hAnsi="宋体" w:eastAsia="宋体" w:cs="宋体"/>
          <w:color w:val="000000"/>
          <w:sz w:val="24"/>
          <w:szCs w:val="24"/>
          <w:highlight w:val="none"/>
        </w:rPr>
        <w:t>年</w:t>
      </w:r>
      <w:r>
        <w:rPr>
          <w:rFonts w:hint="eastAsia" w:ascii="宋体" w:hAnsi="宋体" w:cs="宋体"/>
          <w:color w:val="000000"/>
          <w:sz w:val="24"/>
          <w:szCs w:val="24"/>
          <w:highlight w:val="none"/>
          <w:lang w:val="en-US" w:eastAsia="zh-CN"/>
        </w:rPr>
        <w:t>6</w:t>
      </w:r>
      <w:r>
        <w:rPr>
          <w:rFonts w:hint="eastAsia" w:ascii="宋体" w:hAnsi="宋体" w:eastAsia="宋体" w:cs="宋体"/>
          <w:color w:val="000000"/>
          <w:sz w:val="24"/>
          <w:szCs w:val="24"/>
          <w:highlight w:val="none"/>
          <w:lang w:val="en-US" w:eastAsia="zh-CN"/>
        </w:rPr>
        <w:t>月</w:t>
      </w:r>
      <w:r>
        <w:rPr>
          <w:rFonts w:hint="eastAsia" w:ascii="宋体" w:hAnsi="宋体" w:cs="宋体"/>
          <w:color w:val="000000"/>
          <w:sz w:val="24"/>
          <w:szCs w:val="24"/>
          <w:highlight w:val="none"/>
          <w:lang w:val="en-US" w:eastAsia="zh-CN"/>
        </w:rPr>
        <w:t>5</w:t>
      </w:r>
      <w:r>
        <w:rPr>
          <w:rFonts w:hint="eastAsia" w:ascii="宋体" w:hAnsi="宋体" w:eastAsia="宋体" w:cs="宋体"/>
          <w:color w:val="000000"/>
          <w:sz w:val="24"/>
          <w:szCs w:val="24"/>
          <w:highlight w:val="none"/>
          <w:lang w:val="en-US" w:eastAsia="zh-CN"/>
        </w:rPr>
        <w:t>日9</w:t>
      </w:r>
      <w:r>
        <w:rPr>
          <w:rFonts w:hint="eastAsia" w:ascii="宋体" w:hAnsi="宋体" w:eastAsia="宋体" w:cs="宋体"/>
          <w:color w:val="000000"/>
          <w:sz w:val="24"/>
          <w:szCs w:val="24"/>
          <w:highlight w:val="none"/>
        </w:rPr>
        <w:t>点</w:t>
      </w:r>
      <w:r>
        <w:rPr>
          <w:rFonts w:hint="eastAsia" w:ascii="宋体" w:hAnsi="宋体" w:eastAsia="宋体" w:cs="宋体"/>
          <w:color w:val="000000"/>
          <w:sz w:val="24"/>
          <w:szCs w:val="24"/>
          <w:highlight w:val="none"/>
          <w:lang w:val="en-US" w:eastAsia="zh-CN"/>
        </w:rPr>
        <w:t>00</w:t>
      </w:r>
      <w:r>
        <w:rPr>
          <w:rFonts w:hint="eastAsia" w:ascii="宋体" w:hAnsi="宋体" w:eastAsia="宋体" w:cs="宋体"/>
          <w:color w:val="000000"/>
          <w:sz w:val="24"/>
          <w:szCs w:val="24"/>
          <w:highlight w:val="none"/>
        </w:rPr>
        <w:t>分（北京时间）</w:t>
      </w:r>
    </w:p>
    <w:p w14:paraId="011D88A2">
      <w:pPr>
        <w:pageBreakBefore w:val="0"/>
        <w:spacing w:line="460" w:lineRule="exact"/>
        <w:rPr>
          <w:rFonts w:hint="eastAsia" w:ascii="宋体" w:hAnsi="宋体" w:eastAsia="宋体" w:cs="宋体"/>
          <w:bCs/>
          <w:color w:val="000000"/>
          <w:sz w:val="24"/>
          <w:szCs w:val="24"/>
          <w:highlight w:val="none"/>
          <w:u w:val="single"/>
        </w:rPr>
      </w:pPr>
      <w:r>
        <w:rPr>
          <w:rFonts w:hint="eastAsia" w:ascii="宋体" w:hAnsi="宋体" w:eastAsia="宋体" w:cs="宋体"/>
          <w:color w:val="000000"/>
          <w:sz w:val="24"/>
          <w:szCs w:val="24"/>
          <w:highlight w:val="none"/>
        </w:rPr>
        <w:t>地点：本项目采用不见面交易方式，供应商登录</w:t>
      </w:r>
      <w:r>
        <w:rPr>
          <w:rFonts w:hint="eastAsia" w:ascii="宋体" w:hAnsi="宋体" w:eastAsia="宋体" w:cs="宋体"/>
          <w:b w:val="0"/>
          <w:color w:val="000000"/>
          <w:sz w:val="24"/>
          <w:szCs w:val="24"/>
          <w:highlight w:val="none"/>
          <w:lang w:val="en-US" w:eastAsia="zh-CN" w:bidi="ar-SA"/>
        </w:rPr>
        <w:t>“苏采云”系统</w:t>
      </w:r>
      <w:r>
        <w:rPr>
          <w:rFonts w:hint="eastAsia" w:ascii="宋体" w:hAnsi="宋体" w:eastAsia="宋体" w:cs="宋体"/>
          <w:color w:val="000000"/>
          <w:sz w:val="24"/>
          <w:szCs w:val="24"/>
          <w:highlight w:val="none"/>
        </w:rPr>
        <w:t>供应商端，通过系统在线解密电子响应文件</w:t>
      </w:r>
      <w:r>
        <w:rPr>
          <w:rFonts w:hint="eastAsia" w:ascii="宋体" w:hAnsi="宋体" w:eastAsia="宋体" w:cs="宋体"/>
          <w:color w:val="000000"/>
          <w:sz w:val="24"/>
          <w:szCs w:val="24"/>
          <w:highlight w:val="none"/>
          <w:lang w:val="zh-TW"/>
        </w:rPr>
        <w:t>。</w:t>
      </w:r>
    </w:p>
    <w:p w14:paraId="18A8F4F4">
      <w:pPr>
        <w:pStyle w:val="183"/>
        <w:pageBreakBefore w:val="0"/>
        <w:spacing w:before="0" w:line="460" w:lineRule="exact"/>
        <w:jc w:val="left"/>
        <w:rPr>
          <w:rFonts w:hint="eastAsia" w:ascii="宋体" w:hAnsi="宋体" w:eastAsia="宋体" w:cs="宋体"/>
          <w:color w:val="000000"/>
          <w:sz w:val="24"/>
          <w:szCs w:val="24"/>
          <w:highlight w:val="none"/>
        </w:rPr>
      </w:pPr>
      <w:bookmarkStart w:id="23" w:name="_Toc35393625"/>
      <w:bookmarkStart w:id="24" w:name="_Toc28359007"/>
      <w:bookmarkStart w:id="25" w:name="_Toc28359084"/>
      <w:bookmarkStart w:id="26" w:name="_Toc35393794"/>
      <w:r>
        <w:rPr>
          <w:rFonts w:hint="eastAsia" w:ascii="宋体" w:hAnsi="宋体" w:eastAsia="宋体" w:cs="宋体"/>
          <w:color w:val="000000"/>
          <w:sz w:val="24"/>
          <w:szCs w:val="24"/>
          <w:highlight w:val="none"/>
        </w:rPr>
        <w:t>六、公告期限</w:t>
      </w:r>
      <w:bookmarkEnd w:id="23"/>
      <w:bookmarkEnd w:id="24"/>
      <w:bookmarkEnd w:id="25"/>
      <w:bookmarkEnd w:id="26"/>
    </w:p>
    <w:p w14:paraId="0B088F11">
      <w:pPr>
        <w:pageBreakBefore w:val="0"/>
        <w:spacing w:line="46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自本公告发布之日起</w:t>
      </w: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rPr>
        <w:t>个工作日。</w:t>
      </w:r>
    </w:p>
    <w:p w14:paraId="4FF5786C">
      <w:pPr>
        <w:pStyle w:val="183"/>
        <w:pageBreakBefore w:val="0"/>
        <w:spacing w:before="0" w:line="460" w:lineRule="exact"/>
        <w:jc w:val="left"/>
        <w:rPr>
          <w:rFonts w:hint="eastAsia" w:ascii="宋体" w:hAnsi="宋体" w:eastAsia="宋体" w:cs="宋体"/>
          <w:color w:val="000000"/>
          <w:sz w:val="24"/>
          <w:szCs w:val="24"/>
          <w:highlight w:val="none"/>
        </w:rPr>
      </w:pPr>
      <w:bookmarkStart w:id="27" w:name="_Toc35393626"/>
      <w:bookmarkStart w:id="28" w:name="_Toc35393795"/>
      <w:r>
        <w:rPr>
          <w:rFonts w:hint="eastAsia" w:ascii="宋体" w:hAnsi="宋体" w:eastAsia="宋体" w:cs="宋体"/>
          <w:color w:val="000000"/>
          <w:sz w:val="24"/>
          <w:szCs w:val="24"/>
          <w:highlight w:val="none"/>
        </w:rPr>
        <w:t>七、其他补充事宜</w:t>
      </w:r>
      <w:bookmarkEnd w:id="27"/>
      <w:bookmarkEnd w:id="28"/>
    </w:p>
    <w:p w14:paraId="77904E06">
      <w:pPr>
        <w:spacing w:line="360" w:lineRule="auto"/>
        <w:ind w:firstLine="480"/>
        <w:rPr>
          <w:color w:val="000000"/>
          <w:sz w:val="24"/>
          <w:highlight w:val="none"/>
        </w:rPr>
      </w:pPr>
      <w:bookmarkStart w:id="29" w:name="OLE_LINK5"/>
      <w:bookmarkStart w:id="30" w:name="_Toc35393627"/>
      <w:bookmarkStart w:id="31" w:name="_Toc28359085"/>
      <w:bookmarkStart w:id="32" w:name="_Toc35393796"/>
      <w:bookmarkStart w:id="33" w:name="_Toc28359008"/>
      <w:r>
        <w:rPr>
          <w:color w:val="000000"/>
          <w:sz w:val="24"/>
          <w:highlight w:val="none"/>
        </w:rPr>
        <w:t>1.本项目需要落实的政府采购政策：</w:t>
      </w:r>
      <w:r>
        <w:rPr>
          <w:rFonts w:hint="eastAsia"/>
          <w:b/>
          <w:bCs/>
          <w:color w:val="000000"/>
          <w:sz w:val="24"/>
          <w:highlight w:val="none"/>
        </w:rPr>
        <w:t>本项目</w:t>
      </w:r>
      <w:r>
        <w:rPr>
          <w:rFonts w:hint="eastAsia"/>
          <w:b/>
          <w:bCs/>
          <w:color w:val="000000"/>
          <w:sz w:val="24"/>
          <w:highlight w:val="none"/>
          <w:lang w:val="en-US" w:eastAsia="zh-CN"/>
        </w:rPr>
        <w:t>不</w:t>
      </w:r>
      <w:r>
        <w:rPr>
          <w:rFonts w:hint="eastAsia"/>
          <w:b/>
          <w:bCs/>
          <w:color w:val="000000"/>
          <w:sz w:val="24"/>
          <w:highlight w:val="none"/>
        </w:rPr>
        <w:t>专门面向中小企业采购</w:t>
      </w:r>
      <w:r>
        <w:rPr>
          <w:color w:val="000000"/>
          <w:sz w:val="24"/>
          <w:highlight w:val="none"/>
          <w:lang w:bidi="ar"/>
        </w:rPr>
        <w:t>。</w:t>
      </w:r>
    </w:p>
    <w:bookmarkEnd w:id="29"/>
    <w:p w14:paraId="41AFC9EB">
      <w:pPr>
        <w:spacing w:line="360" w:lineRule="auto"/>
        <w:ind w:firstLine="480"/>
        <w:rPr>
          <w:sz w:val="24"/>
        </w:rPr>
      </w:pPr>
      <w:r>
        <w:rPr>
          <w:sz w:val="24"/>
        </w:rPr>
        <w:t>2.本项目的采购年限为</w:t>
      </w:r>
      <w:r>
        <w:rPr>
          <w:rFonts w:hint="eastAsia" w:ascii="新宋体" w:hAnsi="新宋体" w:eastAsia="新宋体" w:cs="新宋体"/>
          <w:sz w:val="24"/>
          <w:u w:val="single"/>
          <w:lang w:val="en-US" w:eastAsia="zh-CN"/>
        </w:rPr>
        <w:t xml:space="preserve"> 2 </w:t>
      </w:r>
      <w:r>
        <w:rPr>
          <w:sz w:val="24"/>
        </w:rPr>
        <w:t>年、</w:t>
      </w:r>
      <w:r>
        <w:rPr>
          <w:rFonts w:hint="eastAsia"/>
          <w:sz w:val="24"/>
        </w:rPr>
        <w:t>预算</w:t>
      </w:r>
      <w:r>
        <w:rPr>
          <w:sz w:val="24"/>
        </w:rPr>
        <w:t>金额为</w:t>
      </w:r>
      <w:r>
        <w:rPr>
          <w:rFonts w:hint="eastAsia" w:ascii="新宋体" w:hAnsi="新宋体" w:eastAsia="新宋体" w:cs="新宋体"/>
          <w:sz w:val="24"/>
          <w:u w:val="single"/>
          <w:lang w:val="en-US" w:eastAsia="zh-CN"/>
        </w:rPr>
        <w:t>520</w:t>
      </w:r>
      <w:r>
        <w:rPr>
          <w:sz w:val="24"/>
        </w:rPr>
        <w:t>万元、当年安排数为</w:t>
      </w:r>
      <w:r>
        <w:rPr>
          <w:rFonts w:hint="eastAsia" w:ascii="新宋体" w:hAnsi="新宋体" w:eastAsia="新宋体" w:cs="新宋体"/>
          <w:sz w:val="24"/>
          <w:u w:val="single"/>
          <w:lang w:val="en-US" w:eastAsia="zh-CN"/>
        </w:rPr>
        <w:t>260</w:t>
      </w:r>
      <w:r>
        <w:rPr>
          <w:sz w:val="24"/>
        </w:rPr>
        <w:t>万元。</w:t>
      </w:r>
    </w:p>
    <w:p w14:paraId="3279ECE8">
      <w:pPr>
        <w:widowControl/>
        <w:spacing w:line="360" w:lineRule="auto"/>
        <w:ind w:firstLine="480"/>
        <w:jc w:val="left"/>
        <w:rPr>
          <w:bCs/>
          <w:sz w:val="24"/>
          <w:lang w:bidi="ar"/>
        </w:rPr>
      </w:pPr>
      <w:r>
        <w:rPr>
          <w:sz w:val="24"/>
          <w:lang w:bidi="ar"/>
        </w:rPr>
        <w:t>3.本项目采用</w:t>
      </w:r>
      <w:r>
        <w:rPr>
          <w:rFonts w:hint="eastAsia"/>
          <w:sz w:val="24"/>
          <w:lang w:bidi="ar"/>
        </w:rPr>
        <w:t>不见面交易</w:t>
      </w:r>
      <w:r>
        <w:rPr>
          <w:sz w:val="24"/>
          <w:lang w:bidi="ar"/>
        </w:rPr>
        <w:t>方式，请供应商认真学习常州市政府采购</w:t>
      </w:r>
      <w:r>
        <w:rPr>
          <w:rFonts w:hint="eastAsia"/>
          <w:sz w:val="24"/>
          <w:lang w:bidi="ar"/>
        </w:rPr>
        <w:t>网</w:t>
      </w:r>
      <w:r>
        <w:rPr>
          <w:sz w:val="24"/>
          <w:lang w:bidi="ar"/>
        </w:rPr>
        <w:t>发布的相关操作手册，办理CA认证证书、进行常州市政府采购业务管理平台注册绑定，并认真核实</w:t>
      </w:r>
      <w:r>
        <w:rPr>
          <w:bCs/>
          <w:sz w:val="24"/>
          <w:lang w:bidi="ar"/>
        </w:rPr>
        <w:t>数字认证证书情况确认是否符合本项目电子化采购流程要求。</w:t>
      </w:r>
    </w:p>
    <w:p w14:paraId="3AC6A76B">
      <w:pPr>
        <w:spacing w:line="360" w:lineRule="auto"/>
        <w:ind w:firstLine="480"/>
        <w:rPr>
          <w:sz w:val="24"/>
        </w:rPr>
      </w:pPr>
      <w:r>
        <w:rPr>
          <w:sz w:val="24"/>
          <w:lang w:bidi="ar"/>
        </w:rPr>
        <w:t xml:space="preserve">技术支持服务热线    </w:t>
      </w:r>
      <w:r>
        <w:rPr>
          <w:rFonts w:hint="eastAsia"/>
          <w:sz w:val="24"/>
          <w:lang w:bidi="ar"/>
        </w:rPr>
        <w:t>0519-85588210</w:t>
      </w:r>
    </w:p>
    <w:p w14:paraId="36EBFFC2">
      <w:pPr>
        <w:spacing w:line="360" w:lineRule="auto"/>
        <w:ind w:firstLine="480"/>
        <w:rPr>
          <w:sz w:val="24"/>
          <w:lang w:bidi="ar"/>
        </w:rPr>
      </w:pPr>
      <w:r>
        <w:rPr>
          <w:sz w:val="24"/>
          <w:lang w:bidi="ar"/>
        </w:rPr>
        <w:t>CA认证证书</w:t>
      </w:r>
      <w:r>
        <w:rPr>
          <w:rFonts w:hint="eastAsia"/>
          <w:sz w:val="24"/>
          <w:lang w:bidi="ar"/>
        </w:rPr>
        <w:t xml:space="preserve">办理（可邮寄）联系电话   </w:t>
      </w:r>
      <w:r>
        <w:rPr>
          <w:sz w:val="24"/>
          <w:lang w:bidi="ar"/>
        </w:rPr>
        <w:t>0519  85588120</w:t>
      </w:r>
    </w:p>
    <w:p w14:paraId="47A32A6F">
      <w:pPr>
        <w:widowControl/>
        <w:spacing w:line="360" w:lineRule="auto"/>
        <w:ind w:firstLine="480"/>
        <w:jc w:val="left"/>
        <w:rPr>
          <w:sz w:val="24"/>
          <w:lang w:bidi="ar"/>
        </w:rPr>
      </w:pPr>
      <w:r>
        <w:rPr>
          <w:sz w:val="24"/>
          <w:lang w:bidi="ar"/>
        </w:rPr>
        <w:t>3.1办理CA认证证书</w:t>
      </w:r>
    </w:p>
    <w:p w14:paraId="1365FE0A">
      <w:pPr>
        <w:widowControl/>
        <w:spacing w:line="360" w:lineRule="auto"/>
        <w:ind w:firstLine="480"/>
        <w:jc w:val="left"/>
        <w:rPr>
          <w:sz w:val="24"/>
        </w:rPr>
      </w:pPr>
      <w:r>
        <w:rPr>
          <w:sz w:val="24"/>
          <w:lang w:bidi="ar"/>
        </w:rPr>
        <w:t>供应商登录常州市政府采购</w:t>
      </w:r>
      <w:r>
        <w:rPr>
          <w:rFonts w:hint="eastAsia"/>
          <w:sz w:val="24"/>
          <w:lang w:bidi="ar"/>
        </w:rPr>
        <w:t>网“下载中心”下载并查阅</w:t>
      </w:r>
      <w:r>
        <w:rPr>
          <w:sz w:val="24"/>
          <w:lang w:bidi="ar"/>
        </w:rPr>
        <w:t xml:space="preserve"> “</w:t>
      </w:r>
      <w:r>
        <w:rPr>
          <w:rFonts w:hint="eastAsia" w:ascii="宋体" w:hAnsi="宋体"/>
          <w:sz w:val="24"/>
        </w:rPr>
        <w:t>常州市政府采购业务管理平台</w:t>
      </w:r>
      <w:r>
        <w:rPr>
          <w:sz w:val="24"/>
          <w:lang w:bidi="ar"/>
        </w:rPr>
        <w:t>（供应商）国信CA证书办理指南”，按照程序要求办理。</w:t>
      </w:r>
    </w:p>
    <w:p w14:paraId="46FA02DC">
      <w:pPr>
        <w:spacing w:line="360" w:lineRule="auto"/>
        <w:ind w:firstLine="480"/>
        <w:rPr>
          <w:sz w:val="24"/>
          <w:lang w:bidi="ar"/>
        </w:rPr>
      </w:pPr>
      <w:r>
        <w:rPr>
          <w:sz w:val="24"/>
          <w:lang w:bidi="ar"/>
        </w:rPr>
        <w:t>3.2注册</w:t>
      </w:r>
    </w:p>
    <w:p w14:paraId="5F5A6F0F">
      <w:pPr>
        <w:spacing w:line="360" w:lineRule="auto"/>
        <w:ind w:firstLine="480"/>
        <w:rPr>
          <w:sz w:val="24"/>
        </w:rPr>
      </w:pPr>
      <w:r>
        <w:rPr>
          <w:sz w:val="24"/>
          <w:lang w:bidi="ar"/>
        </w:rPr>
        <w:t>供应商登录常州市政府采购</w:t>
      </w:r>
      <w:r>
        <w:rPr>
          <w:rFonts w:hint="eastAsia"/>
          <w:sz w:val="24"/>
          <w:lang w:bidi="ar"/>
        </w:rPr>
        <w:t>网“下载中心”-“</w:t>
      </w:r>
      <w:r>
        <w:rPr>
          <w:rFonts w:hint="eastAsia" w:ascii="宋体" w:hAnsi="宋体"/>
          <w:sz w:val="24"/>
        </w:rPr>
        <w:t>常州市政府采购业务管理平台</w:t>
      </w:r>
      <w:r>
        <w:rPr>
          <w:sz w:val="24"/>
          <w:lang w:bidi="ar"/>
        </w:rPr>
        <w:t>供应商操作指南</w:t>
      </w:r>
      <w:r>
        <w:rPr>
          <w:rFonts w:hint="eastAsia"/>
          <w:sz w:val="24"/>
          <w:lang w:bidi="ar"/>
        </w:rPr>
        <w:t>”下载相关操作手册、操作视频等，查阅后</w:t>
      </w:r>
      <w:r>
        <w:rPr>
          <w:sz w:val="24"/>
          <w:lang w:bidi="ar"/>
        </w:rPr>
        <w:t>进行自助注册。</w:t>
      </w:r>
    </w:p>
    <w:p w14:paraId="03365264">
      <w:pPr>
        <w:widowControl/>
        <w:spacing w:line="360" w:lineRule="auto"/>
        <w:ind w:firstLine="480"/>
        <w:jc w:val="left"/>
        <w:rPr>
          <w:sz w:val="24"/>
          <w:lang w:bidi="ar"/>
        </w:rPr>
      </w:pPr>
      <w:r>
        <w:rPr>
          <w:sz w:val="24"/>
          <w:lang w:bidi="ar"/>
        </w:rPr>
        <w:t>3.3</w:t>
      </w:r>
      <w:r>
        <w:rPr>
          <w:rFonts w:hint="eastAsia"/>
          <w:sz w:val="24"/>
          <w:lang w:bidi="ar"/>
        </w:rPr>
        <w:t>控件</w:t>
      </w:r>
      <w:r>
        <w:rPr>
          <w:sz w:val="24"/>
          <w:lang w:bidi="ar"/>
        </w:rPr>
        <w:t>、客户端下载</w:t>
      </w:r>
    </w:p>
    <w:p w14:paraId="311C3376">
      <w:pPr>
        <w:widowControl/>
        <w:spacing w:line="360" w:lineRule="auto"/>
        <w:ind w:firstLine="480"/>
        <w:jc w:val="left"/>
        <w:rPr>
          <w:sz w:val="24"/>
        </w:rPr>
      </w:pPr>
      <w:r>
        <w:rPr>
          <w:sz w:val="24"/>
          <w:lang w:bidi="ar"/>
        </w:rPr>
        <w:t>供应商登录常州市政府采购</w:t>
      </w:r>
      <w:r>
        <w:rPr>
          <w:rFonts w:hint="eastAsia"/>
          <w:sz w:val="24"/>
          <w:lang w:bidi="ar"/>
        </w:rPr>
        <w:t>网“下载中心”-“</w:t>
      </w:r>
      <w:r>
        <w:rPr>
          <w:rFonts w:hint="eastAsia" w:ascii="宋体" w:hAnsi="宋体"/>
          <w:sz w:val="24"/>
        </w:rPr>
        <w:t>常州市政府采购业务管理平台</w:t>
      </w:r>
      <w:r>
        <w:rPr>
          <w:sz w:val="24"/>
          <w:lang w:bidi="ar"/>
        </w:rPr>
        <w:t>供应商客户端下载下载</w:t>
      </w:r>
      <w:r>
        <w:rPr>
          <w:rFonts w:hint="eastAsia"/>
          <w:sz w:val="24"/>
          <w:lang w:bidi="ar"/>
        </w:rPr>
        <w:t>”下载</w:t>
      </w:r>
      <w:r>
        <w:rPr>
          <w:sz w:val="24"/>
          <w:lang w:bidi="ar"/>
        </w:rPr>
        <w:t>相关</w:t>
      </w:r>
      <w:r>
        <w:rPr>
          <w:rFonts w:hint="eastAsia"/>
          <w:sz w:val="24"/>
          <w:lang w:bidi="ar"/>
        </w:rPr>
        <w:t>控件和客户端</w:t>
      </w:r>
      <w:r>
        <w:rPr>
          <w:sz w:val="24"/>
          <w:lang w:bidi="ar"/>
        </w:rPr>
        <w:t>。</w:t>
      </w:r>
    </w:p>
    <w:p w14:paraId="60766583">
      <w:pPr>
        <w:spacing w:line="360" w:lineRule="auto"/>
        <w:ind w:firstLine="480"/>
        <w:rPr>
          <w:sz w:val="24"/>
          <w:lang w:bidi="ar"/>
        </w:rPr>
      </w:pPr>
      <w:r>
        <w:rPr>
          <w:sz w:val="24"/>
          <w:lang w:bidi="ar"/>
        </w:rPr>
        <w:t>3.4 获取电子招标文件</w:t>
      </w:r>
    </w:p>
    <w:p w14:paraId="011F5726">
      <w:pPr>
        <w:spacing w:line="360" w:lineRule="auto"/>
        <w:ind w:firstLine="480"/>
        <w:rPr>
          <w:sz w:val="24"/>
          <w:lang w:bidi="ar"/>
        </w:rPr>
      </w:pPr>
      <w:r>
        <w:rPr>
          <w:sz w:val="24"/>
          <w:lang w:bidi="ar"/>
        </w:rPr>
        <w:t>供应商持CA数字认证证书登录常州市政府采购业务管理平台获取电子招标文件。未在规定期限内通过常州市政府采购业务管理平台获取招标文件的</w:t>
      </w:r>
      <w:r>
        <w:rPr>
          <w:b/>
          <w:sz w:val="24"/>
          <w:lang w:bidi="ar"/>
        </w:rPr>
        <w:t>投标无效</w:t>
      </w:r>
      <w:r>
        <w:rPr>
          <w:sz w:val="24"/>
          <w:lang w:bidi="ar"/>
        </w:rPr>
        <w:t>。</w:t>
      </w:r>
    </w:p>
    <w:p w14:paraId="6301FCC6">
      <w:pPr>
        <w:spacing w:line="360" w:lineRule="auto"/>
        <w:ind w:firstLine="480"/>
        <w:rPr>
          <w:sz w:val="24"/>
          <w:lang w:bidi="ar"/>
        </w:rPr>
      </w:pPr>
      <w:r>
        <w:rPr>
          <w:sz w:val="24"/>
          <w:lang w:bidi="ar"/>
        </w:rPr>
        <w:t>3.5编制电子投标文件</w:t>
      </w:r>
    </w:p>
    <w:p w14:paraId="28615148">
      <w:pPr>
        <w:spacing w:line="360" w:lineRule="auto"/>
        <w:ind w:firstLine="480"/>
        <w:rPr>
          <w:sz w:val="24"/>
          <w:lang w:bidi="ar"/>
        </w:rPr>
      </w:pPr>
      <w:r>
        <w:rPr>
          <w:sz w:val="24"/>
          <w:lang w:bidi="ar"/>
        </w:rPr>
        <w:t>供应商应使用电子投标</w:t>
      </w:r>
      <w:r>
        <w:rPr>
          <w:rFonts w:hint="eastAsia"/>
          <w:sz w:val="24"/>
          <w:lang w:bidi="ar"/>
        </w:rPr>
        <w:t>文件制作</w:t>
      </w:r>
      <w:r>
        <w:rPr>
          <w:sz w:val="24"/>
          <w:lang w:bidi="ar"/>
        </w:rPr>
        <w:t>客户端编制电子投标文件并进行线上投标，供应商电子投标文件需要加密并加盖电子签章</w:t>
      </w:r>
      <w:r>
        <w:rPr>
          <w:bCs/>
          <w:sz w:val="24"/>
          <w:lang w:bidi="ar"/>
        </w:rPr>
        <w:t>，如无法按照要求在电子投标文件中加盖电子签章和加密，请及时通过技术支持服务热线联系技术人员</w:t>
      </w:r>
      <w:r>
        <w:rPr>
          <w:sz w:val="24"/>
          <w:lang w:bidi="ar"/>
        </w:rPr>
        <w:t>。</w:t>
      </w:r>
    </w:p>
    <w:p w14:paraId="64747FBE">
      <w:pPr>
        <w:widowControl/>
        <w:spacing w:line="360" w:lineRule="auto"/>
        <w:ind w:firstLine="480"/>
        <w:jc w:val="left"/>
        <w:rPr>
          <w:sz w:val="24"/>
          <w:lang w:val="zh-TW" w:bidi="ar"/>
        </w:rPr>
      </w:pPr>
      <w:r>
        <w:rPr>
          <w:sz w:val="24"/>
          <w:lang w:val="zh-TW" w:eastAsia="zh-TW" w:bidi="ar"/>
        </w:rPr>
        <w:t>3.6</w:t>
      </w:r>
      <w:r>
        <w:rPr>
          <w:sz w:val="24"/>
          <w:lang w:val="zh-TW" w:bidi="ar"/>
        </w:rPr>
        <w:t>提交电子投标文件</w:t>
      </w:r>
    </w:p>
    <w:p w14:paraId="4E44C406">
      <w:pPr>
        <w:widowControl/>
        <w:spacing w:line="360" w:lineRule="auto"/>
        <w:ind w:firstLine="480"/>
        <w:jc w:val="left"/>
        <w:rPr>
          <w:sz w:val="24"/>
          <w:lang w:bidi="ar"/>
        </w:rPr>
      </w:pPr>
      <w:r>
        <w:rPr>
          <w:sz w:val="24"/>
          <w:lang w:bidi="ar"/>
        </w:rPr>
        <w:t>供应商应于投标截止时间前在常州市政府采购业务管理平台提交电子投标文件，上传电子投标文件过程中请保持与互联网的连接畅通。</w:t>
      </w:r>
    </w:p>
    <w:p w14:paraId="69019AED">
      <w:pPr>
        <w:widowControl/>
        <w:spacing w:line="360" w:lineRule="auto"/>
        <w:ind w:firstLine="480"/>
        <w:jc w:val="left"/>
        <w:rPr>
          <w:sz w:val="24"/>
          <w:lang w:eastAsia="zh-TW" w:bidi="ar"/>
        </w:rPr>
      </w:pPr>
      <w:r>
        <w:rPr>
          <w:sz w:val="24"/>
          <w:lang w:val="zh-TW" w:bidi="ar"/>
        </w:rPr>
        <w:t>3.</w:t>
      </w:r>
      <w:r>
        <w:rPr>
          <w:sz w:val="24"/>
          <w:lang w:val="zh-TW" w:eastAsia="zh-TW" w:bidi="ar"/>
        </w:rPr>
        <w:t>7</w:t>
      </w:r>
      <w:r>
        <w:rPr>
          <w:sz w:val="24"/>
          <w:lang w:val="zh-TW" w:bidi="ar"/>
        </w:rPr>
        <w:t>电子开标</w:t>
      </w:r>
    </w:p>
    <w:p w14:paraId="5C6EC45C">
      <w:pPr>
        <w:spacing w:line="360" w:lineRule="auto"/>
        <w:ind w:firstLine="480"/>
        <w:rPr>
          <w:rFonts w:hint="eastAsia"/>
          <w:sz w:val="24"/>
          <w:lang w:val="zh-TW" w:bidi="ar"/>
        </w:rPr>
      </w:pPr>
      <w:r>
        <w:rPr>
          <w:sz w:val="24"/>
          <w:lang w:val="zh-TW" w:bidi="ar"/>
        </w:rPr>
        <w:t>供应商使用</w:t>
      </w:r>
      <w:r>
        <w:rPr>
          <w:sz w:val="24"/>
          <w:lang w:bidi="ar"/>
        </w:rPr>
        <w:t>CA认证证书</w:t>
      </w:r>
      <w:r>
        <w:rPr>
          <w:sz w:val="24"/>
          <w:lang w:val="zh-TW" w:bidi="ar"/>
        </w:rPr>
        <w:t>登录</w:t>
      </w:r>
      <w:r>
        <w:rPr>
          <w:sz w:val="24"/>
          <w:lang w:bidi="ar"/>
        </w:rPr>
        <w:t>常州市政府采购业务管理平台进行电子</w:t>
      </w:r>
      <w:r>
        <w:rPr>
          <w:rFonts w:hint="eastAsia"/>
          <w:sz w:val="24"/>
          <w:lang w:bidi="ar"/>
        </w:rPr>
        <w:t>化不见面</w:t>
      </w:r>
      <w:r>
        <w:rPr>
          <w:sz w:val="24"/>
          <w:lang w:bidi="ar"/>
        </w:rPr>
        <w:t>开标</w:t>
      </w:r>
      <w:r>
        <w:rPr>
          <w:sz w:val="24"/>
          <w:lang w:val="zh-TW" w:bidi="ar"/>
        </w:rPr>
        <w:t>。</w:t>
      </w:r>
    </w:p>
    <w:p w14:paraId="0C6B87D3">
      <w:pPr>
        <w:spacing w:line="360" w:lineRule="auto"/>
        <w:ind w:firstLine="480"/>
        <w:rPr>
          <w:rFonts w:hint="eastAsia"/>
          <w:sz w:val="24"/>
          <w:lang w:val="zh-TW" w:bidi="ar"/>
        </w:rPr>
      </w:pPr>
      <w:r>
        <w:rPr>
          <w:rFonts w:hint="eastAsia"/>
          <w:sz w:val="24"/>
          <w:lang w:val="zh-TW" w:bidi="ar"/>
        </w:rPr>
        <w:t>3.8注意事项</w:t>
      </w:r>
    </w:p>
    <w:p w14:paraId="4D0DEF14">
      <w:pPr>
        <w:spacing w:line="360" w:lineRule="auto"/>
        <w:ind w:firstLine="480"/>
        <w:rPr>
          <w:sz w:val="24"/>
          <w:lang w:eastAsia="zh-TW"/>
        </w:rPr>
      </w:pPr>
      <w:r>
        <w:rPr>
          <w:sz w:val="24"/>
          <w:lang w:val="zh-TW" w:bidi="ar"/>
        </w:rPr>
        <w:t>供应商</w:t>
      </w:r>
      <w:r>
        <w:rPr>
          <w:rFonts w:hint="eastAsia"/>
          <w:sz w:val="24"/>
          <w:lang w:val="zh-TW" w:bidi="ar"/>
        </w:rPr>
        <w:t>在开标前应当</w:t>
      </w:r>
      <w:r>
        <w:rPr>
          <w:rFonts w:ascii="宋体" w:hAnsi="宋体"/>
          <w:sz w:val="24"/>
        </w:rPr>
        <w:t>使用“验证CA”功能验证本地计算机的控件环境是否正常，并且在开标</w:t>
      </w:r>
      <w:r>
        <w:rPr>
          <w:rFonts w:hint="eastAsia" w:ascii="宋体" w:hAnsi="宋体"/>
          <w:sz w:val="24"/>
        </w:rPr>
        <w:t>、评审</w:t>
      </w:r>
      <w:r>
        <w:rPr>
          <w:rFonts w:ascii="宋体" w:hAnsi="宋体"/>
          <w:sz w:val="24"/>
        </w:rPr>
        <w:t>过程中不可随意更换</w:t>
      </w:r>
      <w:r>
        <w:rPr>
          <w:rFonts w:hint="eastAsia" w:ascii="宋体" w:hAnsi="宋体"/>
          <w:sz w:val="24"/>
        </w:rPr>
        <w:t>计算机</w:t>
      </w:r>
      <w:r>
        <w:rPr>
          <w:rFonts w:ascii="宋体" w:hAnsi="宋体"/>
          <w:sz w:val="24"/>
        </w:rPr>
        <w:t>，必须使用验证成功的</w:t>
      </w:r>
      <w:r>
        <w:rPr>
          <w:rFonts w:hint="eastAsia" w:ascii="宋体" w:hAnsi="宋体"/>
          <w:sz w:val="24"/>
        </w:rPr>
        <w:t>计算机</w:t>
      </w:r>
      <w:r>
        <w:rPr>
          <w:rFonts w:ascii="宋体" w:hAnsi="宋体"/>
          <w:sz w:val="24"/>
        </w:rPr>
        <w:t>进行操作，否则造成相应后果由投标</w:t>
      </w:r>
      <w:r>
        <w:rPr>
          <w:rFonts w:hint="eastAsia" w:ascii="宋体" w:hAnsi="宋体"/>
          <w:sz w:val="24"/>
        </w:rPr>
        <w:t>人</w:t>
      </w:r>
      <w:r>
        <w:rPr>
          <w:rFonts w:ascii="宋体" w:hAnsi="宋体"/>
          <w:sz w:val="24"/>
        </w:rPr>
        <w:t>自行承担。</w:t>
      </w:r>
    </w:p>
    <w:p w14:paraId="223376E5">
      <w:pPr>
        <w:spacing w:line="360" w:lineRule="auto"/>
        <w:ind w:firstLine="480"/>
        <w:rPr>
          <w:sz w:val="24"/>
          <w:lang w:val="zh-TW" w:bidi="ar"/>
        </w:rPr>
      </w:pPr>
      <w:r>
        <w:rPr>
          <w:rFonts w:hint="eastAsia"/>
          <w:sz w:val="24"/>
          <w:lang w:val="zh-TW" w:bidi="ar"/>
        </w:rPr>
        <w:t>4.关于常州市中小企业政府采购信用融资：</w:t>
      </w:r>
    </w:p>
    <w:p w14:paraId="35C80D43">
      <w:pPr>
        <w:spacing w:line="360" w:lineRule="auto"/>
        <w:ind w:firstLine="480"/>
        <w:rPr>
          <w:sz w:val="24"/>
          <w:lang w:val="zh-TW" w:bidi="ar"/>
        </w:rPr>
      </w:pPr>
      <w:r>
        <w:rPr>
          <w:rFonts w:hint="eastAsia"/>
          <w:sz w:val="24"/>
          <w:lang w:val="zh-TW" w:bidi="ar"/>
        </w:rPr>
        <w:t>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p>
    <w:p w14:paraId="738448C6">
      <w:pPr>
        <w:pStyle w:val="183"/>
        <w:pageBreakBefore w:val="0"/>
        <w:spacing w:before="0" w:line="460" w:lineRule="exact"/>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八、对本项目提出询问，请按以下方式联系。</w:t>
      </w:r>
      <w:bookmarkEnd w:id="30"/>
      <w:bookmarkEnd w:id="31"/>
      <w:bookmarkEnd w:id="32"/>
      <w:bookmarkEnd w:id="33"/>
    </w:p>
    <w:p w14:paraId="1F9CA954">
      <w:pPr>
        <w:keepNext w:val="0"/>
        <w:keepLines w:val="0"/>
        <w:pageBreakBefore w:val="0"/>
        <w:widowControl w:val="0"/>
        <w:spacing w:line="460" w:lineRule="exact"/>
        <w:ind w:left="6" w:right="40" w:firstLine="482"/>
        <w:rPr>
          <w:rFonts w:hint="eastAsia" w:ascii="宋体" w:hAnsi="宋体" w:eastAsia="宋体" w:cs="宋体"/>
          <w:color w:val="000000"/>
          <w:spacing w:val="9"/>
          <w:sz w:val="24"/>
          <w:szCs w:val="24"/>
          <w:highlight w:val="none"/>
        </w:rPr>
      </w:pPr>
      <w:r>
        <w:rPr>
          <w:rFonts w:hint="eastAsia" w:ascii="宋体" w:hAnsi="宋体" w:eastAsia="宋体" w:cs="宋体"/>
          <w:color w:val="000000"/>
          <w:spacing w:val="9"/>
          <w:sz w:val="24"/>
          <w:szCs w:val="24"/>
          <w:highlight w:val="none"/>
        </w:rPr>
        <w:t xml:space="preserve">1．采购人信息 </w:t>
      </w:r>
    </w:p>
    <w:p w14:paraId="3216D1B2">
      <w:pPr>
        <w:keepNext w:val="0"/>
        <w:keepLines w:val="0"/>
        <w:pageBreakBefore w:val="0"/>
        <w:widowControl w:val="0"/>
        <w:spacing w:line="460" w:lineRule="exact"/>
        <w:ind w:left="6" w:right="40" w:firstLine="482"/>
        <w:rPr>
          <w:rFonts w:hint="eastAsia" w:ascii="宋体" w:hAnsi="宋体" w:eastAsia="宋体" w:cs="宋体"/>
          <w:color w:val="000000"/>
          <w:spacing w:val="9"/>
          <w:sz w:val="24"/>
          <w:szCs w:val="24"/>
          <w:highlight w:val="none"/>
          <w:lang w:eastAsia="zh-CN"/>
        </w:rPr>
      </w:pPr>
      <w:r>
        <w:rPr>
          <w:rFonts w:hint="eastAsia" w:ascii="宋体" w:hAnsi="宋体" w:eastAsia="宋体" w:cs="宋体"/>
          <w:color w:val="000000"/>
          <w:spacing w:val="9"/>
          <w:sz w:val="24"/>
          <w:szCs w:val="24"/>
          <w:highlight w:val="none"/>
        </w:rPr>
        <w:t>名称：</w:t>
      </w:r>
      <w:r>
        <w:rPr>
          <w:rFonts w:hint="eastAsia" w:ascii="宋体" w:hAnsi="宋体" w:eastAsia="宋体" w:cs="宋体"/>
          <w:color w:val="000000"/>
          <w:spacing w:val="9"/>
          <w:sz w:val="24"/>
          <w:szCs w:val="24"/>
          <w:highlight w:val="none"/>
          <w:lang w:eastAsia="zh-CN"/>
        </w:rPr>
        <w:t>溧阳市残疾人联合会（本级）</w:t>
      </w:r>
    </w:p>
    <w:p w14:paraId="516FCB60">
      <w:pPr>
        <w:keepNext w:val="0"/>
        <w:keepLines w:val="0"/>
        <w:pageBreakBefore w:val="0"/>
        <w:widowControl w:val="0"/>
        <w:spacing w:line="460" w:lineRule="exact"/>
        <w:ind w:left="6" w:right="40" w:firstLine="482"/>
        <w:rPr>
          <w:rFonts w:ascii="宋体" w:hAnsi="宋体" w:eastAsia="宋体" w:cs="宋体"/>
          <w:color w:val="000000"/>
          <w:spacing w:val="9"/>
          <w:sz w:val="24"/>
          <w:szCs w:val="24"/>
          <w:highlight w:val="none"/>
          <w:lang w:val="en-US" w:eastAsia="zh-CN"/>
        </w:rPr>
      </w:pPr>
      <w:r>
        <w:rPr>
          <w:rFonts w:hint="eastAsia" w:ascii="宋体" w:hAnsi="宋体" w:eastAsia="宋体" w:cs="宋体"/>
          <w:color w:val="000000"/>
          <w:spacing w:val="9"/>
          <w:sz w:val="24"/>
          <w:szCs w:val="24"/>
          <w:highlight w:val="none"/>
        </w:rPr>
        <w:t>地址：江苏省常州市溧阳市</w:t>
      </w:r>
      <w:r>
        <w:rPr>
          <w:rFonts w:hint="eastAsia" w:ascii="宋体" w:hAnsi="宋体" w:eastAsia="宋体" w:cs="宋体"/>
          <w:color w:val="000000"/>
          <w:spacing w:val="9"/>
          <w:sz w:val="24"/>
          <w:szCs w:val="24"/>
          <w:highlight w:val="none"/>
          <w:lang w:val="en-US" w:eastAsia="zh-CN"/>
        </w:rPr>
        <w:t>南大街137</w:t>
      </w:r>
      <w:r>
        <w:rPr>
          <w:rFonts w:hint="eastAsia" w:ascii="宋体" w:hAnsi="宋体" w:eastAsia="宋体" w:cs="宋体"/>
          <w:color w:val="000000"/>
          <w:spacing w:val="9"/>
          <w:sz w:val="24"/>
          <w:szCs w:val="24"/>
          <w:highlight w:val="none"/>
        </w:rPr>
        <w:t>号</w:t>
      </w:r>
    </w:p>
    <w:p w14:paraId="577D67CA">
      <w:pPr>
        <w:keepNext w:val="0"/>
        <w:keepLines w:val="0"/>
        <w:pageBreakBefore w:val="0"/>
        <w:widowControl w:val="0"/>
        <w:spacing w:line="460" w:lineRule="exact"/>
        <w:ind w:left="6" w:right="40" w:firstLine="482"/>
        <w:rPr>
          <w:rFonts w:ascii="宋体" w:hAnsi="宋体" w:eastAsia="宋体" w:cs="宋体"/>
          <w:color w:val="000000"/>
          <w:spacing w:val="9"/>
          <w:sz w:val="24"/>
          <w:szCs w:val="24"/>
          <w:highlight w:val="green"/>
          <w:lang w:val="en-US" w:eastAsia="zh-CN"/>
        </w:rPr>
      </w:pPr>
      <w:r>
        <w:rPr>
          <w:rFonts w:hint="eastAsia" w:ascii="宋体" w:hAnsi="宋体" w:eastAsia="宋体" w:cs="宋体"/>
          <w:color w:val="000000"/>
          <w:spacing w:val="9"/>
          <w:sz w:val="24"/>
          <w:szCs w:val="24"/>
          <w:highlight w:val="none"/>
        </w:rPr>
        <w:t>联系方式：</w:t>
      </w:r>
      <w:r>
        <w:rPr>
          <w:rFonts w:hint="eastAsia" w:ascii="宋体" w:hAnsi="宋体" w:eastAsia="宋体" w:cs="宋体"/>
          <w:color w:val="000000"/>
          <w:spacing w:val="9"/>
          <w:sz w:val="24"/>
          <w:szCs w:val="24"/>
          <w:highlight w:val="none"/>
          <w:lang w:val="en-US" w:eastAsia="zh-CN"/>
        </w:rPr>
        <w:t>强先生  051987289198</w:t>
      </w:r>
    </w:p>
    <w:p w14:paraId="3B77E7A5">
      <w:pPr>
        <w:keepNext w:val="0"/>
        <w:keepLines w:val="0"/>
        <w:pageBreakBefore w:val="0"/>
        <w:widowControl w:val="0"/>
        <w:spacing w:line="460" w:lineRule="exact"/>
        <w:ind w:left="6" w:right="40" w:firstLine="482"/>
        <w:rPr>
          <w:rFonts w:hint="eastAsia" w:ascii="宋体" w:hAnsi="宋体" w:eastAsia="宋体" w:cs="宋体"/>
          <w:color w:val="000000"/>
          <w:spacing w:val="9"/>
          <w:sz w:val="24"/>
          <w:szCs w:val="24"/>
          <w:highlight w:val="none"/>
        </w:rPr>
      </w:pPr>
      <w:r>
        <w:rPr>
          <w:rFonts w:hint="eastAsia" w:ascii="宋体" w:hAnsi="宋体" w:eastAsia="宋体" w:cs="宋体"/>
          <w:color w:val="000000"/>
          <w:spacing w:val="9"/>
          <w:sz w:val="24"/>
          <w:szCs w:val="24"/>
          <w:highlight w:val="none"/>
        </w:rPr>
        <w:t>2．采购</w:t>
      </w:r>
      <w:r>
        <w:rPr>
          <w:rFonts w:hint="eastAsia" w:ascii="宋体" w:hAnsi="宋体" w:eastAsia="宋体" w:cs="宋体"/>
          <w:color w:val="000000"/>
          <w:spacing w:val="9"/>
          <w:sz w:val="24"/>
          <w:szCs w:val="24"/>
          <w:highlight w:val="none"/>
          <w:lang w:eastAsia="zh-CN"/>
        </w:rPr>
        <w:t>代理</w:t>
      </w:r>
      <w:r>
        <w:rPr>
          <w:rFonts w:hint="eastAsia" w:ascii="宋体" w:hAnsi="宋体" w:eastAsia="宋体" w:cs="宋体"/>
          <w:color w:val="000000"/>
          <w:spacing w:val="9"/>
          <w:sz w:val="24"/>
          <w:szCs w:val="24"/>
          <w:highlight w:val="none"/>
        </w:rPr>
        <w:t xml:space="preserve">机构信息 </w:t>
      </w:r>
    </w:p>
    <w:p w14:paraId="5728FC0B">
      <w:pPr>
        <w:keepNext w:val="0"/>
        <w:keepLines w:val="0"/>
        <w:pageBreakBefore w:val="0"/>
        <w:widowControl w:val="0"/>
        <w:spacing w:line="460" w:lineRule="exact"/>
        <w:ind w:left="6" w:right="40" w:firstLine="482"/>
        <w:rPr>
          <w:rFonts w:hint="eastAsia" w:ascii="宋体" w:hAnsi="宋体" w:eastAsia="宋体" w:cs="宋体"/>
          <w:color w:val="000000"/>
          <w:spacing w:val="9"/>
          <w:sz w:val="24"/>
          <w:szCs w:val="24"/>
          <w:highlight w:val="none"/>
        </w:rPr>
      </w:pPr>
      <w:r>
        <w:rPr>
          <w:rFonts w:hint="eastAsia" w:ascii="宋体" w:hAnsi="宋体" w:eastAsia="宋体" w:cs="宋体"/>
          <w:color w:val="000000"/>
          <w:spacing w:val="9"/>
          <w:sz w:val="24"/>
          <w:szCs w:val="24"/>
          <w:highlight w:val="none"/>
        </w:rPr>
        <w:t>名 称：</w:t>
      </w:r>
      <w:r>
        <w:rPr>
          <w:rFonts w:hint="eastAsia" w:ascii="宋体" w:hAnsi="宋体" w:eastAsia="宋体" w:cs="宋体"/>
          <w:color w:val="000000"/>
          <w:spacing w:val="9"/>
          <w:sz w:val="24"/>
          <w:szCs w:val="24"/>
          <w:highlight w:val="none"/>
          <w:lang w:eastAsia="zh-CN"/>
        </w:rPr>
        <w:t>江苏鑫轶工程咨询有限公司</w:t>
      </w:r>
      <w:r>
        <w:rPr>
          <w:rFonts w:hint="eastAsia" w:ascii="宋体" w:hAnsi="宋体" w:eastAsia="宋体" w:cs="宋体"/>
          <w:color w:val="000000"/>
          <w:spacing w:val="9"/>
          <w:sz w:val="24"/>
          <w:szCs w:val="24"/>
          <w:highlight w:val="none"/>
        </w:rPr>
        <w:t xml:space="preserve">   </w:t>
      </w:r>
    </w:p>
    <w:p w14:paraId="0733CFDD">
      <w:pPr>
        <w:keepNext w:val="0"/>
        <w:keepLines w:val="0"/>
        <w:pageBreakBefore w:val="0"/>
        <w:widowControl w:val="0"/>
        <w:spacing w:line="460" w:lineRule="exact"/>
        <w:ind w:left="6" w:right="40" w:firstLine="482"/>
        <w:rPr>
          <w:rFonts w:hint="eastAsia" w:ascii="宋体" w:hAnsi="宋体" w:eastAsia="宋体" w:cs="宋体"/>
          <w:color w:val="000000"/>
          <w:spacing w:val="9"/>
          <w:sz w:val="24"/>
          <w:szCs w:val="24"/>
          <w:highlight w:val="none"/>
        </w:rPr>
      </w:pPr>
      <w:r>
        <w:rPr>
          <w:rFonts w:hint="eastAsia" w:ascii="宋体" w:hAnsi="宋体" w:eastAsia="宋体" w:cs="宋体"/>
          <w:color w:val="000000"/>
          <w:spacing w:val="9"/>
          <w:sz w:val="24"/>
          <w:szCs w:val="24"/>
          <w:highlight w:val="none"/>
        </w:rPr>
        <w:t>地 址：</w:t>
      </w:r>
      <w:bookmarkStart w:id="34" w:name="OLE_LINK2"/>
      <w:r>
        <w:rPr>
          <w:rFonts w:hint="eastAsia" w:ascii="宋体" w:hAnsi="宋体" w:eastAsia="宋体" w:cs="宋体"/>
          <w:color w:val="000000"/>
          <w:spacing w:val="9"/>
          <w:sz w:val="24"/>
          <w:szCs w:val="24"/>
          <w:highlight w:val="none"/>
          <w:lang w:eastAsia="zh-CN"/>
        </w:rPr>
        <w:t>溧阳市</w:t>
      </w:r>
      <w:bookmarkEnd w:id="34"/>
      <w:r>
        <w:rPr>
          <w:rFonts w:hint="eastAsia" w:ascii="宋体" w:hAnsi="宋体" w:eastAsia="宋体" w:cs="宋体"/>
          <w:color w:val="000000"/>
          <w:spacing w:val="9"/>
          <w:sz w:val="24"/>
          <w:szCs w:val="24"/>
          <w:highlight w:val="none"/>
          <w:lang w:val="en-US" w:eastAsia="zh-CN"/>
        </w:rPr>
        <w:t>昆仑南路281号</w:t>
      </w:r>
      <w:r>
        <w:rPr>
          <w:rFonts w:hint="eastAsia" w:ascii="宋体" w:hAnsi="宋体" w:eastAsia="宋体" w:cs="宋体"/>
          <w:color w:val="000000"/>
          <w:spacing w:val="9"/>
          <w:sz w:val="24"/>
          <w:szCs w:val="24"/>
          <w:highlight w:val="none"/>
        </w:rPr>
        <w:t xml:space="preserve">     </w:t>
      </w:r>
    </w:p>
    <w:p w14:paraId="5FCE817F">
      <w:pPr>
        <w:keepNext w:val="0"/>
        <w:keepLines w:val="0"/>
        <w:pageBreakBefore w:val="0"/>
        <w:widowControl w:val="0"/>
        <w:spacing w:line="460" w:lineRule="exact"/>
        <w:ind w:left="6" w:right="40" w:firstLine="482"/>
        <w:rPr>
          <w:rFonts w:hint="eastAsia" w:ascii="宋体" w:hAnsi="宋体" w:eastAsia="宋体" w:cs="宋体"/>
          <w:color w:val="000000"/>
          <w:spacing w:val="9"/>
          <w:sz w:val="24"/>
          <w:szCs w:val="24"/>
          <w:highlight w:val="none"/>
        </w:rPr>
      </w:pPr>
      <w:r>
        <w:rPr>
          <w:rFonts w:hint="eastAsia" w:ascii="宋体" w:hAnsi="宋体" w:eastAsia="宋体" w:cs="宋体"/>
          <w:color w:val="000000"/>
          <w:spacing w:val="9"/>
          <w:sz w:val="24"/>
          <w:szCs w:val="24"/>
          <w:highlight w:val="none"/>
          <w:lang w:val="en-US" w:eastAsia="zh-CN"/>
        </w:rPr>
        <w:t>3.</w:t>
      </w:r>
      <w:r>
        <w:rPr>
          <w:rFonts w:hint="eastAsia" w:ascii="宋体" w:hAnsi="宋体" w:eastAsia="宋体" w:cs="宋体"/>
          <w:color w:val="000000"/>
          <w:spacing w:val="9"/>
          <w:sz w:val="24"/>
          <w:szCs w:val="24"/>
          <w:highlight w:val="none"/>
        </w:rPr>
        <w:t xml:space="preserve">项目联系方式： 　 </w:t>
      </w:r>
    </w:p>
    <w:p w14:paraId="5E920C08">
      <w:pPr>
        <w:keepNext w:val="0"/>
        <w:keepLines w:val="0"/>
        <w:pageBreakBefore w:val="0"/>
        <w:widowControl w:val="0"/>
        <w:spacing w:line="460" w:lineRule="exact"/>
        <w:ind w:left="6" w:right="40" w:firstLine="482"/>
        <w:rPr>
          <w:rFonts w:hint="eastAsia" w:ascii="宋体" w:hAnsi="宋体" w:eastAsia="宋体" w:cs="宋体"/>
          <w:color w:val="000000"/>
          <w:spacing w:val="9"/>
          <w:sz w:val="24"/>
          <w:szCs w:val="24"/>
          <w:highlight w:val="none"/>
          <w:lang w:val="en-US" w:eastAsia="zh-CN"/>
        </w:rPr>
      </w:pPr>
      <w:r>
        <w:rPr>
          <w:rFonts w:hint="eastAsia" w:ascii="宋体" w:hAnsi="宋体" w:eastAsia="宋体" w:cs="宋体"/>
          <w:color w:val="000000"/>
          <w:spacing w:val="9"/>
          <w:sz w:val="24"/>
          <w:szCs w:val="24"/>
          <w:highlight w:val="none"/>
        </w:rPr>
        <w:t>项目经办人及电话：</w:t>
      </w:r>
      <w:r>
        <w:rPr>
          <w:rFonts w:hint="eastAsia" w:ascii="宋体" w:hAnsi="宋体" w:eastAsia="宋体" w:cs="宋体"/>
          <w:color w:val="000000"/>
          <w:spacing w:val="9"/>
          <w:sz w:val="24"/>
          <w:szCs w:val="24"/>
          <w:highlight w:val="none"/>
          <w:lang w:val="en-US" w:eastAsia="zh-CN"/>
        </w:rPr>
        <w:t>蒋</w:t>
      </w:r>
      <w:r>
        <w:rPr>
          <w:rFonts w:hint="eastAsia" w:ascii="宋体" w:hAnsi="宋体" w:eastAsia="宋体" w:cs="宋体"/>
          <w:color w:val="000000"/>
          <w:spacing w:val="9"/>
          <w:sz w:val="24"/>
          <w:szCs w:val="24"/>
          <w:highlight w:val="none"/>
        </w:rPr>
        <w:t>女士</w:t>
      </w:r>
      <w:r>
        <w:rPr>
          <w:rFonts w:hint="eastAsia" w:ascii="宋体" w:hAnsi="宋体" w:eastAsia="宋体" w:cs="宋体"/>
          <w:color w:val="000000"/>
          <w:spacing w:val="9"/>
          <w:sz w:val="24"/>
          <w:szCs w:val="24"/>
          <w:highlight w:val="none"/>
          <w:lang w:val="en-US" w:eastAsia="zh-CN"/>
        </w:rPr>
        <w:t xml:space="preserve"> </w:t>
      </w:r>
      <w:r>
        <w:rPr>
          <w:rFonts w:hint="eastAsia" w:ascii="宋体" w:hAnsi="宋体" w:eastAsia="宋体" w:cs="宋体"/>
          <w:color w:val="000000"/>
          <w:spacing w:val="9"/>
          <w:sz w:val="24"/>
          <w:szCs w:val="24"/>
          <w:highlight w:val="none"/>
        </w:rPr>
        <w:t xml:space="preserve"> </w:t>
      </w:r>
      <w:r>
        <w:rPr>
          <w:rFonts w:hint="eastAsia" w:ascii="宋体" w:hAnsi="宋体" w:eastAsia="宋体" w:cs="宋体"/>
          <w:color w:val="000000"/>
          <w:spacing w:val="9"/>
          <w:sz w:val="24"/>
          <w:szCs w:val="24"/>
          <w:highlight w:val="none"/>
          <w:lang w:val="en-US" w:eastAsia="zh-CN"/>
        </w:rPr>
        <w:t>0519-80990060</w:t>
      </w:r>
    </w:p>
    <w:p w14:paraId="37820B65">
      <w:pPr>
        <w:spacing w:line="360" w:lineRule="auto"/>
        <w:jc w:val="center"/>
        <w:outlineLvl w:val="0"/>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br w:type="page" w:clear="all"/>
      </w:r>
      <w:bookmarkStart w:id="35" w:name="_Toc305158928"/>
      <w:bookmarkStart w:id="36" w:name="_Toc226965856"/>
      <w:bookmarkStart w:id="37" w:name="_Toc353825548"/>
      <w:bookmarkStart w:id="38" w:name="_Toc127151777"/>
      <w:bookmarkStart w:id="39" w:name="_Toc305158854"/>
      <w:bookmarkStart w:id="40" w:name="_Toc353873938"/>
      <w:bookmarkStart w:id="41" w:name="_Toc150774783"/>
      <w:bookmarkStart w:id="42" w:name="_Toc127161488"/>
      <w:bookmarkStart w:id="43" w:name="_Toc264969275"/>
      <w:bookmarkStart w:id="44" w:name="_Toc265228423"/>
      <w:bookmarkStart w:id="45" w:name="_Toc195842950"/>
      <w:bookmarkStart w:id="46" w:name="_Toc512937850"/>
      <w:bookmarkStart w:id="47" w:name="_Toc104818926"/>
      <w:r>
        <w:rPr>
          <w:rFonts w:hint="eastAsia" w:ascii="宋体" w:hAnsi="宋体" w:eastAsia="宋体" w:cs="宋体"/>
          <w:b/>
          <w:color w:val="000000"/>
          <w:sz w:val="24"/>
          <w:szCs w:val="24"/>
          <w:highlight w:val="none"/>
        </w:rPr>
        <w:t>第二章   供应商须知</w:t>
      </w:r>
      <w:bookmarkEnd w:id="35"/>
      <w:bookmarkEnd w:id="36"/>
      <w:bookmarkEnd w:id="37"/>
      <w:bookmarkEnd w:id="38"/>
      <w:bookmarkEnd w:id="39"/>
      <w:bookmarkEnd w:id="40"/>
      <w:bookmarkEnd w:id="41"/>
      <w:bookmarkEnd w:id="42"/>
      <w:bookmarkEnd w:id="43"/>
      <w:bookmarkEnd w:id="44"/>
      <w:bookmarkEnd w:id="45"/>
      <w:bookmarkEnd w:id="46"/>
      <w:bookmarkEnd w:id="47"/>
    </w:p>
    <w:p w14:paraId="6A8A43A6">
      <w:pPr>
        <w:pStyle w:val="183"/>
        <w:tabs>
          <w:tab w:val="center" w:pos="4592"/>
          <w:tab w:val="left" w:pos="7860"/>
        </w:tabs>
        <w:spacing w:before="0" w:line="360" w:lineRule="auto"/>
        <w:rPr>
          <w:rFonts w:hint="eastAsia" w:ascii="宋体" w:hAnsi="宋体" w:eastAsia="宋体" w:cs="宋体"/>
          <w:b w:val="0"/>
          <w:color w:val="000000"/>
          <w:sz w:val="24"/>
          <w:szCs w:val="24"/>
          <w:highlight w:val="none"/>
        </w:rPr>
      </w:pPr>
      <w:bookmarkStart w:id="48" w:name="_Toc226965792"/>
      <w:bookmarkStart w:id="49" w:name="_Toc226309763"/>
      <w:bookmarkStart w:id="50" w:name="_Toc151193833"/>
      <w:bookmarkStart w:id="51" w:name="_Toc150480757"/>
      <w:bookmarkStart w:id="52" w:name="_Toc149720812"/>
      <w:bookmarkStart w:id="53" w:name="_Toc127151720"/>
      <w:bookmarkStart w:id="54" w:name="_Toc164351613"/>
      <w:bookmarkStart w:id="55" w:name="_Toc151193689"/>
      <w:bookmarkStart w:id="56" w:name="_Toc127161433"/>
      <w:bookmarkStart w:id="57" w:name="_Toc150774619"/>
      <w:bookmarkStart w:id="58" w:name="_Toc520356144"/>
      <w:bookmarkStart w:id="59" w:name="_Toc142311021"/>
      <w:bookmarkStart w:id="60" w:name="_Toc164608788"/>
      <w:bookmarkStart w:id="61" w:name="_Toc226337215"/>
      <w:bookmarkStart w:id="62" w:name="_Toc226965709"/>
      <w:bookmarkStart w:id="63" w:name="_Toc195842884"/>
      <w:bookmarkStart w:id="64" w:name="_Toc150774724"/>
      <w:bookmarkStart w:id="65" w:name="_Toc164608633"/>
      <w:bookmarkStart w:id="66" w:name="_Toc151190146"/>
      <w:bookmarkStart w:id="67" w:name="_Toc150509270"/>
      <w:bookmarkStart w:id="68" w:name="_Toc164229360"/>
      <w:bookmarkStart w:id="69" w:name="_Toc164229214"/>
      <w:bookmarkStart w:id="70" w:name="_Toc151193617"/>
      <w:bookmarkStart w:id="71" w:name="_Toc127151519"/>
      <w:bookmarkStart w:id="72" w:name="_Toc151193761"/>
      <w:bookmarkStart w:id="73" w:name="_Toc151193907"/>
      <w:r>
        <w:rPr>
          <w:rFonts w:hint="eastAsia" w:ascii="宋体" w:hAnsi="宋体" w:eastAsia="宋体" w:cs="宋体"/>
          <w:color w:val="000000"/>
          <w:sz w:val="24"/>
          <w:szCs w:val="24"/>
          <w:highlight w:val="none"/>
        </w:rPr>
        <w:t>供应商须知资料表</w:t>
      </w:r>
    </w:p>
    <w:p w14:paraId="51F1ECE7">
      <w:pPr>
        <w:jc w:val="center"/>
        <w:rPr>
          <w:rFonts w:hint="eastAsia" w:ascii="宋体" w:hAnsi="宋体" w:eastAsia="宋体" w:cs="宋体"/>
          <w:b/>
          <w:color w:val="000000"/>
          <w:sz w:val="24"/>
          <w:szCs w:val="24"/>
          <w:highlight w:val="none"/>
        </w:rPr>
      </w:pPr>
    </w:p>
    <w:p w14:paraId="7B4184D6">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本表是对供应商须知的具体补充和修改，如有矛盾，均以本资料表为准。</w:t>
      </w:r>
      <w:r>
        <w:rPr>
          <w:color w:val="000000"/>
          <w:sz w:val="24"/>
          <w:highlight w:val="none"/>
        </w:rPr>
        <w:t>标记“</w:t>
      </w:r>
      <w:r>
        <w:rPr>
          <w:b/>
          <w:color w:val="000000"/>
          <w:sz w:val="24"/>
          <w:highlight w:val="none"/>
        </w:rPr>
        <w:t>■</w:t>
      </w:r>
      <w:r>
        <w:rPr>
          <w:color w:val="000000"/>
          <w:sz w:val="24"/>
          <w:highlight w:val="none"/>
        </w:rPr>
        <w:t>”的选项意为适用于本项目，标记“</w:t>
      </w:r>
      <w:r>
        <w:rPr>
          <w:color w:val="000000"/>
          <w:highlight w:val="none"/>
        </w:rPr>
        <w:t>□</w:t>
      </w:r>
      <w:r>
        <w:rPr>
          <w:color w:val="000000"/>
          <w:sz w:val="24"/>
          <w:highlight w:val="none"/>
        </w:rPr>
        <w:t>”的选项意为不适用于本项目</w:t>
      </w:r>
    </w:p>
    <w:tbl>
      <w:tblPr>
        <w:tblStyle w:val="28"/>
        <w:tblW w:w="101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8"/>
        <w:gridCol w:w="1701"/>
        <w:gridCol w:w="7453"/>
      </w:tblGrid>
      <w:tr w14:paraId="16FD02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blHeader/>
          <w:jc w:val="center"/>
        </w:trPr>
        <w:tc>
          <w:tcPr>
            <w:tcW w:w="988" w:type="dxa"/>
            <w:noWrap w:val="0"/>
            <w:vAlign w:val="center"/>
          </w:tcPr>
          <w:p w14:paraId="2440D0A1">
            <w:pPr>
              <w:jc w:val="center"/>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t>条款号</w:t>
            </w:r>
          </w:p>
        </w:tc>
        <w:tc>
          <w:tcPr>
            <w:tcW w:w="1701" w:type="dxa"/>
            <w:noWrap w:val="0"/>
            <w:vAlign w:val="center"/>
          </w:tcPr>
          <w:p w14:paraId="132C5F3A">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条目</w:t>
            </w:r>
          </w:p>
        </w:tc>
        <w:tc>
          <w:tcPr>
            <w:tcW w:w="7453" w:type="dxa"/>
            <w:noWrap w:val="0"/>
            <w:vAlign w:val="center"/>
          </w:tcPr>
          <w:p w14:paraId="5D1DF6BD">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内容</w:t>
            </w:r>
          </w:p>
        </w:tc>
      </w:tr>
      <w:tr w14:paraId="7D8895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6" w:hRule="atLeast"/>
          <w:jc w:val="center"/>
        </w:trPr>
        <w:tc>
          <w:tcPr>
            <w:tcW w:w="988" w:type="dxa"/>
            <w:noWrap w:val="0"/>
            <w:vAlign w:val="center"/>
          </w:tcPr>
          <w:p w14:paraId="4A068E43">
            <w:pPr>
              <w:pStyle w:val="221"/>
              <w:jc w:val="center"/>
              <w:rPr>
                <w:rFonts w:ascii="宋体" w:hAnsi="宋体" w:eastAsia="宋体" w:cs="宋体"/>
                <w:color w:val="000000"/>
                <w:sz w:val="24"/>
                <w:szCs w:val="24"/>
                <w:highlight w:val="none"/>
                <w:lang w:val="en-US" w:eastAsia="zh-CN"/>
              </w:rPr>
            </w:pPr>
            <w:r>
              <w:rPr>
                <w:rFonts w:hint="eastAsia" w:hAnsi="宋体" w:eastAsia="宋体" w:cs="宋体"/>
                <w:color w:val="000000"/>
                <w:sz w:val="24"/>
                <w:szCs w:val="24"/>
                <w:highlight w:val="none"/>
                <w:lang w:val="en-US" w:eastAsia="zh-CN"/>
              </w:rPr>
              <w:t>2.2</w:t>
            </w:r>
          </w:p>
        </w:tc>
        <w:tc>
          <w:tcPr>
            <w:tcW w:w="1701" w:type="dxa"/>
            <w:noWrap w:val="0"/>
            <w:vAlign w:val="center"/>
          </w:tcPr>
          <w:p w14:paraId="7EECADB3">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项目属性</w:t>
            </w:r>
          </w:p>
        </w:tc>
        <w:tc>
          <w:tcPr>
            <w:tcW w:w="7453" w:type="dxa"/>
            <w:noWrap w:val="0"/>
            <w:vAlign w:val="center"/>
          </w:tcPr>
          <w:p w14:paraId="381C981D">
            <w:pPr>
              <w:jc w:val="left"/>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rPr>
              <w:t>项目属性：</w:t>
            </w:r>
            <w:r>
              <w:rPr>
                <w:rFonts w:hint="eastAsia" w:ascii="宋体" w:hAnsi="宋体" w:eastAsia="宋体" w:cs="宋体"/>
                <w:color w:val="000000"/>
                <w:sz w:val="24"/>
                <w:szCs w:val="24"/>
                <w:highlight w:val="none"/>
                <w:lang w:val="en-US" w:eastAsia="zh-CN"/>
              </w:rPr>
              <w:t>服务</w:t>
            </w:r>
          </w:p>
        </w:tc>
      </w:tr>
      <w:tr w14:paraId="6BC2B7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6" w:hRule="atLeast"/>
          <w:jc w:val="center"/>
        </w:trPr>
        <w:tc>
          <w:tcPr>
            <w:tcW w:w="988" w:type="dxa"/>
            <w:noWrap w:val="0"/>
            <w:vAlign w:val="center"/>
          </w:tcPr>
          <w:p w14:paraId="26C2B993">
            <w:pPr>
              <w:pStyle w:val="221"/>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w:t>
            </w:r>
            <w:r>
              <w:rPr>
                <w:rFonts w:hint="eastAsia" w:hAnsi="宋体" w:eastAsia="宋体" w:cs="宋体"/>
                <w:color w:val="000000"/>
                <w:sz w:val="24"/>
                <w:szCs w:val="24"/>
                <w:highlight w:val="none"/>
                <w:lang w:val="en-US" w:eastAsia="zh-CN"/>
              </w:rPr>
              <w:t>.3</w:t>
            </w:r>
          </w:p>
        </w:tc>
        <w:tc>
          <w:tcPr>
            <w:tcW w:w="1701" w:type="dxa"/>
            <w:noWrap w:val="0"/>
            <w:vAlign w:val="center"/>
          </w:tcPr>
          <w:p w14:paraId="7CAB24EA">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科研仪器设备</w:t>
            </w:r>
          </w:p>
        </w:tc>
        <w:tc>
          <w:tcPr>
            <w:tcW w:w="7453" w:type="dxa"/>
            <w:noWrap w:val="0"/>
            <w:vAlign w:val="center"/>
          </w:tcPr>
          <w:p w14:paraId="168ABBED">
            <w:pPr>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是否属于科研仪器设备采购项目：</w:t>
            </w:r>
            <w:r>
              <w:rPr>
                <w:rFonts w:hint="eastAsia" w:ascii="宋体" w:hAnsi="宋体" w:eastAsia="宋体" w:cs="宋体"/>
                <w:color w:val="000000"/>
                <w:sz w:val="24"/>
                <w:szCs w:val="24"/>
                <w:highlight w:val="none"/>
                <w:lang w:val="en-US" w:eastAsia="zh-CN"/>
              </w:rPr>
              <w:t>否</w:t>
            </w:r>
          </w:p>
        </w:tc>
      </w:tr>
      <w:tr w14:paraId="09D856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2" w:hRule="atLeast"/>
          <w:jc w:val="center"/>
        </w:trPr>
        <w:tc>
          <w:tcPr>
            <w:tcW w:w="988" w:type="dxa"/>
            <w:vMerge w:val="restart"/>
            <w:noWrap w:val="0"/>
            <w:vAlign w:val="center"/>
          </w:tcPr>
          <w:p w14:paraId="42FD38C6">
            <w:pPr>
              <w:pStyle w:val="221"/>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w:t>
            </w:r>
            <w:r>
              <w:rPr>
                <w:rFonts w:hint="eastAsia" w:hAnsi="宋体" w:eastAsia="宋体" w:cs="宋体"/>
                <w:color w:val="000000"/>
                <w:sz w:val="24"/>
                <w:szCs w:val="24"/>
                <w:highlight w:val="none"/>
                <w:lang w:val="en-US" w:eastAsia="zh-CN"/>
              </w:rPr>
              <w:t>.1</w:t>
            </w:r>
          </w:p>
        </w:tc>
        <w:tc>
          <w:tcPr>
            <w:tcW w:w="1701" w:type="dxa"/>
            <w:noWrap w:val="0"/>
            <w:vAlign w:val="center"/>
          </w:tcPr>
          <w:p w14:paraId="5FE730B0">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现场考察</w:t>
            </w:r>
          </w:p>
        </w:tc>
        <w:tc>
          <w:tcPr>
            <w:tcW w:w="7453" w:type="dxa"/>
            <w:noWrap w:val="0"/>
            <w:vAlign w:val="center"/>
          </w:tcPr>
          <w:p w14:paraId="56E5D26E">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不组织</w:t>
            </w:r>
          </w:p>
        </w:tc>
      </w:tr>
      <w:tr w14:paraId="7A8CA6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7" w:hRule="atLeast"/>
          <w:jc w:val="center"/>
        </w:trPr>
        <w:tc>
          <w:tcPr>
            <w:tcW w:w="988" w:type="dxa"/>
            <w:vMerge w:val="continue"/>
            <w:noWrap w:val="0"/>
            <w:vAlign w:val="center"/>
          </w:tcPr>
          <w:p w14:paraId="7095B1AC">
            <w:pPr>
              <w:pStyle w:val="221"/>
              <w:jc w:val="center"/>
              <w:rPr>
                <w:rFonts w:hint="eastAsia" w:ascii="宋体" w:hAnsi="宋体" w:eastAsia="宋体" w:cs="宋体"/>
                <w:color w:val="000000"/>
                <w:sz w:val="24"/>
                <w:szCs w:val="24"/>
                <w:highlight w:val="none"/>
              </w:rPr>
            </w:pPr>
          </w:p>
        </w:tc>
        <w:tc>
          <w:tcPr>
            <w:tcW w:w="1701" w:type="dxa"/>
            <w:noWrap w:val="0"/>
            <w:vAlign w:val="center"/>
          </w:tcPr>
          <w:p w14:paraId="47080D03">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开标</w:t>
            </w:r>
            <w:r>
              <w:rPr>
                <w:rFonts w:hint="eastAsia" w:ascii="宋体" w:hAnsi="宋体" w:eastAsia="宋体" w:cs="宋体"/>
                <w:color w:val="000000"/>
                <w:sz w:val="24"/>
                <w:szCs w:val="24"/>
                <w:highlight w:val="none"/>
              </w:rPr>
              <w:t>前答疑会</w:t>
            </w:r>
          </w:p>
        </w:tc>
        <w:tc>
          <w:tcPr>
            <w:tcW w:w="7453" w:type="dxa"/>
            <w:noWrap w:val="0"/>
            <w:vAlign w:val="center"/>
          </w:tcPr>
          <w:p w14:paraId="641D0EB3">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不召开</w:t>
            </w:r>
          </w:p>
        </w:tc>
      </w:tr>
      <w:tr w14:paraId="74C309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5" w:hRule="atLeast"/>
          <w:jc w:val="center"/>
        </w:trPr>
        <w:tc>
          <w:tcPr>
            <w:tcW w:w="988" w:type="dxa"/>
            <w:noWrap w:val="0"/>
            <w:vAlign w:val="center"/>
          </w:tcPr>
          <w:p w14:paraId="2A123C54">
            <w:pPr>
              <w:pStyle w:val="221"/>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4</w:t>
            </w:r>
            <w:r>
              <w:rPr>
                <w:rFonts w:hint="eastAsia" w:hAnsi="宋体" w:eastAsia="宋体" w:cs="宋体"/>
                <w:color w:val="000000"/>
                <w:sz w:val="24"/>
                <w:szCs w:val="24"/>
                <w:highlight w:val="none"/>
                <w:lang w:val="en-US" w:eastAsia="zh-CN"/>
              </w:rPr>
              <w:t>.2.5</w:t>
            </w:r>
          </w:p>
        </w:tc>
        <w:tc>
          <w:tcPr>
            <w:tcW w:w="1701" w:type="dxa"/>
            <w:noWrap w:val="0"/>
            <w:vAlign w:val="center"/>
          </w:tcPr>
          <w:p w14:paraId="2B1FF6D5">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标的所属行业</w:t>
            </w:r>
          </w:p>
        </w:tc>
        <w:tc>
          <w:tcPr>
            <w:tcW w:w="7453" w:type="dxa"/>
            <w:noWrap w:val="0"/>
            <w:vAlign w:val="center"/>
          </w:tcPr>
          <w:p w14:paraId="46C8464A">
            <w:pPr>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本项目属于</w:t>
            </w:r>
            <w:r>
              <w:rPr>
                <w:rFonts w:hint="eastAsia" w:ascii="宋体" w:hAnsi="宋体" w:eastAsia="宋体" w:cs="宋体"/>
                <w:color w:val="000000"/>
                <w:sz w:val="24"/>
                <w:szCs w:val="24"/>
                <w:highlight w:val="none"/>
                <w:u w:val="single"/>
                <w:lang w:eastAsia="zh-CN"/>
              </w:rPr>
              <w:t xml:space="preserve">服务类 </w:t>
            </w:r>
            <w:r>
              <w:rPr>
                <w:rFonts w:hint="eastAsia" w:ascii="宋体" w:hAnsi="宋体" w:eastAsia="宋体" w:cs="宋体"/>
                <w:color w:val="000000"/>
                <w:sz w:val="24"/>
                <w:szCs w:val="24"/>
                <w:highlight w:val="none"/>
                <w:lang w:eastAsia="zh-CN"/>
              </w:rPr>
              <w:t>，采购标的对应的中小企业划分标准所属行业：</w:t>
            </w:r>
            <w:r>
              <w:rPr>
                <w:rFonts w:hint="eastAsia" w:ascii="宋体" w:hAnsi="宋体" w:eastAsia="宋体" w:cs="宋体"/>
                <w:color w:val="000000"/>
                <w:sz w:val="24"/>
                <w:szCs w:val="24"/>
                <w:highlight w:val="none"/>
                <w:u w:val="single"/>
                <w:lang w:eastAsia="zh-CN"/>
              </w:rPr>
              <w:t>其他未列明行业</w:t>
            </w:r>
            <w:r>
              <w:rPr>
                <w:rFonts w:hint="eastAsia" w:ascii="宋体" w:hAnsi="宋体" w:eastAsia="宋体" w:cs="宋体"/>
                <w:color w:val="000000"/>
                <w:sz w:val="24"/>
                <w:szCs w:val="24"/>
                <w:highlight w:val="none"/>
                <w:lang w:eastAsia="zh-CN"/>
              </w:rPr>
              <w:t>。</w:t>
            </w:r>
          </w:p>
        </w:tc>
      </w:tr>
      <w:tr w14:paraId="0F5FE6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988" w:type="dxa"/>
            <w:noWrap w:val="0"/>
            <w:vAlign w:val="center"/>
          </w:tcPr>
          <w:p w14:paraId="5BD7EE3C">
            <w:pPr>
              <w:pStyle w:val="221"/>
              <w:jc w:val="center"/>
              <w:rPr>
                <w:rFonts w:ascii="宋体" w:hAnsi="宋体" w:eastAsia="宋体" w:cs="宋体"/>
                <w:color w:val="000000"/>
                <w:sz w:val="24"/>
                <w:szCs w:val="24"/>
                <w:highlight w:val="none"/>
                <w:lang w:val="en-US" w:eastAsia="zh-CN"/>
              </w:rPr>
            </w:pPr>
            <w:r>
              <w:rPr>
                <w:rFonts w:hint="eastAsia" w:hAnsi="宋体" w:eastAsia="宋体" w:cs="宋体"/>
                <w:color w:val="000000"/>
                <w:sz w:val="24"/>
                <w:szCs w:val="24"/>
                <w:highlight w:val="none"/>
                <w:lang w:val="en-US" w:eastAsia="zh-CN"/>
              </w:rPr>
              <w:t>10.2</w:t>
            </w:r>
          </w:p>
        </w:tc>
        <w:tc>
          <w:tcPr>
            <w:tcW w:w="1701" w:type="dxa"/>
            <w:noWrap w:val="0"/>
            <w:vAlign w:val="center"/>
          </w:tcPr>
          <w:p w14:paraId="510355B2">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报价</w:t>
            </w:r>
          </w:p>
        </w:tc>
        <w:tc>
          <w:tcPr>
            <w:tcW w:w="7453" w:type="dxa"/>
            <w:noWrap w:val="0"/>
            <w:vAlign w:val="center"/>
          </w:tcPr>
          <w:p w14:paraId="1BDD9B61">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报价的特殊规定：</w:t>
            </w:r>
          </w:p>
          <w:p w14:paraId="751E30FD">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无</w:t>
            </w:r>
          </w:p>
          <w:p w14:paraId="5FC2BC55">
            <w:pPr>
              <w:keepNext w:val="0"/>
              <w:keepLines w:val="0"/>
              <w:widowControl/>
              <w:suppressLineNumbers w:val="0"/>
              <w:jc w:val="lef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■有</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固定价格，</w:t>
            </w:r>
            <w:r>
              <w:rPr>
                <w:rFonts w:hint="eastAsia" w:ascii="宋体" w:hAnsi="宋体" w:cs="宋体"/>
                <w:color w:val="000000"/>
                <w:sz w:val="24"/>
                <w:highlight w:val="none"/>
                <w:lang w:val="en-US" w:eastAsia="zh-CN"/>
              </w:rPr>
              <w:t>260万元/年</w:t>
            </w:r>
          </w:p>
        </w:tc>
      </w:tr>
      <w:tr w14:paraId="1D9416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jc w:val="center"/>
        </w:trPr>
        <w:tc>
          <w:tcPr>
            <w:tcW w:w="988" w:type="dxa"/>
            <w:noWrap w:val="0"/>
            <w:vAlign w:val="center"/>
          </w:tcPr>
          <w:p w14:paraId="65CE29A6">
            <w:pPr>
              <w:pStyle w:val="221"/>
              <w:jc w:val="center"/>
              <w:rPr>
                <w:rFonts w:ascii="宋体" w:hAnsi="宋体" w:eastAsia="宋体" w:cs="宋体"/>
                <w:color w:val="000000"/>
                <w:sz w:val="24"/>
                <w:szCs w:val="24"/>
                <w:highlight w:val="none"/>
                <w:lang w:val="en-US"/>
              </w:rPr>
            </w:pPr>
            <w:r>
              <w:rPr>
                <w:rFonts w:hint="eastAsia" w:hAnsi="宋体" w:eastAsia="宋体" w:cs="宋体"/>
                <w:color w:val="000000"/>
                <w:sz w:val="24"/>
                <w:szCs w:val="24"/>
                <w:highlight w:val="none"/>
                <w:lang w:val="en-US" w:eastAsia="zh-CN"/>
              </w:rPr>
              <w:t>11.1</w:t>
            </w:r>
          </w:p>
        </w:tc>
        <w:tc>
          <w:tcPr>
            <w:tcW w:w="1701" w:type="dxa"/>
            <w:noWrap w:val="0"/>
            <w:vAlign w:val="center"/>
          </w:tcPr>
          <w:p w14:paraId="6483EFC5">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投标</w:t>
            </w:r>
            <w:r>
              <w:rPr>
                <w:rFonts w:hint="eastAsia" w:ascii="宋体" w:hAnsi="宋体" w:eastAsia="宋体" w:cs="宋体"/>
                <w:color w:val="000000"/>
                <w:sz w:val="24"/>
                <w:szCs w:val="24"/>
                <w:highlight w:val="none"/>
              </w:rPr>
              <w:t>保证金</w:t>
            </w:r>
          </w:p>
        </w:tc>
        <w:tc>
          <w:tcPr>
            <w:tcW w:w="7453" w:type="dxa"/>
            <w:noWrap w:val="0"/>
            <w:vAlign w:val="center"/>
          </w:tcPr>
          <w:p w14:paraId="26E6F886">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免收</w:t>
            </w:r>
          </w:p>
        </w:tc>
      </w:tr>
      <w:tr w14:paraId="1DEAB5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7" w:hRule="atLeast"/>
          <w:jc w:val="center"/>
        </w:trPr>
        <w:tc>
          <w:tcPr>
            <w:tcW w:w="988" w:type="dxa"/>
            <w:noWrap w:val="0"/>
            <w:vAlign w:val="center"/>
          </w:tcPr>
          <w:p w14:paraId="5B566AAA">
            <w:pPr>
              <w:pStyle w:val="221"/>
              <w:jc w:val="center"/>
              <w:rPr>
                <w:rFonts w:ascii="宋体" w:hAnsi="宋体" w:eastAsia="宋体" w:cs="宋体"/>
                <w:color w:val="000000"/>
                <w:sz w:val="24"/>
                <w:szCs w:val="24"/>
                <w:highlight w:val="none"/>
                <w:lang w:val="en-US"/>
              </w:rPr>
            </w:pPr>
            <w:r>
              <w:rPr>
                <w:rFonts w:hint="eastAsia" w:hAnsi="宋体" w:eastAsia="宋体" w:cs="宋体"/>
                <w:color w:val="000000"/>
                <w:sz w:val="24"/>
                <w:szCs w:val="24"/>
                <w:highlight w:val="none"/>
                <w:lang w:val="en-US" w:eastAsia="zh-CN"/>
              </w:rPr>
              <w:t>12.4</w:t>
            </w:r>
          </w:p>
        </w:tc>
        <w:tc>
          <w:tcPr>
            <w:tcW w:w="1701" w:type="dxa"/>
            <w:noWrap w:val="0"/>
            <w:vAlign w:val="center"/>
          </w:tcPr>
          <w:p w14:paraId="0DBF4CC8">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响应有效期</w:t>
            </w:r>
          </w:p>
        </w:tc>
        <w:tc>
          <w:tcPr>
            <w:tcW w:w="7453" w:type="dxa"/>
            <w:noWrap w:val="0"/>
            <w:vAlign w:val="center"/>
          </w:tcPr>
          <w:p w14:paraId="00D54D21">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自提交响应文件的截止之日起</w:t>
            </w:r>
            <w:r>
              <w:rPr>
                <w:rFonts w:hint="eastAsia" w:ascii="宋体" w:hAnsi="宋体" w:eastAsia="宋体" w:cs="宋体"/>
                <w:color w:val="000000"/>
                <w:sz w:val="24"/>
                <w:szCs w:val="24"/>
                <w:highlight w:val="none"/>
                <w:lang w:val="en-US" w:eastAsia="zh-CN"/>
              </w:rPr>
              <w:t>算60</w:t>
            </w:r>
            <w:r>
              <w:rPr>
                <w:rFonts w:hint="eastAsia" w:ascii="宋体" w:hAnsi="宋体" w:eastAsia="宋体" w:cs="宋体"/>
                <w:color w:val="000000"/>
                <w:sz w:val="24"/>
                <w:szCs w:val="24"/>
                <w:highlight w:val="none"/>
              </w:rPr>
              <w:t>日历天。</w:t>
            </w:r>
          </w:p>
        </w:tc>
      </w:tr>
      <w:tr w14:paraId="668B79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0" w:hRule="atLeast"/>
          <w:jc w:val="center"/>
        </w:trPr>
        <w:tc>
          <w:tcPr>
            <w:tcW w:w="988" w:type="dxa"/>
            <w:noWrap w:val="0"/>
            <w:vAlign w:val="center"/>
          </w:tcPr>
          <w:p w14:paraId="7F2E590A">
            <w:pPr>
              <w:pStyle w:val="221"/>
              <w:jc w:val="center"/>
              <w:rPr>
                <w:rFonts w:ascii="宋体" w:hAnsi="宋体" w:eastAsia="宋体" w:cs="宋体"/>
                <w:color w:val="000000"/>
                <w:sz w:val="24"/>
                <w:szCs w:val="24"/>
                <w:highlight w:val="none"/>
                <w:lang w:val="en-US"/>
              </w:rPr>
            </w:pPr>
            <w:r>
              <w:rPr>
                <w:rFonts w:hint="eastAsia" w:hAnsi="宋体" w:eastAsia="宋体" w:cs="宋体"/>
                <w:color w:val="000000"/>
                <w:sz w:val="24"/>
                <w:szCs w:val="24"/>
                <w:highlight w:val="none"/>
                <w:lang w:val="en-US" w:eastAsia="zh-CN"/>
              </w:rPr>
              <w:t>23.5</w:t>
            </w:r>
          </w:p>
        </w:tc>
        <w:tc>
          <w:tcPr>
            <w:tcW w:w="1701" w:type="dxa"/>
            <w:noWrap w:val="0"/>
            <w:vAlign w:val="center"/>
          </w:tcPr>
          <w:p w14:paraId="1733EAD0">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分包</w:t>
            </w:r>
          </w:p>
        </w:tc>
        <w:tc>
          <w:tcPr>
            <w:tcW w:w="7453" w:type="dxa"/>
            <w:noWrap w:val="0"/>
            <w:vAlign w:val="center"/>
          </w:tcPr>
          <w:p w14:paraId="39F92885">
            <w:pPr>
              <w:jc w:val="lef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本项目是否允许分包： </w:t>
            </w:r>
            <w:r>
              <w:rPr>
                <w:rFonts w:hint="eastAsia" w:ascii="宋体" w:hAnsi="宋体" w:eastAsia="宋体" w:cs="宋体"/>
                <w:color w:val="000000"/>
                <w:sz w:val="24"/>
                <w:szCs w:val="24"/>
                <w:highlight w:val="none"/>
                <w:lang w:eastAsia="zh-CN"/>
              </w:rPr>
              <w:t>不分包</w:t>
            </w:r>
          </w:p>
        </w:tc>
      </w:tr>
      <w:tr w14:paraId="5030B3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1" w:hRule="atLeast"/>
          <w:jc w:val="center"/>
        </w:trPr>
        <w:tc>
          <w:tcPr>
            <w:tcW w:w="988" w:type="dxa"/>
            <w:noWrap w:val="0"/>
            <w:vAlign w:val="center"/>
          </w:tcPr>
          <w:p w14:paraId="3CF1447B">
            <w:pPr>
              <w:pStyle w:val="221"/>
              <w:jc w:val="center"/>
              <w:rPr>
                <w:rFonts w:ascii="宋体" w:hAnsi="宋体" w:eastAsia="宋体" w:cs="宋体"/>
                <w:color w:val="000000"/>
                <w:sz w:val="24"/>
                <w:szCs w:val="24"/>
                <w:highlight w:val="none"/>
                <w:lang w:val="en-US"/>
              </w:rPr>
            </w:pPr>
            <w:r>
              <w:rPr>
                <w:rFonts w:hint="eastAsia" w:hAnsi="宋体" w:eastAsia="宋体" w:cs="宋体"/>
                <w:color w:val="000000"/>
                <w:sz w:val="24"/>
                <w:szCs w:val="24"/>
                <w:highlight w:val="none"/>
                <w:lang w:val="en-US" w:eastAsia="zh-CN"/>
              </w:rPr>
              <w:t>24.1.1</w:t>
            </w:r>
          </w:p>
        </w:tc>
        <w:tc>
          <w:tcPr>
            <w:tcW w:w="1701" w:type="dxa"/>
            <w:noWrap w:val="0"/>
            <w:vAlign w:val="center"/>
          </w:tcPr>
          <w:p w14:paraId="642F9F2A">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询问</w:t>
            </w:r>
          </w:p>
        </w:tc>
        <w:tc>
          <w:tcPr>
            <w:tcW w:w="7453" w:type="dxa"/>
            <w:noWrap w:val="0"/>
            <w:vAlign w:val="center"/>
          </w:tcPr>
          <w:p w14:paraId="4471DF4D">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询问送达形式：</w:t>
            </w:r>
            <w:r>
              <w:rPr>
                <w:rFonts w:hint="eastAsia" w:ascii="宋体" w:hAnsi="宋体" w:eastAsia="宋体" w:cs="宋体"/>
                <w:i w:val="0"/>
                <w:iCs w:val="0"/>
                <w:color w:val="000000"/>
                <w:sz w:val="24"/>
                <w:szCs w:val="24"/>
                <w:highlight w:val="none"/>
                <w:u w:val="none"/>
                <w:lang w:val="en-US" w:eastAsia="zh-CN"/>
              </w:rPr>
              <w:t xml:space="preserve"> 书面形式</w:t>
            </w:r>
            <w:r>
              <w:rPr>
                <w:rFonts w:hint="eastAsia" w:ascii="宋体" w:hAnsi="宋体" w:eastAsia="宋体" w:cs="宋体"/>
                <w:color w:val="000000"/>
                <w:sz w:val="24"/>
                <w:szCs w:val="24"/>
                <w:highlight w:val="none"/>
              </w:rPr>
              <w:t>。</w:t>
            </w:r>
          </w:p>
        </w:tc>
      </w:tr>
      <w:tr w14:paraId="568514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40" w:hRule="atLeast"/>
          <w:jc w:val="center"/>
        </w:trPr>
        <w:tc>
          <w:tcPr>
            <w:tcW w:w="988" w:type="dxa"/>
            <w:noWrap w:val="0"/>
            <w:vAlign w:val="center"/>
          </w:tcPr>
          <w:p w14:paraId="140356FF">
            <w:pPr>
              <w:pStyle w:val="221"/>
              <w:jc w:val="center"/>
              <w:rPr>
                <w:rFonts w:ascii="宋体" w:hAnsi="宋体" w:eastAsia="宋体" w:cs="宋体"/>
                <w:color w:val="000000"/>
                <w:sz w:val="24"/>
                <w:szCs w:val="24"/>
                <w:highlight w:val="none"/>
                <w:lang w:val="en-US"/>
              </w:rPr>
            </w:pPr>
            <w:r>
              <w:rPr>
                <w:rFonts w:hint="eastAsia" w:hAnsi="宋体" w:eastAsia="宋体" w:cs="宋体"/>
                <w:color w:val="000000"/>
                <w:sz w:val="24"/>
                <w:szCs w:val="24"/>
                <w:highlight w:val="none"/>
                <w:lang w:val="en-US" w:eastAsia="zh-CN"/>
              </w:rPr>
              <w:t>24.3</w:t>
            </w:r>
          </w:p>
        </w:tc>
        <w:tc>
          <w:tcPr>
            <w:tcW w:w="1701" w:type="dxa"/>
            <w:noWrap w:val="0"/>
            <w:vAlign w:val="center"/>
          </w:tcPr>
          <w:p w14:paraId="75483B17">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联系方式</w:t>
            </w:r>
          </w:p>
        </w:tc>
        <w:tc>
          <w:tcPr>
            <w:tcW w:w="7453" w:type="dxa"/>
            <w:noWrap w:val="0"/>
            <w:vAlign w:val="center"/>
          </w:tcPr>
          <w:p w14:paraId="4A551193">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接收询问和质疑的联系方式</w:t>
            </w:r>
          </w:p>
          <w:p w14:paraId="358F25C8">
            <w:pPr>
              <w:numPr>
                <w:ilvl w:val="0"/>
                <w:numId w:val="0"/>
              </w:numPr>
              <w:jc w:val="left"/>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lang w:val="en-US" w:eastAsia="zh-CN"/>
              </w:rPr>
              <w:t>联系部门：</w:t>
            </w:r>
            <w:r>
              <w:rPr>
                <w:rFonts w:hint="eastAsia" w:ascii="宋体" w:hAnsi="宋体" w:eastAsia="宋体" w:cs="宋体"/>
                <w:color w:val="000000"/>
                <w:sz w:val="24"/>
                <w:szCs w:val="24"/>
                <w:highlight w:val="none"/>
                <w:u w:val="none"/>
                <w:lang w:val="en-US" w:eastAsia="zh-CN"/>
              </w:rPr>
              <w:t xml:space="preserve">江苏鑫轶工程咨询有限公司 </w:t>
            </w:r>
          </w:p>
          <w:p w14:paraId="701C19DB">
            <w:pPr>
              <w:numPr>
                <w:ilvl w:val="0"/>
                <w:numId w:val="0"/>
              </w:numPr>
              <w:jc w:val="left"/>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联系电话：蒋女士  0519-80990060</w:t>
            </w:r>
          </w:p>
          <w:p w14:paraId="37B71081">
            <w:pPr>
              <w:numPr>
                <w:ilvl w:val="0"/>
                <w:numId w:val="0"/>
              </w:numPr>
              <w:jc w:val="left"/>
              <w:rPr>
                <w:rFonts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u w:val="none"/>
                <w:lang w:val="en-US" w:eastAsia="zh-CN"/>
              </w:rPr>
              <w:t>通讯地址：溧阳市昆仑南路281号</w:t>
            </w:r>
          </w:p>
        </w:tc>
      </w:tr>
      <w:tr w14:paraId="6994F8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93" w:hRule="atLeast"/>
          <w:jc w:val="center"/>
        </w:trPr>
        <w:tc>
          <w:tcPr>
            <w:tcW w:w="988" w:type="dxa"/>
            <w:noWrap w:val="0"/>
            <w:vAlign w:val="center"/>
          </w:tcPr>
          <w:p w14:paraId="55CD9454">
            <w:pPr>
              <w:pStyle w:val="221"/>
              <w:jc w:val="center"/>
              <w:rPr>
                <w:rFonts w:ascii="宋体" w:hAnsi="宋体" w:eastAsia="宋体" w:cs="宋体"/>
                <w:color w:val="000000"/>
                <w:sz w:val="24"/>
                <w:szCs w:val="24"/>
                <w:highlight w:val="none"/>
                <w:lang w:val="en-US"/>
              </w:rPr>
            </w:pPr>
            <w:r>
              <w:rPr>
                <w:rFonts w:hint="eastAsia" w:hAnsi="宋体" w:eastAsia="宋体" w:cs="宋体"/>
                <w:color w:val="000000"/>
                <w:sz w:val="24"/>
                <w:szCs w:val="24"/>
                <w:highlight w:val="none"/>
                <w:lang w:val="en-US" w:eastAsia="zh-CN"/>
              </w:rPr>
              <w:t>25</w:t>
            </w:r>
          </w:p>
        </w:tc>
        <w:tc>
          <w:tcPr>
            <w:tcW w:w="1701" w:type="dxa"/>
            <w:noWrap w:val="0"/>
            <w:vAlign w:val="center"/>
          </w:tcPr>
          <w:p w14:paraId="37D35776">
            <w:pPr>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代理费</w:t>
            </w:r>
          </w:p>
        </w:tc>
        <w:tc>
          <w:tcPr>
            <w:tcW w:w="7453" w:type="dxa"/>
            <w:noWrap w:val="0"/>
            <w:vAlign w:val="center"/>
          </w:tcPr>
          <w:p w14:paraId="486FD708">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收费对象：成交供应商</w:t>
            </w:r>
          </w:p>
          <w:p w14:paraId="1B22DB28">
            <w:pPr>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收费标准：</w:t>
            </w:r>
            <w:r>
              <w:rPr>
                <w:rFonts w:hint="eastAsia" w:ascii="宋体" w:hAnsi="宋体" w:eastAsia="宋体" w:cs="宋体"/>
                <w:color w:val="000000"/>
                <w:sz w:val="24"/>
                <w:szCs w:val="24"/>
                <w:highlight w:val="none"/>
                <w:lang w:val="en-US" w:eastAsia="zh-CN"/>
              </w:rPr>
              <w:t>参照苏政采协[2024]20 号文件要求计取；</w:t>
            </w:r>
          </w:p>
          <w:p w14:paraId="1516A8BF">
            <w:pPr>
              <w:keepNext w:val="0"/>
              <w:keepLines w:val="0"/>
              <w:widowControl/>
              <w:suppressLineNumbers w:val="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缴纳时间：</w:t>
            </w:r>
            <w:r>
              <w:rPr>
                <w:rFonts w:hint="eastAsia" w:ascii="宋体" w:hAnsi="宋体" w:eastAsia="宋体" w:cs="宋体"/>
                <w:color w:val="000000"/>
                <w:sz w:val="24"/>
                <w:szCs w:val="24"/>
                <w:highlight w:val="none"/>
                <w:lang w:eastAsia="zh-CN"/>
              </w:rPr>
              <w:t>领取成交通知书的同时。</w:t>
            </w:r>
          </w:p>
        </w:tc>
      </w:tr>
      <w:tr w14:paraId="0AE430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5" w:hRule="atLeast"/>
          <w:jc w:val="center"/>
        </w:trPr>
        <w:tc>
          <w:tcPr>
            <w:tcW w:w="988" w:type="dxa"/>
            <w:noWrap w:val="0"/>
            <w:vAlign w:val="center"/>
          </w:tcPr>
          <w:p w14:paraId="00C37A10">
            <w:pPr>
              <w:pStyle w:val="221"/>
              <w:jc w:val="center"/>
              <w:rPr>
                <w:rFonts w:hAnsi="宋体" w:eastAsia="宋体" w:cs="宋体"/>
                <w:color w:val="000000"/>
                <w:sz w:val="24"/>
                <w:szCs w:val="24"/>
                <w:highlight w:val="none"/>
                <w:lang w:val="en-US" w:eastAsia="zh-CN"/>
              </w:rPr>
            </w:pPr>
            <w:r>
              <w:rPr>
                <w:rFonts w:hint="eastAsia" w:hAnsi="宋体" w:eastAsia="宋体" w:cs="宋体"/>
                <w:color w:val="000000"/>
                <w:sz w:val="24"/>
                <w:szCs w:val="24"/>
                <w:highlight w:val="none"/>
                <w:lang w:val="en-US" w:eastAsia="zh-CN"/>
              </w:rPr>
              <w:t>26</w:t>
            </w:r>
          </w:p>
        </w:tc>
        <w:tc>
          <w:tcPr>
            <w:tcW w:w="1701" w:type="dxa"/>
            <w:noWrap w:val="0"/>
            <w:vAlign w:val="center"/>
          </w:tcPr>
          <w:p w14:paraId="65A32F33">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纸质响应文件</w:t>
            </w:r>
          </w:p>
        </w:tc>
        <w:tc>
          <w:tcPr>
            <w:tcW w:w="7453" w:type="dxa"/>
            <w:noWrap w:val="0"/>
            <w:vAlign w:val="center"/>
          </w:tcPr>
          <w:p w14:paraId="6995D773">
            <w:pPr>
              <w:keepNext w:val="0"/>
              <w:keepLines w:val="0"/>
              <w:widowControl/>
              <w:suppressLineNumbers w:val="0"/>
              <w:jc w:val="lef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成交供应商在</w:t>
            </w:r>
            <w:r>
              <w:rPr>
                <w:rFonts w:hint="eastAsia" w:ascii="宋体" w:hAnsi="宋体" w:eastAsia="宋体" w:cs="宋体"/>
                <w:color w:val="000000"/>
                <w:sz w:val="24"/>
                <w:szCs w:val="24"/>
                <w:highlight w:val="none"/>
                <w:lang w:val="en-US" w:eastAsia="zh-CN"/>
              </w:rPr>
              <w:t>合同签订前</w:t>
            </w:r>
            <w:r>
              <w:rPr>
                <w:rFonts w:hint="eastAsia" w:ascii="宋体" w:hAnsi="宋体" w:eastAsia="宋体" w:cs="宋体"/>
                <w:color w:val="000000"/>
                <w:sz w:val="24"/>
                <w:szCs w:val="24"/>
                <w:highlight w:val="none"/>
              </w:rPr>
              <w:t>向代理机构提供正本1套、副本2套纸质响应文件，在每一份纸质响应文件上要明确注明“正本” 或“副本”字样。</w:t>
            </w:r>
            <w:r>
              <w:rPr>
                <w:rFonts w:hint="eastAsia" w:ascii="宋体" w:hAnsi="宋体" w:eastAsia="宋体" w:cs="宋体"/>
                <w:color w:val="000000"/>
                <w:sz w:val="24"/>
                <w:szCs w:val="24"/>
                <w:highlight w:val="none"/>
                <w:lang w:val="en-US" w:eastAsia="zh-CN"/>
              </w:rPr>
              <w:t xml:space="preserve">         </w:t>
            </w:r>
          </w:p>
        </w:tc>
      </w:tr>
    </w:tbl>
    <w:p w14:paraId="2C865E1B">
      <w:pPr>
        <w:tabs>
          <w:tab w:val="left" w:pos="5580"/>
        </w:tabs>
        <w:spacing w:line="360" w:lineRule="auto"/>
        <w:jc w:val="both"/>
        <w:rPr>
          <w:rFonts w:hint="eastAsia" w:ascii="宋体" w:hAnsi="宋体" w:eastAsia="宋体" w:cs="宋体"/>
          <w:color w:val="000000"/>
          <w:sz w:val="24"/>
          <w:szCs w:val="24"/>
          <w:highlight w:val="none"/>
        </w:rPr>
        <w:sectPr>
          <w:footerReference r:id="rId7" w:type="first"/>
          <w:footerReference r:id="rId6" w:type="default"/>
          <w:pgSz w:w="11907" w:h="16840"/>
          <w:pgMar w:top="1418" w:right="1134" w:bottom="1418" w:left="1134" w:header="851" w:footer="851" w:gutter="0"/>
          <w:pgNumType w:fmt="decimal"/>
          <w:cols w:space="1701" w:num="1"/>
          <w:titlePg/>
          <w:docGrid w:linePitch="360" w:charSpace="0"/>
        </w:sectPr>
      </w:pPr>
    </w:p>
    <w:p w14:paraId="727567EF">
      <w:pPr>
        <w:spacing w:before="240" w:after="240"/>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供应商须知</w:t>
      </w:r>
    </w:p>
    <w:p w14:paraId="2E43B16C">
      <w:pPr>
        <w:pStyle w:val="183"/>
        <w:tabs>
          <w:tab w:val="center" w:pos="4592"/>
          <w:tab w:val="left" w:pos="7860"/>
        </w:tabs>
        <w:spacing w:before="0" w:line="360" w:lineRule="auto"/>
        <w:jc w:val="left"/>
        <w:rPr>
          <w:rFonts w:hint="eastAsia" w:ascii="宋体" w:hAnsi="宋体" w:eastAsia="宋体" w:cs="宋体"/>
          <w:color w:val="000000"/>
          <w:sz w:val="24"/>
          <w:szCs w:val="24"/>
          <w:highlight w:val="none"/>
        </w:rPr>
      </w:pPr>
      <w:bookmarkStart w:id="74" w:name="_Toc520356143"/>
      <w:bookmarkStart w:id="75" w:name="_Toc127151518"/>
      <w:r>
        <w:rPr>
          <w:rFonts w:hint="eastAsia" w:ascii="宋体" w:hAnsi="宋体" w:eastAsia="宋体" w:cs="宋体"/>
          <w:color w:val="000000"/>
          <w:sz w:val="24"/>
          <w:szCs w:val="24"/>
          <w:highlight w:val="none"/>
        </w:rPr>
        <w:tab/>
      </w:r>
      <w:bookmarkStart w:id="76" w:name="_Toc265228356"/>
      <w:bookmarkStart w:id="77" w:name="_Toc226965708"/>
      <w:bookmarkStart w:id="78" w:name="_Toc151193760"/>
      <w:bookmarkStart w:id="79" w:name="_Toc226965791"/>
      <w:bookmarkStart w:id="80" w:name="_Toc151193906"/>
      <w:bookmarkStart w:id="81" w:name="_Toc226337214"/>
      <w:bookmarkStart w:id="82" w:name="_Toc226309762"/>
      <w:bookmarkStart w:id="83" w:name="_Toc150774723"/>
      <w:bookmarkStart w:id="84" w:name="_Toc150480756"/>
      <w:bookmarkStart w:id="85" w:name="_Toc151193616"/>
      <w:bookmarkStart w:id="86" w:name="_Toc150774618"/>
      <w:bookmarkStart w:id="87" w:name="_Toc150509269"/>
      <w:bookmarkStart w:id="88" w:name="_Toc151193832"/>
      <w:bookmarkStart w:id="89" w:name="_Toc305158860"/>
      <w:bookmarkStart w:id="90" w:name="_Toc305158786"/>
      <w:bookmarkStart w:id="91" w:name="_Toc151190145"/>
      <w:bookmarkStart w:id="92" w:name="_Toc195842883"/>
      <w:bookmarkStart w:id="93" w:name="_Toc151193688"/>
      <w:bookmarkStart w:id="94" w:name="_Toc264969208"/>
      <w:bookmarkStart w:id="95" w:name="_Toc142311020"/>
      <w:r>
        <w:rPr>
          <w:rFonts w:hint="eastAsia" w:ascii="宋体" w:hAnsi="宋体" w:eastAsia="宋体" w:cs="宋体"/>
          <w:color w:val="000000"/>
          <w:sz w:val="24"/>
          <w:szCs w:val="24"/>
          <w:highlight w:val="none"/>
        </w:rPr>
        <w:t>一   说  明</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r>
        <w:rPr>
          <w:rFonts w:hint="eastAsia" w:ascii="宋体" w:hAnsi="宋体" w:eastAsia="宋体" w:cs="宋体"/>
          <w:color w:val="000000"/>
          <w:sz w:val="24"/>
          <w:szCs w:val="24"/>
          <w:highlight w:val="none"/>
        </w:rPr>
        <w:tab/>
      </w:r>
    </w:p>
    <w:p w14:paraId="39BE4E63">
      <w:pPr>
        <w:numPr>
          <w:ilvl w:val="0"/>
          <w:numId w:val="8"/>
        </w:numPr>
        <w:tabs>
          <w:tab w:val="left" w:pos="360"/>
        </w:tabs>
        <w:spacing w:line="360" w:lineRule="auto"/>
        <w:ind w:left="357" w:hanging="357"/>
        <w:outlineLvl w:val="1"/>
        <w:rPr>
          <w:rFonts w:hint="eastAsia" w:ascii="宋体" w:hAnsi="宋体" w:eastAsia="宋体" w:cs="宋体"/>
          <w:color w:val="000000"/>
          <w:sz w:val="24"/>
          <w:szCs w:val="24"/>
          <w:highlight w:val="none"/>
        </w:rPr>
      </w:pPr>
      <w:bookmarkStart w:id="96" w:name="_Toc305158861"/>
      <w:bookmarkStart w:id="97" w:name="_Toc305158787"/>
      <w:bookmarkStart w:id="98" w:name="_Toc265228357"/>
      <w:bookmarkStart w:id="99" w:name="_Toc264969209"/>
      <w:r>
        <w:rPr>
          <w:rFonts w:hint="eastAsia" w:ascii="宋体" w:hAnsi="宋体" w:eastAsia="宋体" w:cs="宋体"/>
          <w:color w:val="000000"/>
          <w:sz w:val="24"/>
          <w:szCs w:val="24"/>
          <w:highlight w:val="none"/>
        </w:rPr>
        <w:t>采购人、采购代理机构、供应商</w:t>
      </w:r>
      <w:bookmarkEnd w:id="96"/>
      <w:bookmarkEnd w:id="97"/>
      <w:bookmarkEnd w:id="98"/>
      <w:bookmarkEnd w:id="99"/>
      <w:r>
        <w:rPr>
          <w:rFonts w:hint="eastAsia" w:ascii="宋体" w:hAnsi="宋体" w:eastAsia="宋体" w:cs="宋体"/>
          <w:color w:val="000000"/>
          <w:sz w:val="24"/>
          <w:szCs w:val="24"/>
          <w:highlight w:val="none"/>
        </w:rPr>
        <w:t>、联合体</w:t>
      </w:r>
    </w:p>
    <w:p w14:paraId="1F8B514C">
      <w:pPr>
        <w:numPr>
          <w:ilvl w:val="1"/>
          <w:numId w:val="8"/>
        </w:numPr>
        <w:tabs>
          <w:tab w:val="left" w:pos="1080"/>
          <w:tab w:val="left" w:pos="2014"/>
          <w:tab w:val="left" w:pos="5521"/>
        </w:tabs>
        <w:spacing w:line="360" w:lineRule="auto"/>
        <w:ind w:left="1080" w:hanging="7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采购人、采购代理机构：指依法进行政府采购的国家机关、事业单位、团体组织，及其委托的采购代理机构。本项目采购人、采购代理机构见第一章《采购邀请》。</w:t>
      </w:r>
    </w:p>
    <w:p w14:paraId="4A663783">
      <w:pPr>
        <w:numPr>
          <w:ilvl w:val="1"/>
          <w:numId w:val="8"/>
        </w:numPr>
        <w:tabs>
          <w:tab w:val="left" w:pos="1080"/>
          <w:tab w:val="left" w:pos="2014"/>
          <w:tab w:val="left" w:pos="5521"/>
        </w:tabs>
        <w:spacing w:line="360" w:lineRule="auto"/>
        <w:ind w:left="1080" w:hanging="7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供应商（也称“申请人”）：指向采购人提供货物、工程或者服务的法人、其他组织或者自然人。</w:t>
      </w:r>
    </w:p>
    <w:p w14:paraId="5442C1AF">
      <w:pPr>
        <w:numPr>
          <w:ilvl w:val="1"/>
          <w:numId w:val="8"/>
        </w:numPr>
        <w:tabs>
          <w:tab w:val="left" w:pos="1080"/>
          <w:tab w:val="left" w:pos="2014"/>
          <w:tab w:val="left" w:pos="5521"/>
        </w:tabs>
        <w:spacing w:line="360" w:lineRule="auto"/>
        <w:ind w:left="1080" w:hanging="7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联合体：指两个以上的自然人、法人或者其他组织组成一个联合体，以一个供应商的身份共同参加政府采购。</w:t>
      </w:r>
    </w:p>
    <w:p w14:paraId="6B52C1F1">
      <w:pPr>
        <w:numPr>
          <w:ilvl w:val="0"/>
          <w:numId w:val="8"/>
        </w:numPr>
        <w:tabs>
          <w:tab w:val="left" w:pos="360"/>
        </w:tabs>
        <w:spacing w:line="360" w:lineRule="auto"/>
        <w:ind w:left="357" w:hanging="357"/>
        <w:outlineLvl w:val="1"/>
        <w:rPr>
          <w:rFonts w:hint="eastAsia" w:ascii="宋体" w:hAnsi="宋体" w:eastAsia="宋体" w:cs="宋体"/>
          <w:color w:val="000000"/>
          <w:sz w:val="24"/>
          <w:szCs w:val="24"/>
          <w:highlight w:val="none"/>
        </w:rPr>
      </w:pPr>
      <w:bookmarkStart w:id="100" w:name="_Toc151193690"/>
      <w:bookmarkStart w:id="101" w:name="_Toc226965793"/>
      <w:bookmarkStart w:id="102" w:name="_Toc226337216"/>
      <w:bookmarkStart w:id="103" w:name="_Toc164608789"/>
      <w:bookmarkStart w:id="104" w:name="_Toc226965710"/>
      <w:bookmarkStart w:id="105" w:name="_Toc149720813"/>
      <w:bookmarkStart w:id="106" w:name="_Toc142311022"/>
      <w:bookmarkStart w:id="107" w:name="_Toc305158788"/>
      <w:bookmarkStart w:id="108" w:name="_Toc164229215"/>
      <w:bookmarkStart w:id="109" w:name="_Toc127161434"/>
      <w:bookmarkStart w:id="110" w:name="_Toc150509271"/>
      <w:bookmarkStart w:id="111" w:name="_Toc151190147"/>
      <w:bookmarkStart w:id="112" w:name="_Toc264969210"/>
      <w:bookmarkStart w:id="113" w:name="_Toc151193762"/>
      <w:bookmarkStart w:id="114" w:name="_Toc151193834"/>
      <w:bookmarkStart w:id="115" w:name="_Toc226309764"/>
      <w:bookmarkStart w:id="116" w:name="_Toc150774620"/>
      <w:bookmarkStart w:id="117" w:name="_Toc150480758"/>
      <w:bookmarkStart w:id="118" w:name="_Toc305158862"/>
      <w:bookmarkStart w:id="119" w:name="_Toc151193908"/>
      <w:bookmarkStart w:id="120" w:name="_Toc195842885"/>
      <w:bookmarkStart w:id="121" w:name="_Toc164351614"/>
      <w:bookmarkStart w:id="122" w:name="_Toc164608634"/>
      <w:bookmarkStart w:id="123" w:name="_Toc127151520"/>
      <w:bookmarkStart w:id="124" w:name="_Toc164229361"/>
      <w:bookmarkStart w:id="125" w:name="_Toc127151721"/>
      <w:bookmarkStart w:id="126" w:name="_Toc150774725"/>
      <w:bookmarkStart w:id="127" w:name="_Toc265228358"/>
      <w:bookmarkStart w:id="128" w:name="_Toc151193618"/>
      <w:r>
        <w:rPr>
          <w:rFonts w:hint="eastAsia" w:ascii="宋体" w:hAnsi="宋体" w:eastAsia="宋体" w:cs="宋体"/>
          <w:color w:val="000000"/>
          <w:sz w:val="24"/>
          <w:szCs w:val="24"/>
          <w:highlight w:val="none"/>
        </w:rPr>
        <w:t>资金来源</w:t>
      </w:r>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r>
        <w:rPr>
          <w:rFonts w:hint="eastAsia" w:ascii="宋体" w:hAnsi="宋体" w:eastAsia="宋体" w:cs="宋体"/>
          <w:color w:val="000000"/>
          <w:sz w:val="24"/>
          <w:szCs w:val="24"/>
          <w:highlight w:val="none"/>
        </w:rPr>
        <w:t>、项目属性、科研仪器设备采购</w:t>
      </w:r>
    </w:p>
    <w:p w14:paraId="69C4A35C">
      <w:pPr>
        <w:numPr>
          <w:ilvl w:val="1"/>
          <w:numId w:val="8"/>
        </w:numPr>
        <w:tabs>
          <w:tab w:val="left" w:pos="1080"/>
          <w:tab w:val="left" w:pos="2014"/>
        </w:tabs>
        <w:spacing w:line="360" w:lineRule="auto"/>
        <w:ind w:left="1080" w:hanging="7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资金来源为财政性资金和/或本项目采购中无法与财政性资金分割的非财政性资金。</w:t>
      </w:r>
    </w:p>
    <w:p w14:paraId="25718D2A">
      <w:pPr>
        <w:numPr>
          <w:ilvl w:val="1"/>
          <w:numId w:val="8"/>
        </w:numPr>
        <w:tabs>
          <w:tab w:val="left" w:pos="1080"/>
          <w:tab w:val="left" w:pos="2014"/>
        </w:tabs>
        <w:spacing w:line="360" w:lineRule="auto"/>
        <w:ind w:left="1080" w:hanging="7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项目属性见《供应商须知资料表》。</w:t>
      </w:r>
    </w:p>
    <w:p w14:paraId="28B24C1E">
      <w:pPr>
        <w:numPr>
          <w:ilvl w:val="1"/>
          <w:numId w:val="8"/>
        </w:numPr>
        <w:tabs>
          <w:tab w:val="left" w:pos="1080"/>
          <w:tab w:val="left" w:pos="2014"/>
        </w:tabs>
        <w:spacing w:line="360" w:lineRule="auto"/>
        <w:ind w:left="1080" w:hanging="7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是否属于科研仪器设备采购见《供应商须知资料表》。</w:t>
      </w:r>
    </w:p>
    <w:p w14:paraId="0D445122">
      <w:pPr>
        <w:numPr>
          <w:ilvl w:val="0"/>
          <w:numId w:val="8"/>
        </w:numPr>
        <w:tabs>
          <w:tab w:val="left" w:pos="360"/>
        </w:tabs>
        <w:spacing w:line="360" w:lineRule="auto"/>
        <w:ind w:left="357" w:hanging="357"/>
        <w:outlineLvl w:val="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现场考察、</w:t>
      </w:r>
      <w:r>
        <w:rPr>
          <w:rFonts w:hint="eastAsia" w:ascii="宋体" w:hAnsi="宋体" w:eastAsia="宋体" w:cs="宋体"/>
          <w:color w:val="000000"/>
          <w:sz w:val="24"/>
          <w:szCs w:val="24"/>
          <w:highlight w:val="none"/>
          <w:lang w:val="en-US" w:eastAsia="zh-CN"/>
        </w:rPr>
        <w:t>开标</w:t>
      </w:r>
      <w:r>
        <w:rPr>
          <w:rFonts w:hint="eastAsia" w:ascii="宋体" w:hAnsi="宋体" w:eastAsia="宋体" w:cs="宋体"/>
          <w:color w:val="000000"/>
          <w:sz w:val="24"/>
          <w:szCs w:val="24"/>
          <w:highlight w:val="none"/>
        </w:rPr>
        <w:t>前答疑会</w:t>
      </w:r>
    </w:p>
    <w:p w14:paraId="67796529">
      <w:pPr>
        <w:numPr>
          <w:ilvl w:val="1"/>
          <w:numId w:val="8"/>
        </w:numPr>
        <w:tabs>
          <w:tab w:val="left" w:pos="1080"/>
          <w:tab w:val="left" w:pos="2014"/>
        </w:tabs>
        <w:spacing w:line="360" w:lineRule="auto"/>
        <w:ind w:left="1080" w:hanging="7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若《供应商须知资料表》中规定了组织现场考察、召开</w:t>
      </w:r>
      <w:r>
        <w:rPr>
          <w:rFonts w:hint="eastAsia" w:ascii="宋体" w:hAnsi="宋体" w:eastAsia="宋体" w:cs="宋体"/>
          <w:color w:val="000000"/>
          <w:sz w:val="24"/>
          <w:szCs w:val="24"/>
          <w:highlight w:val="none"/>
          <w:lang w:val="en-US" w:eastAsia="zh-CN"/>
        </w:rPr>
        <w:t>开标</w:t>
      </w:r>
      <w:r>
        <w:rPr>
          <w:rFonts w:hint="eastAsia" w:ascii="宋体" w:hAnsi="宋体" w:eastAsia="宋体" w:cs="宋体"/>
          <w:color w:val="000000"/>
          <w:sz w:val="24"/>
          <w:szCs w:val="24"/>
          <w:highlight w:val="none"/>
        </w:rPr>
        <w:t>前答疑会，则供应商应按要求在规定的时间和地点参加。</w:t>
      </w:r>
      <w:bookmarkStart w:id="129" w:name="_Toc151193836"/>
      <w:bookmarkStart w:id="130" w:name="_Toc142311024"/>
      <w:bookmarkStart w:id="131" w:name="_Toc151190149"/>
      <w:bookmarkStart w:id="132" w:name="_Toc150509273"/>
      <w:bookmarkStart w:id="133" w:name="_Toc195842887"/>
      <w:bookmarkStart w:id="134" w:name="_Toc226309766"/>
      <w:bookmarkStart w:id="135" w:name="_Toc520356146"/>
      <w:bookmarkStart w:id="136" w:name="_Toc150480760"/>
      <w:bookmarkStart w:id="137" w:name="_Toc151193910"/>
      <w:bookmarkStart w:id="138" w:name="_Toc265228360"/>
      <w:bookmarkStart w:id="139" w:name="_Toc264969212"/>
      <w:bookmarkStart w:id="140" w:name="_Toc226965712"/>
      <w:bookmarkStart w:id="141" w:name="_Toc151193764"/>
      <w:bookmarkStart w:id="142" w:name="_Toc151193692"/>
      <w:bookmarkStart w:id="143" w:name="_Toc127151522"/>
      <w:bookmarkStart w:id="144" w:name="_Toc305158864"/>
      <w:bookmarkStart w:id="145" w:name="_Toc226337218"/>
      <w:bookmarkStart w:id="146" w:name="_Toc151193620"/>
      <w:bookmarkStart w:id="147" w:name="_Toc150774727"/>
      <w:bookmarkStart w:id="148" w:name="_Toc150774622"/>
      <w:bookmarkStart w:id="149" w:name="_Toc226965795"/>
      <w:bookmarkStart w:id="150" w:name="_Toc305158790"/>
    </w:p>
    <w:p w14:paraId="799A7398">
      <w:pPr>
        <w:numPr>
          <w:ilvl w:val="1"/>
          <w:numId w:val="8"/>
        </w:numPr>
        <w:tabs>
          <w:tab w:val="left" w:pos="1080"/>
          <w:tab w:val="left" w:pos="2014"/>
        </w:tabs>
        <w:spacing w:line="360" w:lineRule="auto"/>
        <w:ind w:left="1080" w:hanging="7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由于未参加现场考察或</w:t>
      </w:r>
      <w:r>
        <w:rPr>
          <w:rFonts w:hint="eastAsia" w:ascii="宋体" w:hAnsi="宋体" w:eastAsia="宋体" w:cs="宋体"/>
          <w:color w:val="000000"/>
          <w:sz w:val="24"/>
          <w:szCs w:val="24"/>
          <w:highlight w:val="none"/>
          <w:lang w:val="en-US" w:eastAsia="zh-CN"/>
        </w:rPr>
        <w:t>开标</w:t>
      </w:r>
      <w:r>
        <w:rPr>
          <w:rFonts w:hint="eastAsia" w:ascii="宋体" w:hAnsi="宋体" w:eastAsia="宋体" w:cs="宋体"/>
          <w:color w:val="000000"/>
          <w:sz w:val="24"/>
          <w:szCs w:val="24"/>
          <w:highlight w:val="none"/>
        </w:rPr>
        <w:t>前答疑会而导致对项目实际情况不了解，影响响应文件编制、报价准确性、综合因素响应不全面等问题的，由供应商自行承担不利评审后果。</w:t>
      </w:r>
    </w:p>
    <w:p w14:paraId="2B58A60C">
      <w:pPr>
        <w:numPr>
          <w:ilvl w:val="0"/>
          <w:numId w:val="8"/>
        </w:numPr>
        <w:tabs>
          <w:tab w:val="left" w:pos="360"/>
        </w:tabs>
        <w:spacing w:line="360" w:lineRule="auto"/>
        <w:ind w:left="357" w:hanging="357"/>
        <w:outlineLvl w:val="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政府采购政策（包括但不限于下列具体政策要求）</w:t>
      </w:r>
    </w:p>
    <w:p w14:paraId="5D03B09F">
      <w:pPr>
        <w:numPr>
          <w:ilvl w:val="1"/>
          <w:numId w:val="8"/>
        </w:numPr>
        <w:tabs>
          <w:tab w:val="left" w:pos="1080"/>
          <w:tab w:val="left" w:pos="2014"/>
        </w:tabs>
        <w:spacing w:line="360" w:lineRule="auto"/>
        <w:ind w:left="1080" w:hanging="7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进口产品</w:t>
      </w:r>
    </w:p>
    <w:p w14:paraId="3432F323">
      <w:pPr>
        <w:numPr>
          <w:ilvl w:val="0"/>
          <w:numId w:val="0"/>
        </w:numPr>
        <w:tabs>
          <w:tab w:val="left" w:pos="1080"/>
          <w:tab w:val="left" w:pos="2014"/>
        </w:tabs>
        <w:spacing w:line="360" w:lineRule="auto"/>
        <w:ind w:left="360" w:firstLine="720"/>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本项目不适用。</w:t>
      </w:r>
    </w:p>
    <w:p w14:paraId="68921F57">
      <w:pPr>
        <w:numPr>
          <w:ilvl w:val="1"/>
          <w:numId w:val="8"/>
        </w:numPr>
        <w:tabs>
          <w:tab w:val="left" w:pos="1080"/>
          <w:tab w:val="left" w:pos="2014"/>
        </w:tabs>
        <w:spacing w:line="360" w:lineRule="auto"/>
        <w:ind w:left="1080" w:hanging="7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中小企业、监狱企业及残疾人福利性单位</w:t>
      </w:r>
    </w:p>
    <w:p w14:paraId="566E040B">
      <w:pPr>
        <w:numPr>
          <w:ilvl w:val="2"/>
          <w:numId w:val="8"/>
        </w:num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中小企业定义：</w:t>
      </w:r>
    </w:p>
    <w:p w14:paraId="7A60264F">
      <w:pPr>
        <w:pStyle w:val="278"/>
        <w:numPr>
          <w:ilvl w:val="0"/>
          <w:numId w:val="9"/>
        </w:numPr>
        <w:tabs>
          <w:tab w:val="left" w:pos="1980"/>
          <w:tab w:val="left" w:pos="2035"/>
          <w:tab w:val="left" w:pos="2977"/>
        </w:tabs>
        <w:spacing w:line="360" w:lineRule="auto"/>
        <w:rPr>
          <w:rFonts w:hint="eastAsia" w:ascii="宋体" w:hAnsi="宋体" w:eastAsia="宋体" w:cs="宋体"/>
          <w:vanish/>
          <w:color w:val="000000"/>
          <w:sz w:val="24"/>
          <w:szCs w:val="24"/>
          <w:highlight w:val="none"/>
        </w:rPr>
      </w:pPr>
    </w:p>
    <w:p w14:paraId="0BCCDEBC">
      <w:pPr>
        <w:pStyle w:val="278"/>
        <w:numPr>
          <w:ilvl w:val="0"/>
          <w:numId w:val="9"/>
        </w:numPr>
        <w:tabs>
          <w:tab w:val="left" w:pos="1980"/>
          <w:tab w:val="left" w:pos="2035"/>
          <w:tab w:val="left" w:pos="2977"/>
        </w:tabs>
        <w:spacing w:line="360" w:lineRule="auto"/>
        <w:rPr>
          <w:rFonts w:hint="eastAsia" w:ascii="宋体" w:hAnsi="宋体" w:eastAsia="宋体" w:cs="宋体"/>
          <w:vanish/>
          <w:color w:val="000000"/>
          <w:sz w:val="24"/>
          <w:szCs w:val="24"/>
          <w:highlight w:val="none"/>
        </w:rPr>
      </w:pPr>
    </w:p>
    <w:p w14:paraId="2F87AEE7">
      <w:pPr>
        <w:pStyle w:val="278"/>
        <w:numPr>
          <w:ilvl w:val="0"/>
          <w:numId w:val="9"/>
        </w:numPr>
        <w:tabs>
          <w:tab w:val="left" w:pos="1980"/>
          <w:tab w:val="left" w:pos="2035"/>
          <w:tab w:val="left" w:pos="2977"/>
        </w:tabs>
        <w:spacing w:line="360" w:lineRule="auto"/>
        <w:rPr>
          <w:rFonts w:hint="eastAsia" w:ascii="宋体" w:hAnsi="宋体" w:eastAsia="宋体" w:cs="宋体"/>
          <w:vanish/>
          <w:color w:val="000000"/>
          <w:sz w:val="24"/>
          <w:szCs w:val="24"/>
          <w:highlight w:val="none"/>
        </w:rPr>
      </w:pPr>
    </w:p>
    <w:p w14:paraId="26323D63">
      <w:pPr>
        <w:pStyle w:val="278"/>
        <w:numPr>
          <w:ilvl w:val="0"/>
          <w:numId w:val="9"/>
        </w:numPr>
        <w:tabs>
          <w:tab w:val="left" w:pos="1980"/>
          <w:tab w:val="left" w:pos="2035"/>
          <w:tab w:val="left" w:pos="2977"/>
        </w:tabs>
        <w:spacing w:line="360" w:lineRule="auto"/>
        <w:rPr>
          <w:rFonts w:hint="eastAsia" w:ascii="宋体" w:hAnsi="宋体" w:eastAsia="宋体" w:cs="宋体"/>
          <w:vanish/>
          <w:color w:val="000000"/>
          <w:sz w:val="24"/>
          <w:szCs w:val="24"/>
          <w:highlight w:val="none"/>
        </w:rPr>
      </w:pPr>
    </w:p>
    <w:p w14:paraId="7B233CD9">
      <w:pPr>
        <w:pStyle w:val="278"/>
        <w:numPr>
          <w:ilvl w:val="1"/>
          <w:numId w:val="9"/>
        </w:numPr>
        <w:tabs>
          <w:tab w:val="left" w:pos="1980"/>
          <w:tab w:val="left" w:pos="2035"/>
          <w:tab w:val="left" w:pos="2977"/>
        </w:tabs>
        <w:spacing w:line="360" w:lineRule="auto"/>
        <w:rPr>
          <w:rFonts w:hint="eastAsia" w:ascii="宋体" w:hAnsi="宋体" w:eastAsia="宋体" w:cs="宋体"/>
          <w:vanish/>
          <w:color w:val="000000"/>
          <w:sz w:val="24"/>
          <w:szCs w:val="24"/>
          <w:highlight w:val="none"/>
        </w:rPr>
      </w:pPr>
    </w:p>
    <w:p w14:paraId="13704606">
      <w:pPr>
        <w:pStyle w:val="278"/>
        <w:numPr>
          <w:ilvl w:val="1"/>
          <w:numId w:val="9"/>
        </w:numPr>
        <w:tabs>
          <w:tab w:val="left" w:pos="1980"/>
          <w:tab w:val="left" w:pos="2035"/>
          <w:tab w:val="left" w:pos="2977"/>
        </w:tabs>
        <w:spacing w:line="360" w:lineRule="auto"/>
        <w:rPr>
          <w:rFonts w:hint="eastAsia" w:ascii="宋体" w:hAnsi="宋体" w:eastAsia="宋体" w:cs="宋体"/>
          <w:vanish/>
          <w:color w:val="000000"/>
          <w:sz w:val="24"/>
          <w:szCs w:val="24"/>
          <w:highlight w:val="none"/>
        </w:rPr>
      </w:pPr>
    </w:p>
    <w:p w14:paraId="34364A6B">
      <w:pPr>
        <w:pStyle w:val="278"/>
        <w:numPr>
          <w:ilvl w:val="2"/>
          <w:numId w:val="9"/>
        </w:numPr>
        <w:tabs>
          <w:tab w:val="left" w:pos="2035"/>
          <w:tab w:val="left" w:pos="2977"/>
        </w:tabs>
        <w:spacing w:line="360" w:lineRule="auto"/>
        <w:rPr>
          <w:rFonts w:hint="eastAsia" w:ascii="宋体" w:hAnsi="宋体" w:eastAsia="宋体" w:cs="宋体"/>
          <w:vanish/>
          <w:color w:val="000000"/>
          <w:sz w:val="24"/>
          <w:szCs w:val="24"/>
          <w:highlight w:val="none"/>
        </w:rPr>
      </w:pPr>
    </w:p>
    <w:p w14:paraId="12E7BC0C">
      <w:pPr>
        <w:numPr>
          <w:ilvl w:val="3"/>
          <w:numId w:val="9"/>
        </w:numPr>
        <w:tabs>
          <w:tab w:val="left" w:pos="1980"/>
          <w:tab w:val="left" w:pos="2035"/>
          <w:tab w:val="left" w:pos="2885"/>
          <w:tab w:val="left" w:pos="2977"/>
        </w:tabs>
        <w:spacing w:line="360" w:lineRule="auto"/>
        <w:ind w:left="288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06BBF117">
      <w:pPr>
        <w:numPr>
          <w:ilvl w:val="3"/>
          <w:numId w:val="9"/>
        </w:numPr>
        <w:tabs>
          <w:tab w:val="left" w:pos="1980"/>
          <w:tab w:val="left" w:pos="2035"/>
          <w:tab w:val="left" w:pos="2885"/>
          <w:tab w:val="left" w:pos="2977"/>
        </w:tabs>
        <w:spacing w:line="360" w:lineRule="auto"/>
        <w:ind w:left="288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供应商提供的货物、工程或者服务符合下列情形的，享受中小企业扶持政策：</w:t>
      </w:r>
    </w:p>
    <w:p w14:paraId="231C50C2">
      <w:pPr>
        <w:tabs>
          <w:tab w:val="left" w:pos="1980"/>
        </w:tabs>
        <w:spacing w:line="360" w:lineRule="auto"/>
        <w:ind w:left="283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（1）在货物采购项目中，货物由中小企业制造，即货物由中小企业生产且使用该中小企业商号或者注册商标；</w:t>
      </w:r>
    </w:p>
    <w:p w14:paraId="7929603B">
      <w:pPr>
        <w:tabs>
          <w:tab w:val="left" w:pos="1980"/>
        </w:tabs>
        <w:spacing w:line="360" w:lineRule="auto"/>
        <w:ind w:left="283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（2）在工程采购项目中，工程由中小企业承建，即工程施工单位为中小企业；</w:t>
      </w:r>
    </w:p>
    <w:p w14:paraId="1A02F95B">
      <w:pPr>
        <w:tabs>
          <w:tab w:val="left" w:pos="1980"/>
        </w:tabs>
        <w:spacing w:line="360" w:lineRule="auto"/>
        <w:ind w:left="283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（3）在服务采购项目中，服务由中小企业承接，即提供服务的人员为中小企业依照《中华人民共和国劳动合同法》订立劳动合同的从业人员。</w:t>
      </w:r>
    </w:p>
    <w:p w14:paraId="7EF17E32">
      <w:pPr>
        <w:numPr>
          <w:ilvl w:val="3"/>
          <w:numId w:val="9"/>
        </w:numPr>
        <w:tabs>
          <w:tab w:val="left" w:pos="1980"/>
          <w:tab w:val="left" w:pos="2035"/>
          <w:tab w:val="left" w:pos="2885"/>
          <w:tab w:val="left" w:pos="2977"/>
        </w:tabs>
        <w:spacing w:line="360" w:lineRule="auto"/>
        <w:ind w:left="288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在货物采购项目中，供应商提供的货物既有中小企业制造货物，也有大型企业制造货物的，不享受中小企业扶持政策。</w:t>
      </w:r>
    </w:p>
    <w:p w14:paraId="0931EB1A">
      <w:pPr>
        <w:numPr>
          <w:ilvl w:val="3"/>
          <w:numId w:val="9"/>
        </w:numPr>
        <w:tabs>
          <w:tab w:val="left" w:pos="1980"/>
          <w:tab w:val="left" w:pos="2035"/>
          <w:tab w:val="left" w:pos="2885"/>
          <w:tab w:val="left" w:pos="2977"/>
        </w:tabs>
        <w:spacing w:line="360" w:lineRule="auto"/>
        <w:ind w:left="288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以联合体形式参加政府采购活动，联合体各方均为中小企业的，联合体视同中小企业。其中，联合体各方均为小微企业的，联合体视同小微企业。</w:t>
      </w:r>
    </w:p>
    <w:p w14:paraId="0D5C80E0">
      <w:pPr>
        <w:numPr>
          <w:ilvl w:val="2"/>
          <w:numId w:val="8"/>
        </w:num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38900E0">
      <w:pPr>
        <w:numPr>
          <w:ilvl w:val="2"/>
          <w:numId w:val="8"/>
        </w:num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残疾人福利单位定义：享受政府采购支持政策的残疾人</w:t>
      </w:r>
      <w:r>
        <w:rPr>
          <w:rFonts w:hint="eastAsia" w:ascii="宋体" w:hAnsi="宋体" w:eastAsia="宋体" w:cs="宋体"/>
          <w:color w:val="000000"/>
          <w:sz w:val="24"/>
          <w:szCs w:val="24"/>
          <w:highlight w:val="none"/>
          <w:lang w:eastAsia="zh-CN"/>
        </w:rPr>
        <w:t>福利</w:t>
      </w:r>
      <w:r>
        <w:rPr>
          <w:rFonts w:hint="eastAsia" w:ascii="宋体" w:hAnsi="宋体" w:eastAsia="宋体" w:cs="宋体"/>
          <w:color w:val="000000"/>
          <w:sz w:val="24"/>
          <w:szCs w:val="24"/>
          <w:highlight w:val="none"/>
        </w:rPr>
        <w:t>单位应当同时满足以下条件：</w:t>
      </w:r>
    </w:p>
    <w:p w14:paraId="0808C382">
      <w:pPr>
        <w:pStyle w:val="278"/>
        <w:numPr>
          <w:ilvl w:val="2"/>
          <w:numId w:val="9"/>
        </w:numPr>
        <w:tabs>
          <w:tab w:val="left" w:pos="2035"/>
          <w:tab w:val="left" w:pos="2977"/>
        </w:tabs>
        <w:spacing w:line="360" w:lineRule="auto"/>
        <w:rPr>
          <w:rFonts w:hint="eastAsia" w:ascii="宋体" w:hAnsi="宋体" w:eastAsia="宋体" w:cs="宋体"/>
          <w:vanish/>
          <w:color w:val="000000"/>
          <w:sz w:val="24"/>
          <w:szCs w:val="24"/>
          <w:highlight w:val="none"/>
        </w:rPr>
      </w:pPr>
    </w:p>
    <w:p w14:paraId="46E42147">
      <w:pPr>
        <w:pStyle w:val="278"/>
        <w:numPr>
          <w:ilvl w:val="2"/>
          <w:numId w:val="9"/>
        </w:numPr>
        <w:tabs>
          <w:tab w:val="left" w:pos="2035"/>
          <w:tab w:val="left" w:pos="2977"/>
        </w:tabs>
        <w:spacing w:line="360" w:lineRule="auto"/>
        <w:rPr>
          <w:rFonts w:hint="eastAsia" w:ascii="宋体" w:hAnsi="宋体" w:eastAsia="宋体" w:cs="宋体"/>
          <w:vanish/>
          <w:color w:val="000000"/>
          <w:sz w:val="24"/>
          <w:szCs w:val="24"/>
          <w:highlight w:val="none"/>
        </w:rPr>
      </w:pPr>
    </w:p>
    <w:p w14:paraId="4FC7A29F">
      <w:pPr>
        <w:numPr>
          <w:ilvl w:val="3"/>
          <w:numId w:val="9"/>
        </w:numPr>
        <w:tabs>
          <w:tab w:val="left" w:pos="1980"/>
          <w:tab w:val="left" w:pos="2035"/>
          <w:tab w:val="left" w:pos="2885"/>
          <w:tab w:val="left" w:pos="2977"/>
        </w:tabs>
        <w:spacing w:line="360" w:lineRule="auto"/>
        <w:ind w:left="288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安置的残疾人占本单位在职职工人数的比例不低于25%（含25%），并且安置的残疾人人数不少于10 人（含10 人）；</w:t>
      </w:r>
    </w:p>
    <w:p w14:paraId="2EFC61C6">
      <w:pPr>
        <w:numPr>
          <w:ilvl w:val="3"/>
          <w:numId w:val="9"/>
        </w:numPr>
        <w:tabs>
          <w:tab w:val="left" w:pos="1980"/>
          <w:tab w:val="left" w:pos="2035"/>
          <w:tab w:val="left" w:pos="2885"/>
          <w:tab w:val="left" w:pos="2977"/>
        </w:tabs>
        <w:spacing w:line="360" w:lineRule="auto"/>
        <w:ind w:left="288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依法与安置的每位残疾人签订了一年以上（含一年）的劳动合同或服务协议；</w:t>
      </w:r>
    </w:p>
    <w:p w14:paraId="4540D2F8">
      <w:pPr>
        <w:numPr>
          <w:ilvl w:val="3"/>
          <w:numId w:val="9"/>
        </w:numPr>
        <w:tabs>
          <w:tab w:val="left" w:pos="1980"/>
          <w:tab w:val="left" w:pos="2035"/>
          <w:tab w:val="left" w:pos="2885"/>
          <w:tab w:val="left" w:pos="2977"/>
        </w:tabs>
        <w:spacing w:line="360" w:lineRule="auto"/>
        <w:ind w:left="288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为安置的每位残疾人按月足额缴纳了基本养老保险、基本医疗保险、失业保险、工伤保险和生育保险等社会保险费；</w:t>
      </w:r>
    </w:p>
    <w:p w14:paraId="63549663">
      <w:pPr>
        <w:numPr>
          <w:ilvl w:val="3"/>
          <w:numId w:val="9"/>
        </w:numPr>
        <w:tabs>
          <w:tab w:val="left" w:pos="1980"/>
          <w:tab w:val="left" w:pos="2035"/>
          <w:tab w:val="left" w:pos="2885"/>
          <w:tab w:val="left" w:pos="2977"/>
        </w:tabs>
        <w:spacing w:line="360" w:lineRule="auto"/>
        <w:ind w:left="288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通过银行等金融机构向安置的每位残疾人，按月支付了不低于单位所在区县适用的经省级人民政府批准的月最低工资标准的工资；</w:t>
      </w:r>
    </w:p>
    <w:p w14:paraId="1E19DCF7">
      <w:pPr>
        <w:numPr>
          <w:ilvl w:val="3"/>
          <w:numId w:val="9"/>
        </w:numPr>
        <w:tabs>
          <w:tab w:val="left" w:pos="1980"/>
          <w:tab w:val="left" w:pos="2035"/>
          <w:tab w:val="left" w:pos="2885"/>
          <w:tab w:val="left" w:pos="2977"/>
        </w:tabs>
        <w:spacing w:line="360" w:lineRule="auto"/>
        <w:ind w:left="288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提供本单位制造的货物、承担的工程或者服务（以下简称产品），或者提供其他残疾人福利性单位制造的货物（不包括使用非残疾人福利性单位注册商标的货物）；</w:t>
      </w:r>
    </w:p>
    <w:p w14:paraId="42D78A6B">
      <w:pPr>
        <w:numPr>
          <w:ilvl w:val="3"/>
          <w:numId w:val="9"/>
        </w:numPr>
        <w:tabs>
          <w:tab w:val="left" w:pos="1980"/>
          <w:tab w:val="left" w:pos="2035"/>
          <w:tab w:val="left" w:pos="2885"/>
          <w:tab w:val="left" w:pos="2977"/>
        </w:tabs>
        <w:spacing w:line="360" w:lineRule="auto"/>
        <w:ind w:left="288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76C1D84B">
      <w:pPr>
        <w:numPr>
          <w:ilvl w:val="2"/>
          <w:numId w:val="8"/>
        </w:num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本项目是否专门面向中小企业预留采购份额见第一章《采购邀请》。</w:t>
      </w:r>
    </w:p>
    <w:p w14:paraId="3A0C3118">
      <w:pPr>
        <w:numPr>
          <w:ilvl w:val="2"/>
          <w:numId w:val="8"/>
        </w:num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采购标的对应的中小企业划分标准所属行业见《供应商须知资料表》。</w:t>
      </w:r>
    </w:p>
    <w:p w14:paraId="4958A1D6">
      <w:pPr>
        <w:numPr>
          <w:ilvl w:val="2"/>
          <w:numId w:val="8"/>
        </w:num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小微企业价格评审优惠的政策调整：见第三章《评审方法和评审标准》。</w:t>
      </w:r>
    </w:p>
    <w:p w14:paraId="630CD687">
      <w:pPr>
        <w:numPr>
          <w:ilvl w:val="1"/>
          <w:numId w:val="8"/>
        </w:numPr>
        <w:tabs>
          <w:tab w:val="left" w:pos="1080"/>
          <w:tab w:val="left" w:pos="2014"/>
        </w:tabs>
        <w:spacing w:line="360" w:lineRule="auto"/>
        <w:ind w:left="1080" w:hanging="7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政府采购节能产品、环境标志产品</w:t>
      </w:r>
    </w:p>
    <w:p w14:paraId="599F68B9">
      <w:pPr>
        <w:numPr>
          <w:ilvl w:val="2"/>
          <w:numId w:val="8"/>
        </w:num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296623E0">
      <w:pPr>
        <w:numPr>
          <w:ilvl w:val="2"/>
          <w:numId w:val="8"/>
        </w:num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498CAE96">
      <w:pPr>
        <w:numPr>
          <w:ilvl w:val="2"/>
          <w:numId w:val="8"/>
        </w:num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如本项目采购产品属于实施政府强制采购品目清单范围的节能产品，则供应商所报产品必须获得国家确定的认证机构出具的、处于有效期之内的节能产品认证证书，否则</w:t>
      </w:r>
      <w:r>
        <w:rPr>
          <w:rFonts w:hint="eastAsia" w:ascii="宋体" w:hAnsi="宋体" w:eastAsia="宋体" w:cs="宋体"/>
          <w:b/>
          <w:color w:val="000000"/>
          <w:sz w:val="24"/>
          <w:szCs w:val="24"/>
          <w:highlight w:val="none"/>
        </w:rPr>
        <w:t>响应无效</w:t>
      </w:r>
      <w:r>
        <w:rPr>
          <w:rFonts w:hint="eastAsia" w:ascii="宋体" w:hAnsi="宋体" w:eastAsia="宋体" w:cs="宋体"/>
          <w:color w:val="000000"/>
          <w:sz w:val="24"/>
          <w:szCs w:val="24"/>
          <w:highlight w:val="none"/>
        </w:rPr>
        <w:t>；</w:t>
      </w:r>
    </w:p>
    <w:p w14:paraId="4DFE033D">
      <w:pPr>
        <w:numPr>
          <w:ilvl w:val="2"/>
          <w:numId w:val="8"/>
        </w:num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非政府强制采购的节能产品或环境标志产品，依据品目清单和认证证书实施政府优先采购。优先采购的具体规定见第三章《评审方法和评审标准》（如涉及）。</w:t>
      </w:r>
    </w:p>
    <w:p w14:paraId="765E379B">
      <w:pPr>
        <w:numPr>
          <w:ilvl w:val="2"/>
          <w:numId w:val="8"/>
        </w:numPr>
        <w:tabs>
          <w:tab w:val="left" w:pos="2014"/>
        </w:tabs>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14:paraId="535283E3">
      <w:pPr>
        <w:numPr>
          <w:ilvl w:val="1"/>
          <w:numId w:val="8"/>
        </w:numPr>
        <w:tabs>
          <w:tab w:val="left" w:pos="1080"/>
          <w:tab w:val="left" w:pos="2014"/>
        </w:tabs>
        <w:spacing w:line="360" w:lineRule="auto"/>
        <w:ind w:left="1080" w:hanging="7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支持乡村产业振兴管理</w:t>
      </w:r>
    </w:p>
    <w:p w14:paraId="09754474">
      <w:pPr>
        <w:numPr>
          <w:ilvl w:val="2"/>
          <w:numId w:val="8"/>
        </w:numPr>
        <w:tabs>
          <w:tab w:val="left" w:pos="2014"/>
        </w:tabs>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为落实《关于运用政府采购政策支持乡村产业振兴的通知》（财库〔2021〕19号）有关要求，做好支持脱贫攻坚工作，本项目采购活动中对于支持乡村振兴管理的相关要求见第四章《采购需求》（如涉及）。</w:t>
      </w:r>
    </w:p>
    <w:p w14:paraId="3CBDD59D">
      <w:pPr>
        <w:numPr>
          <w:ilvl w:val="1"/>
          <w:numId w:val="8"/>
        </w:numPr>
        <w:tabs>
          <w:tab w:val="left" w:pos="1080"/>
          <w:tab w:val="left" w:pos="2014"/>
        </w:tabs>
        <w:spacing w:line="360" w:lineRule="auto"/>
        <w:ind w:left="1080" w:hanging="7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正版软件</w:t>
      </w:r>
    </w:p>
    <w:p w14:paraId="2EFD0F3E">
      <w:pPr>
        <w:numPr>
          <w:ilvl w:val="2"/>
          <w:numId w:val="8"/>
        </w:num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w:t>
      </w:r>
      <w:r>
        <w:rPr>
          <w:rFonts w:hint="eastAsia" w:ascii="宋体" w:hAnsi="宋体" w:eastAsia="宋体" w:cs="宋体"/>
          <w:b/>
          <w:color w:val="000000"/>
          <w:sz w:val="24"/>
          <w:szCs w:val="24"/>
          <w:highlight w:val="none"/>
        </w:rPr>
        <w:t>响应无效</w:t>
      </w:r>
      <w:r>
        <w:rPr>
          <w:rFonts w:hint="eastAsia" w:ascii="宋体" w:hAnsi="宋体" w:eastAsia="宋体" w:cs="宋体"/>
          <w:color w:val="000000"/>
          <w:sz w:val="24"/>
          <w:szCs w:val="24"/>
          <w:highlight w:val="none"/>
        </w:rPr>
        <w:t>。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010B0932">
      <w:pPr>
        <w:numPr>
          <w:ilvl w:val="2"/>
          <w:numId w:val="8"/>
        </w:num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21F15AB6">
      <w:pPr>
        <w:numPr>
          <w:ilvl w:val="1"/>
          <w:numId w:val="8"/>
        </w:numPr>
        <w:tabs>
          <w:tab w:val="left" w:pos="1080"/>
          <w:tab w:val="left" w:pos="2014"/>
        </w:tabs>
        <w:spacing w:line="360" w:lineRule="auto"/>
        <w:ind w:left="1080" w:hanging="720"/>
        <w:rPr>
          <w:rFonts w:hint="eastAsia"/>
          <w:sz w:val="24"/>
        </w:rPr>
      </w:pPr>
      <w:bookmarkStart w:id="151" w:name="_1.8_计量单位"/>
      <w:bookmarkEnd w:id="151"/>
      <w:r>
        <w:rPr>
          <w:rFonts w:hint="eastAsia"/>
          <w:sz w:val="24"/>
        </w:rPr>
        <w:t>政府采购创新产品政策</w:t>
      </w:r>
    </w:p>
    <w:p w14:paraId="661A00EF">
      <w:pPr>
        <w:numPr>
          <w:ilvl w:val="2"/>
          <w:numId w:val="8"/>
        </w:numPr>
        <w:tabs>
          <w:tab w:val="left" w:pos="2014"/>
        </w:tabs>
        <w:spacing w:line="360" w:lineRule="auto"/>
        <w:rPr>
          <w:rFonts w:hint="eastAsia"/>
          <w:sz w:val="24"/>
        </w:rPr>
      </w:pPr>
      <w:r>
        <w:rPr>
          <w:rFonts w:hint="eastAsia"/>
          <w:sz w:val="24"/>
        </w:rPr>
        <w:t>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14:paraId="41C58BC4">
      <w:pPr>
        <w:spacing w:line="480" w:lineRule="exact"/>
        <w:ind w:firstLine="360"/>
        <w:rPr>
          <w:sz w:val="24"/>
        </w:rPr>
      </w:pPr>
      <w:r>
        <w:rPr>
          <w:rFonts w:hint="eastAsia"/>
          <w:sz w:val="24"/>
        </w:rPr>
        <w:t>4.7 绿色采购政策</w:t>
      </w:r>
    </w:p>
    <w:p w14:paraId="20C2A5B2">
      <w:pPr>
        <w:spacing w:line="480" w:lineRule="exact"/>
        <w:ind w:left="900"/>
        <w:rPr>
          <w:rFonts w:ascii="宋体" w:hAnsi="宋体"/>
          <w:b/>
          <w:sz w:val="24"/>
        </w:rPr>
      </w:pPr>
      <w:r>
        <w:rPr>
          <w:rFonts w:hint="eastAsia"/>
          <w:sz w:val="24"/>
        </w:rPr>
        <w:t xml:space="preserve">4.7.1  </w:t>
      </w:r>
      <w:r>
        <w:rPr>
          <w:rFonts w:hint="eastAsia" w:ascii="宋体" w:hAnsi="宋体"/>
          <w:b w:val="0"/>
          <w:bCs/>
          <w:sz w:val="24"/>
        </w:rPr>
        <w:t>绿色数据中心政策</w:t>
      </w:r>
      <w:r>
        <w:rPr>
          <w:rFonts w:hint="eastAsia" w:ascii="宋体" w:hAnsi="宋体"/>
          <w:b/>
          <w:sz w:val="24"/>
        </w:rPr>
        <w:t xml:space="preserve"> </w:t>
      </w:r>
    </w:p>
    <w:p w14:paraId="018CACFD">
      <w:pPr>
        <w:spacing w:line="480" w:lineRule="exact"/>
        <w:ind w:left="900"/>
        <w:rPr>
          <w:rFonts w:ascii="宋体" w:hAnsi="宋体"/>
          <w:sz w:val="24"/>
        </w:rPr>
      </w:pPr>
      <w:r>
        <w:rPr>
          <w:rFonts w:hint="eastAsia" w:ascii="宋体" w:hAnsi="宋体"/>
          <w:sz w:val="24"/>
        </w:rPr>
        <w:t>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1040D553">
      <w:pPr>
        <w:spacing w:line="480" w:lineRule="exact"/>
        <w:ind w:left="900"/>
        <w:rPr>
          <w:rFonts w:ascii="宋体" w:hAnsi="宋体"/>
          <w:sz w:val="24"/>
        </w:rPr>
      </w:pPr>
      <w:r>
        <w:rPr>
          <w:rFonts w:hint="eastAsia" w:ascii="宋体" w:hAnsi="宋体"/>
          <w:sz w:val="24"/>
        </w:rPr>
        <w:t>4.7.2 推广应用绿色建材</w:t>
      </w:r>
    </w:p>
    <w:p w14:paraId="2DCD9EDB">
      <w:pPr>
        <w:spacing w:line="480" w:lineRule="exact"/>
        <w:ind w:left="900"/>
        <w:rPr>
          <w:rFonts w:ascii="宋体" w:hAnsi="宋体"/>
          <w:sz w:val="24"/>
        </w:rPr>
      </w:pPr>
      <w:r>
        <w:rPr>
          <w:rFonts w:hint="eastAsia" w:ascii="宋体" w:hAnsi="宋体"/>
          <w:sz w:val="24"/>
        </w:rPr>
        <w:t>采购人实施政府采购工程项目，要按照《常州市政府采购支持绿色建材促进建筑品质提升试点工作方案》（</w:t>
      </w:r>
      <w:r>
        <w:rPr>
          <w:rFonts w:hint="eastAsia"/>
          <w:sz w:val="24"/>
        </w:rPr>
        <w:t>常财购</w:t>
      </w:r>
      <w:r>
        <w:rPr>
          <w:sz w:val="24"/>
        </w:rPr>
        <w:t>〔20</w:t>
      </w:r>
      <w:r>
        <w:rPr>
          <w:rFonts w:hint="eastAsia"/>
          <w:sz w:val="24"/>
        </w:rPr>
        <w:t>23</w:t>
      </w:r>
      <w:r>
        <w:rPr>
          <w:sz w:val="24"/>
        </w:rPr>
        <w:t>〕</w:t>
      </w:r>
      <w:r>
        <w:rPr>
          <w:rFonts w:hint="eastAsia"/>
          <w:sz w:val="24"/>
        </w:rPr>
        <w:t>18</w:t>
      </w:r>
      <w:r>
        <w:rPr>
          <w:sz w:val="24"/>
        </w:rPr>
        <w:t xml:space="preserve"> 号</w:t>
      </w:r>
      <w:r>
        <w:rPr>
          <w:rFonts w:hint="eastAsia" w:ascii="宋体" w:hAnsi="宋体"/>
          <w:sz w:val="24"/>
        </w:rPr>
        <w:t>）总体要求，落实《绿色建筑和绿色建材政府采购需求标准》（</w:t>
      </w:r>
      <w:r>
        <w:rPr>
          <w:sz w:val="24"/>
        </w:rPr>
        <w:t>财库〔20</w:t>
      </w:r>
      <w:r>
        <w:rPr>
          <w:rFonts w:hint="eastAsia"/>
          <w:sz w:val="24"/>
        </w:rPr>
        <w:t>22</w:t>
      </w:r>
      <w:r>
        <w:rPr>
          <w:sz w:val="24"/>
        </w:rPr>
        <w:t>〕</w:t>
      </w:r>
      <w:r>
        <w:rPr>
          <w:rFonts w:hint="eastAsia"/>
          <w:sz w:val="24"/>
        </w:rPr>
        <w:t>35</w:t>
      </w:r>
      <w:r>
        <w:rPr>
          <w:sz w:val="24"/>
        </w:rPr>
        <w:t xml:space="preserve"> 号</w:t>
      </w:r>
      <w:r>
        <w:rPr>
          <w:rFonts w:hint="eastAsia" w:ascii="宋体" w:hAnsi="宋体"/>
          <w:sz w:val="24"/>
        </w:rPr>
        <w:t>）和《政府采购支持绿色建材促进建筑品质提升政策项目实施指南》（财办库</w:t>
      </w:r>
      <w:r>
        <w:rPr>
          <w:sz w:val="24"/>
        </w:rPr>
        <w:t>〔20</w:t>
      </w:r>
      <w:r>
        <w:rPr>
          <w:rFonts w:hint="eastAsia"/>
          <w:sz w:val="24"/>
        </w:rPr>
        <w:t>23</w:t>
      </w:r>
      <w:r>
        <w:rPr>
          <w:sz w:val="24"/>
        </w:rPr>
        <w:t>〕</w:t>
      </w:r>
      <w:r>
        <w:rPr>
          <w:rFonts w:hint="eastAsia"/>
          <w:sz w:val="24"/>
        </w:rPr>
        <w:t>52</w:t>
      </w:r>
      <w:r>
        <w:rPr>
          <w:sz w:val="24"/>
        </w:rPr>
        <w:t xml:space="preserve"> 号</w:t>
      </w:r>
      <w:r>
        <w:rPr>
          <w:rFonts w:hint="eastAsia" w:ascii="宋体" w:hAnsi="宋体"/>
          <w:sz w:val="24"/>
        </w:rPr>
        <w:t>）,依据相关需求标准确定采购需求，在采购文件和采购合同中载明具体需求、履约验收条款和违约责任。</w:t>
      </w:r>
    </w:p>
    <w:p w14:paraId="55CF6F58">
      <w:pPr>
        <w:spacing w:line="480" w:lineRule="exact"/>
        <w:ind w:left="900"/>
        <w:rPr>
          <w:rFonts w:ascii="宋体" w:hAnsi="宋体"/>
          <w:sz w:val="24"/>
        </w:rPr>
      </w:pPr>
      <w:r>
        <w:rPr>
          <w:rFonts w:hint="eastAsia" w:ascii="宋体" w:hAnsi="宋体"/>
          <w:sz w:val="24"/>
        </w:rPr>
        <w:t xml:space="preserve"> 4.7.3 优先使用低挥发性有机化合物产品</w:t>
      </w:r>
    </w:p>
    <w:p w14:paraId="490E92A8">
      <w:pPr>
        <w:tabs>
          <w:tab w:val="left" w:pos="2014"/>
        </w:tabs>
        <w:spacing w:line="360" w:lineRule="auto"/>
        <w:ind w:left="900"/>
        <w:rPr>
          <w:sz w:val="24"/>
        </w:rPr>
      </w:pPr>
      <w:r>
        <w:rPr>
          <w:rFonts w:hint="eastAsia" w:ascii="宋体" w:hAnsi="宋体"/>
          <w:sz w:val="24"/>
        </w:rPr>
        <w:t>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p>
    <w:p w14:paraId="7CAC9E62">
      <w:pPr>
        <w:numPr>
          <w:ilvl w:val="0"/>
          <w:numId w:val="8"/>
        </w:numPr>
        <w:tabs>
          <w:tab w:val="left" w:pos="360"/>
        </w:tabs>
        <w:spacing w:line="360" w:lineRule="auto"/>
        <w:ind w:left="357" w:hanging="357"/>
        <w:outlineLvl w:val="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投标</w:t>
      </w:r>
      <w:r>
        <w:rPr>
          <w:rFonts w:hint="eastAsia" w:ascii="宋体" w:hAnsi="宋体" w:eastAsia="宋体" w:cs="宋体"/>
          <w:color w:val="000000"/>
          <w:sz w:val="24"/>
          <w:szCs w:val="24"/>
          <w:highlight w:val="none"/>
        </w:rPr>
        <w:t>费用</w:t>
      </w:r>
    </w:p>
    <w:p w14:paraId="78C9D8A3">
      <w:pPr>
        <w:numPr>
          <w:ilvl w:val="1"/>
          <w:numId w:val="8"/>
        </w:numPr>
        <w:tabs>
          <w:tab w:val="left" w:pos="1080"/>
          <w:tab w:val="left" w:pos="2014"/>
        </w:tabs>
        <w:spacing w:line="360" w:lineRule="auto"/>
        <w:ind w:left="1080" w:hanging="7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供应商应自行承担所有与准备和参加</w:t>
      </w:r>
      <w:r>
        <w:rPr>
          <w:rFonts w:hint="eastAsia" w:ascii="宋体" w:hAnsi="宋体" w:eastAsia="宋体" w:cs="宋体"/>
          <w:color w:val="000000"/>
          <w:sz w:val="24"/>
          <w:szCs w:val="24"/>
          <w:highlight w:val="none"/>
          <w:lang w:val="en-US" w:eastAsia="zh-CN"/>
        </w:rPr>
        <w:t>投标</w:t>
      </w:r>
      <w:r>
        <w:rPr>
          <w:rFonts w:hint="eastAsia" w:ascii="宋体" w:hAnsi="宋体" w:eastAsia="宋体" w:cs="宋体"/>
          <w:color w:val="000000"/>
          <w:sz w:val="24"/>
          <w:szCs w:val="24"/>
          <w:highlight w:val="none"/>
        </w:rPr>
        <w:t>有关的费用，无论结果如何，采购人或采购代理机构在任何情况下均无承担这些费用的义务和责任。</w:t>
      </w:r>
    </w:p>
    <w:p w14:paraId="47193C82">
      <w:pPr>
        <w:tabs>
          <w:tab w:val="left" w:pos="1080"/>
        </w:tabs>
        <w:spacing w:line="360" w:lineRule="auto"/>
        <w:ind w:left="1080"/>
        <w:rPr>
          <w:rFonts w:hint="eastAsia" w:ascii="宋体" w:hAnsi="宋体" w:eastAsia="宋体" w:cs="宋体"/>
          <w:color w:val="000000"/>
          <w:sz w:val="24"/>
          <w:szCs w:val="24"/>
          <w:highlight w:val="none"/>
        </w:rPr>
      </w:pPr>
    </w:p>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p w14:paraId="0684914A">
      <w:pPr>
        <w:pStyle w:val="183"/>
        <w:spacing w:before="0" w:line="360" w:lineRule="auto"/>
        <w:rPr>
          <w:rFonts w:ascii="Times New Roman" w:hAnsi="Times New Roman" w:eastAsia="宋体"/>
          <w:sz w:val="28"/>
        </w:rPr>
      </w:pPr>
      <w:r>
        <w:rPr>
          <w:rFonts w:ascii="Times New Roman" w:hAnsi="Times New Roman" w:eastAsia="宋体"/>
          <w:sz w:val="28"/>
        </w:rPr>
        <w:t>二   招标文件</w:t>
      </w:r>
    </w:p>
    <w:p w14:paraId="7AB17FD7">
      <w:pPr>
        <w:numPr>
          <w:ilvl w:val="0"/>
          <w:numId w:val="8"/>
        </w:numPr>
        <w:tabs>
          <w:tab w:val="left" w:pos="360"/>
        </w:tabs>
        <w:spacing w:line="360" w:lineRule="auto"/>
        <w:ind w:left="357" w:hanging="357"/>
        <w:outlineLvl w:val="1"/>
        <w:rPr>
          <w:sz w:val="24"/>
        </w:rPr>
      </w:pPr>
      <w:bookmarkStart w:id="152" w:name="_Toc151193621"/>
      <w:bookmarkStart w:id="153" w:name="_Toc151193911"/>
      <w:bookmarkStart w:id="154" w:name="_Toc127151523"/>
      <w:bookmarkStart w:id="155" w:name="_Toc151193765"/>
      <w:bookmarkStart w:id="156" w:name="_Toc226309767"/>
      <w:bookmarkStart w:id="157" w:name="_Toc226965713"/>
      <w:bookmarkStart w:id="158" w:name="_Toc226965796"/>
      <w:bookmarkStart w:id="159" w:name="_Toc226337219"/>
      <w:bookmarkStart w:id="160" w:name="_Toc150774623"/>
      <w:bookmarkStart w:id="161" w:name="_Toc265228361"/>
      <w:bookmarkStart w:id="162" w:name="_Toc142311025"/>
      <w:bookmarkStart w:id="163" w:name="_Toc305158865"/>
      <w:bookmarkStart w:id="164" w:name="_Toc149720816"/>
      <w:bookmarkStart w:id="165" w:name="_Toc151193837"/>
      <w:bookmarkStart w:id="166" w:name="_Toc164229364"/>
      <w:bookmarkStart w:id="167" w:name="_Toc520356147"/>
      <w:bookmarkStart w:id="168" w:name="_Toc264969213"/>
      <w:bookmarkStart w:id="169" w:name="_Toc150509274"/>
      <w:bookmarkStart w:id="170" w:name="_Toc164351617"/>
      <w:bookmarkStart w:id="171" w:name="_Toc195842888"/>
      <w:bookmarkStart w:id="172" w:name="_Toc151190150"/>
      <w:bookmarkStart w:id="173" w:name="_Toc305158791"/>
      <w:bookmarkStart w:id="174" w:name="_Toc164608637"/>
      <w:bookmarkStart w:id="175" w:name="_Toc127161437"/>
      <w:bookmarkStart w:id="176" w:name="_Toc164229218"/>
      <w:bookmarkStart w:id="177" w:name="_Toc164608792"/>
      <w:bookmarkStart w:id="178" w:name="_Toc151193693"/>
      <w:bookmarkStart w:id="179" w:name="_Toc150480761"/>
      <w:bookmarkStart w:id="180" w:name="_Toc150774728"/>
      <w:bookmarkStart w:id="181" w:name="_Toc127151724"/>
      <w:r>
        <w:rPr>
          <w:sz w:val="24"/>
        </w:rPr>
        <w:t>招标文件构</w:t>
      </w:r>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r>
        <w:rPr>
          <w:sz w:val="24"/>
        </w:rPr>
        <w:t>成</w:t>
      </w:r>
    </w:p>
    <w:p w14:paraId="0B6057BF">
      <w:pPr>
        <w:numPr>
          <w:ilvl w:val="1"/>
          <w:numId w:val="8"/>
        </w:numPr>
        <w:tabs>
          <w:tab w:val="left" w:pos="1080"/>
          <w:tab w:val="left" w:pos="2014"/>
        </w:tabs>
        <w:spacing w:line="360" w:lineRule="auto"/>
        <w:ind w:left="1080" w:hanging="720"/>
        <w:rPr>
          <w:sz w:val="24"/>
        </w:rPr>
      </w:pPr>
      <w:r>
        <w:rPr>
          <w:sz w:val="24"/>
        </w:rPr>
        <w:t>招标文件包括以下部分：</w:t>
      </w:r>
    </w:p>
    <w:p w14:paraId="27B2A340">
      <w:pPr>
        <w:numPr>
          <w:ilvl w:val="0"/>
          <w:numId w:val="10"/>
        </w:numPr>
        <w:tabs>
          <w:tab w:val="left" w:pos="1980"/>
          <w:tab w:val="left" w:pos="2520"/>
        </w:tabs>
        <w:spacing w:line="360" w:lineRule="auto"/>
        <w:ind w:left="1440" w:firstLine="5"/>
        <w:rPr>
          <w:sz w:val="24"/>
        </w:rPr>
      </w:pPr>
      <w:r>
        <w:rPr>
          <w:sz w:val="24"/>
        </w:rPr>
        <w:t>投标邀请</w:t>
      </w:r>
    </w:p>
    <w:p w14:paraId="654D42F0">
      <w:pPr>
        <w:numPr>
          <w:ilvl w:val="0"/>
          <w:numId w:val="10"/>
        </w:numPr>
        <w:tabs>
          <w:tab w:val="left" w:pos="1980"/>
          <w:tab w:val="left" w:pos="2520"/>
        </w:tabs>
        <w:spacing w:line="360" w:lineRule="auto"/>
        <w:ind w:left="1440" w:firstLine="5"/>
        <w:rPr>
          <w:sz w:val="24"/>
        </w:rPr>
      </w:pPr>
      <w:r>
        <w:rPr>
          <w:sz w:val="24"/>
        </w:rPr>
        <w:t>投标人须知</w:t>
      </w:r>
    </w:p>
    <w:p w14:paraId="16098860">
      <w:pPr>
        <w:numPr>
          <w:ilvl w:val="0"/>
          <w:numId w:val="10"/>
        </w:numPr>
        <w:tabs>
          <w:tab w:val="left" w:pos="1980"/>
          <w:tab w:val="left" w:pos="2520"/>
        </w:tabs>
        <w:spacing w:line="360" w:lineRule="auto"/>
        <w:ind w:left="1440" w:firstLine="5"/>
        <w:rPr>
          <w:sz w:val="24"/>
        </w:rPr>
      </w:pPr>
      <w:r>
        <w:rPr>
          <w:sz w:val="24"/>
        </w:rPr>
        <w:t>资格审查</w:t>
      </w:r>
    </w:p>
    <w:p w14:paraId="6BA2C31A">
      <w:pPr>
        <w:numPr>
          <w:ilvl w:val="0"/>
          <w:numId w:val="10"/>
        </w:numPr>
        <w:tabs>
          <w:tab w:val="left" w:pos="1980"/>
          <w:tab w:val="left" w:pos="2520"/>
        </w:tabs>
        <w:spacing w:line="360" w:lineRule="auto"/>
        <w:ind w:left="1440" w:firstLine="5"/>
        <w:rPr>
          <w:sz w:val="24"/>
        </w:rPr>
      </w:pPr>
      <w:r>
        <w:rPr>
          <w:sz w:val="24"/>
        </w:rPr>
        <w:t>评标程序、评标方法和评标标准</w:t>
      </w:r>
    </w:p>
    <w:p w14:paraId="772BBD2F">
      <w:pPr>
        <w:numPr>
          <w:ilvl w:val="0"/>
          <w:numId w:val="10"/>
        </w:numPr>
        <w:tabs>
          <w:tab w:val="left" w:pos="1980"/>
          <w:tab w:val="left" w:pos="2520"/>
        </w:tabs>
        <w:spacing w:line="360" w:lineRule="auto"/>
        <w:ind w:left="1440" w:firstLine="5"/>
        <w:rPr>
          <w:sz w:val="24"/>
        </w:rPr>
      </w:pPr>
      <w:r>
        <w:rPr>
          <w:sz w:val="24"/>
        </w:rPr>
        <w:t>采购需求</w:t>
      </w:r>
    </w:p>
    <w:p w14:paraId="5F4951D1">
      <w:pPr>
        <w:numPr>
          <w:ilvl w:val="0"/>
          <w:numId w:val="10"/>
        </w:numPr>
        <w:tabs>
          <w:tab w:val="left" w:pos="1980"/>
          <w:tab w:val="left" w:pos="2520"/>
        </w:tabs>
        <w:spacing w:line="360" w:lineRule="auto"/>
        <w:ind w:left="1440" w:firstLine="5"/>
        <w:rPr>
          <w:sz w:val="24"/>
        </w:rPr>
      </w:pPr>
      <w:r>
        <w:rPr>
          <w:sz w:val="24"/>
        </w:rPr>
        <w:t>拟签订的合同文本</w:t>
      </w:r>
    </w:p>
    <w:p w14:paraId="3A884031">
      <w:pPr>
        <w:numPr>
          <w:ilvl w:val="0"/>
          <w:numId w:val="10"/>
        </w:numPr>
        <w:tabs>
          <w:tab w:val="left" w:pos="1980"/>
          <w:tab w:val="left" w:pos="2520"/>
        </w:tabs>
        <w:spacing w:line="360" w:lineRule="auto"/>
        <w:ind w:left="1440" w:firstLine="5"/>
        <w:rPr>
          <w:rFonts w:hint="eastAsia"/>
          <w:sz w:val="24"/>
        </w:rPr>
      </w:pPr>
      <w:r>
        <w:rPr>
          <w:sz w:val="24"/>
        </w:rPr>
        <w:t>投标文件格式</w:t>
      </w:r>
    </w:p>
    <w:p w14:paraId="69B713A2">
      <w:pPr>
        <w:numPr>
          <w:ilvl w:val="1"/>
          <w:numId w:val="8"/>
        </w:numPr>
        <w:tabs>
          <w:tab w:val="left" w:pos="1080"/>
          <w:tab w:val="left" w:pos="2014"/>
        </w:tabs>
        <w:spacing w:line="360" w:lineRule="auto"/>
        <w:ind w:left="1080" w:hanging="720"/>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14:paraId="16EC1C6D">
      <w:pPr>
        <w:numPr>
          <w:ilvl w:val="0"/>
          <w:numId w:val="8"/>
        </w:numPr>
        <w:tabs>
          <w:tab w:val="left" w:pos="1080"/>
          <w:tab w:val="left" w:pos="2014"/>
        </w:tabs>
        <w:spacing w:line="360" w:lineRule="auto"/>
        <w:ind w:left="357" w:hanging="357"/>
        <w:outlineLvl w:val="1"/>
        <w:rPr>
          <w:sz w:val="24"/>
        </w:rPr>
      </w:pPr>
      <w:r>
        <w:rPr>
          <w:sz w:val="24"/>
        </w:rPr>
        <w:t>对招标文件的澄清或修改</w:t>
      </w:r>
    </w:p>
    <w:p w14:paraId="369B73FC">
      <w:pPr>
        <w:numPr>
          <w:ilvl w:val="1"/>
          <w:numId w:val="8"/>
        </w:numPr>
        <w:tabs>
          <w:tab w:val="left" w:pos="1080"/>
          <w:tab w:val="left" w:pos="1561"/>
          <w:tab w:val="left" w:pos="2014"/>
        </w:tabs>
        <w:spacing w:line="360" w:lineRule="auto"/>
        <w:ind w:left="1080" w:hanging="720"/>
        <w:rPr>
          <w:sz w:val="24"/>
        </w:rPr>
      </w:pPr>
      <w:r>
        <w:rPr>
          <w:sz w:val="24"/>
        </w:rPr>
        <w:t>采购人或采购代理机构对已发出的招标文件进行必要澄清或者修改的，将在原公告发布媒体上以</w:t>
      </w:r>
      <w:r>
        <w:rPr>
          <w:rFonts w:hint="eastAsia"/>
          <w:sz w:val="24"/>
        </w:rPr>
        <w:t>发布</w:t>
      </w:r>
      <w:r>
        <w:rPr>
          <w:sz w:val="24"/>
        </w:rPr>
        <w:t>更正公告</w:t>
      </w:r>
      <w:r>
        <w:rPr>
          <w:rFonts w:hint="eastAsia"/>
          <w:sz w:val="24"/>
        </w:rPr>
        <w:t>的</w:t>
      </w:r>
      <w:r>
        <w:rPr>
          <w:sz w:val="24"/>
        </w:rPr>
        <w:t>形式通知所有获取招标文件的潜在投标人。</w:t>
      </w:r>
    </w:p>
    <w:p w14:paraId="4E15D510">
      <w:pPr>
        <w:numPr>
          <w:ilvl w:val="1"/>
          <w:numId w:val="8"/>
        </w:numPr>
        <w:tabs>
          <w:tab w:val="left" w:pos="1080"/>
          <w:tab w:val="left" w:pos="1561"/>
          <w:tab w:val="left" w:pos="2014"/>
        </w:tabs>
        <w:spacing w:line="360" w:lineRule="auto"/>
        <w:ind w:left="1080" w:hanging="720"/>
        <w:rPr>
          <w:sz w:val="24"/>
        </w:rPr>
      </w:pPr>
      <w:r>
        <w:rPr>
          <w:sz w:val="24"/>
        </w:rPr>
        <w:t>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p>
    <w:p w14:paraId="3DE75D42">
      <w:pPr>
        <w:tabs>
          <w:tab w:val="left" w:pos="1080"/>
          <w:tab w:val="left" w:pos="1561"/>
        </w:tabs>
        <w:spacing w:line="360" w:lineRule="auto"/>
        <w:ind w:left="1080"/>
        <w:rPr>
          <w:sz w:val="28"/>
        </w:rPr>
      </w:pPr>
      <w:bookmarkStart w:id="182" w:name="_Toc516367020"/>
      <w:bookmarkStart w:id="183" w:name="_Toc195842891"/>
      <w:bookmarkStart w:id="184" w:name="_Toc264969216"/>
      <w:bookmarkStart w:id="185" w:name="_Toc305158868"/>
      <w:bookmarkStart w:id="186" w:name="_Toc150774626"/>
      <w:bookmarkStart w:id="187" w:name="_Toc150480764"/>
      <w:bookmarkStart w:id="188" w:name="_Toc226965799"/>
      <w:bookmarkStart w:id="189" w:name="_Toc520356150"/>
      <w:bookmarkStart w:id="190" w:name="_Toc151193768"/>
      <w:bookmarkStart w:id="191" w:name="_Toc226309770"/>
      <w:bookmarkStart w:id="192" w:name="_Toc142311028"/>
      <w:bookmarkStart w:id="193" w:name="_Toc226965716"/>
      <w:bookmarkStart w:id="194" w:name="_Toc305158794"/>
      <w:bookmarkStart w:id="195" w:name="_Toc226337222"/>
      <w:bookmarkStart w:id="196" w:name="_Toc265228364"/>
      <w:bookmarkStart w:id="197" w:name="_Toc151193840"/>
      <w:bookmarkStart w:id="198" w:name="_Toc150774731"/>
      <w:bookmarkStart w:id="199" w:name="_Toc127151526"/>
      <w:bookmarkStart w:id="200" w:name="_Toc151193624"/>
      <w:bookmarkStart w:id="201" w:name="_Toc151193914"/>
      <w:bookmarkStart w:id="202" w:name="_Toc151193696"/>
      <w:bookmarkStart w:id="203" w:name="_Toc150509277"/>
      <w:bookmarkStart w:id="204" w:name="_Toc151190153"/>
    </w:p>
    <w:p w14:paraId="0E40BDFF">
      <w:pPr>
        <w:pStyle w:val="183"/>
        <w:spacing w:before="0" w:line="360" w:lineRule="auto"/>
        <w:rPr>
          <w:rFonts w:ascii="Times New Roman" w:hAnsi="Times New Roman" w:eastAsia="宋体"/>
          <w:sz w:val="28"/>
        </w:rPr>
      </w:pPr>
      <w:r>
        <w:rPr>
          <w:rFonts w:ascii="Times New Roman" w:hAnsi="Times New Roman" w:eastAsia="宋体"/>
          <w:sz w:val="28"/>
        </w:rPr>
        <w:t>三   投标文件</w:t>
      </w:r>
      <w:bookmarkEnd w:id="182"/>
      <w:r>
        <w:rPr>
          <w:rFonts w:ascii="Times New Roman" w:hAnsi="Times New Roman" w:eastAsia="宋体"/>
          <w:sz w:val="28"/>
        </w:rPr>
        <w:t>的编制</w:t>
      </w:r>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p>
    <w:p w14:paraId="7C09ACF4">
      <w:pPr>
        <w:numPr>
          <w:ilvl w:val="0"/>
          <w:numId w:val="8"/>
        </w:numPr>
        <w:tabs>
          <w:tab w:val="left" w:pos="360"/>
        </w:tabs>
        <w:spacing w:line="360" w:lineRule="auto"/>
        <w:ind w:left="357" w:hanging="357"/>
        <w:outlineLvl w:val="1"/>
        <w:rPr>
          <w:sz w:val="24"/>
        </w:rPr>
      </w:pPr>
      <w:bookmarkStart w:id="205" w:name="_Toc164351621"/>
      <w:bookmarkStart w:id="206" w:name="_Toc151193769"/>
      <w:bookmarkStart w:id="207" w:name="_Toc226965800"/>
      <w:bookmarkStart w:id="208" w:name="_Toc151193915"/>
      <w:bookmarkStart w:id="209" w:name="_Toc150774732"/>
      <w:bookmarkStart w:id="210" w:name="_Toc142311029"/>
      <w:bookmarkStart w:id="211" w:name="_Toc127151527"/>
      <w:bookmarkStart w:id="212" w:name="_Toc164229368"/>
      <w:bookmarkStart w:id="213" w:name="_Toc127161441"/>
      <w:bookmarkStart w:id="214" w:name="_Toc520356151"/>
      <w:bookmarkStart w:id="215" w:name="_Toc195842892"/>
      <w:bookmarkStart w:id="216" w:name="_Toc127151728"/>
      <w:bookmarkStart w:id="217" w:name="_Toc164608641"/>
      <w:bookmarkStart w:id="218" w:name="_Toc149720820"/>
      <w:bookmarkStart w:id="219" w:name="_Toc151190154"/>
      <w:bookmarkStart w:id="220" w:name="_Toc150509278"/>
      <w:bookmarkStart w:id="221" w:name="_Toc151193697"/>
      <w:bookmarkStart w:id="222" w:name="_Toc151193841"/>
      <w:bookmarkStart w:id="223" w:name="_Toc264969217"/>
      <w:bookmarkStart w:id="224" w:name="_Toc265228365"/>
      <w:bookmarkStart w:id="225" w:name="_Toc164608796"/>
      <w:bookmarkStart w:id="226" w:name="_Toc226337223"/>
      <w:bookmarkStart w:id="227" w:name="_Toc305158869"/>
      <w:bookmarkStart w:id="228" w:name="_Toc164229222"/>
      <w:bookmarkStart w:id="229" w:name="_Toc305158795"/>
      <w:bookmarkStart w:id="230" w:name="_Toc150774627"/>
      <w:bookmarkStart w:id="231" w:name="_Toc226309771"/>
      <w:bookmarkStart w:id="232" w:name="_Toc151193625"/>
      <w:bookmarkStart w:id="233" w:name="_Toc150480765"/>
      <w:bookmarkStart w:id="234" w:name="_Toc226965717"/>
      <w:bookmarkStart w:id="235" w:name="_Toc516367021"/>
      <w:r>
        <w:rPr>
          <w:sz w:val="24"/>
        </w:rPr>
        <w:t>投标范围、投标文件中计量单位的使用</w:t>
      </w:r>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r>
        <w:rPr>
          <w:sz w:val="24"/>
        </w:rPr>
        <w:t>及投标语言</w:t>
      </w:r>
    </w:p>
    <w:p w14:paraId="4875BD6A">
      <w:pPr>
        <w:numPr>
          <w:ilvl w:val="1"/>
          <w:numId w:val="8"/>
        </w:numPr>
        <w:tabs>
          <w:tab w:val="left" w:pos="1080"/>
          <w:tab w:val="left" w:pos="2014"/>
        </w:tabs>
        <w:spacing w:line="360" w:lineRule="auto"/>
        <w:ind w:left="1080" w:hanging="720"/>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无效投标</w:t>
      </w:r>
      <w:r>
        <w:rPr>
          <w:sz w:val="24"/>
        </w:rPr>
        <w:t>。</w:t>
      </w:r>
    </w:p>
    <w:p w14:paraId="02A5D1E5">
      <w:pPr>
        <w:numPr>
          <w:ilvl w:val="1"/>
          <w:numId w:val="8"/>
        </w:numPr>
        <w:tabs>
          <w:tab w:val="left" w:pos="1080"/>
          <w:tab w:val="left" w:pos="2014"/>
        </w:tabs>
        <w:spacing w:line="360" w:lineRule="auto"/>
        <w:ind w:left="1080" w:hanging="720"/>
        <w:rPr>
          <w:sz w:val="24"/>
        </w:rPr>
      </w:pPr>
      <w:r>
        <w:rPr>
          <w:sz w:val="24"/>
        </w:rPr>
        <w:t>除招标文件有特殊要求外，本项目投标所使用的计量单位，应采用中华人民共和国法定计量单位。</w:t>
      </w:r>
    </w:p>
    <w:p w14:paraId="411D7F70">
      <w:pPr>
        <w:numPr>
          <w:ilvl w:val="1"/>
          <w:numId w:val="8"/>
        </w:numPr>
        <w:tabs>
          <w:tab w:val="left" w:pos="1080"/>
          <w:tab w:val="left" w:pos="2014"/>
        </w:tabs>
        <w:spacing w:line="360" w:lineRule="auto"/>
        <w:ind w:left="1080" w:hanging="720"/>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4639B8B1">
      <w:pPr>
        <w:numPr>
          <w:ilvl w:val="0"/>
          <w:numId w:val="8"/>
        </w:numPr>
        <w:tabs>
          <w:tab w:val="left" w:pos="360"/>
        </w:tabs>
        <w:spacing w:line="360" w:lineRule="auto"/>
        <w:ind w:left="357" w:hanging="357"/>
        <w:outlineLvl w:val="1"/>
        <w:rPr>
          <w:sz w:val="24"/>
        </w:rPr>
      </w:pPr>
      <w:bookmarkStart w:id="236" w:name="_Toc516367022"/>
      <w:bookmarkStart w:id="237" w:name="_Ref467306195"/>
      <w:bookmarkStart w:id="238" w:name="_Ref467306676"/>
      <w:bookmarkStart w:id="239" w:name="_Toc264969218"/>
      <w:bookmarkStart w:id="240" w:name="_Toc164229369"/>
      <w:bookmarkStart w:id="241" w:name="_Toc164351622"/>
      <w:bookmarkStart w:id="242" w:name="_Toc164229223"/>
      <w:bookmarkStart w:id="243" w:name="_Toc150774628"/>
      <w:bookmarkStart w:id="244" w:name="_Toc305158870"/>
      <w:bookmarkStart w:id="245" w:name="_Toc151193916"/>
      <w:bookmarkStart w:id="246" w:name="_Toc195842893"/>
      <w:bookmarkStart w:id="247" w:name="_Toc265228366"/>
      <w:bookmarkStart w:id="248" w:name="_Toc164608797"/>
      <w:bookmarkStart w:id="249" w:name="_Toc226965718"/>
      <w:bookmarkStart w:id="250" w:name="_Toc226965801"/>
      <w:bookmarkStart w:id="251" w:name="_Toc149720821"/>
      <w:bookmarkStart w:id="252" w:name="_Toc226309772"/>
      <w:bookmarkStart w:id="253" w:name="_Toc226337224"/>
      <w:bookmarkStart w:id="254" w:name="_Toc151193698"/>
      <w:bookmarkStart w:id="255" w:name="_Toc150509279"/>
      <w:bookmarkStart w:id="256" w:name="_Toc520356152"/>
      <w:bookmarkStart w:id="257" w:name="_Toc127151528"/>
      <w:bookmarkStart w:id="258" w:name="_Toc151193626"/>
      <w:bookmarkStart w:id="259" w:name="_Toc127161442"/>
      <w:bookmarkStart w:id="260" w:name="_Toc151190155"/>
      <w:bookmarkStart w:id="261" w:name="_Toc142311030"/>
      <w:bookmarkStart w:id="262" w:name="_Toc150774733"/>
      <w:bookmarkStart w:id="263" w:name="_Toc305158796"/>
      <w:bookmarkStart w:id="264" w:name="_Toc150480766"/>
      <w:bookmarkStart w:id="265" w:name="_Toc164608642"/>
      <w:bookmarkStart w:id="266" w:name="_Toc151193842"/>
      <w:bookmarkStart w:id="267" w:name="_Toc151193770"/>
      <w:bookmarkStart w:id="268" w:name="_Toc127151729"/>
      <w:r>
        <w:rPr>
          <w:sz w:val="24"/>
        </w:rPr>
        <w:t>投标文件</w:t>
      </w:r>
      <w:bookmarkEnd w:id="236"/>
      <w:bookmarkEnd w:id="237"/>
      <w:bookmarkEnd w:id="238"/>
      <w:r>
        <w:rPr>
          <w:sz w:val="24"/>
        </w:rPr>
        <w:t>构成</w:t>
      </w:r>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p>
    <w:p w14:paraId="181F401A">
      <w:pPr>
        <w:numPr>
          <w:ilvl w:val="1"/>
          <w:numId w:val="8"/>
        </w:numPr>
        <w:tabs>
          <w:tab w:val="left" w:pos="1080"/>
          <w:tab w:val="left" w:pos="2014"/>
        </w:tabs>
        <w:spacing w:line="360" w:lineRule="auto"/>
        <w:ind w:left="1077" w:hanging="720"/>
        <w:rPr>
          <w:sz w:val="24"/>
        </w:rPr>
      </w:pPr>
      <w:bookmarkStart w:id="269" w:name="_Ref467052588"/>
      <w:r>
        <w:rPr>
          <w:sz w:val="24"/>
        </w:rPr>
        <w:t>投标人应当按照招标文件的要求编制投标文件。投标文件应由《资格证明文件》、《商务技术文件》两部分构成。投标文件的部分格式要求，见第七章《投标文件格式》。</w:t>
      </w:r>
    </w:p>
    <w:p w14:paraId="54A64705">
      <w:pPr>
        <w:numPr>
          <w:ilvl w:val="1"/>
          <w:numId w:val="8"/>
        </w:numPr>
        <w:tabs>
          <w:tab w:val="left" w:pos="1080"/>
          <w:tab w:val="left" w:pos="2014"/>
        </w:tabs>
        <w:spacing w:line="360" w:lineRule="auto"/>
        <w:ind w:left="1077" w:hanging="720"/>
        <w:rPr>
          <w:sz w:val="24"/>
        </w:rPr>
      </w:pPr>
      <w:r>
        <w:rPr>
          <w:sz w:val="24"/>
        </w:rPr>
        <w:t>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sz w:val="24"/>
        </w:rPr>
        <w:t>投标无效</w:t>
      </w:r>
      <w:r>
        <w:rPr>
          <w:sz w:val="24"/>
        </w:rPr>
        <w:t>。未标记“实质性格式”的文件和招标文件未提供格式的内容，可由投标人自行编写。</w:t>
      </w:r>
    </w:p>
    <w:p w14:paraId="526A68AF">
      <w:pPr>
        <w:numPr>
          <w:ilvl w:val="1"/>
          <w:numId w:val="8"/>
        </w:numPr>
        <w:tabs>
          <w:tab w:val="left" w:pos="1080"/>
          <w:tab w:val="left" w:pos="2014"/>
        </w:tabs>
        <w:spacing w:line="360" w:lineRule="auto"/>
        <w:ind w:left="1077" w:hanging="720"/>
        <w:rPr>
          <w:sz w:val="24"/>
        </w:rPr>
      </w:pPr>
      <w:r>
        <w:rPr>
          <w:sz w:val="24"/>
        </w:rPr>
        <w:t>第四章《评标程序、评标方法和评标标准》中涉及的证明文件。</w:t>
      </w:r>
    </w:p>
    <w:p w14:paraId="4A41598C">
      <w:pPr>
        <w:numPr>
          <w:ilvl w:val="1"/>
          <w:numId w:val="8"/>
        </w:numPr>
        <w:tabs>
          <w:tab w:val="left" w:pos="1080"/>
          <w:tab w:val="left" w:pos="2014"/>
        </w:tabs>
        <w:spacing w:line="360" w:lineRule="auto"/>
        <w:ind w:left="1077" w:hanging="720"/>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68684E20">
      <w:pPr>
        <w:numPr>
          <w:ilvl w:val="1"/>
          <w:numId w:val="8"/>
        </w:numPr>
        <w:tabs>
          <w:tab w:val="left" w:pos="1080"/>
          <w:tab w:val="left" w:pos="2014"/>
        </w:tabs>
        <w:spacing w:line="360" w:lineRule="auto"/>
        <w:ind w:left="1077" w:hanging="720"/>
        <w:rPr>
          <w:sz w:val="24"/>
        </w:rPr>
      </w:pPr>
      <w:r>
        <w:rPr>
          <w:sz w:val="24"/>
        </w:rPr>
        <w:t>投标人认为应附的其他材料。</w:t>
      </w:r>
      <w:bookmarkEnd w:id="269"/>
    </w:p>
    <w:p w14:paraId="21A01745">
      <w:pPr>
        <w:numPr>
          <w:ilvl w:val="0"/>
          <w:numId w:val="8"/>
        </w:numPr>
        <w:tabs>
          <w:tab w:val="left" w:pos="360"/>
        </w:tabs>
        <w:spacing w:line="360" w:lineRule="auto"/>
        <w:ind w:left="357" w:hanging="357"/>
        <w:outlineLvl w:val="1"/>
        <w:rPr>
          <w:sz w:val="24"/>
        </w:rPr>
      </w:pPr>
      <w:bookmarkStart w:id="270" w:name="_Toc151190157"/>
      <w:bookmarkStart w:id="271" w:name="_Toc150774735"/>
      <w:bookmarkStart w:id="272" w:name="_Toc149720823"/>
      <w:bookmarkStart w:id="273" w:name="_Toc164229371"/>
      <w:bookmarkStart w:id="274" w:name="_Toc127151731"/>
      <w:bookmarkStart w:id="275" w:name="_Toc151193628"/>
      <w:bookmarkStart w:id="276" w:name="_Toc520356155"/>
      <w:bookmarkStart w:id="277" w:name="_Toc127151530"/>
      <w:bookmarkStart w:id="278" w:name="_Toc164229225"/>
      <w:bookmarkStart w:id="279" w:name="_Toc150480768"/>
      <w:bookmarkStart w:id="280" w:name="_Toc164608799"/>
      <w:bookmarkStart w:id="281" w:name="_Toc151193918"/>
      <w:bookmarkStart w:id="282" w:name="_Toc164351624"/>
      <w:bookmarkStart w:id="283" w:name="_Toc150774630"/>
      <w:bookmarkStart w:id="284" w:name="_Toc150509281"/>
      <w:bookmarkStart w:id="285" w:name="_Toc142311032"/>
      <w:bookmarkStart w:id="286" w:name="_Toc127161444"/>
      <w:bookmarkStart w:id="287" w:name="_Toc151193772"/>
      <w:bookmarkStart w:id="288" w:name="_Toc151193700"/>
      <w:bookmarkStart w:id="289" w:name="_Toc151193844"/>
      <w:bookmarkStart w:id="290" w:name="_Toc164608644"/>
      <w:bookmarkStart w:id="291" w:name="_Toc195842895"/>
      <w:r>
        <w:rPr>
          <w:sz w:val="24"/>
        </w:rPr>
        <w:t>投标报价</w:t>
      </w:r>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p>
    <w:p w14:paraId="54F6778F">
      <w:pPr>
        <w:numPr>
          <w:ilvl w:val="1"/>
          <w:numId w:val="8"/>
        </w:numPr>
        <w:tabs>
          <w:tab w:val="left" w:pos="1080"/>
          <w:tab w:val="left" w:pos="2014"/>
        </w:tabs>
        <w:spacing w:line="360" w:lineRule="auto"/>
        <w:ind w:left="1077" w:hanging="720"/>
        <w:rPr>
          <w:sz w:val="24"/>
        </w:rPr>
      </w:pPr>
      <w:r>
        <w:rPr>
          <w:sz w:val="24"/>
        </w:rPr>
        <w:t>所有投标均以人民币报价。</w:t>
      </w:r>
    </w:p>
    <w:p w14:paraId="41CA7C68">
      <w:pPr>
        <w:numPr>
          <w:ilvl w:val="1"/>
          <w:numId w:val="8"/>
        </w:numPr>
        <w:tabs>
          <w:tab w:val="left" w:pos="1080"/>
          <w:tab w:val="left" w:pos="2014"/>
        </w:tabs>
        <w:spacing w:line="360" w:lineRule="auto"/>
        <w:ind w:left="1077" w:hanging="720"/>
        <w:rPr>
          <w:sz w:val="24"/>
        </w:rPr>
      </w:pPr>
      <w:r>
        <w:rPr>
          <w:sz w:val="24"/>
        </w:rPr>
        <w:t>投标人的报价应包括为完成本项目所发生的一切费用和税费，招标人将不再支付报价以外的任何费用。</w:t>
      </w:r>
      <w:r>
        <w:rPr>
          <w:rFonts w:hint="eastAsia"/>
          <w:sz w:val="24"/>
        </w:rPr>
        <w:t>投标人的报价应包括但不限于下列内容，《投标人须知资料表》中有特殊规定的，从其规定。</w:t>
      </w:r>
    </w:p>
    <w:p w14:paraId="79C3AB71">
      <w:pPr>
        <w:numPr>
          <w:ilvl w:val="2"/>
          <w:numId w:val="8"/>
        </w:numPr>
        <w:spacing w:line="360" w:lineRule="auto"/>
        <w:rPr>
          <w:sz w:val="24"/>
        </w:rPr>
      </w:pPr>
      <w:r>
        <w:rPr>
          <w:sz w:val="24"/>
        </w:rPr>
        <w:t xml:space="preserve">按照招标文件要求完成本项目的全部相关服务费用。 </w:t>
      </w:r>
    </w:p>
    <w:p w14:paraId="0104F227">
      <w:pPr>
        <w:numPr>
          <w:ilvl w:val="1"/>
          <w:numId w:val="8"/>
        </w:numPr>
        <w:tabs>
          <w:tab w:val="left" w:pos="1080"/>
          <w:tab w:val="left" w:pos="2014"/>
        </w:tabs>
        <w:spacing w:line="360" w:lineRule="auto"/>
        <w:ind w:left="1077" w:hanging="720"/>
        <w:rPr>
          <w:sz w:val="24"/>
        </w:rPr>
      </w:pPr>
      <w:r>
        <w:rPr>
          <w:sz w:val="24"/>
        </w:rPr>
        <w:t>采购人不得向供应商索要或者接受其给予的赠品、回扣或者与采购无关的其他商品、服务。</w:t>
      </w:r>
    </w:p>
    <w:p w14:paraId="2F3F0204">
      <w:pPr>
        <w:numPr>
          <w:ilvl w:val="1"/>
          <w:numId w:val="8"/>
        </w:numPr>
        <w:tabs>
          <w:tab w:val="left" w:pos="1080"/>
          <w:tab w:val="left" w:pos="2014"/>
        </w:tabs>
        <w:spacing w:line="360" w:lineRule="auto"/>
        <w:ind w:left="1080" w:hanging="720"/>
        <w:rPr>
          <w:sz w:val="24"/>
        </w:rPr>
      </w:pPr>
      <w:r>
        <w:rPr>
          <w:sz w:val="24"/>
        </w:rPr>
        <w:t>投标人不能提供任何有选择性或可调整的报价，否则其</w:t>
      </w:r>
      <w:r>
        <w:rPr>
          <w:b/>
          <w:sz w:val="24"/>
        </w:rPr>
        <w:t>投标无效</w:t>
      </w:r>
      <w:r>
        <w:rPr>
          <w:sz w:val="24"/>
        </w:rPr>
        <w:t>。</w:t>
      </w:r>
    </w:p>
    <w:p w14:paraId="6E632E40">
      <w:pPr>
        <w:numPr>
          <w:ilvl w:val="0"/>
          <w:numId w:val="8"/>
        </w:numPr>
        <w:tabs>
          <w:tab w:val="left" w:pos="360"/>
        </w:tabs>
        <w:spacing w:line="360" w:lineRule="auto"/>
        <w:ind w:left="357" w:hanging="357"/>
        <w:outlineLvl w:val="1"/>
        <w:rPr>
          <w:rFonts w:hint="eastAsia"/>
          <w:sz w:val="24"/>
        </w:rPr>
      </w:pPr>
      <w:bookmarkStart w:id="292" w:name="_Toc151193773"/>
      <w:bookmarkStart w:id="293" w:name="_Toc520356156"/>
      <w:bookmarkStart w:id="294" w:name="_Toc164608645"/>
      <w:bookmarkStart w:id="295" w:name="_Toc265228369"/>
      <w:bookmarkStart w:id="296" w:name="_Toc150774736"/>
      <w:bookmarkStart w:id="297" w:name="_Toc226309775"/>
      <w:bookmarkStart w:id="298" w:name="_Toc151193845"/>
      <w:bookmarkStart w:id="299" w:name="_Toc226965804"/>
      <w:bookmarkStart w:id="300" w:name="_Toc149720824"/>
      <w:bookmarkStart w:id="301" w:name="_Toc150480769"/>
      <w:bookmarkStart w:id="302" w:name="_Toc226965721"/>
      <w:bookmarkStart w:id="303" w:name="_Toc150509282"/>
      <w:bookmarkStart w:id="304" w:name="_Toc164229226"/>
      <w:bookmarkStart w:id="305" w:name="_Toc164229372"/>
      <w:bookmarkStart w:id="306" w:name="_Toc151193701"/>
      <w:bookmarkStart w:id="307" w:name="_Toc305158873"/>
      <w:bookmarkStart w:id="308" w:name="_Toc127151531"/>
      <w:bookmarkStart w:id="309" w:name="_Toc164608800"/>
      <w:bookmarkStart w:id="310" w:name="_Toc150774631"/>
      <w:bookmarkStart w:id="311" w:name="_Toc264969221"/>
      <w:bookmarkStart w:id="312" w:name="_Toc142311033"/>
      <w:bookmarkStart w:id="313" w:name="_Toc127151732"/>
      <w:bookmarkStart w:id="314" w:name="_Ref467306513"/>
      <w:bookmarkStart w:id="315" w:name="_Toc151190158"/>
      <w:bookmarkStart w:id="316" w:name="_Toc226337227"/>
      <w:bookmarkStart w:id="317" w:name="_Toc164351625"/>
      <w:bookmarkStart w:id="318" w:name="_Toc151193919"/>
      <w:bookmarkStart w:id="319" w:name="_Toc305158799"/>
      <w:bookmarkStart w:id="320" w:name="_Toc127161445"/>
      <w:bookmarkStart w:id="321" w:name="_Toc151193629"/>
      <w:bookmarkStart w:id="322" w:name="_Toc195842896"/>
      <w:r>
        <w:rPr>
          <w:sz w:val="24"/>
        </w:rPr>
        <w:t>投标保证金</w:t>
      </w:r>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p>
    <w:p w14:paraId="5974D642">
      <w:pPr>
        <w:tabs>
          <w:tab w:val="left" w:pos="360"/>
        </w:tabs>
        <w:spacing w:line="360" w:lineRule="auto"/>
        <w:ind w:left="357"/>
        <w:outlineLvl w:val="1"/>
        <w:rPr>
          <w:sz w:val="24"/>
        </w:rPr>
      </w:pPr>
      <w:r>
        <w:rPr>
          <w:rFonts w:hint="eastAsia"/>
          <w:sz w:val="24"/>
          <w:lang w:val="en-US" w:eastAsia="zh-CN"/>
        </w:rPr>
        <w:t>本项目</w:t>
      </w:r>
      <w:r>
        <w:rPr>
          <w:rFonts w:hint="eastAsia"/>
          <w:sz w:val="24"/>
        </w:rPr>
        <w:t>免收投标保证金。</w:t>
      </w:r>
    </w:p>
    <w:p w14:paraId="195B7947">
      <w:pPr>
        <w:numPr>
          <w:ilvl w:val="0"/>
          <w:numId w:val="8"/>
        </w:numPr>
        <w:tabs>
          <w:tab w:val="left" w:pos="360"/>
        </w:tabs>
        <w:spacing w:line="360" w:lineRule="auto"/>
        <w:ind w:left="357" w:hanging="357"/>
        <w:outlineLvl w:val="1"/>
        <w:rPr>
          <w:sz w:val="24"/>
        </w:rPr>
      </w:pPr>
      <w:bookmarkStart w:id="323" w:name="_Toc164229373"/>
      <w:bookmarkStart w:id="324" w:name="_Toc142311034"/>
      <w:bookmarkStart w:id="325" w:name="_Toc164608646"/>
      <w:bookmarkStart w:id="326" w:name="_Toc151190159"/>
      <w:bookmarkStart w:id="327" w:name="_Toc264969222"/>
      <w:bookmarkStart w:id="328" w:name="_Toc150774737"/>
      <w:bookmarkStart w:id="329" w:name="_Toc305158800"/>
      <w:bookmarkStart w:id="330" w:name="_Toc195842897"/>
      <w:bookmarkStart w:id="331" w:name="_Toc226337228"/>
      <w:bookmarkStart w:id="332" w:name="_Toc520356157"/>
      <w:bookmarkStart w:id="333" w:name="_Toc151193846"/>
      <w:bookmarkStart w:id="334" w:name="_Toc164229227"/>
      <w:bookmarkStart w:id="335" w:name="_Toc151193774"/>
      <w:bookmarkStart w:id="336" w:name="_Toc164608801"/>
      <w:bookmarkStart w:id="337" w:name="_Toc150480770"/>
      <w:bookmarkStart w:id="338" w:name="_Toc226309776"/>
      <w:bookmarkStart w:id="339" w:name="_Toc151193630"/>
      <w:bookmarkStart w:id="340" w:name="_Toc151193702"/>
      <w:bookmarkStart w:id="341" w:name="_Toc127151532"/>
      <w:bookmarkStart w:id="342" w:name="_Toc164351626"/>
      <w:bookmarkStart w:id="343" w:name="_Toc226965805"/>
      <w:bookmarkStart w:id="344" w:name="_Toc150774632"/>
      <w:bookmarkStart w:id="345" w:name="_Toc127161446"/>
      <w:bookmarkStart w:id="346" w:name="_Toc226965722"/>
      <w:bookmarkStart w:id="347" w:name="_Toc305158874"/>
      <w:bookmarkStart w:id="348" w:name="_Toc150509283"/>
      <w:bookmarkStart w:id="349" w:name="_Toc149720825"/>
      <w:bookmarkStart w:id="350" w:name="_Toc151193920"/>
      <w:bookmarkStart w:id="351" w:name="_Toc127151733"/>
      <w:bookmarkStart w:id="352" w:name="_Toc265228370"/>
      <w:r>
        <w:rPr>
          <w:sz w:val="24"/>
        </w:rPr>
        <w:t>投标有效期</w:t>
      </w:r>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p>
    <w:p w14:paraId="3D707972">
      <w:pPr>
        <w:numPr>
          <w:ilvl w:val="1"/>
          <w:numId w:val="8"/>
        </w:numPr>
        <w:tabs>
          <w:tab w:val="left" w:pos="1080"/>
          <w:tab w:val="left" w:pos="2014"/>
        </w:tabs>
        <w:spacing w:line="360" w:lineRule="auto"/>
        <w:ind w:left="1077" w:hanging="720"/>
        <w:rPr>
          <w:sz w:val="24"/>
        </w:rPr>
      </w:pPr>
      <w:r>
        <w:rPr>
          <w:sz w:val="24"/>
        </w:rPr>
        <w:t>投标</w:t>
      </w:r>
      <w:r>
        <w:rPr>
          <w:rFonts w:hint="eastAsia"/>
          <w:sz w:val="24"/>
        </w:rPr>
        <w:t>文件</w:t>
      </w:r>
      <w:r>
        <w:rPr>
          <w:sz w:val="24"/>
        </w:rPr>
        <w:t>应在本招标文件《投标人须知资料表》中规定的投标有效期内保持有效，投标有效期少于招标文件规定期限的，其</w:t>
      </w:r>
      <w:r>
        <w:rPr>
          <w:b/>
          <w:sz w:val="24"/>
        </w:rPr>
        <w:t>投标无效</w:t>
      </w:r>
      <w:r>
        <w:rPr>
          <w:sz w:val="24"/>
        </w:rPr>
        <w:t>。</w:t>
      </w:r>
    </w:p>
    <w:p w14:paraId="1C351474">
      <w:pPr>
        <w:numPr>
          <w:ilvl w:val="0"/>
          <w:numId w:val="8"/>
        </w:numPr>
        <w:tabs>
          <w:tab w:val="left" w:pos="360"/>
        </w:tabs>
        <w:spacing w:line="360" w:lineRule="auto"/>
        <w:ind w:left="357" w:hanging="357"/>
        <w:outlineLvl w:val="1"/>
        <w:rPr>
          <w:sz w:val="24"/>
        </w:rPr>
      </w:pPr>
      <w:bookmarkStart w:id="353" w:name="_Toc150774738"/>
      <w:bookmarkStart w:id="354" w:name="_Toc164608802"/>
      <w:bookmarkStart w:id="355" w:name="_Toc226965723"/>
      <w:bookmarkStart w:id="356" w:name="_Toc151193703"/>
      <w:bookmarkStart w:id="357" w:name="_Toc149720826"/>
      <w:bookmarkStart w:id="358" w:name="_Toc265228371"/>
      <w:bookmarkStart w:id="359" w:name="_Toc164229374"/>
      <w:bookmarkStart w:id="360" w:name="_Toc151193847"/>
      <w:bookmarkStart w:id="361" w:name="_Toc164608647"/>
      <w:bookmarkStart w:id="362" w:name="_Toc151190160"/>
      <w:bookmarkStart w:id="363" w:name="_Toc142311035"/>
      <w:bookmarkStart w:id="364" w:name="_Toc264969223"/>
      <w:bookmarkStart w:id="365" w:name="_Toc151193921"/>
      <w:bookmarkStart w:id="366" w:name="_Toc127161447"/>
      <w:bookmarkStart w:id="367" w:name="_Toc226965806"/>
      <w:bookmarkStart w:id="368" w:name="_Toc151193631"/>
      <w:bookmarkStart w:id="369" w:name="_Toc164351627"/>
      <w:bookmarkStart w:id="370" w:name="_Toc150480771"/>
      <w:bookmarkStart w:id="371" w:name="_Toc305158875"/>
      <w:bookmarkStart w:id="372" w:name="_Toc195842898"/>
      <w:bookmarkStart w:id="373" w:name="_Toc226309777"/>
      <w:bookmarkStart w:id="374" w:name="_Toc226337229"/>
      <w:bookmarkStart w:id="375" w:name="_Toc127151533"/>
      <w:bookmarkStart w:id="376" w:name="_Toc150774633"/>
      <w:bookmarkStart w:id="377" w:name="_Toc151193775"/>
      <w:bookmarkStart w:id="378" w:name="_Toc164229228"/>
      <w:bookmarkStart w:id="379" w:name="_Toc520356158"/>
      <w:bookmarkStart w:id="380" w:name="_Toc305158801"/>
      <w:bookmarkStart w:id="381" w:name="_Toc127151734"/>
      <w:bookmarkStart w:id="382" w:name="_Toc150509284"/>
      <w:r>
        <w:rPr>
          <w:sz w:val="24"/>
        </w:rPr>
        <w:t>投标文件的签署</w:t>
      </w:r>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r>
        <w:rPr>
          <w:sz w:val="24"/>
        </w:rPr>
        <w:t>、加盖公章</w:t>
      </w:r>
    </w:p>
    <w:p w14:paraId="73F34301">
      <w:pPr>
        <w:numPr>
          <w:ilvl w:val="1"/>
          <w:numId w:val="8"/>
        </w:numPr>
        <w:tabs>
          <w:tab w:val="left" w:pos="1080"/>
          <w:tab w:val="left" w:pos="2014"/>
        </w:tabs>
        <w:spacing w:line="360" w:lineRule="auto"/>
        <w:ind w:left="1077" w:hanging="720"/>
        <w:rPr>
          <w:sz w:val="24"/>
        </w:rPr>
      </w:pPr>
      <w:bookmarkStart w:id="383" w:name="_Toc127151534"/>
      <w:bookmarkStart w:id="384" w:name="_Toc151193848"/>
      <w:bookmarkStart w:id="385" w:name="_Toc150480772"/>
      <w:bookmarkStart w:id="386" w:name="_Toc265228372"/>
      <w:bookmarkStart w:id="387" w:name="_Toc305158802"/>
      <w:bookmarkStart w:id="388" w:name="_Toc150774634"/>
      <w:bookmarkStart w:id="389" w:name="_Toc226309778"/>
      <w:bookmarkStart w:id="390" w:name="_Toc151190161"/>
      <w:bookmarkStart w:id="391" w:name="_Toc195842899"/>
      <w:bookmarkStart w:id="392" w:name="_Toc151193922"/>
      <w:bookmarkStart w:id="393" w:name="_Toc226337230"/>
      <w:bookmarkStart w:id="394" w:name="_Toc305158876"/>
      <w:bookmarkStart w:id="395" w:name="_Toc264969224"/>
      <w:bookmarkStart w:id="396" w:name="_Toc151193632"/>
      <w:bookmarkStart w:id="397" w:name="_Toc226965807"/>
      <w:bookmarkStart w:id="398" w:name="_Toc151193704"/>
      <w:bookmarkStart w:id="399" w:name="_Toc226965724"/>
      <w:bookmarkStart w:id="400" w:name="_Toc150509285"/>
      <w:bookmarkStart w:id="401" w:name="_Toc142311036"/>
      <w:bookmarkStart w:id="402" w:name="_Toc150774739"/>
      <w:bookmarkStart w:id="403" w:name="_Toc151193776"/>
      <w:bookmarkStart w:id="404" w:name="_Toc520356159"/>
      <w:r>
        <w:rPr>
          <w:sz w:val="24"/>
        </w:rPr>
        <w:t>招标文件要求签字的内容（如授权委托书等），</w:t>
      </w:r>
      <w:r>
        <w:rPr>
          <w:rFonts w:hint="eastAsia"/>
          <w:sz w:val="24"/>
        </w:rPr>
        <w:t>可以使用电子签章或使用原件的电子件（电子件指扫描件、照片等形式电子文件）；要求</w:t>
      </w:r>
      <w:r>
        <w:rPr>
          <w:sz w:val="24"/>
        </w:rPr>
        <w:t>第三方出具的加盖公章原件（如联合协议、分包意向协议、制造商授权书等），投标文件中应使用原件的电子件。</w:t>
      </w:r>
    </w:p>
    <w:p w14:paraId="1E9FE4E2">
      <w:pPr>
        <w:numPr>
          <w:ilvl w:val="1"/>
          <w:numId w:val="8"/>
        </w:numPr>
        <w:tabs>
          <w:tab w:val="left" w:pos="1080"/>
          <w:tab w:val="left" w:pos="2014"/>
        </w:tabs>
        <w:spacing w:line="360" w:lineRule="auto"/>
        <w:ind w:left="1077" w:hanging="720"/>
        <w:rPr>
          <w:sz w:val="24"/>
        </w:rPr>
      </w:pPr>
      <w:r>
        <w:rPr>
          <w:sz w:val="24"/>
        </w:rPr>
        <w:t>招标文件要求加盖公章的内容，</w:t>
      </w:r>
      <w:r>
        <w:rPr>
          <w:rFonts w:hint="eastAsia"/>
          <w:sz w:val="24"/>
        </w:rPr>
        <w:t>一般</w:t>
      </w:r>
      <w:r>
        <w:rPr>
          <w:sz w:val="24"/>
        </w:rPr>
        <w:t>通过投标文件编制工具加盖电子签章。</w:t>
      </w:r>
    </w:p>
    <w:p w14:paraId="453CFA9F">
      <w:pPr>
        <w:tabs>
          <w:tab w:val="left" w:pos="900"/>
          <w:tab w:val="left" w:pos="1080"/>
        </w:tabs>
        <w:spacing w:line="360" w:lineRule="auto"/>
        <w:ind w:left="357"/>
      </w:pPr>
    </w:p>
    <w:p w14:paraId="5B5F8176">
      <w:pPr>
        <w:pStyle w:val="183"/>
        <w:spacing w:before="0" w:line="360" w:lineRule="auto"/>
        <w:rPr>
          <w:rFonts w:ascii="Times New Roman" w:hAnsi="Times New Roman" w:eastAsia="宋体"/>
          <w:sz w:val="28"/>
        </w:rPr>
      </w:pPr>
      <w:r>
        <w:rPr>
          <w:rFonts w:ascii="Times New Roman" w:hAnsi="Times New Roman" w:eastAsia="宋体"/>
          <w:sz w:val="28"/>
        </w:rPr>
        <w:t>四   投标文件的提交</w:t>
      </w:r>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p>
    <w:p w14:paraId="2381283F">
      <w:pPr>
        <w:numPr>
          <w:ilvl w:val="0"/>
          <w:numId w:val="8"/>
        </w:numPr>
        <w:tabs>
          <w:tab w:val="left" w:pos="360"/>
        </w:tabs>
        <w:spacing w:line="360" w:lineRule="auto"/>
        <w:ind w:left="357" w:hanging="357"/>
        <w:outlineLvl w:val="1"/>
        <w:rPr>
          <w:sz w:val="24"/>
        </w:rPr>
      </w:pPr>
      <w:bookmarkStart w:id="405" w:name="_Toc164608649"/>
      <w:bookmarkStart w:id="406" w:name="_Toc150774740"/>
      <w:bookmarkStart w:id="407" w:name="_Toc150509286"/>
      <w:bookmarkStart w:id="408" w:name="_Toc226965808"/>
      <w:bookmarkStart w:id="409" w:name="_Toc164229230"/>
      <w:bookmarkStart w:id="410" w:name="_Toc151190162"/>
      <w:bookmarkStart w:id="411" w:name="_Toc195842900"/>
      <w:bookmarkStart w:id="412" w:name="_Toc305158803"/>
      <w:bookmarkStart w:id="413" w:name="_Toc164229376"/>
      <w:bookmarkStart w:id="414" w:name="_Toc226309779"/>
      <w:bookmarkStart w:id="415" w:name="_Toc151193633"/>
      <w:bookmarkStart w:id="416" w:name="_Toc150480773"/>
      <w:bookmarkStart w:id="417" w:name="_Toc149720828"/>
      <w:bookmarkStart w:id="418" w:name="_Toc151193923"/>
      <w:bookmarkStart w:id="419" w:name="_Toc264969225"/>
      <w:bookmarkStart w:id="420" w:name="_Toc265228373"/>
      <w:bookmarkStart w:id="421" w:name="_Toc150774635"/>
      <w:bookmarkStart w:id="422" w:name="_Toc164608804"/>
      <w:bookmarkStart w:id="423" w:name="_Toc151193849"/>
      <w:bookmarkStart w:id="424" w:name="_Toc226337231"/>
      <w:bookmarkStart w:id="425" w:name="_Toc142311037"/>
      <w:bookmarkStart w:id="426" w:name="_Toc226965725"/>
      <w:bookmarkStart w:id="427" w:name="_Toc127151535"/>
      <w:bookmarkStart w:id="428" w:name="_Toc164351629"/>
      <w:bookmarkStart w:id="429" w:name="_Toc127161449"/>
      <w:bookmarkStart w:id="430" w:name="_Toc305158877"/>
      <w:bookmarkStart w:id="431" w:name="_Toc520356160"/>
      <w:bookmarkStart w:id="432" w:name="_Toc151193705"/>
      <w:bookmarkStart w:id="433" w:name="_Toc127151736"/>
      <w:bookmarkStart w:id="434" w:name="_Toc151193777"/>
      <w:r>
        <w:rPr>
          <w:sz w:val="24"/>
        </w:rPr>
        <w:t>投标文件的</w:t>
      </w:r>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r>
        <w:rPr>
          <w:sz w:val="24"/>
        </w:rPr>
        <w:t>提交</w:t>
      </w:r>
    </w:p>
    <w:p w14:paraId="6D19D131">
      <w:pPr>
        <w:numPr>
          <w:ilvl w:val="1"/>
          <w:numId w:val="8"/>
        </w:numPr>
        <w:tabs>
          <w:tab w:val="left" w:pos="1080"/>
          <w:tab w:val="left" w:pos="2014"/>
        </w:tabs>
        <w:spacing w:line="360" w:lineRule="auto"/>
        <w:ind w:left="1077" w:hanging="720"/>
        <w:rPr>
          <w:sz w:val="24"/>
        </w:rPr>
      </w:pPr>
      <w:r>
        <w:rPr>
          <w:sz w:val="24"/>
        </w:rPr>
        <w:t>本项目使用</w:t>
      </w:r>
      <w:r>
        <w:rPr>
          <w:sz w:val="24"/>
          <w:lang w:bidi="ar"/>
        </w:rPr>
        <w:t>常州市政府采购</w:t>
      </w:r>
      <w:r>
        <w:rPr>
          <w:rFonts w:hint="eastAsia"/>
          <w:sz w:val="24"/>
          <w:lang w:bidi="ar"/>
        </w:rPr>
        <w:t>业务管理</w:t>
      </w:r>
      <w:r>
        <w:rPr>
          <w:sz w:val="24"/>
          <w:lang w:bidi="ar"/>
        </w:rPr>
        <w:t>平台</w:t>
      </w:r>
      <w:r>
        <w:rPr>
          <w:sz w:val="24"/>
        </w:rPr>
        <w:t>。投标人根据招标文件及</w:t>
      </w:r>
      <w:r>
        <w:rPr>
          <w:sz w:val="24"/>
          <w:lang w:bidi="ar"/>
        </w:rPr>
        <w:t>常州市政府采购</w:t>
      </w:r>
      <w:r>
        <w:rPr>
          <w:rFonts w:hint="eastAsia"/>
          <w:sz w:val="24"/>
          <w:lang w:bidi="ar"/>
        </w:rPr>
        <w:t>业务管理</w:t>
      </w:r>
      <w:r>
        <w:rPr>
          <w:sz w:val="24"/>
          <w:lang w:bidi="ar"/>
        </w:rPr>
        <w:t>平台</w:t>
      </w:r>
      <w:r>
        <w:rPr>
          <w:sz w:val="24"/>
        </w:rPr>
        <w:t>供应商操作手册要求编制、生成并提交电子投标文件。</w:t>
      </w:r>
    </w:p>
    <w:p w14:paraId="4441E144">
      <w:pPr>
        <w:numPr>
          <w:ilvl w:val="1"/>
          <w:numId w:val="8"/>
        </w:numPr>
        <w:tabs>
          <w:tab w:val="left" w:pos="1080"/>
          <w:tab w:val="left" w:pos="2014"/>
        </w:tabs>
        <w:spacing w:line="360" w:lineRule="auto"/>
        <w:ind w:left="1077" w:hanging="720"/>
        <w:rPr>
          <w:sz w:val="24"/>
        </w:rPr>
      </w:pPr>
      <w:r>
        <w:rPr>
          <w:sz w:val="24"/>
        </w:rPr>
        <w:t>采购人及采购代理机构拒绝接受通过常州市政府采购业务管理平台以外任何形式提交的投标文件。</w:t>
      </w:r>
    </w:p>
    <w:p w14:paraId="42390C5D">
      <w:pPr>
        <w:numPr>
          <w:ilvl w:val="0"/>
          <w:numId w:val="8"/>
        </w:numPr>
        <w:tabs>
          <w:tab w:val="left" w:pos="360"/>
        </w:tabs>
        <w:spacing w:line="360" w:lineRule="auto"/>
        <w:ind w:left="357" w:hanging="357"/>
        <w:outlineLvl w:val="1"/>
        <w:rPr>
          <w:sz w:val="24"/>
        </w:rPr>
      </w:pPr>
      <w:bookmarkStart w:id="435" w:name="_Toc264969226"/>
      <w:bookmarkStart w:id="436" w:name="_Toc151190163"/>
      <w:bookmarkStart w:id="437" w:name="_Toc305158804"/>
      <w:bookmarkStart w:id="438" w:name="_Toc226965809"/>
      <w:bookmarkStart w:id="439" w:name="_Toc149720829"/>
      <w:bookmarkStart w:id="440" w:name="_Toc151193850"/>
      <w:bookmarkStart w:id="441" w:name="_Toc164608805"/>
      <w:bookmarkStart w:id="442" w:name="_Toc150480774"/>
      <w:bookmarkStart w:id="443" w:name="_Toc195842901"/>
      <w:bookmarkStart w:id="444" w:name="_Toc151193924"/>
      <w:bookmarkStart w:id="445" w:name="_Toc151193778"/>
      <w:bookmarkStart w:id="446" w:name="_Toc164229231"/>
      <w:bookmarkStart w:id="447" w:name="_Toc150509287"/>
      <w:bookmarkStart w:id="448" w:name="_Toc226309780"/>
      <w:bookmarkStart w:id="449" w:name="_Toc226965726"/>
      <w:bookmarkStart w:id="450" w:name="_Toc150774741"/>
      <w:bookmarkStart w:id="451" w:name="_Toc265228374"/>
      <w:bookmarkStart w:id="452" w:name="_Toc520356161"/>
      <w:bookmarkStart w:id="453" w:name="_Toc150774636"/>
      <w:bookmarkStart w:id="454" w:name="_Toc127151737"/>
      <w:bookmarkStart w:id="455" w:name="_Toc127161450"/>
      <w:bookmarkStart w:id="456" w:name="_Toc305158878"/>
      <w:bookmarkStart w:id="457" w:name="_Toc142311038"/>
      <w:bookmarkStart w:id="458" w:name="_Toc226337232"/>
      <w:bookmarkStart w:id="459" w:name="_Toc151193634"/>
      <w:bookmarkStart w:id="460" w:name="_Toc164229377"/>
      <w:bookmarkStart w:id="461" w:name="_Toc127151536"/>
      <w:bookmarkStart w:id="462" w:name="_Toc151193706"/>
      <w:bookmarkStart w:id="463" w:name="_Toc164608650"/>
      <w:bookmarkStart w:id="464" w:name="_Toc164351630"/>
      <w:r>
        <w:rPr>
          <w:sz w:val="24"/>
        </w:rPr>
        <w:t>投标截止</w:t>
      </w:r>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r>
        <w:rPr>
          <w:sz w:val="24"/>
        </w:rPr>
        <w:t>时间</w:t>
      </w:r>
    </w:p>
    <w:p w14:paraId="1C068BD1">
      <w:pPr>
        <w:numPr>
          <w:ilvl w:val="1"/>
          <w:numId w:val="8"/>
        </w:numPr>
        <w:tabs>
          <w:tab w:val="left" w:pos="1080"/>
          <w:tab w:val="left" w:pos="2014"/>
        </w:tabs>
        <w:spacing w:line="360" w:lineRule="auto"/>
        <w:ind w:left="1077" w:hanging="720"/>
        <w:rPr>
          <w:sz w:val="24"/>
        </w:rPr>
      </w:pPr>
      <w:r>
        <w:rPr>
          <w:sz w:val="24"/>
        </w:rPr>
        <w:t>投标人应在招标文件要求提交投标文件截止时间前，将电子投标文件提交至常州市政府采购业务管理平台。</w:t>
      </w:r>
    </w:p>
    <w:p w14:paraId="0C20CEE4">
      <w:pPr>
        <w:numPr>
          <w:ilvl w:val="0"/>
          <w:numId w:val="8"/>
        </w:numPr>
        <w:tabs>
          <w:tab w:val="left" w:pos="360"/>
        </w:tabs>
        <w:spacing w:line="360" w:lineRule="auto"/>
        <w:ind w:left="357" w:hanging="357"/>
        <w:outlineLvl w:val="1"/>
        <w:rPr>
          <w:sz w:val="24"/>
        </w:rPr>
      </w:pPr>
      <w:bookmarkStart w:id="465" w:name="_Toc164608806"/>
      <w:bookmarkStart w:id="466" w:name="_Toc149720830"/>
      <w:bookmarkStart w:id="467" w:name="_Toc151190164"/>
      <w:bookmarkStart w:id="468" w:name="_Toc150509288"/>
      <w:bookmarkStart w:id="469" w:name="_Toc226337233"/>
      <w:bookmarkStart w:id="470" w:name="_Toc150774637"/>
      <w:bookmarkStart w:id="471" w:name="_Toc226309781"/>
      <w:bookmarkStart w:id="472" w:name="_Toc195842902"/>
      <w:bookmarkStart w:id="473" w:name="_Toc305158879"/>
      <w:bookmarkStart w:id="474" w:name="_Toc150774742"/>
      <w:bookmarkStart w:id="475" w:name="_Toc226965810"/>
      <w:bookmarkStart w:id="476" w:name="_Toc127151738"/>
      <w:bookmarkStart w:id="477" w:name="_Toc151193779"/>
      <w:bookmarkStart w:id="478" w:name="_Toc520356162"/>
      <w:bookmarkStart w:id="479" w:name="_Toc151193851"/>
      <w:bookmarkStart w:id="480" w:name="_Toc164229378"/>
      <w:bookmarkStart w:id="481" w:name="_Toc226965727"/>
      <w:bookmarkStart w:id="482" w:name="_Toc127151537"/>
      <w:bookmarkStart w:id="483" w:name="_Toc151193925"/>
      <w:bookmarkStart w:id="484" w:name="_Toc164229232"/>
      <w:bookmarkStart w:id="485" w:name="_Toc264969227"/>
      <w:bookmarkStart w:id="486" w:name="_Toc305158805"/>
      <w:bookmarkStart w:id="487" w:name="_Toc151193707"/>
      <w:bookmarkStart w:id="488" w:name="_Toc127161451"/>
      <w:bookmarkStart w:id="489" w:name="_Toc265228375"/>
      <w:bookmarkStart w:id="490" w:name="_Toc142311039"/>
      <w:bookmarkStart w:id="491" w:name="_Toc151193635"/>
      <w:bookmarkStart w:id="492" w:name="_Toc150480775"/>
      <w:bookmarkStart w:id="493" w:name="_Toc164351631"/>
      <w:bookmarkStart w:id="494" w:name="_Toc164608651"/>
      <w:r>
        <w:rPr>
          <w:sz w:val="24"/>
        </w:rPr>
        <w:t>投标文件的修改与撤回</w:t>
      </w:r>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p>
    <w:p w14:paraId="735A04D5">
      <w:pPr>
        <w:numPr>
          <w:ilvl w:val="1"/>
          <w:numId w:val="8"/>
        </w:numPr>
        <w:tabs>
          <w:tab w:val="left" w:pos="1080"/>
          <w:tab w:val="left" w:pos="2014"/>
        </w:tabs>
        <w:spacing w:line="360" w:lineRule="auto"/>
        <w:ind w:left="1077" w:hanging="720"/>
        <w:rPr>
          <w:sz w:val="24"/>
        </w:rPr>
      </w:pPr>
      <w:r>
        <w:rPr>
          <w:sz w:val="24"/>
        </w:rPr>
        <w:t>投标截止时间前，投标人可以通过常州市政府采购业务管理平台对所提交的投标文件进行补充、修改或者撤回。</w:t>
      </w:r>
    </w:p>
    <w:p w14:paraId="06EFBAEE">
      <w:pPr>
        <w:numPr>
          <w:ilvl w:val="1"/>
          <w:numId w:val="8"/>
        </w:numPr>
        <w:tabs>
          <w:tab w:val="left" w:pos="1080"/>
          <w:tab w:val="left" w:pos="2014"/>
        </w:tabs>
        <w:spacing w:line="360" w:lineRule="auto"/>
        <w:ind w:left="1077" w:hanging="720"/>
        <w:rPr>
          <w:sz w:val="24"/>
        </w:rPr>
      </w:pPr>
      <w:r>
        <w:rPr>
          <w:sz w:val="24"/>
        </w:rPr>
        <w:t>投标人对投标文件的补充、修改的内容应当按照招标文件要求签署、加盖公章，作为投标文件的组成部分。</w:t>
      </w:r>
    </w:p>
    <w:p w14:paraId="2836BEFD">
      <w:pPr>
        <w:spacing w:line="360" w:lineRule="auto"/>
        <w:rPr>
          <w:sz w:val="24"/>
        </w:rPr>
      </w:pPr>
    </w:p>
    <w:p w14:paraId="63231156">
      <w:pPr>
        <w:pStyle w:val="183"/>
        <w:spacing w:before="0" w:line="360" w:lineRule="auto"/>
        <w:rPr>
          <w:rFonts w:ascii="Times New Roman" w:hAnsi="Times New Roman" w:eastAsia="宋体"/>
          <w:sz w:val="28"/>
        </w:rPr>
      </w:pPr>
      <w:bookmarkStart w:id="495" w:name="_Toc142311040"/>
      <w:bookmarkStart w:id="496" w:name="_Toc264969228"/>
      <w:bookmarkStart w:id="497" w:name="_Toc150774743"/>
      <w:bookmarkStart w:id="498" w:name="_Toc150480776"/>
      <w:bookmarkStart w:id="499" w:name="_Toc151190165"/>
      <w:bookmarkStart w:id="500" w:name="_Toc226965811"/>
      <w:bookmarkStart w:id="501" w:name="_Toc151193708"/>
      <w:bookmarkStart w:id="502" w:name="_Toc305158880"/>
      <w:bookmarkStart w:id="503" w:name="_Toc520356163"/>
      <w:bookmarkStart w:id="504" w:name="_Toc305158806"/>
      <w:bookmarkStart w:id="505" w:name="_Toc151193636"/>
      <w:bookmarkStart w:id="506" w:name="_Toc150774638"/>
      <w:bookmarkStart w:id="507" w:name="_Toc265228376"/>
      <w:bookmarkStart w:id="508" w:name="_Toc226337234"/>
      <w:bookmarkStart w:id="509" w:name="_Toc226309782"/>
      <w:bookmarkStart w:id="510" w:name="_Toc195842903"/>
      <w:bookmarkStart w:id="511" w:name="_Toc151193926"/>
      <w:bookmarkStart w:id="512" w:name="_Toc151193852"/>
      <w:bookmarkStart w:id="513" w:name="_Toc150509289"/>
      <w:bookmarkStart w:id="514" w:name="_Toc151193780"/>
      <w:bookmarkStart w:id="515" w:name="_Toc127151538"/>
      <w:bookmarkStart w:id="516" w:name="_Toc226965728"/>
      <w:r>
        <w:rPr>
          <w:rFonts w:ascii="Times New Roman" w:hAnsi="Times New Roman" w:eastAsia="宋体"/>
          <w:sz w:val="28"/>
        </w:rPr>
        <w:t>五   开标、资格审查及评标</w:t>
      </w:r>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p>
    <w:p w14:paraId="4CCBB9C0">
      <w:pPr>
        <w:numPr>
          <w:ilvl w:val="0"/>
          <w:numId w:val="8"/>
        </w:numPr>
        <w:tabs>
          <w:tab w:val="left" w:pos="360"/>
        </w:tabs>
        <w:spacing w:line="360" w:lineRule="auto"/>
        <w:ind w:left="357" w:hanging="357"/>
        <w:outlineLvl w:val="1"/>
        <w:rPr>
          <w:sz w:val="24"/>
        </w:rPr>
      </w:pPr>
      <w:bookmarkStart w:id="517" w:name="_Toc195842904"/>
      <w:bookmarkStart w:id="518" w:name="_Toc142311041"/>
      <w:bookmarkStart w:id="519" w:name="_Toc164351633"/>
      <w:bookmarkStart w:id="520" w:name="_Toc151193853"/>
      <w:bookmarkStart w:id="521" w:name="_Toc149720832"/>
      <w:bookmarkStart w:id="522" w:name="_Toc305158807"/>
      <w:bookmarkStart w:id="523" w:name="_Toc151193781"/>
      <w:bookmarkStart w:id="524" w:name="_Toc164608808"/>
      <w:bookmarkStart w:id="525" w:name="_Toc265228377"/>
      <w:bookmarkStart w:id="526" w:name="_Toc164229380"/>
      <w:bookmarkStart w:id="527" w:name="_Toc226965812"/>
      <w:bookmarkStart w:id="528" w:name="_Toc150480777"/>
      <w:bookmarkStart w:id="529" w:name="_Toc164229234"/>
      <w:bookmarkStart w:id="530" w:name="_Toc150774744"/>
      <w:bookmarkStart w:id="531" w:name="_Toc264969229"/>
      <w:bookmarkStart w:id="532" w:name="_Toc127161453"/>
      <w:bookmarkStart w:id="533" w:name="_Toc150774639"/>
      <w:bookmarkStart w:id="534" w:name="_Toc127151539"/>
      <w:bookmarkStart w:id="535" w:name="_Toc151193927"/>
      <w:bookmarkStart w:id="536" w:name="_Toc226965729"/>
      <w:bookmarkStart w:id="537" w:name="_Toc520356164"/>
      <w:bookmarkStart w:id="538" w:name="_Toc151193709"/>
      <w:bookmarkStart w:id="539" w:name="_Toc226309783"/>
      <w:bookmarkStart w:id="540" w:name="_Toc151190166"/>
      <w:bookmarkStart w:id="541" w:name="_Toc151193637"/>
      <w:bookmarkStart w:id="542" w:name="_Toc150509290"/>
      <w:bookmarkStart w:id="543" w:name="_Toc226337235"/>
      <w:bookmarkStart w:id="544" w:name="_Toc305158881"/>
      <w:bookmarkStart w:id="545" w:name="_Toc127151740"/>
      <w:bookmarkStart w:id="546" w:name="_Toc164608653"/>
      <w:r>
        <w:rPr>
          <w:sz w:val="24"/>
        </w:rPr>
        <w:t>开标</w:t>
      </w:r>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p>
    <w:p w14:paraId="30BE3132">
      <w:pPr>
        <w:numPr>
          <w:ilvl w:val="1"/>
          <w:numId w:val="8"/>
        </w:numPr>
        <w:tabs>
          <w:tab w:val="left" w:pos="1080"/>
          <w:tab w:val="left" w:pos="2014"/>
        </w:tabs>
        <w:spacing w:line="360" w:lineRule="auto"/>
        <w:ind w:left="1077" w:hanging="720"/>
        <w:rPr>
          <w:sz w:val="24"/>
        </w:rPr>
      </w:pPr>
      <w:r>
        <w:rPr>
          <w:sz w:val="24"/>
        </w:rPr>
        <w:t>采购人或采购代理机构将按招标文件的规定，在投标截止时间的同一时间和招标文件预先确定的地点组织开标。</w:t>
      </w:r>
    </w:p>
    <w:p w14:paraId="363628C6">
      <w:pPr>
        <w:numPr>
          <w:ilvl w:val="1"/>
          <w:numId w:val="8"/>
        </w:numPr>
        <w:tabs>
          <w:tab w:val="left" w:pos="1080"/>
          <w:tab w:val="left" w:pos="2014"/>
        </w:tabs>
        <w:spacing w:line="360" w:lineRule="auto"/>
        <w:ind w:left="1077" w:hanging="720"/>
        <w:rPr>
          <w:sz w:val="24"/>
        </w:rPr>
      </w:pPr>
      <w:r>
        <w:rPr>
          <w:sz w:val="24"/>
        </w:rPr>
        <w:t>本项目开标</w:t>
      </w:r>
      <w:r>
        <w:rPr>
          <w:rFonts w:ascii="宋体" w:hAnsi="宋体"/>
          <w:sz w:val="24"/>
        </w:rPr>
        <w:t>采用不见面招投标模式</w:t>
      </w:r>
      <w:r>
        <w:rPr>
          <w:rFonts w:hint="eastAsia" w:ascii="宋体" w:hAnsi="宋体"/>
          <w:sz w:val="24"/>
        </w:rPr>
        <w:t>，</w:t>
      </w:r>
      <w:r>
        <w:rPr>
          <w:sz w:val="24"/>
        </w:rPr>
        <w:t>使用常州市政府采购业务管理平台</w:t>
      </w:r>
      <w:r>
        <w:rPr>
          <w:rFonts w:hint="eastAsia"/>
          <w:sz w:val="24"/>
        </w:rPr>
        <w:t>在线进行开标</w:t>
      </w:r>
      <w:r>
        <w:rPr>
          <w:sz w:val="24"/>
        </w:rPr>
        <w:t>。投标人应在规定的时间内对投标文件进行解密，因非系统原因导致的解密失败，视为</w:t>
      </w:r>
      <w:r>
        <w:rPr>
          <w:b/>
          <w:sz w:val="24"/>
        </w:rPr>
        <w:t>投标无效</w:t>
      </w:r>
      <w:r>
        <w:rPr>
          <w:sz w:val="24"/>
        </w:rPr>
        <w:t>。</w:t>
      </w:r>
    </w:p>
    <w:p w14:paraId="4F0FA36B">
      <w:pPr>
        <w:numPr>
          <w:ilvl w:val="1"/>
          <w:numId w:val="8"/>
        </w:numPr>
        <w:tabs>
          <w:tab w:val="left" w:pos="1080"/>
          <w:tab w:val="left" w:pos="2014"/>
        </w:tabs>
        <w:spacing w:line="360" w:lineRule="auto"/>
        <w:ind w:left="1077" w:hanging="720"/>
        <w:rPr>
          <w:sz w:val="24"/>
        </w:rPr>
      </w:pPr>
      <w:r>
        <w:rPr>
          <w:sz w:val="24"/>
        </w:rPr>
        <w:t>开标过程将使用常州市政府采购业务管理平台</w:t>
      </w:r>
      <w:r>
        <w:rPr>
          <w:rFonts w:hint="eastAsia"/>
          <w:sz w:val="24"/>
        </w:rPr>
        <w:t>公</w:t>
      </w:r>
      <w:r>
        <w:rPr>
          <w:sz w:val="24"/>
        </w:rPr>
        <w:t>布投标人名称、投标价格和招标文件规定的需要宣布的其他内容并进行记录，并由参加开标的各投标人代表</w:t>
      </w:r>
      <w:r>
        <w:rPr>
          <w:rFonts w:hint="eastAsia"/>
          <w:sz w:val="24"/>
        </w:rPr>
        <w:t>在规定时间内</w:t>
      </w:r>
      <w:r>
        <w:rPr>
          <w:sz w:val="24"/>
        </w:rPr>
        <w:t>确认</w:t>
      </w:r>
      <w:bookmarkStart w:id="547" w:name="_Toc520356165"/>
      <w:r>
        <w:rPr>
          <w:rFonts w:hint="eastAsia"/>
          <w:sz w:val="24"/>
        </w:rPr>
        <w:t>。投标人超过规定时间未确认但是未提出疑义的，系统将视同已确认</w:t>
      </w:r>
      <w:r>
        <w:rPr>
          <w:sz w:val="24"/>
        </w:rPr>
        <w:t>。</w:t>
      </w:r>
    </w:p>
    <w:p w14:paraId="695DB3C2">
      <w:pPr>
        <w:numPr>
          <w:ilvl w:val="1"/>
          <w:numId w:val="8"/>
        </w:numPr>
        <w:tabs>
          <w:tab w:val="left" w:pos="1080"/>
          <w:tab w:val="left" w:pos="2014"/>
        </w:tabs>
        <w:spacing w:line="360" w:lineRule="auto"/>
        <w:ind w:left="1077" w:hanging="720"/>
        <w:rPr>
          <w:sz w:val="24"/>
        </w:rPr>
      </w:pPr>
      <w:r>
        <w:rPr>
          <w:sz w:val="24"/>
        </w:rPr>
        <w:t>投标人代表对开标过程和开标记录有疑义，以及认为采购人、采购代理机构相关工作人员有需要回避的情形的，应当场</w:t>
      </w:r>
      <w:r>
        <w:rPr>
          <w:rFonts w:hint="eastAsia"/>
          <w:sz w:val="24"/>
        </w:rPr>
        <w:t>通过业务系统</w:t>
      </w:r>
      <w:r>
        <w:rPr>
          <w:sz w:val="24"/>
        </w:rPr>
        <w:t>提出询问或者回避申请。采购人、采购代理机构对投标人代表提出的询问或者回避申请将及时处理。</w:t>
      </w:r>
    </w:p>
    <w:p w14:paraId="6042148E">
      <w:pPr>
        <w:numPr>
          <w:ilvl w:val="1"/>
          <w:numId w:val="8"/>
        </w:numPr>
        <w:tabs>
          <w:tab w:val="left" w:pos="1080"/>
          <w:tab w:val="left" w:pos="2014"/>
        </w:tabs>
        <w:spacing w:line="360" w:lineRule="auto"/>
        <w:ind w:left="1077" w:hanging="720"/>
        <w:rPr>
          <w:rFonts w:hint="eastAsia"/>
          <w:sz w:val="24"/>
        </w:rPr>
      </w:pPr>
      <w:r>
        <w:rPr>
          <w:sz w:val="24"/>
        </w:rPr>
        <w:t>投标人不足3家的，不予开标。</w:t>
      </w:r>
    </w:p>
    <w:p w14:paraId="2127A536">
      <w:pPr>
        <w:numPr>
          <w:ilvl w:val="1"/>
          <w:numId w:val="8"/>
        </w:numPr>
        <w:tabs>
          <w:tab w:val="left" w:pos="1080"/>
          <w:tab w:val="left" w:pos="2014"/>
        </w:tabs>
        <w:spacing w:line="360" w:lineRule="auto"/>
        <w:ind w:left="1077" w:hanging="720"/>
        <w:rPr>
          <w:sz w:val="24"/>
        </w:rPr>
      </w:pPr>
      <w:r>
        <w:rPr>
          <w:sz w:val="24"/>
        </w:rPr>
        <w:t>投标人须在开标前使用“验证CA”功能验证本地计算机的控件环境是否正常，并且在开标</w:t>
      </w:r>
      <w:r>
        <w:rPr>
          <w:rFonts w:hint="eastAsia"/>
          <w:sz w:val="24"/>
        </w:rPr>
        <w:t>评审</w:t>
      </w:r>
      <w:r>
        <w:rPr>
          <w:sz w:val="24"/>
        </w:rPr>
        <w:t>过程中不可随意更换</w:t>
      </w:r>
      <w:r>
        <w:rPr>
          <w:rFonts w:hint="eastAsia"/>
          <w:sz w:val="24"/>
        </w:rPr>
        <w:t>计算机</w:t>
      </w:r>
      <w:r>
        <w:rPr>
          <w:sz w:val="24"/>
        </w:rPr>
        <w:t>，必须使用验证成功的计算机进行操作，否则造成相应后果由投标</w:t>
      </w:r>
      <w:r>
        <w:rPr>
          <w:rFonts w:hint="eastAsia"/>
          <w:sz w:val="24"/>
        </w:rPr>
        <w:t>人</w:t>
      </w:r>
      <w:r>
        <w:rPr>
          <w:sz w:val="24"/>
        </w:rPr>
        <w:t>自行承担。本地计算机</w:t>
      </w:r>
      <w:r>
        <w:rPr>
          <w:rFonts w:hint="eastAsia"/>
          <w:sz w:val="24"/>
        </w:rPr>
        <w:t>要求安装摄像头、麦克风和音箱，保持网络通畅。</w:t>
      </w:r>
    </w:p>
    <w:p w14:paraId="3BF5903D">
      <w:pPr>
        <w:numPr>
          <w:ilvl w:val="1"/>
          <w:numId w:val="8"/>
        </w:numPr>
        <w:tabs>
          <w:tab w:val="left" w:pos="1080"/>
          <w:tab w:val="left" w:pos="2014"/>
        </w:tabs>
        <w:spacing w:line="360" w:lineRule="auto"/>
        <w:ind w:left="1077" w:hanging="720"/>
        <w:rPr>
          <w:rFonts w:hint="eastAsia"/>
          <w:sz w:val="24"/>
        </w:rPr>
      </w:pPr>
      <w:r>
        <w:rPr>
          <w:rFonts w:hint="eastAsia"/>
          <w:sz w:val="24"/>
        </w:rPr>
        <w:t>因本项目</w:t>
      </w:r>
      <w:r>
        <w:rPr>
          <w:sz w:val="24"/>
        </w:rPr>
        <w:t>采用不见面交易的</w:t>
      </w:r>
      <w:r>
        <w:rPr>
          <w:rFonts w:hint="eastAsia"/>
          <w:sz w:val="24"/>
        </w:rPr>
        <w:t>方式</w:t>
      </w:r>
      <w:r>
        <w:rPr>
          <w:sz w:val="24"/>
        </w:rPr>
        <w:t>，在</w:t>
      </w:r>
      <w:r>
        <w:rPr>
          <w:rFonts w:hint="eastAsia"/>
          <w:sz w:val="24"/>
        </w:rPr>
        <w:t>开标、评审</w:t>
      </w:r>
      <w:r>
        <w:rPr>
          <w:sz w:val="24"/>
        </w:rPr>
        <w:t>过程中，</w:t>
      </w:r>
      <w:r>
        <w:rPr>
          <w:rFonts w:hint="eastAsia"/>
          <w:sz w:val="24"/>
        </w:rPr>
        <w:t>供应商</w:t>
      </w:r>
      <w:r>
        <w:rPr>
          <w:sz w:val="24"/>
        </w:rPr>
        <w:t>需</w:t>
      </w:r>
      <w:r>
        <w:rPr>
          <w:rFonts w:hint="eastAsia"/>
          <w:sz w:val="24"/>
        </w:rPr>
        <w:t>要</w:t>
      </w:r>
      <w:r>
        <w:rPr>
          <w:sz w:val="24"/>
        </w:rPr>
        <w:t>保持操作计算机前有相关责任人</w:t>
      </w:r>
      <w:r>
        <w:rPr>
          <w:rFonts w:hint="eastAsia"/>
          <w:sz w:val="24"/>
        </w:rPr>
        <w:t>值守，及时对于系统或者评委会发出的指令和要求进行响应操作。如果因为无人值守造成不能及时回应系统或者评委会指令和要求从而导致影响开标、评审结果的，责任由投标人承担</w:t>
      </w:r>
      <w:r>
        <w:rPr>
          <w:sz w:val="24"/>
        </w:rPr>
        <w:t>。</w:t>
      </w:r>
    </w:p>
    <w:p w14:paraId="2B15A526">
      <w:pPr>
        <w:numPr>
          <w:ilvl w:val="1"/>
          <w:numId w:val="8"/>
        </w:numPr>
        <w:tabs>
          <w:tab w:val="left" w:pos="1080"/>
          <w:tab w:val="left" w:pos="2014"/>
        </w:tabs>
        <w:spacing w:line="360" w:lineRule="auto"/>
        <w:ind w:left="1077" w:hanging="720"/>
        <w:rPr>
          <w:sz w:val="24"/>
        </w:rPr>
      </w:pPr>
      <w:r>
        <w:rPr>
          <w:rFonts w:hint="eastAsia"/>
          <w:sz w:val="24"/>
        </w:rPr>
        <w:t>如果在</w:t>
      </w:r>
      <w:r>
        <w:rPr>
          <w:sz w:val="24"/>
        </w:rPr>
        <w:t>采购</w:t>
      </w:r>
      <w:r>
        <w:rPr>
          <w:rFonts w:hint="eastAsia"/>
          <w:sz w:val="24"/>
        </w:rPr>
        <w:t>活动</w:t>
      </w:r>
      <w:r>
        <w:rPr>
          <w:sz w:val="24"/>
        </w:rPr>
        <w:t>过程中出现以下情形，导致</w:t>
      </w:r>
      <w:r>
        <w:rPr>
          <w:rFonts w:hint="eastAsia"/>
          <w:sz w:val="24"/>
        </w:rPr>
        <w:t>“</w:t>
      </w:r>
      <w:r>
        <w:rPr>
          <w:sz w:val="24"/>
          <w:lang w:bidi="ar"/>
        </w:rPr>
        <w:t>常州市政府采购业务管理平台</w:t>
      </w:r>
      <w:r>
        <w:rPr>
          <w:rFonts w:hint="eastAsia"/>
          <w:sz w:val="24"/>
        </w:rPr>
        <w:t>”系统</w:t>
      </w:r>
      <w:r>
        <w:rPr>
          <w:sz w:val="24"/>
        </w:rPr>
        <w:t>无法正常运行，或者无法保证</w:t>
      </w:r>
      <w:r>
        <w:rPr>
          <w:rFonts w:hint="eastAsia"/>
          <w:sz w:val="24"/>
        </w:rPr>
        <w:t>本项目采购活动</w:t>
      </w:r>
      <w:r>
        <w:rPr>
          <w:sz w:val="24"/>
        </w:rPr>
        <w:t>的公平、公正和安全时，</w:t>
      </w:r>
      <w:r>
        <w:rPr>
          <w:rFonts w:hint="eastAsia"/>
          <w:sz w:val="24"/>
        </w:rPr>
        <w:t>代理机构</w:t>
      </w:r>
      <w:r>
        <w:rPr>
          <w:sz w:val="24"/>
        </w:rPr>
        <w:t>可</w:t>
      </w:r>
      <w:r>
        <w:rPr>
          <w:rFonts w:hint="eastAsia"/>
          <w:sz w:val="24"/>
        </w:rPr>
        <w:t>以延缓或者暂停采购活动，情况严重的可以终止采购</w:t>
      </w:r>
      <w:r>
        <w:rPr>
          <w:sz w:val="24"/>
        </w:rPr>
        <w:t>活动：</w:t>
      </w:r>
      <w:r>
        <w:rPr>
          <w:sz w:val="24"/>
        </w:rPr>
        <w:br w:type="textWrapping" w:clear="all"/>
      </w:r>
      <w:r>
        <w:rPr>
          <w:rFonts w:hint="eastAsia"/>
          <w:sz w:val="24"/>
        </w:rPr>
        <w:t xml:space="preserve"> 1)</w:t>
      </w:r>
      <w:r>
        <w:rPr>
          <w:sz w:val="24"/>
        </w:rPr>
        <w:t>平台</w:t>
      </w:r>
      <w:r>
        <w:rPr>
          <w:rFonts w:hint="eastAsia"/>
          <w:sz w:val="24"/>
        </w:rPr>
        <w:t>系统</w:t>
      </w:r>
      <w:r>
        <w:rPr>
          <w:sz w:val="24"/>
        </w:rPr>
        <w:t>发生故障而无法登录访问的；</w:t>
      </w:r>
    </w:p>
    <w:p w14:paraId="1B2D702D">
      <w:pPr>
        <w:tabs>
          <w:tab w:val="left" w:pos="1080"/>
          <w:tab w:val="left" w:pos="1589"/>
          <w:tab w:val="left" w:pos="2014"/>
        </w:tabs>
        <w:spacing w:line="360" w:lineRule="auto"/>
        <w:ind w:left="357" w:firstLine="840"/>
        <w:rPr>
          <w:sz w:val="24"/>
        </w:rPr>
      </w:pPr>
      <w:r>
        <w:rPr>
          <w:rFonts w:hint="eastAsia"/>
          <w:sz w:val="24"/>
        </w:rPr>
        <w:t>2)</w:t>
      </w:r>
      <w:r>
        <w:rPr>
          <w:sz w:val="24"/>
        </w:rPr>
        <w:t>平台</w:t>
      </w:r>
      <w:r>
        <w:rPr>
          <w:rFonts w:hint="eastAsia"/>
          <w:sz w:val="24"/>
        </w:rPr>
        <w:t>系统</w:t>
      </w:r>
      <w:r>
        <w:rPr>
          <w:sz w:val="24"/>
        </w:rPr>
        <w:t>应用或数据库出现错误，不能进行正常操作的；</w:t>
      </w:r>
    </w:p>
    <w:p w14:paraId="610219D4">
      <w:pPr>
        <w:tabs>
          <w:tab w:val="left" w:pos="1080"/>
          <w:tab w:val="left" w:pos="1589"/>
          <w:tab w:val="left" w:pos="2014"/>
        </w:tabs>
        <w:spacing w:line="360" w:lineRule="auto"/>
        <w:ind w:left="357" w:firstLine="840"/>
        <w:rPr>
          <w:sz w:val="24"/>
        </w:rPr>
      </w:pPr>
      <w:r>
        <w:rPr>
          <w:rFonts w:hint="eastAsia"/>
          <w:sz w:val="24"/>
        </w:rPr>
        <w:t>3)</w:t>
      </w:r>
      <w:r>
        <w:rPr>
          <w:sz w:val="24"/>
        </w:rPr>
        <w:t>平台</w:t>
      </w:r>
      <w:r>
        <w:rPr>
          <w:rFonts w:hint="eastAsia"/>
          <w:sz w:val="24"/>
        </w:rPr>
        <w:t>系统</w:t>
      </w:r>
      <w:r>
        <w:rPr>
          <w:sz w:val="24"/>
        </w:rPr>
        <w:t>发现严重安全漏洞，有潜在泄密危险的；</w:t>
      </w:r>
    </w:p>
    <w:p w14:paraId="77A8F0BB">
      <w:pPr>
        <w:tabs>
          <w:tab w:val="left" w:pos="1080"/>
          <w:tab w:val="left" w:pos="1589"/>
          <w:tab w:val="left" w:pos="2014"/>
        </w:tabs>
        <w:spacing w:line="360" w:lineRule="auto"/>
        <w:ind w:left="357" w:firstLine="840"/>
        <w:rPr>
          <w:sz w:val="24"/>
        </w:rPr>
      </w:pPr>
      <w:r>
        <w:rPr>
          <w:rFonts w:hint="eastAsia"/>
          <w:sz w:val="24"/>
        </w:rPr>
        <w:t>4)</w:t>
      </w:r>
      <w:r>
        <w:rPr>
          <w:sz w:val="24"/>
        </w:rPr>
        <w:t>病毒发作导致平台</w:t>
      </w:r>
      <w:r>
        <w:rPr>
          <w:rFonts w:hint="eastAsia"/>
          <w:sz w:val="24"/>
        </w:rPr>
        <w:t>系统</w:t>
      </w:r>
      <w:r>
        <w:rPr>
          <w:sz w:val="24"/>
        </w:rPr>
        <w:t>不能进行正常操作的；</w:t>
      </w:r>
    </w:p>
    <w:p w14:paraId="37BA0443">
      <w:pPr>
        <w:tabs>
          <w:tab w:val="left" w:pos="1080"/>
          <w:tab w:val="left" w:pos="1589"/>
          <w:tab w:val="left" w:pos="2014"/>
        </w:tabs>
        <w:spacing w:line="360" w:lineRule="auto"/>
        <w:ind w:left="357" w:firstLine="840"/>
        <w:rPr>
          <w:rFonts w:hint="eastAsia"/>
          <w:sz w:val="24"/>
        </w:rPr>
      </w:pPr>
      <w:r>
        <w:rPr>
          <w:rFonts w:hint="eastAsia"/>
          <w:sz w:val="24"/>
        </w:rPr>
        <w:t>5)</w:t>
      </w:r>
      <w:r>
        <w:rPr>
          <w:sz w:val="24"/>
        </w:rPr>
        <w:t>其他无法保证</w:t>
      </w:r>
      <w:r>
        <w:rPr>
          <w:rFonts w:hint="eastAsia"/>
          <w:sz w:val="24"/>
        </w:rPr>
        <w:t>本次采购活动</w:t>
      </w:r>
      <w:r>
        <w:rPr>
          <w:sz w:val="24"/>
        </w:rPr>
        <w:t>的公平、公正和安全的情况。</w:t>
      </w:r>
    </w:p>
    <w:p w14:paraId="4BF9F43A">
      <w:pPr>
        <w:tabs>
          <w:tab w:val="left" w:pos="1080"/>
          <w:tab w:val="left" w:pos="1589"/>
          <w:tab w:val="left" w:pos="2014"/>
        </w:tabs>
        <w:spacing w:line="360" w:lineRule="auto"/>
        <w:ind w:left="1134"/>
        <w:rPr>
          <w:sz w:val="24"/>
        </w:rPr>
      </w:pPr>
      <w:r>
        <w:rPr>
          <w:sz w:val="24"/>
        </w:rPr>
        <w:t>出现</w:t>
      </w:r>
      <w:r>
        <w:rPr>
          <w:rFonts w:hint="eastAsia"/>
          <w:sz w:val="24"/>
        </w:rPr>
        <w:t>上述</w:t>
      </w:r>
      <w:r>
        <w:rPr>
          <w:sz w:val="24"/>
        </w:rPr>
        <w:t>情形，不影响采购</w:t>
      </w:r>
      <w:r>
        <w:rPr>
          <w:rFonts w:hint="eastAsia"/>
          <w:sz w:val="24"/>
        </w:rPr>
        <w:t>活动</w:t>
      </w:r>
      <w:r>
        <w:rPr>
          <w:sz w:val="24"/>
        </w:rPr>
        <w:t>公平、公正性的，</w:t>
      </w:r>
      <w:r>
        <w:rPr>
          <w:rFonts w:hint="eastAsia"/>
          <w:sz w:val="24"/>
        </w:rPr>
        <w:t>代理机构</w:t>
      </w:r>
      <w:r>
        <w:rPr>
          <w:sz w:val="24"/>
        </w:rPr>
        <w:t>可以待上述情形消除后继续组织</w:t>
      </w:r>
      <w:r>
        <w:rPr>
          <w:rFonts w:hint="eastAsia"/>
          <w:sz w:val="24"/>
        </w:rPr>
        <w:t>不见面</w:t>
      </w:r>
      <w:r>
        <w:rPr>
          <w:sz w:val="24"/>
        </w:rPr>
        <w:t>交易</w:t>
      </w:r>
      <w:r>
        <w:rPr>
          <w:rFonts w:hint="eastAsia"/>
          <w:sz w:val="24"/>
        </w:rPr>
        <w:t>采购</w:t>
      </w:r>
      <w:r>
        <w:rPr>
          <w:sz w:val="24"/>
        </w:rPr>
        <w:t>活动，也可以决定某些环节以纸质形式进行；影响或可能影响采购</w:t>
      </w:r>
      <w:r>
        <w:rPr>
          <w:rFonts w:hint="eastAsia"/>
          <w:sz w:val="24"/>
        </w:rPr>
        <w:t>活动</w:t>
      </w:r>
      <w:r>
        <w:rPr>
          <w:sz w:val="24"/>
        </w:rPr>
        <w:t>公平、公正性的，应当</w:t>
      </w:r>
      <w:r>
        <w:rPr>
          <w:rFonts w:hint="eastAsia"/>
          <w:sz w:val="24"/>
        </w:rPr>
        <w:t>终止本次项目，</w:t>
      </w:r>
      <w:r>
        <w:rPr>
          <w:sz w:val="24"/>
        </w:rPr>
        <w:t>重新</w:t>
      </w:r>
      <w:r>
        <w:rPr>
          <w:rFonts w:hint="eastAsia"/>
          <w:sz w:val="24"/>
        </w:rPr>
        <w:t>组织</w:t>
      </w:r>
      <w:r>
        <w:rPr>
          <w:sz w:val="24"/>
        </w:rPr>
        <w:t>采购。</w:t>
      </w:r>
    </w:p>
    <w:p w14:paraId="20CC946F">
      <w:pPr>
        <w:numPr>
          <w:ilvl w:val="0"/>
          <w:numId w:val="8"/>
        </w:numPr>
        <w:tabs>
          <w:tab w:val="left" w:pos="360"/>
        </w:tabs>
        <w:spacing w:line="360" w:lineRule="auto"/>
        <w:ind w:left="357" w:hanging="357"/>
        <w:outlineLvl w:val="1"/>
        <w:rPr>
          <w:sz w:val="24"/>
        </w:rPr>
      </w:pPr>
      <w:r>
        <w:rPr>
          <w:sz w:val="24"/>
        </w:rPr>
        <w:t>资格审查</w:t>
      </w:r>
    </w:p>
    <w:p w14:paraId="72FB8F40">
      <w:pPr>
        <w:numPr>
          <w:ilvl w:val="1"/>
          <w:numId w:val="8"/>
        </w:numPr>
        <w:tabs>
          <w:tab w:val="left" w:pos="1080"/>
          <w:tab w:val="left" w:pos="2014"/>
        </w:tabs>
        <w:spacing w:line="360" w:lineRule="auto"/>
        <w:ind w:left="1077" w:hanging="720"/>
        <w:rPr>
          <w:sz w:val="24"/>
        </w:rPr>
      </w:pPr>
      <w:r>
        <w:rPr>
          <w:sz w:val="24"/>
        </w:rPr>
        <w:t>见第三章《资格审查》。</w:t>
      </w:r>
    </w:p>
    <w:bookmarkEnd w:id="547"/>
    <w:p w14:paraId="4A992580">
      <w:pPr>
        <w:numPr>
          <w:ilvl w:val="0"/>
          <w:numId w:val="8"/>
        </w:numPr>
        <w:tabs>
          <w:tab w:val="left" w:pos="360"/>
        </w:tabs>
        <w:spacing w:line="360" w:lineRule="auto"/>
        <w:ind w:left="357" w:hanging="357"/>
        <w:outlineLvl w:val="1"/>
        <w:rPr>
          <w:sz w:val="24"/>
        </w:rPr>
      </w:pPr>
      <w:bookmarkStart w:id="548" w:name="_Toc226965730"/>
      <w:bookmarkStart w:id="549" w:name="_Toc226337236"/>
      <w:bookmarkStart w:id="550" w:name="_Toc127161454"/>
      <w:bookmarkStart w:id="551" w:name="_Toc305158808"/>
      <w:bookmarkStart w:id="552" w:name="_Toc149720833"/>
      <w:bookmarkStart w:id="553" w:name="_Toc195842905"/>
      <w:bookmarkStart w:id="554" w:name="_Toc127151540"/>
      <w:bookmarkStart w:id="555" w:name="_Toc164351634"/>
      <w:bookmarkStart w:id="556" w:name="_Toc142311042"/>
      <w:bookmarkStart w:id="557" w:name="_Toc127151741"/>
      <w:bookmarkStart w:id="558" w:name="_Toc226965813"/>
      <w:bookmarkStart w:id="559" w:name="_Toc151193638"/>
      <w:bookmarkStart w:id="560" w:name="_Toc164229381"/>
      <w:bookmarkStart w:id="561" w:name="_Toc151193854"/>
      <w:bookmarkStart w:id="562" w:name="_Toc150480778"/>
      <w:bookmarkStart w:id="563" w:name="_Toc305158882"/>
      <w:bookmarkStart w:id="564" w:name="_Toc150774640"/>
      <w:bookmarkStart w:id="565" w:name="_Toc164608809"/>
      <w:bookmarkStart w:id="566" w:name="_Toc150509291"/>
      <w:bookmarkStart w:id="567" w:name="_Toc151193782"/>
      <w:bookmarkStart w:id="568" w:name="_Toc164229235"/>
      <w:bookmarkStart w:id="569" w:name="_Toc164608654"/>
      <w:bookmarkStart w:id="570" w:name="_Toc151193710"/>
      <w:bookmarkStart w:id="571" w:name="_Toc264969230"/>
      <w:bookmarkStart w:id="572" w:name="_Toc151193928"/>
      <w:bookmarkStart w:id="573" w:name="_Toc226309784"/>
      <w:bookmarkStart w:id="574" w:name="_Toc151190167"/>
      <w:bookmarkStart w:id="575" w:name="_Toc150774745"/>
      <w:bookmarkStart w:id="576" w:name="_Toc265228378"/>
      <w:r>
        <w:rPr>
          <w:sz w:val="24"/>
        </w:rPr>
        <w:t>评标委员会</w:t>
      </w:r>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p>
    <w:p w14:paraId="0EC5F54B">
      <w:pPr>
        <w:numPr>
          <w:ilvl w:val="1"/>
          <w:numId w:val="8"/>
        </w:numPr>
        <w:tabs>
          <w:tab w:val="left" w:pos="1080"/>
          <w:tab w:val="left" w:pos="2014"/>
        </w:tabs>
        <w:spacing w:line="360" w:lineRule="auto"/>
        <w:ind w:left="1077" w:hanging="720"/>
        <w:rPr>
          <w:sz w:val="24"/>
        </w:rPr>
      </w:pPr>
      <w:r>
        <w:rPr>
          <w:sz w:val="24"/>
        </w:rPr>
        <w:t>评标委员会根据政府采购有关规定和本次招标采购项目的特点进行组建，并负责具体评标事务，独立履行职责。</w:t>
      </w:r>
      <w:bookmarkStart w:id="577" w:name="_Toc520356166"/>
    </w:p>
    <w:p w14:paraId="357A5F43">
      <w:pPr>
        <w:numPr>
          <w:ilvl w:val="1"/>
          <w:numId w:val="8"/>
        </w:numPr>
        <w:tabs>
          <w:tab w:val="left" w:pos="1080"/>
          <w:tab w:val="left" w:pos="2014"/>
        </w:tabs>
        <w:spacing w:line="360" w:lineRule="auto"/>
        <w:ind w:left="1077" w:hanging="720"/>
        <w:rPr>
          <w:sz w:val="24"/>
        </w:rPr>
      </w:pPr>
      <w:r>
        <w:rPr>
          <w:sz w:val="24"/>
        </w:rPr>
        <w:t>评审专家须符合</w:t>
      </w:r>
      <w:r>
        <w:rPr>
          <w:rFonts w:hint="eastAsia"/>
          <w:sz w:val="24"/>
        </w:rPr>
        <w:t>相关</w:t>
      </w:r>
      <w:r>
        <w:rPr>
          <w:sz w:val="24"/>
        </w:rPr>
        <w:t>规定。依法自行选定评审专家的，采购人和采购代理机构将查询有关信用记录，对具有行贿、受贿、欺诈等不良信用记录的人员，拒绝其参与政府采购活动。</w:t>
      </w:r>
      <w:bookmarkEnd w:id="577"/>
      <w:bookmarkStart w:id="578" w:name="_Toc520356169"/>
    </w:p>
    <w:p w14:paraId="402F428F">
      <w:pPr>
        <w:numPr>
          <w:ilvl w:val="0"/>
          <w:numId w:val="8"/>
        </w:numPr>
        <w:tabs>
          <w:tab w:val="left" w:pos="360"/>
        </w:tabs>
        <w:spacing w:line="360" w:lineRule="auto"/>
        <w:ind w:left="357" w:hanging="357"/>
        <w:outlineLvl w:val="1"/>
        <w:rPr>
          <w:sz w:val="24"/>
        </w:rPr>
      </w:pPr>
      <w:r>
        <w:rPr>
          <w:sz w:val="24"/>
        </w:rPr>
        <w:t>评标程序、评标方法和评标标准</w:t>
      </w:r>
    </w:p>
    <w:p w14:paraId="382AF68C">
      <w:pPr>
        <w:numPr>
          <w:ilvl w:val="1"/>
          <w:numId w:val="8"/>
        </w:numPr>
        <w:tabs>
          <w:tab w:val="left" w:pos="1080"/>
          <w:tab w:val="left" w:pos="2014"/>
        </w:tabs>
        <w:spacing w:line="360" w:lineRule="auto"/>
        <w:ind w:left="1077" w:hanging="720"/>
        <w:rPr>
          <w:sz w:val="24"/>
        </w:rPr>
      </w:pPr>
      <w:r>
        <w:rPr>
          <w:sz w:val="24"/>
        </w:rPr>
        <w:t>见第四章《评标程序、评标方法和评标标准》。</w:t>
      </w:r>
    </w:p>
    <w:p w14:paraId="6347F8FD">
      <w:pPr>
        <w:tabs>
          <w:tab w:val="left" w:pos="360"/>
          <w:tab w:val="left" w:pos="1080"/>
        </w:tabs>
        <w:spacing w:line="360" w:lineRule="auto"/>
        <w:ind w:left="1080"/>
        <w:rPr>
          <w:sz w:val="24"/>
        </w:rPr>
      </w:pPr>
    </w:p>
    <w:p w14:paraId="73CC8067">
      <w:pPr>
        <w:pStyle w:val="183"/>
        <w:spacing w:before="0" w:line="360" w:lineRule="auto"/>
        <w:rPr>
          <w:rFonts w:ascii="Times New Roman" w:hAnsi="Times New Roman" w:eastAsia="宋体"/>
          <w:sz w:val="28"/>
        </w:rPr>
      </w:pPr>
      <w:bookmarkStart w:id="579" w:name="_Toc150509296"/>
      <w:bookmarkStart w:id="580" w:name="_Toc150480783"/>
      <w:bookmarkStart w:id="581" w:name="_Toc305158813"/>
      <w:bookmarkStart w:id="582" w:name="_Toc226309789"/>
      <w:bookmarkStart w:id="583" w:name="_Toc151193715"/>
      <w:bookmarkStart w:id="584" w:name="_Toc195842910"/>
      <w:bookmarkStart w:id="585" w:name="_Toc151193643"/>
      <w:bookmarkStart w:id="586" w:name="_Toc265228383"/>
      <w:bookmarkStart w:id="587" w:name="_Toc151193859"/>
      <w:bookmarkStart w:id="588" w:name="_Toc151193787"/>
      <w:bookmarkStart w:id="589" w:name="_Toc150774750"/>
      <w:bookmarkStart w:id="590" w:name="_Toc226965818"/>
      <w:bookmarkStart w:id="591" w:name="_Toc127151545"/>
      <w:bookmarkStart w:id="592" w:name="_Toc226337241"/>
      <w:bookmarkStart w:id="593" w:name="_Toc142311047"/>
      <w:bookmarkStart w:id="594" w:name="_Toc151190172"/>
      <w:bookmarkStart w:id="595" w:name="_Toc226965735"/>
      <w:bookmarkStart w:id="596" w:name="_Toc150774645"/>
      <w:bookmarkStart w:id="597" w:name="_Toc305158887"/>
      <w:bookmarkStart w:id="598" w:name="_Toc264969235"/>
      <w:bookmarkStart w:id="599" w:name="_Toc151193933"/>
      <w:r>
        <w:rPr>
          <w:rFonts w:ascii="Times New Roman" w:hAnsi="Times New Roman" w:eastAsia="宋体"/>
          <w:sz w:val="28"/>
        </w:rPr>
        <w:t xml:space="preserve">六   </w:t>
      </w:r>
      <w:bookmarkEnd w:id="578"/>
      <w:r>
        <w:rPr>
          <w:rFonts w:ascii="Times New Roman" w:hAnsi="Times New Roman" w:eastAsia="宋体"/>
          <w:sz w:val="28"/>
        </w:rPr>
        <w:t>确定中标</w:t>
      </w:r>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Start w:id="600" w:name="_Toc164608661"/>
      <w:bookmarkStart w:id="601" w:name="_Toc127151748"/>
      <w:bookmarkStart w:id="602" w:name="_Toc226309791"/>
      <w:bookmarkStart w:id="603" w:name="_Toc164229242"/>
      <w:bookmarkStart w:id="604" w:name="_Toc226337243"/>
      <w:bookmarkStart w:id="605" w:name="_Toc149720840"/>
      <w:bookmarkStart w:id="606" w:name="_Toc226965820"/>
      <w:bookmarkStart w:id="607" w:name="_Toc127161461"/>
      <w:bookmarkStart w:id="608" w:name="_Toc195842912"/>
      <w:bookmarkStart w:id="609" w:name="_Toc151193645"/>
      <w:bookmarkStart w:id="610" w:name="_Toc151193717"/>
      <w:bookmarkStart w:id="611" w:name="_Toc150480785"/>
      <w:bookmarkStart w:id="612" w:name="_Toc305158889"/>
      <w:bookmarkStart w:id="613" w:name="_Toc264969237"/>
      <w:bookmarkStart w:id="614" w:name="_Toc164608816"/>
      <w:bookmarkStart w:id="615" w:name="_Toc151190174"/>
      <w:bookmarkStart w:id="616" w:name="_Toc151193935"/>
      <w:bookmarkStart w:id="617" w:name="_Toc164229388"/>
      <w:bookmarkStart w:id="618" w:name="_Toc150509298"/>
      <w:bookmarkStart w:id="619" w:name="_Toc151193861"/>
      <w:bookmarkStart w:id="620" w:name="_Toc164351641"/>
      <w:bookmarkStart w:id="621" w:name="_Toc142311049"/>
      <w:bookmarkStart w:id="622" w:name="_Toc265228385"/>
      <w:bookmarkStart w:id="623" w:name="_Toc150774752"/>
      <w:bookmarkStart w:id="624" w:name="_Toc150774647"/>
      <w:bookmarkStart w:id="625" w:name="_Toc305158815"/>
      <w:bookmarkStart w:id="626" w:name="_Toc151193789"/>
      <w:bookmarkStart w:id="627" w:name="_Toc127151547"/>
      <w:bookmarkStart w:id="628" w:name="_Toc226965737"/>
    </w:p>
    <w:p w14:paraId="188A7FC1">
      <w:pPr>
        <w:numPr>
          <w:ilvl w:val="0"/>
          <w:numId w:val="8"/>
        </w:numPr>
        <w:tabs>
          <w:tab w:val="left" w:pos="360"/>
        </w:tabs>
        <w:spacing w:line="360" w:lineRule="auto"/>
        <w:ind w:left="357" w:hanging="357"/>
        <w:outlineLvl w:val="1"/>
        <w:rPr>
          <w:sz w:val="24"/>
        </w:rPr>
      </w:pPr>
      <w:r>
        <w:rPr>
          <w:sz w:val="24"/>
        </w:rPr>
        <w:t>确定中标人</w:t>
      </w:r>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p>
    <w:p w14:paraId="2C456883">
      <w:pPr>
        <w:numPr>
          <w:ilvl w:val="1"/>
          <w:numId w:val="8"/>
        </w:numPr>
        <w:tabs>
          <w:tab w:val="left" w:pos="1080"/>
          <w:tab w:val="left" w:pos="2014"/>
        </w:tabs>
        <w:spacing w:line="360" w:lineRule="auto"/>
        <w:ind w:left="1077" w:hanging="720"/>
        <w:rPr>
          <w:sz w:val="24"/>
        </w:rPr>
      </w:pPr>
      <w:r>
        <w:rPr>
          <w:sz w:val="24"/>
        </w:rPr>
        <w:t>采购人将在评标报告确定的中标候选人名单中按顺序确定中标人，中标候选人并列的，由采购人</w:t>
      </w:r>
      <w:r>
        <w:rPr>
          <w:rFonts w:hint="eastAsia"/>
          <w:sz w:val="24"/>
        </w:rPr>
        <w:t>依法</w:t>
      </w:r>
      <w:r>
        <w:rPr>
          <w:sz w:val="24"/>
        </w:rPr>
        <w:t>确定</w:t>
      </w:r>
      <w:r>
        <w:rPr>
          <w:rFonts w:hint="eastAsia"/>
          <w:sz w:val="24"/>
        </w:rPr>
        <w:t>。</w:t>
      </w:r>
    </w:p>
    <w:p w14:paraId="07B98F17">
      <w:pPr>
        <w:numPr>
          <w:ilvl w:val="0"/>
          <w:numId w:val="8"/>
        </w:numPr>
        <w:tabs>
          <w:tab w:val="left" w:pos="360"/>
        </w:tabs>
        <w:spacing w:line="360" w:lineRule="auto"/>
        <w:ind w:left="357" w:hanging="357"/>
        <w:outlineLvl w:val="1"/>
        <w:rPr>
          <w:sz w:val="24"/>
        </w:rPr>
      </w:pPr>
      <w:bookmarkStart w:id="629" w:name="_Toc305158817"/>
      <w:bookmarkStart w:id="630" w:name="_Toc305158891"/>
      <w:bookmarkStart w:id="631" w:name="_Toc151193791"/>
      <w:bookmarkStart w:id="632" w:name="_Toc127151549"/>
      <w:bookmarkStart w:id="633" w:name="_Toc151193647"/>
      <w:bookmarkStart w:id="634" w:name="_Toc164229390"/>
      <w:bookmarkStart w:id="635" w:name="_Toc127151750"/>
      <w:bookmarkStart w:id="636" w:name="_Toc195842914"/>
      <w:bookmarkStart w:id="637" w:name="_Toc151193719"/>
      <w:bookmarkStart w:id="638" w:name="_Toc164608663"/>
      <w:bookmarkStart w:id="639" w:name="_Toc151193863"/>
      <w:bookmarkStart w:id="640" w:name="_Toc226965822"/>
      <w:bookmarkStart w:id="641" w:name="_Toc150480787"/>
      <w:bookmarkStart w:id="642" w:name="_Toc151190176"/>
      <w:bookmarkStart w:id="643" w:name="_Toc164229244"/>
      <w:bookmarkStart w:id="644" w:name="_Toc149720842"/>
      <w:bookmarkStart w:id="645" w:name="_Toc150774754"/>
      <w:bookmarkStart w:id="646" w:name="_Toc264969239"/>
      <w:bookmarkStart w:id="647" w:name="_Toc150774649"/>
      <w:bookmarkStart w:id="648" w:name="_Toc164351643"/>
      <w:bookmarkStart w:id="649" w:name="_Toc226965739"/>
      <w:bookmarkStart w:id="650" w:name="_Toc265228387"/>
      <w:bookmarkStart w:id="651" w:name="_Toc164608818"/>
      <w:bookmarkStart w:id="652" w:name="_Toc226309793"/>
      <w:bookmarkStart w:id="653" w:name="_Toc127161463"/>
      <w:bookmarkStart w:id="654" w:name="_Toc150509300"/>
      <w:bookmarkStart w:id="655" w:name="_Toc142311051"/>
      <w:bookmarkStart w:id="656" w:name="_Toc151193937"/>
      <w:bookmarkStart w:id="657" w:name="_Toc226337245"/>
      <w:bookmarkStart w:id="658" w:name="_Ref467306425"/>
      <w:bookmarkStart w:id="659" w:name="_Toc520356176"/>
      <w:bookmarkStart w:id="660" w:name="_Ref467307090"/>
      <w:r>
        <w:rPr>
          <w:sz w:val="24"/>
        </w:rPr>
        <w:t>中标公告与中标通知书</w:t>
      </w:r>
      <w:bookmarkEnd w:id="629"/>
      <w:bookmarkEnd w:id="630"/>
    </w:p>
    <w:p w14:paraId="60753436">
      <w:pPr>
        <w:numPr>
          <w:ilvl w:val="1"/>
          <w:numId w:val="8"/>
        </w:numPr>
        <w:tabs>
          <w:tab w:val="left" w:pos="1080"/>
          <w:tab w:val="left" w:pos="2014"/>
        </w:tabs>
        <w:spacing w:line="360" w:lineRule="auto"/>
        <w:ind w:left="1077" w:hanging="720"/>
        <w:rPr>
          <w:sz w:val="24"/>
        </w:rPr>
      </w:pPr>
      <w:r>
        <w:rPr>
          <w:sz w:val="24"/>
        </w:rPr>
        <w:t>采购人或采购代理机构自中标人确定之日起2个工作日内，</w:t>
      </w:r>
      <w:r>
        <w:rPr>
          <w:color w:val="000000"/>
          <w:sz w:val="24"/>
        </w:rPr>
        <w:t>在</w:t>
      </w:r>
      <w:r>
        <w:rPr>
          <w:rFonts w:hint="eastAsia"/>
          <w:color w:val="000000"/>
          <w:sz w:val="24"/>
        </w:rPr>
        <w:t>常州市政府采购网</w:t>
      </w:r>
      <w:r>
        <w:rPr>
          <w:color w:val="000000"/>
          <w:sz w:val="24"/>
        </w:rPr>
        <w:t>公告中标结果</w:t>
      </w:r>
      <w:r>
        <w:rPr>
          <w:sz w:val="24"/>
        </w:rPr>
        <w:t>，</w:t>
      </w:r>
      <w:r>
        <w:rPr>
          <w:rFonts w:hint="eastAsia"/>
          <w:sz w:val="24"/>
        </w:rPr>
        <w:t>同时向中标人发出中标通知书，</w:t>
      </w:r>
      <w:r>
        <w:rPr>
          <w:sz w:val="24"/>
        </w:rPr>
        <w:t>中标公告期限为1个工作日。</w:t>
      </w:r>
    </w:p>
    <w:p w14:paraId="2C4FD758">
      <w:pPr>
        <w:numPr>
          <w:ilvl w:val="1"/>
          <w:numId w:val="8"/>
        </w:numPr>
        <w:tabs>
          <w:tab w:val="left" w:pos="1080"/>
          <w:tab w:val="left" w:pos="2014"/>
        </w:tabs>
        <w:spacing w:line="360" w:lineRule="auto"/>
        <w:ind w:left="1077" w:hanging="720"/>
        <w:rPr>
          <w:sz w:val="24"/>
        </w:rPr>
      </w:pPr>
      <w:r>
        <w:rPr>
          <w:sz w:val="24"/>
        </w:rPr>
        <w:t>中标通知书对采购人和中标供应商均具有法律效力。中标通知书发出后，采购人改变中标结果的，或者中标供应商放弃中标项目的，应当依法承担法律责任。</w:t>
      </w:r>
    </w:p>
    <w:p w14:paraId="69CBD76B">
      <w:pPr>
        <w:numPr>
          <w:ilvl w:val="0"/>
          <w:numId w:val="8"/>
        </w:numPr>
        <w:tabs>
          <w:tab w:val="left" w:pos="360"/>
        </w:tabs>
        <w:spacing w:line="360" w:lineRule="auto"/>
        <w:ind w:left="357" w:hanging="357"/>
        <w:outlineLvl w:val="1"/>
        <w:rPr>
          <w:sz w:val="24"/>
        </w:rPr>
      </w:pPr>
      <w:r>
        <w:rPr>
          <w:sz w:val="24"/>
        </w:rPr>
        <w:t>废标</w:t>
      </w:r>
    </w:p>
    <w:p w14:paraId="205523AC">
      <w:pPr>
        <w:numPr>
          <w:ilvl w:val="1"/>
          <w:numId w:val="8"/>
        </w:numPr>
        <w:tabs>
          <w:tab w:val="left" w:pos="1080"/>
          <w:tab w:val="left" w:pos="2014"/>
        </w:tabs>
        <w:spacing w:line="360" w:lineRule="auto"/>
        <w:ind w:left="1077" w:hanging="720"/>
        <w:rPr>
          <w:sz w:val="24"/>
        </w:rPr>
      </w:pPr>
      <w:r>
        <w:rPr>
          <w:sz w:val="24"/>
        </w:rPr>
        <w:t>在招标采购中，出现下列情形之一的，应予废标：</w:t>
      </w:r>
    </w:p>
    <w:p w14:paraId="265EA338">
      <w:pPr>
        <w:numPr>
          <w:ilvl w:val="2"/>
          <w:numId w:val="8"/>
        </w:numPr>
        <w:spacing w:line="360" w:lineRule="auto"/>
        <w:rPr>
          <w:sz w:val="24"/>
        </w:rPr>
      </w:pPr>
      <w:r>
        <w:rPr>
          <w:sz w:val="24"/>
        </w:rPr>
        <w:t>符合专业条件的供应商或者对招标文件作实质响应的供应商不足三家的；</w:t>
      </w:r>
    </w:p>
    <w:p w14:paraId="21900626">
      <w:pPr>
        <w:numPr>
          <w:ilvl w:val="2"/>
          <w:numId w:val="8"/>
        </w:numPr>
        <w:spacing w:line="360" w:lineRule="auto"/>
        <w:rPr>
          <w:sz w:val="24"/>
        </w:rPr>
      </w:pPr>
      <w:r>
        <w:rPr>
          <w:sz w:val="24"/>
        </w:rPr>
        <w:t>出现影响采购公正的违法、违规行为的；</w:t>
      </w:r>
    </w:p>
    <w:p w14:paraId="6529A539">
      <w:pPr>
        <w:numPr>
          <w:ilvl w:val="2"/>
          <w:numId w:val="8"/>
        </w:numPr>
        <w:spacing w:line="360" w:lineRule="auto"/>
        <w:rPr>
          <w:sz w:val="24"/>
        </w:rPr>
      </w:pPr>
      <w:r>
        <w:rPr>
          <w:sz w:val="24"/>
        </w:rPr>
        <w:t>投标人的报价均超过了采购预算，采购人不能支付的；</w:t>
      </w:r>
    </w:p>
    <w:p w14:paraId="5675FD2A">
      <w:pPr>
        <w:numPr>
          <w:ilvl w:val="2"/>
          <w:numId w:val="8"/>
        </w:numPr>
        <w:spacing w:line="360" w:lineRule="auto"/>
        <w:rPr>
          <w:rFonts w:hint="eastAsia"/>
          <w:sz w:val="24"/>
        </w:rPr>
      </w:pPr>
      <w:r>
        <w:rPr>
          <w:sz w:val="24"/>
        </w:rPr>
        <w:t>因重大变故，采购任务取消的。</w:t>
      </w:r>
    </w:p>
    <w:p w14:paraId="79FDA8C8">
      <w:pPr>
        <w:numPr>
          <w:ilvl w:val="2"/>
          <w:numId w:val="8"/>
        </w:numPr>
        <w:spacing w:line="360" w:lineRule="auto"/>
        <w:rPr>
          <w:sz w:val="24"/>
        </w:rPr>
      </w:pPr>
      <w:r>
        <w:rPr>
          <w:rFonts w:hint="eastAsia" w:ascii="宋体" w:hAnsi="宋体"/>
          <w:spacing w:val="2"/>
          <w:sz w:val="24"/>
        </w:rPr>
        <w:t>平台系统</w:t>
      </w:r>
      <w:r>
        <w:rPr>
          <w:rFonts w:ascii="宋体" w:hAnsi="宋体"/>
          <w:sz w:val="24"/>
        </w:rPr>
        <w:t>出现</w:t>
      </w:r>
      <w:r>
        <w:rPr>
          <w:rFonts w:hint="eastAsia" w:ascii="宋体" w:hAnsi="宋体"/>
          <w:sz w:val="24"/>
        </w:rPr>
        <w:t>序号18.8的所述</w:t>
      </w:r>
      <w:r>
        <w:rPr>
          <w:rFonts w:ascii="宋体" w:hAnsi="宋体"/>
          <w:sz w:val="24"/>
        </w:rPr>
        <w:t>情形，</w:t>
      </w:r>
      <w:r>
        <w:rPr>
          <w:rFonts w:hint="eastAsia" w:ascii="宋体" w:hAnsi="宋体"/>
          <w:sz w:val="24"/>
        </w:rPr>
        <w:t>情况严重且</w:t>
      </w:r>
      <w:r>
        <w:rPr>
          <w:rFonts w:ascii="宋体" w:hAnsi="宋体"/>
          <w:sz w:val="24"/>
        </w:rPr>
        <w:t>影响采购</w:t>
      </w:r>
      <w:r>
        <w:rPr>
          <w:rFonts w:hint="eastAsia" w:ascii="宋体" w:hAnsi="宋体"/>
          <w:sz w:val="24"/>
        </w:rPr>
        <w:t>活动</w:t>
      </w:r>
      <w:r>
        <w:rPr>
          <w:rFonts w:ascii="宋体" w:hAnsi="宋体"/>
          <w:sz w:val="24"/>
        </w:rPr>
        <w:t>公平、公正性的</w:t>
      </w:r>
      <w:r>
        <w:rPr>
          <w:rFonts w:hint="eastAsia" w:ascii="宋体" w:hAnsi="宋体"/>
          <w:sz w:val="24"/>
        </w:rPr>
        <w:t>。</w:t>
      </w:r>
    </w:p>
    <w:p w14:paraId="2C1D2C0F">
      <w:pPr>
        <w:numPr>
          <w:ilvl w:val="1"/>
          <w:numId w:val="8"/>
        </w:numPr>
        <w:tabs>
          <w:tab w:val="left" w:pos="1080"/>
          <w:tab w:val="left" w:pos="2014"/>
        </w:tabs>
        <w:spacing w:line="360" w:lineRule="auto"/>
        <w:ind w:left="1077" w:hanging="720"/>
        <w:rPr>
          <w:sz w:val="24"/>
        </w:rPr>
      </w:pPr>
      <w:r>
        <w:rPr>
          <w:sz w:val="24"/>
        </w:rPr>
        <w:t>废标后，采购人将废标理由通知所有投标人。</w:t>
      </w:r>
    </w:p>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p w14:paraId="175D5381">
      <w:pPr>
        <w:numPr>
          <w:ilvl w:val="0"/>
          <w:numId w:val="8"/>
        </w:numPr>
        <w:tabs>
          <w:tab w:val="left" w:pos="360"/>
        </w:tabs>
        <w:spacing w:line="360" w:lineRule="auto"/>
        <w:ind w:left="357" w:hanging="357"/>
        <w:outlineLvl w:val="1"/>
        <w:rPr>
          <w:sz w:val="24"/>
        </w:rPr>
      </w:pPr>
      <w:bookmarkStart w:id="661" w:name="_Toc264969240"/>
      <w:bookmarkStart w:id="662" w:name="_Toc127151751"/>
      <w:bookmarkStart w:id="663" w:name="_Ref467306978"/>
      <w:bookmarkStart w:id="664" w:name="_Toc150774650"/>
      <w:bookmarkStart w:id="665" w:name="_Toc164229245"/>
      <w:bookmarkStart w:id="666" w:name="_Toc164351644"/>
      <w:bookmarkStart w:id="667" w:name="_Toc164229391"/>
      <w:bookmarkStart w:id="668" w:name="_Toc127161464"/>
      <w:bookmarkStart w:id="669" w:name="_Ref467306377"/>
      <w:bookmarkStart w:id="670" w:name="_Toc226965740"/>
      <w:bookmarkStart w:id="671" w:name="_Toc305158818"/>
      <w:bookmarkStart w:id="672" w:name="_Toc150774755"/>
      <w:bookmarkStart w:id="673" w:name="_Toc151193720"/>
      <w:bookmarkStart w:id="674" w:name="_Toc150480788"/>
      <w:bookmarkStart w:id="675" w:name="_Toc151193648"/>
      <w:bookmarkStart w:id="676" w:name="_Toc520356175"/>
      <w:bookmarkStart w:id="677" w:name="_Toc127151550"/>
      <w:bookmarkStart w:id="678" w:name="_Toc226965823"/>
      <w:bookmarkStart w:id="679" w:name="_Toc195842915"/>
      <w:bookmarkStart w:id="680" w:name="_Toc149720843"/>
      <w:bookmarkStart w:id="681" w:name="_Ref467307062"/>
      <w:bookmarkStart w:id="682" w:name="_Toc151190177"/>
      <w:bookmarkStart w:id="683" w:name="_Toc150509301"/>
      <w:bookmarkStart w:id="684" w:name="_Toc164608819"/>
      <w:bookmarkStart w:id="685" w:name="_Toc142311052"/>
      <w:bookmarkStart w:id="686" w:name="_Toc151193864"/>
      <w:bookmarkStart w:id="687" w:name="_Toc151193938"/>
      <w:bookmarkStart w:id="688" w:name="_Toc226309794"/>
      <w:bookmarkStart w:id="689" w:name="_Toc226337246"/>
      <w:bookmarkStart w:id="690" w:name="_Toc151193792"/>
      <w:bookmarkStart w:id="691" w:name="_Ref467307204"/>
      <w:bookmarkStart w:id="692" w:name="_Toc305158892"/>
      <w:bookmarkStart w:id="693" w:name="_Toc164608664"/>
      <w:bookmarkStart w:id="694" w:name="_Toc265228388"/>
      <w:r>
        <w:rPr>
          <w:sz w:val="24"/>
        </w:rPr>
        <w:t>签订合同</w:t>
      </w:r>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p>
    <w:p w14:paraId="3AA4832D">
      <w:pPr>
        <w:numPr>
          <w:ilvl w:val="1"/>
          <w:numId w:val="8"/>
        </w:numPr>
        <w:tabs>
          <w:tab w:val="left" w:pos="1080"/>
          <w:tab w:val="left" w:pos="2014"/>
        </w:tabs>
        <w:spacing w:line="360" w:lineRule="auto"/>
        <w:ind w:left="1077" w:hanging="720"/>
        <w:rPr>
          <w:sz w:val="24"/>
        </w:rPr>
      </w:pPr>
      <w:r>
        <w:rPr>
          <w:sz w:val="24"/>
        </w:rPr>
        <w:t>中标人、采购人应当自中标通知书发出之日起30日内，按照招标文件和中标人投标文件的规定签订书面合同。所签订的合同不得对招标文件确定的事项和中标人投标文件作实质性修改。</w:t>
      </w:r>
    </w:p>
    <w:p w14:paraId="47B147F7">
      <w:pPr>
        <w:numPr>
          <w:ilvl w:val="1"/>
          <w:numId w:val="8"/>
        </w:numPr>
        <w:tabs>
          <w:tab w:val="left" w:pos="1080"/>
          <w:tab w:val="left" w:pos="2014"/>
        </w:tabs>
        <w:spacing w:line="360" w:lineRule="auto"/>
        <w:ind w:left="1077" w:hanging="720"/>
        <w:rPr>
          <w:sz w:val="24"/>
        </w:rPr>
      </w:pPr>
      <w:r>
        <w:rPr>
          <w:sz w:val="24"/>
        </w:rPr>
        <w:t>中标人</w:t>
      </w:r>
      <w:r>
        <w:rPr>
          <w:rFonts w:hint="eastAsia"/>
          <w:sz w:val="24"/>
        </w:rPr>
        <w:t>拒绝</w:t>
      </w:r>
      <w:r>
        <w:rPr>
          <w:sz w:val="24"/>
        </w:rPr>
        <w:t>与采购人签订合同的，采购人</w:t>
      </w:r>
      <w:r>
        <w:rPr>
          <w:rFonts w:hint="eastAsia"/>
          <w:sz w:val="24"/>
        </w:rPr>
        <w:t>可以</w:t>
      </w:r>
      <w:r>
        <w:rPr>
          <w:sz w:val="24"/>
        </w:rPr>
        <w:t>按照评</w:t>
      </w:r>
      <w:r>
        <w:rPr>
          <w:rFonts w:hint="eastAsia"/>
          <w:sz w:val="24"/>
        </w:rPr>
        <w:t>标</w:t>
      </w:r>
      <w:r>
        <w:rPr>
          <w:sz w:val="24"/>
        </w:rPr>
        <w:t>报告推荐的中标候选人名单排序，确定下一候选人为中标人，</w:t>
      </w:r>
      <w:r>
        <w:rPr>
          <w:rFonts w:hint="eastAsia"/>
          <w:sz w:val="24"/>
        </w:rPr>
        <w:t>也可以</w:t>
      </w:r>
      <w:r>
        <w:rPr>
          <w:sz w:val="24"/>
        </w:rPr>
        <w:t>重新开展政府采购活动。</w:t>
      </w:r>
    </w:p>
    <w:p w14:paraId="3B2CDA11">
      <w:pPr>
        <w:numPr>
          <w:ilvl w:val="1"/>
          <w:numId w:val="8"/>
        </w:numPr>
        <w:tabs>
          <w:tab w:val="left" w:pos="1080"/>
          <w:tab w:val="left" w:pos="2014"/>
        </w:tabs>
        <w:spacing w:line="360" w:lineRule="auto"/>
        <w:ind w:left="1077" w:hanging="720"/>
        <w:rPr>
          <w:sz w:val="24"/>
        </w:rPr>
      </w:pPr>
      <w:r>
        <w:rPr>
          <w:sz w:val="24"/>
        </w:rPr>
        <w:t>联合体中标的，联合体各方应当共同与采购人签订合同，就中标项目向采购人承担连带责任。</w:t>
      </w:r>
    </w:p>
    <w:p w14:paraId="45793661">
      <w:pPr>
        <w:numPr>
          <w:ilvl w:val="1"/>
          <w:numId w:val="8"/>
        </w:numPr>
        <w:tabs>
          <w:tab w:val="left" w:pos="1080"/>
          <w:tab w:val="left" w:pos="2014"/>
        </w:tabs>
        <w:spacing w:line="360" w:lineRule="auto"/>
        <w:ind w:left="1077" w:hanging="720"/>
        <w:rPr>
          <w:sz w:val="24"/>
        </w:rPr>
      </w:pPr>
      <w:r>
        <w:rPr>
          <w:sz w:val="24"/>
        </w:rPr>
        <w:t>政府采购合同不能转包。</w:t>
      </w:r>
    </w:p>
    <w:p w14:paraId="2F9D8976">
      <w:pPr>
        <w:numPr>
          <w:ilvl w:val="1"/>
          <w:numId w:val="8"/>
        </w:numPr>
        <w:tabs>
          <w:tab w:val="left" w:pos="1080"/>
          <w:tab w:val="left" w:pos="2014"/>
        </w:tabs>
        <w:spacing w:line="360" w:lineRule="auto"/>
        <w:ind w:left="1077" w:hanging="720"/>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bookmarkEnd w:id="658"/>
    <w:bookmarkEnd w:id="659"/>
    <w:bookmarkEnd w:id="660"/>
    <w:p w14:paraId="7E72EE13">
      <w:pPr>
        <w:numPr>
          <w:ilvl w:val="0"/>
          <w:numId w:val="8"/>
        </w:numPr>
        <w:tabs>
          <w:tab w:val="left" w:pos="360"/>
        </w:tabs>
        <w:spacing w:line="360" w:lineRule="auto"/>
        <w:ind w:left="357" w:hanging="357"/>
        <w:outlineLvl w:val="1"/>
        <w:rPr>
          <w:sz w:val="24"/>
        </w:rPr>
      </w:pPr>
      <w:r>
        <w:rPr>
          <w:sz w:val="24"/>
        </w:rPr>
        <w:t>询问与质疑</w:t>
      </w:r>
    </w:p>
    <w:p w14:paraId="6EABDBA4">
      <w:pPr>
        <w:numPr>
          <w:ilvl w:val="1"/>
          <w:numId w:val="8"/>
        </w:numPr>
        <w:tabs>
          <w:tab w:val="left" w:pos="1080"/>
          <w:tab w:val="left" w:pos="2014"/>
        </w:tabs>
        <w:spacing w:line="360" w:lineRule="auto"/>
        <w:ind w:left="1077" w:hanging="720"/>
        <w:rPr>
          <w:sz w:val="24"/>
        </w:rPr>
      </w:pPr>
      <w:r>
        <w:rPr>
          <w:sz w:val="24"/>
        </w:rPr>
        <w:t>询问</w:t>
      </w:r>
    </w:p>
    <w:p w14:paraId="73733FF0">
      <w:pPr>
        <w:numPr>
          <w:ilvl w:val="2"/>
          <w:numId w:val="8"/>
        </w:numPr>
        <w:spacing w:line="360" w:lineRule="auto"/>
        <w:rPr>
          <w:sz w:val="24"/>
        </w:rPr>
      </w:pPr>
      <w:r>
        <w:rPr>
          <w:sz w:val="24"/>
        </w:rPr>
        <w:t>投标人对政府采购活动事项有疑问的，可依法提出询问，并按《投标人须知资料表》载明的形式送达采购人或采购代理机构。</w:t>
      </w:r>
    </w:p>
    <w:p w14:paraId="546C7F05">
      <w:pPr>
        <w:numPr>
          <w:ilvl w:val="2"/>
          <w:numId w:val="8"/>
        </w:numPr>
        <w:spacing w:line="360" w:lineRule="auto"/>
        <w:rPr>
          <w:sz w:val="24"/>
        </w:rPr>
      </w:pPr>
      <w:r>
        <w:rPr>
          <w:sz w:val="24"/>
        </w:rPr>
        <w:t>采购人或采购代理机构对供应商依法提出的询问，在3个工作日内作出答复，但答复的内容不得涉及商业秘密。</w:t>
      </w:r>
    </w:p>
    <w:p w14:paraId="07E01235">
      <w:pPr>
        <w:numPr>
          <w:ilvl w:val="1"/>
          <w:numId w:val="8"/>
        </w:numPr>
        <w:tabs>
          <w:tab w:val="left" w:pos="1080"/>
          <w:tab w:val="left" w:pos="2014"/>
        </w:tabs>
        <w:spacing w:line="360" w:lineRule="auto"/>
        <w:ind w:left="1077" w:hanging="720"/>
        <w:rPr>
          <w:sz w:val="24"/>
        </w:rPr>
      </w:pPr>
      <w:r>
        <w:rPr>
          <w:sz w:val="24"/>
        </w:rPr>
        <w:t>质疑</w:t>
      </w:r>
    </w:p>
    <w:p w14:paraId="5C0D7DDC">
      <w:pPr>
        <w:numPr>
          <w:ilvl w:val="2"/>
          <w:numId w:val="8"/>
        </w:numPr>
        <w:spacing w:line="360" w:lineRule="auto"/>
        <w:rPr>
          <w:rFonts w:hint="eastAsia"/>
          <w:sz w:val="24"/>
        </w:rPr>
      </w:pPr>
      <w:r>
        <w:rPr>
          <w:sz w:val="24"/>
        </w:rPr>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14:paraId="4F11527E">
      <w:pPr>
        <w:numPr>
          <w:ilvl w:val="2"/>
          <w:numId w:val="8"/>
        </w:numPr>
        <w:spacing w:line="360" w:lineRule="auto"/>
        <w:rPr>
          <w:sz w:val="24"/>
        </w:rPr>
      </w:pPr>
      <w:r>
        <w:rPr>
          <w:rFonts w:hint="eastAsia" w:ascii="宋体" w:hAnsi="宋体"/>
          <w:b/>
          <w:sz w:val="24"/>
        </w:rPr>
        <w:t>招标文件中采购需求以及相关部分（第四章、第五章以及投标人资格要求）由采购人负责制定和管理，对该部分内容有询问或者质疑的，投标人应当向采购人书面提出，由采购人负责接收和回复。</w:t>
      </w:r>
    </w:p>
    <w:p w14:paraId="456E590A">
      <w:pPr>
        <w:numPr>
          <w:ilvl w:val="2"/>
          <w:numId w:val="8"/>
        </w:numPr>
        <w:spacing w:line="360" w:lineRule="auto"/>
        <w:rPr>
          <w:sz w:val="24"/>
        </w:rPr>
      </w:pPr>
      <w:r>
        <w:rPr>
          <w:sz w:val="24"/>
        </w:rPr>
        <w:t>质疑函须使用财政部制定的范本文件。</w:t>
      </w:r>
      <w:r>
        <w:rPr>
          <w:rFonts w:hint="eastAsia"/>
          <w:sz w:val="24"/>
        </w:rPr>
        <w:t>（下载网址：</w:t>
      </w:r>
      <w:r>
        <w:fldChar w:fldCharType="begin"/>
      </w:r>
      <w:r>
        <w:instrText xml:space="preserve"> HYPERLINK "http://gks.mof.gov.cn/ztztz/zhengfucaigouguanli/201802/t20180201_2804589.htm" </w:instrText>
      </w:r>
      <w:r>
        <w:fldChar w:fldCharType="separate"/>
      </w:r>
      <w:r>
        <w:rPr>
          <w:rStyle w:val="259"/>
        </w:rPr>
        <w:t>http://gk</w:t>
      </w:r>
      <w:bookmarkStart w:id="695" w:name="_Hlt100654014"/>
      <w:r>
        <w:rPr>
          <w:rStyle w:val="259"/>
        </w:rPr>
        <w:t>s</w:t>
      </w:r>
      <w:bookmarkEnd w:id="695"/>
      <w:r>
        <w:rPr>
          <w:rStyle w:val="259"/>
        </w:rPr>
        <w:t>.m</w:t>
      </w:r>
      <w:bookmarkStart w:id="696" w:name="_Hlt100653993"/>
      <w:bookmarkStart w:id="697" w:name="_Hlt100653994"/>
      <w:r>
        <w:rPr>
          <w:rStyle w:val="259"/>
        </w:rPr>
        <w:t>o</w:t>
      </w:r>
      <w:bookmarkEnd w:id="696"/>
      <w:bookmarkEnd w:id="697"/>
      <w:r>
        <w:rPr>
          <w:rStyle w:val="259"/>
        </w:rPr>
        <w:t>f.gov.cn/ztztz/zhengfucaigouguanli/201802/t20180201_2804589.htm</w:t>
      </w:r>
      <w:r>
        <w:fldChar w:fldCharType="end"/>
      </w:r>
      <w:r>
        <w:rPr>
          <w:rFonts w:hint="eastAsia"/>
        </w:rPr>
        <w:t>）</w:t>
      </w:r>
    </w:p>
    <w:p w14:paraId="1F69B339">
      <w:pPr>
        <w:numPr>
          <w:ilvl w:val="2"/>
          <w:numId w:val="8"/>
        </w:numPr>
        <w:spacing w:line="360" w:lineRule="auto"/>
        <w:rPr>
          <w:sz w:val="24"/>
        </w:rPr>
      </w:pPr>
      <w:r>
        <w:rPr>
          <w:sz w:val="24"/>
        </w:rPr>
        <w:t>投标人为自然人的，应当由本人签字；投标人为法人或者其他组织的，应当由法定代表人、主要负责人，或者其授权代表签字或者加盖公章，并加盖公章。</w:t>
      </w:r>
    </w:p>
    <w:p w14:paraId="77FC7879">
      <w:pPr>
        <w:numPr>
          <w:ilvl w:val="2"/>
          <w:numId w:val="8"/>
        </w:numPr>
        <w:spacing w:line="360" w:lineRule="auto"/>
        <w:rPr>
          <w:rFonts w:hint="eastAsia"/>
          <w:sz w:val="24"/>
        </w:rPr>
      </w:pPr>
      <w:r>
        <w:rPr>
          <w:sz w:val="24"/>
        </w:rPr>
        <w:t>投标人应在法定质疑期内一次性提出针对同一采购程序环节的质疑，法定质疑期内针对同一采购程序环节再次提出的质疑，采购人、采购代理机构有权不予答复。</w:t>
      </w:r>
    </w:p>
    <w:p w14:paraId="38AB8475">
      <w:pPr>
        <w:numPr>
          <w:ilvl w:val="1"/>
          <w:numId w:val="8"/>
        </w:numPr>
        <w:tabs>
          <w:tab w:val="left" w:pos="1080"/>
          <w:tab w:val="left" w:pos="2014"/>
        </w:tabs>
        <w:spacing w:line="360" w:lineRule="auto"/>
        <w:ind w:left="1077" w:hanging="720"/>
        <w:rPr>
          <w:sz w:val="24"/>
        </w:rPr>
      </w:pPr>
      <w:r>
        <w:rPr>
          <w:sz w:val="24"/>
        </w:rPr>
        <w:t>接收询问和质疑的联系部门、联系电话和通讯地址见《投标人须知资料表》</w:t>
      </w:r>
      <w:r>
        <w:rPr>
          <w:rFonts w:hint="eastAsia"/>
          <w:sz w:val="24"/>
        </w:rPr>
        <w:t>。</w:t>
      </w:r>
    </w:p>
    <w:p w14:paraId="5C726397">
      <w:pPr>
        <w:numPr>
          <w:ilvl w:val="0"/>
          <w:numId w:val="8"/>
        </w:numPr>
        <w:tabs>
          <w:tab w:val="left" w:pos="360"/>
        </w:tabs>
        <w:spacing w:line="360" w:lineRule="auto"/>
        <w:ind w:left="357" w:hanging="357"/>
        <w:outlineLvl w:val="1"/>
        <w:rPr>
          <w:sz w:val="24"/>
        </w:rPr>
      </w:pPr>
      <w:r>
        <w:rPr>
          <w:sz w:val="24"/>
        </w:rPr>
        <w:t>代理费</w:t>
      </w:r>
    </w:p>
    <w:p w14:paraId="22886188">
      <w:pPr>
        <w:numPr>
          <w:ilvl w:val="1"/>
          <w:numId w:val="8"/>
        </w:numPr>
        <w:tabs>
          <w:tab w:val="left" w:pos="1080"/>
          <w:tab w:val="left" w:pos="2014"/>
        </w:tabs>
        <w:spacing w:line="360" w:lineRule="auto"/>
        <w:ind w:left="1077" w:hanging="720"/>
        <w:rPr>
          <w:sz w:val="24"/>
        </w:rPr>
      </w:pPr>
      <w:r>
        <w:rPr>
          <w:sz w:val="24"/>
        </w:rPr>
        <w:t>收费对象、收费标准及缴纳时间见《投标人须知资料表》。由中标人支付的，中标人须一次性向采购代理机构缴纳代理费，投标报价应包含代理费用。</w:t>
      </w:r>
    </w:p>
    <w:p w14:paraId="332847B8">
      <w:pPr>
        <w:tabs>
          <w:tab w:val="left" w:pos="900"/>
          <w:tab w:val="left" w:pos="1080"/>
          <w:tab w:val="left" w:pos="1589"/>
        </w:tabs>
        <w:spacing w:line="360" w:lineRule="auto"/>
        <w:rPr>
          <w:sz w:val="24"/>
        </w:rPr>
      </w:pPr>
      <w:r>
        <w:rPr>
          <w:rFonts w:hint="eastAsia"/>
          <w:sz w:val="24"/>
        </w:rPr>
        <w:t xml:space="preserve">   27.2  集中采购机构不收取代理费。</w:t>
      </w:r>
    </w:p>
    <w:p w14:paraId="2EF21DAC">
      <w:pPr>
        <w:numPr>
          <w:ilvl w:val="1"/>
          <w:numId w:val="8"/>
        </w:numPr>
        <w:tabs>
          <w:tab w:val="left" w:pos="1080"/>
          <w:tab w:val="left" w:pos="2014"/>
        </w:tabs>
        <w:spacing w:line="360" w:lineRule="auto"/>
        <w:ind w:left="1077" w:hanging="720"/>
        <w:rPr>
          <w:rFonts w:hint="eastAsia" w:ascii="宋体" w:hAnsi="宋体" w:eastAsia="宋体" w:cs="宋体"/>
          <w:color w:val="000000"/>
          <w:sz w:val="24"/>
          <w:szCs w:val="24"/>
          <w:highlight w:val="none"/>
        </w:rPr>
        <w:sectPr>
          <w:footerReference r:id="rId8" w:type="even"/>
          <w:pgSz w:w="11907" w:h="16840"/>
          <w:pgMar w:top="1134" w:right="1134" w:bottom="1134" w:left="1134" w:header="851" w:footer="851" w:gutter="0"/>
          <w:pgNumType w:fmt="decimal" w:start="1"/>
          <w:cols w:space="1701" w:num="1"/>
          <w:docGrid w:linePitch="360" w:charSpace="0"/>
        </w:sectPr>
      </w:pPr>
      <w:bookmarkStart w:id="698" w:name="_Toc305158896"/>
      <w:bookmarkStart w:id="699" w:name="_Toc150774759"/>
      <w:bookmarkStart w:id="700" w:name="_Toc264969244"/>
      <w:bookmarkStart w:id="701" w:name="_Toc226337250"/>
      <w:bookmarkStart w:id="702" w:name="_Toc150480792"/>
      <w:bookmarkStart w:id="703" w:name="_Toc226965827"/>
      <w:bookmarkStart w:id="704" w:name="_Toc353873664"/>
      <w:bookmarkStart w:id="705" w:name="_Toc142311056"/>
      <w:bookmarkStart w:id="706" w:name="_Toc265228392"/>
      <w:bookmarkStart w:id="707" w:name="_Toc353825544"/>
      <w:bookmarkStart w:id="708" w:name="_Toc305158822"/>
      <w:bookmarkStart w:id="709" w:name="_Toc127151554"/>
      <w:bookmarkStart w:id="710" w:name="_Toc353873934"/>
    </w:p>
    <w:p w14:paraId="5AF98FE7">
      <w:pPr>
        <w:spacing w:line="360" w:lineRule="auto"/>
        <w:jc w:val="center"/>
        <w:outlineLvl w:val="0"/>
        <w:rPr>
          <w:rFonts w:hint="eastAsia" w:ascii="宋体" w:hAnsi="宋体" w:eastAsia="宋体" w:cs="宋体"/>
          <w:b/>
          <w:color w:val="000000"/>
          <w:sz w:val="24"/>
          <w:szCs w:val="24"/>
          <w:highlight w:val="none"/>
        </w:rPr>
      </w:pPr>
      <w:bookmarkStart w:id="711" w:name="_Toc104818927"/>
      <w:r>
        <w:rPr>
          <w:rFonts w:hint="eastAsia" w:ascii="宋体" w:hAnsi="宋体" w:eastAsia="宋体" w:cs="宋体"/>
          <w:b/>
          <w:color w:val="000000"/>
          <w:sz w:val="24"/>
          <w:szCs w:val="24"/>
          <w:highlight w:val="none"/>
        </w:rPr>
        <w:t xml:space="preserve">第三章   </w:t>
      </w:r>
      <w:bookmarkEnd w:id="698"/>
      <w:bookmarkEnd w:id="699"/>
      <w:bookmarkEnd w:id="700"/>
      <w:bookmarkEnd w:id="701"/>
      <w:bookmarkEnd w:id="702"/>
      <w:bookmarkEnd w:id="703"/>
      <w:bookmarkEnd w:id="704"/>
      <w:bookmarkEnd w:id="705"/>
      <w:bookmarkEnd w:id="706"/>
      <w:bookmarkEnd w:id="707"/>
      <w:bookmarkEnd w:id="708"/>
      <w:bookmarkEnd w:id="709"/>
      <w:bookmarkEnd w:id="710"/>
      <w:r>
        <w:rPr>
          <w:rFonts w:hint="eastAsia" w:ascii="宋体" w:hAnsi="宋体" w:eastAsia="宋体" w:cs="宋体"/>
          <w:b/>
          <w:color w:val="000000"/>
          <w:sz w:val="24"/>
          <w:szCs w:val="24"/>
          <w:highlight w:val="none"/>
        </w:rPr>
        <w:t>评审程序、评审方法和评审标准</w:t>
      </w:r>
      <w:bookmarkEnd w:id="711"/>
      <w:bookmarkStart w:id="712" w:name="_Toc487900382"/>
    </w:p>
    <w:p w14:paraId="1688F570">
      <w:pPr>
        <w:pStyle w:val="183"/>
        <w:spacing w:before="0" w:line="360" w:lineRule="auto"/>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一、评审程序</w:t>
      </w:r>
    </w:p>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12"/>
    <w:p w14:paraId="002C7BA6">
      <w:pPr>
        <w:numPr>
          <w:ilvl w:val="0"/>
          <w:numId w:val="11"/>
        </w:numPr>
        <w:tabs>
          <w:tab w:val="left" w:pos="426"/>
          <w:tab w:val="left" w:pos="851"/>
        </w:tabs>
        <w:spacing w:line="360" w:lineRule="auto"/>
        <w:ind w:left="426" w:hanging="426"/>
        <w:outlineLvl w:val="1"/>
        <w:rPr>
          <w:sz w:val="24"/>
        </w:rPr>
      </w:pPr>
      <w:bookmarkStart w:id="713" w:name="_Toc353873941"/>
      <w:bookmarkStart w:id="714" w:name="_Toc353825551"/>
      <w:bookmarkStart w:id="715" w:name="_Toc127151555"/>
      <w:bookmarkStart w:id="716" w:name="_Toc264969245"/>
      <w:bookmarkStart w:id="717" w:name="_Toc142311057"/>
      <w:bookmarkStart w:id="718" w:name="_Toc150774760"/>
      <w:bookmarkStart w:id="719" w:name="_Toc265228393"/>
      <w:bookmarkStart w:id="720" w:name="_Toc150480793"/>
      <w:bookmarkStart w:id="721" w:name="_Toc353873935"/>
      <w:bookmarkStart w:id="722" w:name="_Toc226965828"/>
      <w:bookmarkStart w:id="723" w:name="_Toc353825545"/>
      <w:bookmarkStart w:id="724" w:name="_Toc305158897"/>
      <w:bookmarkStart w:id="725" w:name="_Toc195842920"/>
      <w:bookmarkStart w:id="726" w:name="_Toc305158823"/>
      <w:bookmarkStart w:id="727" w:name="_Toc353873665"/>
      <w:bookmarkStart w:id="728" w:name="_Toc226337251"/>
      <w:r>
        <w:rPr>
          <w:sz w:val="24"/>
        </w:rPr>
        <w:t>开标结束后，采购人将根据《资格审查要求》中的规定，对投标人进行资格审查，并形成资格审查结果。</w:t>
      </w:r>
    </w:p>
    <w:p w14:paraId="011BBBB6">
      <w:pPr>
        <w:numPr>
          <w:ilvl w:val="0"/>
          <w:numId w:val="11"/>
        </w:numPr>
        <w:tabs>
          <w:tab w:val="left" w:pos="426"/>
          <w:tab w:val="left" w:pos="851"/>
        </w:tabs>
        <w:spacing w:line="360" w:lineRule="auto"/>
        <w:ind w:left="426" w:hanging="426"/>
        <w:outlineLvl w:val="1"/>
        <w:rPr>
          <w:sz w:val="24"/>
        </w:rPr>
      </w:pPr>
      <w:r>
        <w:rPr>
          <w:sz w:val="24"/>
        </w:rPr>
        <w:t>《资格审查要求》中对格式有要求的，除招标文件另有规定外，均为“实质性格式”文件。</w:t>
      </w:r>
    </w:p>
    <w:p w14:paraId="288B8402">
      <w:pPr>
        <w:numPr>
          <w:ilvl w:val="0"/>
          <w:numId w:val="11"/>
        </w:numPr>
        <w:tabs>
          <w:tab w:val="left" w:pos="426"/>
          <w:tab w:val="left" w:pos="851"/>
        </w:tabs>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14:paraId="0DD77197">
      <w:pPr>
        <w:numPr>
          <w:ilvl w:val="0"/>
          <w:numId w:val="11"/>
        </w:numPr>
        <w:tabs>
          <w:tab w:val="left" w:pos="426"/>
          <w:tab w:val="left" w:pos="851"/>
        </w:tabs>
        <w:spacing w:line="360" w:lineRule="auto"/>
        <w:ind w:left="426" w:hanging="426"/>
        <w:outlineLvl w:val="1"/>
        <w:rPr>
          <w:sz w:val="24"/>
        </w:rPr>
      </w:pPr>
      <w:r>
        <w:rPr>
          <w:sz w:val="24"/>
        </w:rPr>
        <w:t>资格审查合格的投标人不足3家的，不进行评标。</w:t>
      </w:r>
    </w:p>
    <w:p w14:paraId="3D0D5F80">
      <w:pPr>
        <w:tabs>
          <w:tab w:val="left" w:pos="900"/>
          <w:tab w:val="left" w:pos="1080"/>
        </w:tabs>
        <w:spacing w:line="360" w:lineRule="auto"/>
        <w:ind w:left="1077" w:firstLine="265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资格性检查要求</w:t>
      </w:r>
    </w:p>
    <w:tbl>
      <w:tblPr>
        <w:tblStyle w:val="28"/>
        <w:tblW w:w="5059" w:type="pct"/>
        <w:tblInd w:w="-2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4"/>
        <w:gridCol w:w="1675"/>
        <w:gridCol w:w="4712"/>
        <w:gridCol w:w="2197"/>
      </w:tblGrid>
      <w:tr w14:paraId="2D5757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0" w:hRule="atLeast"/>
          <w:tblHeader/>
        </w:trPr>
        <w:tc>
          <w:tcPr>
            <w:tcW w:w="433" w:type="dxa"/>
            <w:noWrap w:val="0"/>
            <w:vAlign w:val="center"/>
          </w:tcPr>
          <w:p w14:paraId="5ACD78FD">
            <w:pPr>
              <w:tabs>
                <w:tab w:val="left" w:pos="1080"/>
              </w:tabs>
              <w:jc w:val="center"/>
              <w:rPr>
                <w:rFonts w:hint="eastAsia" w:ascii="宋体" w:hAnsi="宋体" w:eastAsia="宋体" w:cs="宋体"/>
                <w:b/>
                <w:color w:val="000000"/>
                <w:sz w:val="24"/>
                <w:szCs w:val="24"/>
                <w:highlight w:val="none"/>
              </w:rPr>
            </w:pPr>
            <w:bookmarkStart w:id="729" w:name="_Hlt487972895"/>
            <w:bookmarkEnd w:id="729"/>
            <w:r>
              <w:rPr>
                <w:rFonts w:hint="eastAsia" w:ascii="宋体" w:hAnsi="宋体" w:eastAsia="宋体" w:cs="宋体"/>
                <w:b/>
                <w:color w:val="000000"/>
                <w:sz w:val="24"/>
                <w:szCs w:val="24"/>
                <w:highlight w:val="none"/>
              </w:rPr>
              <w:t>序号</w:t>
            </w:r>
          </w:p>
        </w:tc>
        <w:tc>
          <w:tcPr>
            <w:tcW w:w="891" w:type="dxa"/>
            <w:noWrap w:val="0"/>
            <w:vAlign w:val="center"/>
          </w:tcPr>
          <w:p w14:paraId="26FA9823">
            <w:pPr>
              <w:tabs>
                <w:tab w:val="left" w:pos="1080"/>
              </w:tabs>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审查因素</w:t>
            </w:r>
          </w:p>
        </w:tc>
        <w:tc>
          <w:tcPr>
            <w:tcW w:w="2506" w:type="dxa"/>
            <w:noWrap w:val="0"/>
            <w:vAlign w:val="center"/>
          </w:tcPr>
          <w:p w14:paraId="076EFE57">
            <w:pPr>
              <w:tabs>
                <w:tab w:val="left" w:pos="1080"/>
              </w:tabs>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审查内容</w:t>
            </w:r>
          </w:p>
        </w:tc>
        <w:tc>
          <w:tcPr>
            <w:tcW w:w="1168" w:type="dxa"/>
            <w:noWrap w:val="0"/>
            <w:vAlign w:val="center"/>
          </w:tcPr>
          <w:p w14:paraId="391B447E">
            <w:pPr>
              <w:tabs>
                <w:tab w:val="left" w:pos="1080"/>
              </w:tabs>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格式要求</w:t>
            </w:r>
          </w:p>
        </w:tc>
      </w:tr>
      <w:tr w14:paraId="4F9D5D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22" w:hRule="atLeast"/>
        </w:trPr>
        <w:tc>
          <w:tcPr>
            <w:tcW w:w="433" w:type="dxa"/>
            <w:noWrap w:val="0"/>
            <w:vAlign w:val="center"/>
          </w:tcPr>
          <w:p w14:paraId="7A214651">
            <w:pPr>
              <w:tabs>
                <w:tab w:val="left" w:pos="1080"/>
              </w:tabs>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w:t>
            </w:r>
          </w:p>
        </w:tc>
        <w:tc>
          <w:tcPr>
            <w:tcW w:w="891" w:type="dxa"/>
            <w:noWrap w:val="0"/>
            <w:vAlign w:val="center"/>
          </w:tcPr>
          <w:p w14:paraId="42E1416F">
            <w:pPr>
              <w:tabs>
                <w:tab w:val="left" w:pos="1080"/>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满足《中华人民共和国政府采购法》第二十二条规定及法律法规的其他规定</w:t>
            </w:r>
          </w:p>
        </w:tc>
        <w:tc>
          <w:tcPr>
            <w:tcW w:w="2506" w:type="dxa"/>
            <w:noWrap w:val="0"/>
            <w:vAlign w:val="center"/>
          </w:tcPr>
          <w:p w14:paraId="04752A33">
            <w:pPr>
              <w:tabs>
                <w:tab w:val="left" w:pos="1080"/>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具体规定见第一章《采购邀请》</w:t>
            </w:r>
          </w:p>
        </w:tc>
        <w:tc>
          <w:tcPr>
            <w:tcW w:w="1168" w:type="dxa"/>
            <w:noWrap w:val="0"/>
            <w:vAlign w:val="center"/>
          </w:tcPr>
          <w:p w14:paraId="3FE9379E">
            <w:pPr>
              <w:tabs>
                <w:tab w:val="left" w:pos="1080"/>
              </w:tabs>
              <w:rPr>
                <w:rFonts w:hint="eastAsia" w:ascii="宋体" w:hAnsi="宋体" w:eastAsia="宋体" w:cs="宋体"/>
                <w:color w:val="000000"/>
                <w:sz w:val="24"/>
                <w:szCs w:val="24"/>
                <w:highlight w:val="none"/>
              </w:rPr>
            </w:pPr>
          </w:p>
        </w:tc>
      </w:tr>
      <w:tr w14:paraId="1BCDF5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02" w:hRule="atLeast"/>
        </w:trPr>
        <w:tc>
          <w:tcPr>
            <w:tcW w:w="433" w:type="dxa"/>
            <w:noWrap w:val="0"/>
            <w:vAlign w:val="center"/>
          </w:tcPr>
          <w:p w14:paraId="20DD0735">
            <w:pPr>
              <w:tabs>
                <w:tab w:val="left" w:pos="1080"/>
              </w:tabs>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1-1</w:t>
            </w:r>
          </w:p>
        </w:tc>
        <w:tc>
          <w:tcPr>
            <w:tcW w:w="891" w:type="dxa"/>
            <w:noWrap w:val="0"/>
            <w:vAlign w:val="center"/>
          </w:tcPr>
          <w:p w14:paraId="5C61983A">
            <w:pPr>
              <w:tabs>
                <w:tab w:val="left" w:pos="1080"/>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供应商资格声明函</w:t>
            </w:r>
          </w:p>
        </w:tc>
        <w:tc>
          <w:tcPr>
            <w:tcW w:w="2506" w:type="dxa"/>
            <w:noWrap w:val="0"/>
            <w:vAlign w:val="center"/>
          </w:tcPr>
          <w:p w14:paraId="0A4BFE4C">
            <w:pPr>
              <w:tabs>
                <w:tab w:val="left" w:pos="1080"/>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提供了符合采购文件要求的《供应商资格声明函》。</w:t>
            </w:r>
          </w:p>
        </w:tc>
        <w:tc>
          <w:tcPr>
            <w:tcW w:w="1168" w:type="dxa"/>
            <w:noWrap w:val="0"/>
            <w:vAlign w:val="center"/>
          </w:tcPr>
          <w:p w14:paraId="345E5F5E">
            <w:pPr>
              <w:tabs>
                <w:tab w:val="left" w:pos="1080"/>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格式见《响应文件格式》</w:t>
            </w:r>
          </w:p>
        </w:tc>
      </w:tr>
      <w:tr w14:paraId="28B92C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963" w:hRule="atLeast"/>
        </w:trPr>
        <w:tc>
          <w:tcPr>
            <w:tcW w:w="433" w:type="dxa"/>
            <w:noWrap w:val="0"/>
            <w:vAlign w:val="center"/>
          </w:tcPr>
          <w:p w14:paraId="19883BA2">
            <w:pPr>
              <w:tabs>
                <w:tab w:val="left" w:pos="1080"/>
              </w:tabs>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1-2</w:t>
            </w:r>
          </w:p>
        </w:tc>
        <w:tc>
          <w:tcPr>
            <w:tcW w:w="891" w:type="dxa"/>
            <w:noWrap w:val="0"/>
            <w:vAlign w:val="center"/>
          </w:tcPr>
          <w:p w14:paraId="00F05C5F">
            <w:pPr>
              <w:tabs>
                <w:tab w:val="left" w:pos="1080"/>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供应商信用记录</w:t>
            </w:r>
          </w:p>
        </w:tc>
        <w:tc>
          <w:tcPr>
            <w:tcW w:w="2506" w:type="dxa"/>
            <w:noWrap w:val="0"/>
            <w:vAlign w:val="center"/>
          </w:tcPr>
          <w:p w14:paraId="46C0AD19">
            <w:pPr>
              <w:tabs>
                <w:tab w:val="left" w:pos="900"/>
                <w:tab w:val="left" w:pos="1980"/>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查询渠道：信用中国网站和</w:t>
            </w:r>
            <w:r>
              <w:rPr>
                <w:rFonts w:hint="eastAsia" w:ascii="宋体" w:hAnsi="宋体" w:eastAsia="宋体" w:cs="宋体"/>
                <w:color w:val="000000"/>
                <w:sz w:val="24"/>
                <w:szCs w:val="24"/>
                <w:highlight w:val="none"/>
                <w:lang w:eastAsia="zh-CN"/>
              </w:rPr>
              <w:t>中国政府采购网</w:t>
            </w:r>
            <w:r>
              <w:rPr>
                <w:rFonts w:hint="eastAsia" w:ascii="宋体" w:hAnsi="宋体" w:eastAsia="宋体" w:cs="宋体"/>
                <w:color w:val="000000"/>
                <w:sz w:val="24"/>
                <w:szCs w:val="24"/>
                <w:highlight w:val="none"/>
                <w:lang w:val="en-US" w:eastAsia="zh-CN"/>
              </w:rPr>
              <w:t>(</w:t>
            </w:r>
            <w:r>
              <w:rPr>
                <w:rFonts w:hint="eastAsia" w:ascii="宋体" w:hAnsi="宋体" w:eastAsia="宋体" w:cs="宋体"/>
                <w:color w:val="000000"/>
                <w:sz w:val="24"/>
                <w:szCs w:val="24"/>
                <w:highlight w:val="none"/>
              </w:rPr>
              <w:t>www.creditchina.gov.cn、www.ccgp.gov.cn）；</w:t>
            </w:r>
          </w:p>
          <w:p w14:paraId="760F28E1">
            <w:pPr>
              <w:tabs>
                <w:tab w:val="left" w:pos="900"/>
                <w:tab w:val="left" w:pos="1980"/>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截止时点：提交响应文件截止时间以后、资格审查阶段采购人或采购代理机构的实际查询时间；</w:t>
            </w:r>
          </w:p>
          <w:p w14:paraId="72449C45">
            <w:pPr>
              <w:tabs>
                <w:tab w:val="left" w:pos="900"/>
                <w:tab w:val="left" w:pos="1980"/>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信用信息查询记录和证据留存具体方式：查询结果网页打印页作为查询记录和证据，与其他采购文件一并保存；</w:t>
            </w:r>
          </w:p>
          <w:p w14:paraId="6C62E3F9">
            <w:pPr>
              <w:tabs>
                <w:tab w:val="left" w:pos="1080"/>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信用信息的使用原则：经认定的被列入失信被执行人、重大税收违法案件当事人名单、政府采购严重违法失信行为记录名单的供应商，其</w:t>
            </w:r>
            <w:r>
              <w:rPr>
                <w:rFonts w:hint="eastAsia" w:ascii="宋体" w:hAnsi="宋体" w:eastAsia="宋体" w:cs="宋体"/>
                <w:b/>
                <w:color w:val="000000"/>
                <w:sz w:val="24"/>
                <w:szCs w:val="24"/>
                <w:highlight w:val="none"/>
              </w:rPr>
              <w:t>响应无效</w:t>
            </w:r>
            <w:r>
              <w:rPr>
                <w:rFonts w:hint="eastAsia" w:ascii="宋体" w:hAnsi="宋体" w:eastAsia="宋体" w:cs="宋体"/>
                <w:color w:val="000000"/>
                <w:sz w:val="24"/>
                <w:szCs w:val="24"/>
                <w:highlight w:val="none"/>
              </w:rPr>
              <w:t>。联合体形式响应的，联合体成员存在不良信用记录，视同联合体存在不良信用记录。</w:t>
            </w:r>
          </w:p>
        </w:tc>
        <w:tc>
          <w:tcPr>
            <w:tcW w:w="1168" w:type="dxa"/>
            <w:noWrap w:val="0"/>
            <w:vAlign w:val="center"/>
          </w:tcPr>
          <w:p w14:paraId="61968F7B">
            <w:pPr>
              <w:tabs>
                <w:tab w:val="left" w:pos="1080"/>
              </w:tabs>
              <w:rPr>
                <w:rFonts w:hint="eastAsia" w:ascii="宋体" w:hAnsi="宋体" w:eastAsia="宋体" w:cs="宋体"/>
                <w:color w:val="000000"/>
                <w:sz w:val="24"/>
                <w:szCs w:val="24"/>
                <w:highlight w:val="none"/>
              </w:rPr>
            </w:pPr>
            <w:r>
              <w:rPr>
                <w:sz w:val="24"/>
              </w:rPr>
              <w:t>无须供应商提供，由采购人查询。</w:t>
            </w:r>
          </w:p>
        </w:tc>
      </w:tr>
      <w:tr w14:paraId="339376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78" w:hRule="atLeast"/>
        </w:trPr>
        <w:tc>
          <w:tcPr>
            <w:tcW w:w="433" w:type="dxa"/>
            <w:noWrap w:val="0"/>
            <w:vAlign w:val="top"/>
          </w:tcPr>
          <w:p w14:paraId="3C2888AD">
            <w:pPr>
              <w:spacing w:line="321" w:lineRule="auto"/>
              <w:rPr>
                <w:rFonts w:ascii="Arial"/>
                <w:color w:val="000000"/>
                <w:sz w:val="21"/>
                <w:highlight w:val="none"/>
              </w:rPr>
            </w:pPr>
          </w:p>
          <w:p w14:paraId="6CE78FDB">
            <w:pPr>
              <w:spacing w:before="67" w:line="195" w:lineRule="auto"/>
              <w:ind w:left="301"/>
              <w:rPr>
                <w:rFonts w:hint="eastAsia" w:ascii="宋体" w:hAnsi="宋体" w:eastAsia="宋体" w:cs="宋体"/>
                <w:color w:val="000000"/>
                <w:sz w:val="24"/>
                <w:szCs w:val="24"/>
                <w:highlight w:val="none"/>
              </w:rPr>
            </w:pPr>
            <w:r>
              <w:rPr>
                <w:rFonts w:ascii="Times New Roman" w:hAnsi="Times New Roman" w:eastAsia="Times New Roman" w:cs="Times New Roman"/>
                <w:color w:val="000000"/>
                <w:sz w:val="23"/>
                <w:szCs w:val="23"/>
                <w:highlight w:val="none"/>
              </w:rPr>
              <w:t>2</w:t>
            </w:r>
          </w:p>
        </w:tc>
        <w:tc>
          <w:tcPr>
            <w:tcW w:w="891" w:type="dxa"/>
            <w:noWrap w:val="0"/>
            <w:vAlign w:val="top"/>
          </w:tcPr>
          <w:p w14:paraId="24179208">
            <w:pPr>
              <w:spacing w:before="38" w:line="241" w:lineRule="auto"/>
              <w:ind w:left="113" w:right="107"/>
              <w:rPr>
                <w:rFonts w:hint="eastAsia" w:ascii="宋体" w:hAnsi="宋体" w:eastAsia="宋体" w:cs="宋体"/>
                <w:color w:val="000000"/>
                <w:sz w:val="24"/>
                <w:szCs w:val="24"/>
                <w:highlight w:val="none"/>
              </w:rPr>
            </w:pPr>
            <w:r>
              <w:rPr>
                <w:rFonts w:ascii="宋体" w:hAnsi="宋体" w:eastAsia="宋体" w:cs="宋体"/>
                <w:color w:val="000000"/>
                <w:spacing w:val="14"/>
                <w:sz w:val="24"/>
                <w:szCs w:val="24"/>
                <w:highlight w:val="none"/>
              </w:rPr>
              <w:t>落</w:t>
            </w:r>
            <w:r>
              <w:rPr>
                <w:rFonts w:ascii="宋体" w:hAnsi="宋体" w:eastAsia="宋体" w:cs="宋体"/>
                <w:color w:val="000000"/>
                <w:spacing w:val="13"/>
                <w:sz w:val="24"/>
                <w:szCs w:val="24"/>
                <w:highlight w:val="none"/>
              </w:rPr>
              <w:t>实政府采购政</w:t>
            </w:r>
            <w:r>
              <w:rPr>
                <w:rFonts w:ascii="宋体" w:hAnsi="宋体" w:eastAsia="宋体" w:cs="宋体"/>
                <w:color w:val="000000"/>
                <w:sz w:val="24"/>
                <w:szCs w:val="24"/>
                <w:highlight w:val="none"/>
              </w:rPr>
              <w:t xml:space="preserve"> </w:t>
            </w:r>
            <w:r>
              <w:rPr>
                <w:rFonts w:ascii="宋体" w:hAnsi="宋体" w:eastAsia="宋体" w:cs="宋体"/>
                <w:color w:val="000000"/>
                <w:spacing w:val="15"/>
                <w:sz w:val="24"/>
                <w:szCs w:val="24"/>
                <w:highlight w:val="none"/>
              </w:rPr>
              <w:t>策</w:t>
            </w:r>
            <w:r>
              <w:rPr>
                <w:rFonts w:ascii="宋体" w:hAnsi="宋体" w:eastAsia="宋体" w:cs="宋体"/>
                <w:color w:val="000000"/>
                <w:spacing w:val="13"/>
                <w:sz w:val="24"/>
                <w:szCs w:val="24"/>
                <w:highlight w:val="none"/>
              </w:rPr>
              <w:t>需满足的资格</w:t>
            </w:r>
            <w:r>
              <w:rPr>
                <w:rFonts w:ascii="宋体" w:hAnsi="宋体" w:eastAsia="宋体" w:cs="宋体"/>
                <w:color w:val="000000"/>
                <w:sz w:val="24"/>
                <w:szCs w:val="24"/>
                <w:highlight w:val="none"/>
              </w:rPr>
              <w:t xml:space="preserve"> </w:t>
            </w:r>
            <w:r>
              <w:rPr>
                <w:rFonts w:ascii="宋体" w:hAnsi="宋体" w:eastAsia="宋体" w:cs="宋体"/>
                <w:color w:val="000000"/>
                <w:spacing w:val="5"/>
                <w:sz w:val="24"/>
                <w:szCs w:val="24"/>
                <w:highlight w:val="none"/>
              </w:rPr>
              <w:t>要</w:t>
            </w:r>
            <w:r>
              <w:rPr>
                <w:rFonts w:ascii="宋体" w:hAnsi="宋体" w:eastAsia="宋体" w:cs="宋体"/>
                <w:color w:val="000000"/>
                <w:spacing w:val="4"/>
                <w:sz w:val="24"/>
                <w:szCs w:val="24"/>
                <w:highlight w:val="none"/>
              </w:rPr>
              <w:t>求</w:t>
            </w:r>
          </w:p>
        </w:tc>
        <w:tc>
          <w:tcPr>
            <w:tcW w:w="2506" w:type="dxa"/>
            <w:noWrap w:val="0"/>
            <w:vAlign w:val="center"/>
          </w:tcPr>
          <w:p w14:paraId="61752C50">
            <w:pPr>
              <w:spacing w:before="75" w:line="225" w:lineRule="auto"/>
              <w:ind w:firstLine="524"/>
              <w:jc w:val="both"/>
              <w:rPr>
                <w:rFonts w:hint="eastAsia" w:ascii="宋体" w:hAnsi="宋体" w:eastAsia="宋体" w:cs="宋体"/>
                <w:color w:val="000000"/>
                <w:sz w:val="24"/>
                <w:szCs w:val="24"/>
                <w:highlight w:val="none"/>
              </w:rPr>
            </w:pPr>
            <w:r>
              <w:rPr>
                <w:rFonts w:ascii="宋体" w:hAnsi="宋体" w:eastAsia="宋体" w:cs="宋体"/>
                <w:color w:val="000000"/>
                <w:spacing w:val="11"/>
                <w:sz w:val="24"/>
                <w:szCs w:val="24"/>
                <w:highlight w:val="none"/>
              </w:rPr>
              <w:t>具</w:t>
            </w:r>
            <w:r>
              <w:rPr>
                <w:rFonts w:ascii="宋体" w:hAnsi="宋体" w:eastAsia="宋体" w:cs="宋体"/>
                <w:color w:val="000000"/>
                <w:spacing w:val="8"/>
                <w:sz w:val="24"/>
                <w:szCs w:val="24"/>
                <w:highlight w:val="none"/>
              </w:rPr>
              <w:t>体要求见第一章《采购邀请》</w:t>
            </w:r>
          </w:p>
        </w:tc>
        <w:tc>
          <w:tcPr>
            <w:tcW w:w="1168" w:type="dxa"/>
            <w:noWrap w:val="0"/>
            <w:vAlign w:val="top"/>
          </w:tcPr>
          <w:p w14:paraId="362EEC99">
            <w:pPr>
              <w:spacing w:line="321" w:lineRule="auto"/>
              <w:rPr>
                <w:rFonts w:ascii="Arial"/>
                <w:color w:val="000000"/>
                <w:sz w:val="21"/>
                <w:highlight w:val="none"/>
              </w:rPr>
            </w:pPr>
          </w:p>
          <w:p w14:paraId="33967CE4">
            <w:pPr>
              <w:spacing w:before="67" w:line="195" w:lineRule="auto"/>
              <w:ind w:left="301"/>
              <w:rPr>
                <w:rFonts w:hint="eastAsia" w:ascii="宋体" w:hAnsi="宋体" w:eastAsia="宋体" w:cs="宋体"/>
                <w:color w:val="000000"/>
                <w:sz w:val="24"/>
                <w:szCs w:val="24"/>
                <w:highlight w:val="none"/>
              </w:rPr>
            </w:pPr>
          </w:p>
        </w:tc>
      </w:tr>
      <w:tr w14:paraId="2295B3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220" w:hRule="atLeast"/>
        </w:trPr>
        <w:tc>
          <w:tcPr>
            <w:tcW w:w="433" w:type="dxa"/>
            <w:noWrap w:val="0"/>
            <w:vAlign w:val="top"/>
          </w:tcPr>
          <w:p w14:paraId="31A7FB40">
            <w:pPr>
              <w:spacing w:before="237" w:line="194" w:lineRule="auto"/>
              <w:ind w:left="306"/>
              <w:rPr>
                <w:rFonts w:hint="eastAsia" w:ascii="宋体" w:hAnsi="宋体" w:eastAsia="宋体" w:cs="宋体"/>
                <w:color w:val="000000"/>
                <w:sz w:val="24"/>
                <w:szCs w:val="24"/>
                <w:highlight w:val="none"/>
              </w:rPr>
            </w:pPr>
            <w:r>
              <w:rPr>
                <w:rFonts w:ascii="Times New Roman" w:hAnsi="Times New Roman" w:eastAsia="Times New Roman" w:cs="Times New Roman"/>
                <w:color w:val="000000"/>
                <w:sz w:val="23"/>
                <w:szCs w:val="23"/>
                <w:highlight w:val="none"/>
              </w:rPr>
              <w:t>3</w:t>
            </w:r>
          </w:p>
        </w:tc>
        <w:tc>
          <w:tcPr>
            <w:tcW w:w="891" w:type="dxa"/>
            <w:noWrap w:val="0"/>
            <w:vAlign w:val="center"/>
          </w:tcPr>
          <w:p w14:paraId="668DEEF6">
            <w:pPr>
              <w:spacing w:before="38" w:line="237" w:lineRule="auto"/>
              <w:ind w:left="111" w:right="107" w:firstLine="1"/>
              <w:jc w:val="both"/>
              <w:rPr>
                <w:rFonts w:hint="eastAsia" w:ascii="宋体" w:hAnsi="宋体" w:eastAsia="宋体" w:cs="宋体"/>
                <w:color w:val="000000"/>
                <w:sz w:val="24"/>
                <w:szCs w:val="24"/>
                <w:highlight w:val="none"/>
              </w:rPr>
            </w:pPr>
            <w:r>
              <w:rPr>
                <w:rFonts w:ascii="宋体" w:hAnsi="宋体" w:eastAsia="宋体" w:cs="宋体"/>
                <w:color w:val="000000"/>
                <w:spacing w:val="15"/>
                <w:sz w:val="24"/>
                <w:szCs w:val="24"/>
                <w:highlight w:val="none"/>
              </w:rPr>
              <w:t>本</w:t>
            </w:r>
            <w:r>
              <w:rPr>
                <w:rFonts w:ascii="宋体" w:hAnsi="宋体" w:eastAsia="宋体" w:cs="宋体"/>
                <w:color w:val="000000"/>
                <w:spacing w:val="13"/>
                <w:sz w:val="24"/>
                <w:szCs w:val="24"/>
                <w:highlight w:val="none"/>
              </w:rPr>
              <w:t>项目的特定条</w:t>
            </w:r>
            <w:r>
              <w:rPr>
                <w:rFonts w:ascii="宋体" w:hAnsi="宋体" w:eastAsia="宋体" w:cs="宋体"/>
                <w:color w:val="000000"/>
                <w:sz w:val="24"/>
                <w:szCs w:val="24"/>
                <w:highlight w:val="none"/>
              </w:rPr>
              <w:t xml:space="preserve"> </w:t>
            </w:r>
            <w:r>
              <w:rPr>
                <w:rFonts w:ascii="宋体" w:hAnsi="宋体" w:eastAsia="宋体" w:cs="宋体"/>
                <w:color w:val="000000"/>
                <w:spacing w:val="1"/>
                <w:sz w:val="24"/>
                <w:szCs w:val="24"/>
                <w:highlight w:val="none"/>
              </w:rPr>
              <w:t>件</w:t>
            </w:r>
          </w:p>
        </w:tc>
        <w:tc>
          <w:tcPr>
            <w:tcW w:w="2506" w:type="dxa"/>
            <w:noWrap w:val="0"/>
            <w:vAlign w:val="center"/>
          </w:tcPr>
          <w:p w14:paraId="311F7E40">
            <w:pPr>
              <w:spacing w:before="39" w:line="225" w:lineRule="auto"/>
              <w:ind w:left="119"/>
              <w:jc w:val="both"/>
              <w:rPr>
                <w:rFonts w:hint="eastAsia" w:ascii="宋体" w:hAnsi="宋体" w:eastAsia="宋体" w:cs="宋体"/>
                <w:color w:val="000000"/>
                <w:sz w:val="24"/>
                <w:szCs w:val="24"/>
                <w:highlight w:val="none"/>
              </w:rPr>
            </w:pPr>
            <w:r>
              <w:rPr>
                <w:rFonts w:ascii="宋体" w:hAnsi="宋体" w:eastAsia="宋体" w:cs="宋体"/>
                <w:color w:val="000000"/>
                <w:spacing w:val="11"/>
                <w:sz w:val="24"/>
                <w:szCs w:val="24"/>
                <w:highlight w:val="none"/>
              </w:rPr>
              <w:t>具</w:t>
            </w:r>
            <w:r>
              <w:rPr>
                <w:rFonts w:ascii="宋体" w:hAnsi="宋体" w:eastAsia="宋体" w:cs="宋体"/>
                <w:color w:val="000000"/>
                <w:spacing w:val="8"/>
                <w:sz w:val="24"/>
                <w:szCs w:val="24"/>
                <w:highlight w:val="none"/>
              </w:rPr>
              <w:t>体要求见第一章《采购邀请》</w:t>
            </w:r>
          </w:p>
        </w:tc>
        <w:tc>
          <w:tcPr>
            <w:tcW w:w="1168" w:type="dxa"/>
            <w:noWrap w:val="0"/>
            <w:vAlign w:val="center"/>
          </w:tcPr>
          <w:p w14:paraId="1AB7511A">
            <w:pPr>
              <w:tabs>
                <w:tab w:val="left" w:pos="1080"/>
              </w:tabs>
              <w:rPr>
                <w:rFonts w:ascii="宋体" w:hAnsi="宋体" w:eastAsia="宋体" w:cs="宋体"/>
                <w:color w:val="000000"/>
                <w:sz w:val="24"/>
                <w:szCs w:val="24"/>
                <w:highlight w:val="none"/>
                <w:lang w:val="en-US" w:eastAsia="zh-CN"/>
              </w:rPr>
            </w:pPr>
          </w:p>
        </w:tc>
      </w:tr>
      <w:tr w14:paraId="24FD3C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220" w:hRule="atLeast"/>
        </w:trPr>
        <w:tc>
          <w:tcPr>
            <w:tcW w:w="433" w:type="dxa"/>
            <w:noWrap w:val="0"/>
            <w:vAlign w:val="center"/>
          </w:tcPr>
          <w:p w14:paraId="46D8A2F1">
            <w:pPr>
              <w:spacing w:before="237" w:line="194" w:lineRule="auto"/>
              <w:jc w:val="center"/>
              <w:rPr>
                <w:rFonts w:ascii="Times New Roman" w:hAnsi="Times New Roman" w:eastAsia="宋体" w:cs="Times New Roman"/>
                <w:color w:val="000000"/>
                <w:sz w:val="23"/>
                <w:szCs w:val="23"/>
                <w:highlight w:val="none"/>
                <w:lang w:val="en-US" w:eastAsia="zh-CN"/>
              </w:rPr>
            </w:pPr>
            <w:r>
              <w:rPr>
                <w:rFonts w:hint="eastAsia" w:ascii="Times New Roman" w:hAnsi="Times New Roman" w:eastAsia="宋体" w:cs="Times New Roman"/>
                <w:color w:val="000000"/>
                <w:sz w:val="23"/>
                <w:szCs w:val="23"/>
                <w:highlight w:val="none"/>
                <w:lang w:val="en-US" w:eastAsia="zh-CN"/>
              </w:rPr>
              <w:t>3-1</w:t>
            </w:r>
          </w:p>
        </w:tc>
        <w:tc>
          <w:tcPr>
            <w:tcW w:w="891" w:type="dxa"/>
            <w:noWrap w:val="0"/>
            <w:vAlign w:val="center"/>
          </w:tcPr>
          <w:p w14:paraId="35BF3901">
            <w:pPr>
              <w:spacing w:before="38" w:line="237" w:lineRule="auto"/>
              <w:ind w:left="111" w:right="107" w:firstLine="1"/>
              <w:jc w:val="both"/>
              <w:rPr>
                <w:rFonts w:ascii="宋体" w:hAnsi="宋体" w:eastAsia="宋体" w:cs="宋体"/>
                <w:color w:val="000000"/>
                <w:spacing w:val="15"/>
                <w:sz w:val="24"/>
                <w:szCs w:val="24"/>
                <w:highlight w:val="none"/>
              </w:rPr>
            </w:pPr>
            <w:r>
              <w:rPr>
                <w:sz w:val="24"/>
              </w:rPr>
              <w:t>其他特定资格要求</w:t>
            </w:r>
          </w:p>
        </w:tc>
        <w:tc>
          <w:tcPr>
            <w:tcW w:w="2506" w:type="dxa"/>
            <w:noWrap w:val="0"/>
            <w:vAlign w:val="center"/>
          </w:tcPr>
          <w:p w14:paraId="734F1A39">
            <w:pPr>
              <w:rPr>
                <w:rFonts w:ascii="宋体" w:hAnsi="宋体" w:eastAsia="宋体" w:cs="宋体"/>
                <w:color w:val="000000"/>
                <w:spacing w:val="11"/>
                <w:sz w:val="24"/>
                <w:szCs w:val="24"/>
                <w:highlight w:val="none"/>
              </w:rPr>
            </w:pPr>
            <w:r>
              <w:rPr>
                <w:rFonts w:ascii="宋体" w:hAnsi="宋体" w:eastAsia="宋体" w:cs="宋体"/>
                <w:color w:val="000000"/>
                <w:spacing w:val="11"/>
                <w:sz w:val="24"/>
                <w:szCs w:val="24"/>
                <w:highlight w:val="none"/>
              </w:rPr>
              <w:t>具</w:t>
            </w:r>
            <w:r>
              <w:rPr>
                <w:rFonts w:ascii="宋体" w:hAnsi="宋体" w:eastAsia="宋体" w:cs="宋体"/>
                <w:color w:val="000000"/>
                <w:spacing w:val="8"/>
                <w:sz w:val="24"/>
                <w:szCs w:val="24"/>
                <w:highlight w:val="none"/>
              </w:rPr>
              <w:t>体要求见第一章《采购邀请》</w:t>
            </w:r>
          </w:p>
        </w:tc>
        <w:tc>
          <w:tcPr>
            <w:tcW w:w="1168" w:type="dxa"/>
            <w:noWrap w:val="0"/>
            <w:vAlign w:val="center"/>
          </w:tcPr>
          <w:p w14:paraId="24A8A99F">
            <w:pPr>
              <w:tabs>
                <w:tab w:val="left" w:pos="1080"/>
              </w:tabs>
              <w:rPr>
                <w:rFonts w:hint="eastAsia" w:ascii="宋体" w:hAnsi="宋体" w:eastAsia="宋体" w:cs="宋体"/>
                <w:color w:val="000000"/>
                <w:sz w:val="24"/>
                <w:szCs w:val="24"/>
                <w:highlight w:val="none"/>
                <w:lang w:val="en-US" w:eastAsia="zh-CN"/>
              </w:rPr>
            </w:pPr>
            <w:r>
              <w:rPr>
                <w:sz w:val="24"/>
              </w:rPr>
              <w:t>提供证明文件的电子件或电子证照，供应商若为分支机构，提供总公司授权委托书。</w:t>
            </w:r>
          </w:p>
        </w:tc>
      </w:tr>
    </w:tbl>
    <w:p w14:paraId="594DA2F6">
      <w:pPr>
        <w:widowControl/>
        <w:jc w:val="left"/>
        <w:rPr>
          <w:rFonts w:hint="eastAsia" w:ascii="宋体" w:hAnsi="宋体" w:eastAsia="宋体" w:cs="宋体"/>
          <w:color w:val="000000"/>
          <w:sz w:val="24"/>
          <w:szCs w:val="24"/>
          <w:highlight w:val="none"/>
        </w:rPr>
      </w:pPr>
    </w:p>
    <w:p w14:paraId="546C6EDE">
      <w:pPr>
        <w:widowControl/>
        <w:jc w:val="left"/>
        <w:rPr>
          <w:rFonts w:hint="eastAsia" w:ascii="宋体" w:hAnsi="宋体" w:eastAsia="宋体" w:cs="宋体"/>
          <w:color w:val="000000"/>
          <w:sz w:val="24"/>
          <w:szCs w:val="24"/>
          <w:highlight w:val="none"/>
        </w:rPr>
      </w:pPr>
    </w:p>
    <w:p w14:paraId="6FD6533F">
      <w:pPr>
        <w:widowControl/>
        <w:jc w:val="left"/>
        <w:rPr>
          <w:rFonts w:hint="eastAsia" w:ascii="宋体" w:hAnsi="宋体" w:eastAsia="宋体" w:cs="宋体"/>
          <w:color w:val="000000"/>
          <w:sz w:val="24"/>
          <w:szCs w:val="24"/>
          <w:highlight w:val="none"/>
        </w:rPr>
      </w:pPr>
    </w:p>
    <w:p w14:paraId="4E542026">
      <w:pPr>
        <w:widowControl/>
        <w:jc w:val="left"/>
        <w:rPr>
          <w:rFonts w:hint="eastAsia" w:ascii="宋体" w:hAnsi="宋体" w:eastAsia="宋体" w:cs="宋体"/>
          <w:color w:val="000000"/>
          <w:sz w:val="24"/>
          <w:szCs w:val="24"/>
          <w:highlight w:val="none"/>
        </w:rPr>
      </w:pPr>
    </w:p>
    <w:p w14:paraId="0E33A90B">
      <w:pPr>
        <w:widowControl/>
        <w:jc w:val="left"/>
        <w:rPr>
          <w:rFonts w:hint="eastAsia" w:ascii="宋体" w:hAnsi="宋体" w:eastAsia="宋体" w:cs="宋体"/>
          <w:color w:val="000000"/>
          <w:sz w:val="24"/>
          <w:szCs w:val="24"/>
          <w:highlight w:val="none"/>
        </w:rPr>
      </w:pPr>
    </w:p>
    <w:p w14:paraId="1B9E071E">
      <w:pPr>
        <w:widowControl/>
        <w:jc w:val="left"/>
        <w:rPr>
          <w:rFonts w:hint="eastAsia" w:ascii="宋体" w:hAnsi="宋体" w:eastAsia="宋体" w:cs="宋体"/>
          <w:color w:val="000000"/>
          <w:sz w:val="24"/>
          <w:szCs w:val="24"/>
          <w:highlight w:val="none"/>
        </w:rPr>
      </w:pPr>
    </w:p>
    <w:p w14:paraId="3BD0F134">
      <w:pPr>
        <w:widowControl/>
        <w:jc w:val="left"/>
        <w:rPr>
          <w:rFonts w:hint="eastAsia" w:ascii="宋体" w:hAnsi="宋体" w:eastAsia="宋体" w:cs="宋体"/>
          <w:color w:val="000000"/>
          <w:sz w:val="24"/>
          <w:szCs w:val="24"/>
          <w:highlight w:val="none"/>
        </w:rPr>
      </w:pPr>
    </w:p>
    <w:p w14:paraId="0EB04360">
      <w:pPr>
        <w:widowControl/>
        <w:jc w:val="left"/>
        <w:rPr>
          <w:rFonts w:hint="eastAsia" w:ascii="宋体" w:hAnsi="宋体" w:eastAsia="宋体" w:cs="宋体"/>
          <w:color w:val="000000"/>
          <w:sz w:val="24"/>
          <w:szCs w:val="24"/>
          <w:highlight w:val="none"/>
        </w:rPr>
      </w:pPr>
    </w:p>
    <w:p w14:paraId="484C3209">
      <w:pPr>
        <w:widowControl/>
        <w:jc w:val="left"/>
        <w:rPr>
          <w:rFonts w:hint="eastAsia" w:ascii="宋体" w:hAnsi="宋体" w:eastAsia="宋体" w:cs="宋体"/>
          <w:color w:val="000000"/>
          <w:sz w:val="24"/>
          <w:szCs w:val="24"/>
          <w:highlight w:val="none"/>
        </w:rPr>
      </w:pPr>
    </w:p>
    <w:p w14:paraId="016EEACC">
      <w:pPr>
        <w:widowControl/>
        <w:jc w:val="left"/>
        <w:rPr>
          <w:rFonts w:hint="eastAsia" w:ascii="宋体" w:hAnsi="宋体" w:eastAsia="宋体" w:cs="宋体"/>
          <w:color w:val="000000"/>
          <w:sz w:val="24"/>
          <w:szCs w:val="24"/>
          <w:highlight w:val="none"/>
        </w:rPr>
      </w:pPr>
    </w:p>
    <w:p w14:paraId="4CF25130">
      <w:pPr>
        <w:widowControl/>
        <w:jc w:val="left"/>
        <w:rPr>
          <w:rFonts w:hint="eastAsia" w:ascii="宋体" w:hAnsi="宋体" w:eastAsia="宋体" w:cs="宋体"/>
          <w:color w:val="000000"/>
          <w:sz w:val="24"/>
          <w:szCs w:val="24"/>
          <w:highlight w:val="none"/>
        </w:rPr>
      </w:pPr>
    </w:p>
    <w:p w14:paraId="2D07C987">
      <w:pPr>
        <w:widowControl/>
        <w:jc w:val="left"/>
        <w:rPr>
          <w:rFonts w:hint="eastAsia" w:ascii="宋体" w:hAnsi="宋体" w:eastAsia="宋体" w:cs="宋体"/>
          <w:color w:val="000000"/>
          <w:sz w:val="24"/>
          <w:szCs w:val="24"/>
          <w:highlight w:val="none"/>
        </w:rPr>
      </w:pPr>
    </w:p>
    <w:p w14:paraId="5CA6C7DF">
      <w:pPr>
        <w:widowControl/>
        <w:jc w:val="left"/>
        <w:rPr>
          <w:rFonts w:hint="eastAsia" w:ascii="宋体" w:hAnsi="宋体" w:eastAsia="宋体" w:cs="宋体"/>
          <w:color w:val="000000"/>
          <w:sz w:val="24"/>
          <w:szCs w:val="24"/>
          <w:highlight w:val="none"/>
        </w:rPr>
      </w:pPr>
    </w:p>
    <w:p w14:paraId="15D8EF1A">
      <w:pPr>
        <w:widowControl/>
        <w:jc w:val="left"/>
        <w:rPr>
          <w:rFonts w:hint="eastAsia" w:ascii="宋体" w:hAnsi="宋体" w:eastAsia="宋体" w:cs="宋体"/>
          <w:color w:val="000000"/>
          <w:sz w:val="24"/>
          <w:szCs w:val="24"/>
          <w:highlight w:val="none"/>
        </w:rPr>
      </w:pPr>
    </w:p>
    <w:p w14:paraId="2E41FDD7">
      <w:pPr>
        <w:widowControl/>
        <w:jc w:val="left"/>
        <w:rPr>
          <w:rFonts w:hint="eastAsia" w:ascii="宋体" w:hAnsi="宋体" w:eastAsia="宋体" w:cs="宋体"/>
          <w:color w:val="000000"/>
          <w:sz w:val="24"/>
          <w:szCs w:val="24"/>
          <w:highlight w:val="none"/>
        </w:rPr>
      </w:pPr>
    </w:p>
    <w:p w14:paraId="093BCC6A">
      <w:pPr>
        <w:widowControl/>
        <w:jc w:val="left"/>
        <w:rPr>
          <w:rFonts w:hint="eastAsia" w:ascii="宋体" w:hAnsi="宋体" w:eastAsia="宋体" w:cs="宋体"/>
          <w:color w:val="000000"/>
          <w:sz w:val="24"/>
          <w:szCs w:val="24"/>
          <w:highlight w:val="none"/>
        </w:rPr>
      </w:pPr>
    </w:p>
    <w:p w14:paraId="2ACE6593">
      <w:pPr>
        <w:widowControl/>
        <w:jc w:val="left"/>
        <w:rPr>
          <w:rFonts w:hint="eastAsia" w:ascii="宋体" w:hAnsi="宋体" w:eastAsia="宋体" w:cs="宋体"/>
          <w:color w:val="000000"/>
          <w:sz w:val="24"/>
          <w:szCs w:val="24"/>
          <w:highlight w:val="none"/>
        </w:rPr>
      </w:pPr>
    </w:p>
    <w:p w14:paraId="0FCC8BC5">
      <w:pPr>
        <w:widowControl/>
        <w:jc w:val="left"/>
        <w:rPr>
          <w:rFonts w:hint="eastAsia" w:ascii="宋体" w:hAnsi="宋体" w:eastAsia="宋体" w:cs="宋体"/>
          <w:color w:val="000000"/>
          <w:sz w:val="24"/>
          <w:szCs w:val="24"/>
          <w:highlight w:val="none"/>
        </w:rPr>
      </w:pPr>
    </w:p>
    <w:p w14:paraId="44B1154E">
      <w:pPr>
        <w:widowControl/>
        <w:jc w:val="left"/>
        <w:rPr>
          <w:rFonts w:hint="eastAsia" w:ascii="宋体" w:hAnsi="宋体" w:eastAsia="宋体" w:cs="宋体"/>
          <w:color w:val="000000"/>
          <w:sz w:val="24"/>
          <w:szCs w:val="24"/>
          <w:highlight w:val="none"/>
        </w:rPr>
      </w:pPr>
    </w:p>
    <w:p w14:paraId="2D4E36BD">
      <w:pPr>
        <w:widowControl/>
        <w:jc w:val="left"/>
        <w:rPr>
          <w:rFonts w:hint="eastAsia" w:ascii="宋体" w:hAnsi="宋体" w:eastAsia="宋体" w:cs="宋体"/>
          <w:color w:val="000000"/>
          <w:sz w:val="24"/>
          <w:szCs w:val="24"/>
          <w:highlight w:val="none"/>
        </w:rPr>
      </w:pPr>
    </w:p>
    <w:p w14:paraId="1777676C">
      <w:pPr>
        <w:widowControl/>
        <w:jc w:val="left"/>
        <w:rPr>
          <w:rFonts w:hint="eastAsia" w:ascii="宋体" w:hAnsi="宋体" w:eastAsia="宋体" w:cs="宋体"/>
          <w:color w:val="000000"/>
          <w:sz w:val="24"/>
          <w:szCs w:val="24"/>
          <w:highlight w:val="none"/>
        </w:rPr>
      </w:pPr>
    </w:p>
    <w:p w14:paraId="577B33D3">
      <w:pPr>
        <w:widowControl/>
        <w:jc w:val="left"/>
        <w:rPr>
          <w:rFonts w:hint="eastAsia" w:ascii="宋体" w:hAnsi="宋体" w:eastAsia="宋体" w:cs="宋体"/>
          <w:color w:val="000000"/>
          <w:sz w:val="24"/>
          <w:szCs w:val="24"/>
          <w:highlight w:val="none"/>
        </w:rPr>
      </w:pPr>
    </w:p>
    <w:p w14:paraId="7C7A7B11">
      <w:pPr>
        <w:widowControl/>
        <w:jc w:val="left"/>
        <w:rPr>
          <w:rFonts w:hint="eastAsia" w:ascii="宋体" w:hAnsi="宋体" w:eastAsia="宋体" w:cs="宋体"/>
          <w:color w:val="000000"/>
          <w:sz w:val="24"/>
          <w:szCs w:val="24"/>
          <w:highlight w:val="none"/>
        </w:rPr>
      </w:pPr>
    </w:p>
    <w:p w14:paraId="005F17BD">
      <w:pPr>
        <w:widowControl/>
        <w:jc w:val="left"/>
        <w:rPr>
          <w:rFonts w:hint="eastAsia" w:ascii="宋体" w:hAnsi="宋体" w:eastAsia="宋体" w:cs="宋体"/>
          <w:color w:val="000000"/>
          <w:sz w:val="24"/>
          <w:szCs w:val="24"/>
          <w:highlight w:val="none"/>
        </w:rPr>
      </w:pPr>
    </w:p>
    <w:p w14:paraId="0A6349B8">
      <w:pPr>
        <w:widowControl/>
        <w:jc w:val="left"/>
        <w:rPr>
          <w:rFonts w:hint="eastAsia" w:ascii="宋体" w:hAnsi="宋体" w:eastAsia="宋体" w:cs="宋体"/>
          <w:color w:val="000000"/>
          <w:sz w:val="24"/>
          <w:szCs w:val="24"/>
          <w:highlight w:val="none"/>
        </w:rPr>
      </w:pPr>
    </w:p>
    <w:p w14:paraId="6D1143F0">
      <w:pPr>
        <w:widowControl/>
        <w:jc w:val="left"/>
        <w:rPr>
          <w:rFonts w:hint="eastAsia" w:ascii="宋体" w:hAnsi="宋体" w:eastAsia="宋体" w:cs="宋体"/>
          <w:color w:val="000000"/>
          <w:sz w:val="24"/>
          <w:szCs w:val="24"/>
          <w:highlight w:val="none"/>
        </w:rPr>
      </w:pPr>
    </w:p>
    <w:p w14:paraId="4E9F9BC3">
      <w:pPr>
        <w:widowControl/>
        <w:jc w:val="left"/>
        <w:rPr>
          <w:rFonts w:hint="eastAsia" w:ascii="宋体" w:hAnsi="宋体" w:eastAsia="宋体" w:cs="宋体"/>
          <w:color w:val="000000"/>
          <w:sz w:val="24"/>
          <w:szCs w:val="24"/>
          <w:highlight w:val="none"/>
        </w:rPr>
      </w:pPr>
    </w:p>
    <w:p w14:paraId="0A2204A2">
      <w:pPr>
        <w:widowControl/>
        <w:jc w:val="left"/>
        <w:rPr>
          <w:rFonts w:hint="eastAsia" w:ascii="宋体" w:hAnsi="宋体" w:eastAsia="宋体" w:cs="宋体"/>
          <w:color w:val="000000"/>
          <w:sz w:val="24"/>
          <w:szCs w:val="24"/>
          <w:highlight w:val="none"/>
        </w:rPr>
      </w:pPr>
    </w:p>
    <w:p w14:paraId="07563895">
      <w:pPr>
        <w:widowControl/>
        <w:jc w:val="left"/>
        <w:rPr>
          <w:rFonts w:hint="eastAsia" w:ascii="宋体" w:hAnsi="宋体" w:eastAsia="宋体" w:cs="宋体"/>
          <w:color w:val="000000"/>
          <w:sz w:val="24"/>
          <w:szCs w:val="24"/>
          <w:highlight w:val="none"/>
        </w:rPr>
      </w:pPr>
    </w:p>
    <w:p w14:paraId="6C2958E0">
      <w:pPr>
        <w:widowControl/>
        <w:jc w:val="left"/>
        <w:rPr>
          <w:rFonts w:hint="eastAsia" w:ascii="宋体" w:hAnsi="宋体" w:eastAsia="宋体" w:cs="宋体"/>
          <w:color w:val="000000"/>
          <w:sz w:val="24"/>
          <w:szCs w:val="24"/>
          <w:highlight w:val="none"/>
        </w:rPr>
      </w:pPr>
    </w:p>
    <w:p w14:paraId="3725D9E1">
      <w:pPr>
        <w:widowControl/>
        <w:jc w:val="left"/>
        <w:rPr>
          <w:rFonts w:hint="eastAsia" w:ascii="宋体" w:hAnsi="宋体" w:eastAsia="宋体" w:cs="宋体"/>
          <w:color w:val="000000"/>
          <w:sz w:val="24"/>
          <w:szCs w:val="24"/>
          <w:highlight w:val="none"/>
        </w:rPr>
      </w:pPr>
    </w:p>
    <w:p w14:paraId="5496E4FF">
      <w:pPr>
        <w:spacing w:line="360" w:lineRule="auto"/>
        <w:jc w:val="center"/>
        <w:outlineLvl w:val="0"/>
        <w:rPr>
          <w:rFonts w:hint="eastAsia" w:ascii="宋体" w:hAnsi="宋体" w:eastAsia="宋体" w:cs="宋体"/>
          <w:b/>
          <w:color w:val="000000"/>
          <w:sz w:val="24"/>
          <w:szCs w:val="24"/>
          <w:highlight w:val="none"/>
        </w:rPr>
      </w:pPr>
      <w:bookmarkStart w:id="730" w:name="_Toc99301423"/>
      <w:r>
        <w:rPr>
          <w:rFonts w:hint="eastAsia" w:ascii="宋体" w:hAnsi="宋体" w:eastAsia="宋体" w:cs="宋体"/>
          <w:b/>
          <w:color w:val="000000"/>
          <w:sz w:val="24"/>
          <w:szCs w:val="24"/>
          <w:highlight w:val="none"/>
        </w:rPr>
        <w:t xml:space="preserve">第四章   </w:t>
      </w:r>
      <w:bookmarkStart w:id="731" w:name="_Hlt164229061"/>
      <w:bookmarkEnd w:id="731"/>
      <w:r>
        <w:rPr>
          <w:rFonts w:hint="eastAsia" w:ascii="宋体" w:hAnsi="宋体" w:eastAsia="宋体" w:cs="宋体"/>
          <w:b/>
          <w:color w:val="000000"/>
          <w:sz w:val="24"/>
          <w:szCs w:val="24"/>
          <w:highlight w:val="none"/>
        </w:rPr>
        <w:t>评标程序、评标方法和评标标准</w:t>
      </w:r>
      <w:bookmarkEnd w:id="730"/>
    </w:p>
    <w:p w14:paraId="0507A12B">
      <w:pPr>
        <w:tabs>
          <w:tab w:val="left" w:pos="360"/>
          <w:tab w:val="left" w:pos="900"/>
        </w:tabs>
        <w:spacing w:line="360" w:lineRule="auto"/>
        <w:jc w:val="center"/>
        <w:outlineLvl w:val="1"/>
        <w:rPr>
          <w:rFonts w:hint="eastAsia" w:ascii="宋体" w:hAnsi="宋体" w:eastAsia="宋体" w:cs="宋体"/>
          <w:b/>
          <w:color w:val="000000"/>
          <w:highlight w:val="none"/>
        </w:rPr>
      </w:pPr>
      <w:r>
        <w:rPr>
          <w:rFonts w:hint="eastAsia" w:ascii="宋体" w:hAnsi="宋体" w:eastAsia="宋体" w:cs="宋体"/>
          <w:b/>
          <w:color w:val="000000"/>
          <w:sz w:val="24"/>
          <w:highlight w:val="none"/>
        </w:rPr>
        <w:t>一、评标程序</w:t>
      </w:r>
    </w:p>
    <w:p w14:paraId="327B20B3">
      <w:pPr>
        <w:numPr>
          <w:ilvl w:val="0"/>
          <w:numId w:val="12"/>
        </w:numPr>
        <w:tabs>
          <w:tab w:val="left" w:pos="360"/>
        </w:tabs>
        <w:spacing w:line="360" w:lineRule="auto"/>
        <w:outlineLvl w:val="1"/>
        <w:rPr>
          <w:rFonts w:hint="eastAsia" w:ascii="宋体" w:hAnsi="宋体" w:eastAsia="宋体" w:cs="宋体"/>
          <w:color w:val="000000"/>
          <w:sz w:val="24"/>
          <w:highlight w:val="none"/>
        </w:rPr>
      </w:pPr>
      <w:bookmarkStart w:id="732" w:name="_Toc150509292"/>
      <w:bookmarkStart w:id="733" w:name="_Toc305158809"/>
      <w:bookmarkStart w:id="734" w:name="_Toc164229236"/>
      <w:bookmarkStart w:id="735" w:name="_Toc151193639"/>
      <w:bookmarkStart w:id="736" w:name="_Toc164351635"/>
      <w:bookmarkStart w:id="737" w:name="_Toc226337237"/>
      <w:bookmarkStart w:id="738" w:name="_Toc151193783"/>
      <w:bookmarkStart w:id="739" w:name="_Toc164229382"/>
      <w:bookmarkStart w:id="740" w:name="_Toc151190168"/>
      <w:bookmarkStart w:id="741" w:name="_Toc151193929"/>
      <w:bookmarkStart w:id="742" w:name="_Toc150480779"/>
      <w:bookmarkStart w:id="743" w:name="_Toc127151742"/>
      <w:bookmarkStart w:id="744" w:name="_Toc264969231"/>
      <w:bookmarkStart w:id="745" w:name="_Toc142311043"/>
      <w:bookmarkStart w:id="746" w:name="_Toc151193711"/>
      <w:bookmarkStart w:id="747" w:name="_Toc151193855"/>
      <w:bookmarkStart w:id="748" w:name="_Toc195842906"/>
      <w:bookmarkStart w:id="749" w:name="_Toc127161455"/>
      <w:bookmarkStart w:id="750" w:name="_Toc265228379"/>
      <w:bookmarkStart w:id="751" w:name="_Toc164608655"/>
      <w:bookmarkStart w:id="752" w:name="_Toc149720834"/>
      <w:bookmarkStart w:id="753" w:name="_Toc127151541"/>
      <w:bookmarkStart w:id="754" w:name="_Toc150774746"/>
      <w:bookmarkStart w:id="755" w:name="_Toc305158883"/>
      <w:bookmarkStart w:id="756" w:name="_Toc226309785"/>
      <w:bookmarkStart w:id="757" w:name="_Toc226965814"/>
      <w:bookmarkStart w:id="758" w:name="_Toc226965731"/>
      <w:bookmarkStart w:id="759" w:name="_Toc150774641"/>
      <w:bookmarkStart w:id="760" w:name="_Toc164608810"/>
      <w:r>
        <w:rPr>
          <w:rFonts w:hint="eastAsia" w:ascii="宋体" w:hAnsi="宋体" w:eastAsia="宋体" w:cs="宋体"/>
          <w:color w:val="000000"/>
          <w:sz w:val="24"/>
          <w:highlight w:val="none"/>
        </w:rPr>
        <w:t>投标文件的符合性审查</w:t>
      </w:r>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p>
    <w:p w14:paraId="456D0CF0">
      <w:pPr>
        <w:numPr>
          <w:ilvl w:val="1"/>
          <w:numId w:val="12"/>
        </w:numPr>
        <w:tabs>
          <w:tab w:val="left" w:pos="1080"/>
        </w:tabs>
        <w:spacing w:line="360" w:lineRule="auto"/>
        <w:ind w:left="1077" w:hanging="720"/>
        <w:rPr>
          <w:rFonts w:hint="eastAsia" w:ascii="宋体" w:hAnsi="宋体" w:eastAsia="宋体" w:cs="宋体"/>
          <w:color w:val="000000"/>
          <w:sz w:val="24"/>
          <w:highlight w:val="none"/>
        </w:rPr>
      </w:pPr>
      <w:r>
        <w:rPr>
          <w:rFonts w:hint="eastAsia" w:ascii="宋体" w:hAnsi="宋体" w:eastAsia="宋体" w:cs="宋体"/>
          <w:color w:val="000000"/>
          <w:sz w:val="24"/>
          <w:highlight w:val="none"/>
        </w:rPr>
        <w:t>评标委员会对资格审查合格的投标人的投标文件进行符合性审查，以确定其是否满足招标文件的实质性要求。</w:t>
      </w:r>
      <w:bookmarkStart w:id="761" w:name="_Toc520356167"/>
    </w:p>
    <w:p w14:paraId="780D6DEF">
      <w:pPr>
        <w:numPr>
          <w:ilvl w:val="1"/>
          <w:numId w:val="12"/>
        </w:numPr>
        <w:tabs>
          <w:tab w:val="left" w:pos="1080"/>
        </w:tabs>
        <w:spacing w:line="360" w:lineRule="auto"/>
        <w:ind w:left="1077" w:hanging="720"/>
        <w:rPr>
          <w:rFonts w:hint="eastAsia" w:ascii="宋体" w:hAnsi="宋体" w:eastAsia="宋体" w:cs="宋体"/>
          <w:color w:val="000000"/>
          <w:sz w:val="24"/>
          <w:highlight w:val="none"/>
        </w:rPr>
      </w:pPr>
      <w:r>
        <w:rPr>
          <w:rFonts w:hint="eastAsia" w:ascii="宋体" w:hAnsi="宋体" w:eastAsia="宋体" w:cs="宋体"/>
          <w:color w:val="000000"/>
          <w:sz w:val="24"/>
          <w:highlight w:val="none"/>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61"/>
      <w:r>
        <w:rPr>
          <w:rFonts w:hint="eastAsia" w:ascii="宋体" w:hAnsi="宋体" w:eastAsia="宋体" w:cs="宋体"/>
          <w:color w:val="000000"/>
          <w:sz w:val="24"/>
          <w:highlight w:val="none"/>
        </w:rPr>
        <w:t>要求的，</w:t>
      </w:r>
      <w:r>
        <w:rPr>
          <w:rFonts w:hint="eastAsia" w:ascii="宋体" w:hAnsi="宋体" w:eastAsia="宋体" w:cs="宋体"/>
          <w:b/>
          <w:color w:val="000000"/>
          <w:sz w:val="24"/>
          <w:highlight w:val="none"/>
        </w:rPr>
        <w:t>投标无效</w:t>
      </w:r>
      <w:r>
        <w:rPr>
          <w:rFonts w:hint="eastAsia" w:ascii="宋体" w:hAnsi="宋体" w:eastAsia="宋体" w:cs="宋体"/>
          <w:color w:val="000000"/>
          <w:sz w:val="24"/>
          <w:highlight w:val="none"/>
        </w:rPr>
        <w:t>。</w:t>
      </w:r>
    </w:p>
    <w:p w14:paraId="4491E2BE">
      <w:pPr>
        <w:widowControl/>
        <w:spacing w:line="360" w:lineRule="auto"/>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符合性审查要求</w:t>
      </w:r>
    </w:p>
    <w:tbl>
      <w:tblPr>
        <w:tblStyle w:val="28"/>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40"/>
        <w:gridCol w:w="1794"/>
        <w:gridCol w:w="6654"/>
      </w:tblGrid>
      <w:tr w14:paraId="33E1E9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840" w:type="dxa"/>
            <w:noWrap w:val="0"/>
            <w:vAlign w:val="center"/>
          </w:tcPr>
          <w:p w14:paraId="372B672C">
            <w:pPr>
              <w:widowControl/>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序号</w:t>
            </w:r>
          </w:p>
        </w:tc>
        <w:tc>
          <w:tcPr>
            <w:tcW w:w="1794" w:type="dxa"/>
            <w:noWrap w:val="0"/>
            <w:vAlign w:val="center"/>
          </w:tcPr>
          <w:p w14:paraId="23AB9B91">
            <w:pPr>
              <w:widowControl/>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审查因素</w:t>
            </w:r>
          </w:p>
        </w:tc>
        <w:tc>
          <w:tcPr>
            <w:tcW w:w="6654" w:type="dxa"/>
            <w:noWrap w:val="0"/>
            <w:vAlign w:val="center"/>
          </w:tcPr>
          <w:p w14:paraId="17D4C1AF">
            <w:pPr>
              <w:widowControl/>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审查内容</w:t>
            </w:r>
          </w:p>
        </w:tc>
      </w:tr>
      <w:tr w14:paraId="762509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40" w:type="dxa"/>
            <w:noWrap w:val="0"/>
            <w:vAlign w:val="center"/>
          </w:tcPr>
          <w:p w14:paraId="42AE1FEE">
            <w:pPr>
              <w:widowControl/>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1</w:t>
            </w:r>
          </w:p>
        </w:tc>
        <w:tc>
          <w:tcPr>
            <w:tcW w:w="1794" w:type="dxa"/>
            <w:noWrap w:val="0"/>
            <w:vAlign w:val="center"/>
          </w:tcPr>
          <w:p w14:paraId="78974F18">
            <w:pPr>
              <w:widowControl/>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投标函、法定代表人资格证明书和政府采购供应商信用承诺书</w:t>
            </w:r>
          </w:p>
        </w:tc>
        <w:tc>
          <w:tcPr>
            <w:tcW w:w="6654" w:type="dxa"/>
            <w:noWrap w:val="0"/>
            <w:vAlign w:val="center"/>
          </w:tcPr>
          <w:p w14:paraId="1681596E">
            <w:pPr>
              <w:widowControl/>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按招标文件要求提供投标函、法定代表人资格证明书和政府采购供应商信用承诺书；</w:t>
            </w:r>
          </w:p>
        </w:tc>
      </w:tr>
      <w:tr w14:paraId="1E3919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40" w:type="dxa"/>
            <w:noWrap w:val="0"/>
            <w:vAlign w:val="center"/>
          </w:tcPr>
          <w:p w14:paraId="6A649F69">
            <w:pPr>
              <w:widowControl/>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2</w:t>
            </w:r>
          </w:p>
        </w:tc>
        <w:tc>
          <w:tcPr>
            <w:tcW w:w="1794" w:type="dxa"/>
            <w:noWrap w:val="0"/>
            <w:vAlign w:val="center"/>
          </w:tcPr>
          <w:p w14:paraId="388CD684">
            <w:pPr>
              <w:widowControl/>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投标完整性</w:t>
            </w:r>
          </w:p>
        </w:tc>
        <w:tc>
          <w:tcPr>
            <w:tcW w:w="6654" w:type="dxa"/>
            <w:noWrap w:val="0"/>
            <w:vAlign w:val="center"/>
          </w:tcPr>
          <w:p w14:paraId="7750C968">
            <w:pPr>
              <w:widowControl/>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未将一个采购包中的内容拆开投标；</w:t>
            </w:r>
          </w:p>
        </w:tc>
      </w:tr>
      <w:tr w14:paraId="056E5E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40" w:type="dxa"/>
            <w:noWrap w:val="0"/>
            <w:vAlign w:val="center"/>
          </w:tcPr>
          <w:p w14:paraId="1AE9A3D8">
            <w:pPr>
              <w:widowControl/>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3</w:t>
            </w:r>
          </w:p>
        </w:tc>
        <w:tc>
          <w:tcPr>
            <w:tcW w:w="1794" w:type="dxa"/>
            <w:noWrap w:val="0"/>
            <w:vAlign w:val="center"/>
          </w:tcPr>
          <w:p w14:paraId="5EF15C21">
            <w:pPr>
              <w:widowControl/>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投标报价</w:t>
            </w:r>
          </w:p>
        </w:tc>
        <w:tc>
          <w:tcPr>
            <w:tcW w:w="6654" w:type="dxa"/>
            <w:noWrap w:val="0"/>
            <w:vAlign w:val="center"/>
          </w:tcPr>
          <w:p w14:paraId="7238BF68">
            <w:pPr>
              <w:widowControl/>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投标报价未超过招标文件中规定的项目/采购包预算金额或者项目/采购包最高限价；</w:t>
            </w:r>
          </w:p>
        </w:tc>
      </w:tr>
      <w:tr w14:paraId="063031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40" w:type="dxa"/>
            <w:noWrap w:val="0"/>
            <w:vAlign w:val="center"/>
          </w:tcPr>
          <w:p w14:paraId="23319F5C">
            <w:pPr>
              <w:widowControl/>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4</w:t>
            </w:r>
          </w:p>
        </w:tc>
        <w:tc>
          <w:tcPr>
            <w:tcW w:w="1794" w:type="dxa"/>
            <w:noWrap w:val="0"/>
            <w:vAlign w:val="center"/>
          </w:tcPr>
          <w:p w14:paraId="1B8F1706">
            <w:pPr>
              <w:widowControl/>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报价唯一性</w:t>
            </w:r>
          </w:p>
        </w:tc>
        <w:tc>
          <w:tcPr>
            <w:tcW w:w="6654" w:type="dxa"/>
            <w:noWrap w:val="0"/>
            <w:vAlign w:val="center"/>
          </w:tcPr>
          <w:p w14:paraId="5CCFF317">
            <w:pPr>
              <w:widowControl/>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投标文件未出现可选择性或可调整的报价（招标文件另有规定的除外）；</w:t>
            </w:r>
          </w:p>
        </w:tc>
      </w:tr>
      <w:tr w14:paraId="48BAED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40" w:type="dxa"/>
            <w:noWrap w:val="0"/>
            <w:vAlign w:val="center"/>
          </w:tcPr>
          <w:p w14:paraId="735D5697">
            <w:pPr>
              <w:widowControl/>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5</w:t>
            </w:r>
          </w:p>
        </w:tc>
        <w:tc>
          <w:tcPr>
            <w:tcW w:w="1794" w:type="dxa"/>
            <w:noWrap w:val="0"/>
            <w:vAlign w:val="center"/>
          </w:tcPr>
          <w:p w14:paraId="68EBB327">
            <w:pPr>
              <w:widowControl/>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投标有效期</w:t>
            </w:r>
          </w:p>
        </w:tc>
        <w:tc>
          <w:tcPr>
            <w:tcW w:w="6654" w:type="dxa"/>
            <w:noWrap w:val="0"/>
            <w:vAlign w:val="center"/>
          </w:tcPr>
          <w:p w14:paraId="2E8C0673">
            <w:pPr>
              <w:widowControl/>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投标文件中承诺的投标有效期满足招标文件中载明的投标有效期的；</w:t>
            </w:r>
          </w:p>
        </w:tc>
      </w:tr>
      <w:tr w14:paraId="7AFAEB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40" w:type="dxa"/>
            <w:noWrap w:val="0"/>
            <w:vAlign w:val="center"/>
          </w:tcPr>
          <w:p w14:paraId="5EA64BBE">
            <w:pPr>
              <w:widowControl/>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6</w:t>
            </w:r>
          </w:p>
        </w:tc>
        <w:tc>
          <w:tcPr>
            <w:tcW w:w="1794" w:type="dxa"/>
            <w:noWrap w:val="0"/>
            <w:vAlign w:val="center"/>
          </w:tcPr>
          <w:p w14:paraId="4F1AAA34">
            <w:pPr>
              <w:widowControl/>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签署、加盖公章</w:t>
            </w:r>
          </w:p>
        </w:tc>
        <w:tc>
          <w:tcPr>
            <w:tcW w:w="6654" w:type="dxa"/>
            <w:noWrap w:val="0"/>
            <w:vAlign w:val="center"/>
          </w:tcPr>
          <w:p w14:paraId="13ECFA3B">
            <w:pPr>
              <w:widowControl/>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按照招标文件要求签署、加盖公章的；</w:t>
            </w:r>
          </w:p>
        </w:tc>
      </w:tr>
      <w:tr w14:paraId="7B2C76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40" w:type="dxa"/>
            <w:noWrap w:val="0"/>
            <w:vAlign w:val="center"/>
          </w:tcPr>
          <w:p w14:paraId="3BA52EA6">
            <w:pPr>
              <w:widowControl/>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7</w:t>
            </w:r>
          </w:p>
        </w:tc>
        <w:tc>
          <w:tcPr>
            <w:tcW w:w="1794" w:type="dxa"/>
            <w:noWrap w:val="0"/>
            <w:vAlign w:val="center"/>
          </w:tcPr>
          <w:p w14:paraId="74C46C65">
            <w:pPr>
              <w:widowControl/>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实质性格式</w:t>
            </w:r>
          </w:p>
        </w:tc>
        <w:tc>
          <w:tcPr>
            <w:tcW w:w="6654" w:type="dxa"/>
            <w:noWrap w:val="0"/>
            <w:vAlign w:val="center"/>
          </w:tcPr>
          <w:p w14:paraId="650BE604">
            <w:pPr>
              <w:widowControl/>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标记为“实质性格式”的文件均按招标文件要求提供；</w:t>
            </w:r>
          </w:p>
        </w:tc>
      </w:tr>
      <w:tr w14:paraId="44247B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40" w:type="dxa"/>
            <w:noWrap w:val="0"/>
            <w:vAlign w:val="center"/>
          </w:tcPr>
          <w:p w14:paraId="0D98D61F">
            <w:pPr>
              <w:widowControl/>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8</w:t>
            </w:r>
          </w:p>
        </w:tc>
        <w:tc>
          <w:tcPr>
            <w:tcW w:w="1794" w:type="dxa"/>
            <w:noWrap w:val="0"/>
            <w:vAlign w:val="center"/>
          </w:tcPr>
          <w:p w14:paraId="6977E7B7">
            <w:pPr>
              <w:widowControl/>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★号条款响应</w:t>
            </w:r>
          </w:p>
        </w:tc>
        <w:tc>
          <w:tcPr>
            <w:tcW w:w="6654" w:type="dxa"/>
            <w:noWrap w:val="0"/>
            <w:vAlign w:val="center"/>
          </w:tcPr>
          <w:p w14:paraId="52C16669">
            <w:pPr>
              <w:widowControl/>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投标文件满足招标文件第五章《采购需求》中★号条款要求的；</w:t>
            </w:r>
          </w:p>
        </w:tc>
      </w:tr>
      <w:tr w14:paraId="60D629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40" w:type="dxa"/>
            <w:noWrap w:val="0"/>
            <w:vAlign w:val="center"/>
          </w:tcPr>
          <w:p w14:paraId="0894243E">
            <w:pPr>
              <w:widowControl/>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9</w:t>
            </w:r>
          </w:p>
        </w:tc>
        <w:tc>
          <w:tcPr>
            <w:tcW w:w="1794" w:type="dxa"/>
            <w:noWrap w:val="0"/>
            <w:vAlign w:val="center"/>
          </w:tcPr>
          <w:p w14:paraId="3C4B7955">
            <w:pPr>
              <w:widowControl/>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分包承担主体资质（如有）</w:t>
            </w:r>
          </w:p>
        </w:tc>
        <w:tc>
          <w:tcPr>
            <w:tcW w:w="6654" w:type="dxa"/>
            <w:noWrap w:val="0"/>
            <w:vAlign w:val="center"/>
          </w:tcPr>
          <w:p w14:paraId="7685DE14">
            <w:pPr>
              <w:widowControl/>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分包承担主体具备《投标人须知资料表》载明的资质条件且提供了资质证书电子件（如有）；</w:t>
            </w:r>
          </w:p>
        </w:tc>
      </w:tr>
      <w:tr w14:paraId="2023EC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40" w:type="dxa"/>
            <w:noWrap w:val="0"/>
            <w:vAlign w:val="center"/>
          </w:tcPr>
          <w:p w14:paraId="3B449DE0">
            <w:pPr>
              <w:widowControl/>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10</w:t>
            </w:r>
          </w:p>
        </w:tc>
        <w:tc>
          <w:tcPr>
            <w:tcW w:w="1794" w:type="dxa"/>
            <w:noWrap w:val="0"/>
            <w:vAlign w:val="center"/>
          </w:tcPr>
          <w:p w14:paraId="7361C6AE">
            <w:pPr>
              <w:widowControl/>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分包意向协议</w:t>
            </w:r>
          </w:p>
          <w:p w14:paraId="2100E6A4">
            <w:pPr>
              <w:widowControl/>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（如有）</w:t>
            </w:r>
          </w:p>
        </w:tc>
        <w:tc>
          <w:tcPr>
            <w:tcW w:w="6654" w:type="dxa"/>
            <w:noWrap w:val="0"/>
            <w:vAlign w:val="center"/>
          </w:tcPr>
          <w:p w14:paraId="51DCC5CD">
            <w:pPr>
              <w:widowControl/>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按招标文件规定签订并提供分包意向协议原件的电子件的；（如有）</w:t>
            </w:r>
          </w:p>
        </w:tc>
      </w:tr>
      <w:tr w14:paraId="02839C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40" w:type="dxa"/>
            <w:noWrap w:val="0"/>
            <w:vAlign w:val="center"/>
          </w:tcPr>
          <w:p w14:paraId="5215D59A">
            <w:pPr>
              <w:widowControl/>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11</w:t>
            </w:r>
          </w:p>
        </w:tc>
        <w:tc>
          <w:tcPr>
            <w:tcW w:w="1794" w:type="dxa"/>
            <w:noWrap w:val="0"/>
            <w:vAlign w:val="center"/>
          </w:tcPr>
          <w:p w14:paraId="60298982">
            <w:pPr>
              <w:widowControl/>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报价的修正（如有）</w:t>
            </w:r>
          </w:p>
        </w:tc>
        <w:tc>
          <w:tcPr>
            <w:tcW w:w="6654" w:type="dxa"/>
            <w:noWrap w:val="0"/>
            <w:vAlign w:val="center"/>
          </w:tcPr>
          <w:p w14:paraId="3B63F7B4">
            <w:pPr>
              <w:widowControl/>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不涉及报价修正，或投标文件报价出现前后不一致时，投标人对修正后的报价予以确认；（如有）</w:t>
            </w:r>
          </w:p>
        </w:tc>
      </w:tr>
      <w:tr w14:paraId="437B81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38" w:hRule="atLeast"/>
          <w:jc w:val="center"/>
        </w:trPr>
        <w:tc>
          <w:tcPr>
            <w:tcW w:w="840" w:type="dxa"/>
            <w:noWrap w:val="0"/>
            <w:vAlign w:val="center"/>
          </w:tcPr>
          <w:p w14:paraId="564F1CDA">
            <w:pPr>
              <w:widowControl/>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12</w:t>
            </w:r>
          </w:p>
        </w:tc>
        <w:tc>
          <w:tcPr>
            <w:tcW w:w="1794" w:type="dxa"/>
            <w:noWrap w:val="0"/>
            <w:vAlign w:val="center"/>
          </w:tcPr>
          <w:p w14:paraId="2FE62820">
            <w:pPr>
              <w:widowControl/>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报价合理性</w:t>
            </w:r>
          </w:p>
        </w:tc>
        <w:tc>
          <w:tcPr>
            <w:tcW w:w="6654" w:type="dxa"/>
            <w:noWrap w:val="0"/>
            <w:vAlign w:val="center"/>
          </w:tcPr>
          <w:p w14:paraId="2265DCB3">
            <w:pPr>
              <w:widowControl/>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报价合理，或投标人的报价明显低于其他通过符合性审查投标人的报价，有可能影响产品质量或者不能诚信履约的，能够应评标委员会要求在规定时间内证明其报价合理性的；</w:t>
            </w:r>
          </w:p>
        </w:tc>
      </w:tr>
      <w:tr w14:paraId="2C6D46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40" w:type="dxa"/>
            <w:noWrap w:val="0"/>
            <w:vAlign w:val="center"/>
          </w:tcPr>
          <w:p w14:paraId="604C8A05">
            <w:pPr>
              <w:widowControl/>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13</w:t>
            </w:r>
          </w:p>
        </w:tc>
        <w:tc>
          <w:tcPr>
            <w:tcW w:w="1794" w:type="dxa"/>
            <w:noWrap w:val="0"/>
            <w:vAlign w:val="center"/>
          </w:tcPr>
          <w:p w14:paraId="641D8363">
            <w:pPr>
              <w:widowControl/>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进口产品</w:t>
            </w:r>
          </w:p>
          <w:p w14:paraId="0C865397">
            <w:pPr>
              <w:widowControl/>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（如有）</w:t>
            </w:r>
          </w:p>
        </w:tc>
        <w:tc>
          <w:tcPr>
            <w:tcW w:w="6654" w:type="dxa"/>
            <w:noWrap w:val="0"/>
            <w:vAlign w:val="center"/>
          </w:tcPr>
          <w:p w14:paraId="45810675">
            <w:pPr>
              <w:widowControl/>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招标文件不接受进口产品投标的内容时，投标人所投产品非进口产品的；</w:t>
            </w:r>
          </w:p>
        </w:tc>
      </w:tr>
      <w:tr w14:paraId="4CA136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40" w:type="dxa"/>
            <w:noWrap w:val="0"/>
            <w:vAlign w:val="center"/>
          </w:tcPr>
          <w:p w14:paraId="47C91F8D">
            <w:pPr>
              <w:widowControl/>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14</w:t>
            </w:r>
          </w:p>
        </w:tc>
        <w:tc>
          <w:tcPr>
            <w:tcW w:w="1794" w:type="dxa"/>
            <w:noWrap w:val="0"/>
            <w:vAlign w:val="center"/>
          </w:tcPr>
          <w:p w14:paraId="72C11C30">
            <w:pPr>
              <w:widowControl/>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国家有关部门对投标人的投标产品有强制性规定或要求的</w:t>
            </w:r>
          </w:p>
        </w:tc>
        <w:tc>
          <w:tcPr>
            <w:tcW w:w="6654" w:type="dxa"/>
            <w:noWrap w:val="0"/>
            <w:vAlign w:val="center"/>
          </w:tcPr>
          <w:p w14:paraId="03566FA4">
            <w:pPr>
              <w:widowControl/>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国家有关部门对投标人的投标产品有强制性规定或要求的（如相应技术、安全、节能和环保等），如有下列情形的，投标人的投标产品应符合相应规定或要求，并提供证明文件电子件：</w:t>
            </w:r>
          </w:p>
          <w:p w14:paraId="11229308">
            <w:pPr>
              <w:widowControl/>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1）采购的产品若属于《节能产品政府采购品目清单》范围中政府强制采购产品，则投标人所报产品必须获得国家确定的认证机构出具的、处于有效期之内的节能产品认证证书；</w:t>
            </w:r>
          </w:p>
          <w:p w14:paraId="172FC9A5">
            <w:pPr>
              <w:widowControl/>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2）投标产品如有属于开展国家信息安全产品认证产品范围的，须提供由中国网络安全审查技术与认证中心（原中国信息安全认证中心）按国家标准认证颁发的有效认证证书等）；</w:t>
            </w:r>
          </w:p>
          <w:p w14:paraId="0E78BE66">
            <w:pPr>
              <w:widowControl/>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3）国家有特殊信息安全要求的项目，采购产品涉及无线局域网产品和含有无线局域网功能的计算机、通信设备、打印机、复印机、投影仪等产品的，投标产品须为符合国家无线局域网安全标准（GB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p>
        </w:tc>
      </w:tr>
      <w:tr w14:paraId="68FDA7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40" w:type="dxa"/>
            <w:noWrap w:val="0"/>
            <w:vAlign w:val="center"/>
          </w:tcPr>
          <w:p w14:paraId="191E2EA5">
            <w:pPr>
              <w:widowControl/>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15</w:t>
            </w:r>
          </w:p>
        </w:tc>
        <w:tc>
          <w:tcPr>
            <w:tcW w:w="1794" w:type="dxa"/>
            <w:noWrap w:val="0"/>
            <w:vAlign w:val="center"/>
          </w:tcPr>
          <w:p w14:paraId="0489C1D0">
            <w:pPr>
              <w:widowControl/>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公平竞争</w:t>
            </w:r>
          </w:p>
        </w:tc>
        <w:tc>
          <w:tcPr>
            <w:tcW w:w="6654" w:type="dxa"/>
            <w:noWrap w:val="0"/>
            <w:vAlign w:val="center"/>
          </w:tcPr>
          <w:p w14:paraId="10FF8365">
            <w:pPr>
              <w:widowControl/>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投标人遵循公平竞争的原则，不存在恶意串通，妨碍其他投标人的竞争行为，不存在损害采购人或者其他投标人的合法权益情形的；</w:t>
            </w:r>
          </w:p>
        </w:tc>
      </w:tr>
      <w:tr w14:paraId="019260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40" w:type="dxa"/>
            <w:noWrap w:val="0"/>
            <w:vAlign w:val="center"/>
          </w:tcPr>
          <w:p w14:paraId="1D03BF54">
            <w:pPr>
              <w:widowControl/>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16</w:t>
            </w:r>
          </w:p>
        </w:tc>
        <w:tc>
          <w:tcPr>
            <w:tcW w:w="1794" w:type="dxa"/>
            <w:noWrap w:val="0"/>
            <w:vAlign w:val="center"/>
          </w:tcPr>
          <w:p w14:paraId="2846B315">
            <w:pPr>
              <w:widowControl/>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串通投标</w:t>
            </w:r>
          </w:p>
        </w:tc>
        <w:tc>
          <w:tcPr>
            <w:tcW w:w="6654" w:type="dxa"/>
            <w:noWrap w:val="0"/>
            <w:vAlign w:val="center"/>
          </w:tcPr>
          <w:p w14:paraId="186D28F8">
            <w:pPr>
              <w:widowControl/>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不存在《政府采购货物和服务招标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性差异；（五）不同投标人的投标文件相互混装；（六）不同投标人的投标保证金从同一单位或者个人的账户转出；（由评委审查，无需供应商提供材料）</w:t>
            </w:r>
          </w:p>
        </w:tc>
      </w:tr>
      <w:tr w14:paraId="7EFE9F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40" w:type="dxa"/>
            <w:noWrap w:val="0"/>
            <w:vAlign w:val="center"/>
          </w:tcPr>
          <w:p w14:paraId="156F242C">
            <w:pPr>
              <w:widowControl/>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17</w:t>
            </w:r>
          </w:p>
        </w:tc>
        <w:tc>
          <w:tcPr>
            <w:tcW w:w="1794" w:type="dxa"/>
            <w:noWrap w:val="0"/>
            <w:vAlign w:val="center"/>
          </w:tcPr>
          <w:p w14:paraId="5E70EBD9">
            <w:pPr>
              <w:widowControl/>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附加条件</w:t>
            </w:r>
          </w:p>
        </w:tc>
        <w:tc>
          <w:tcPr>
            <w:tcW w:w="6654" w:type="dxa"/>
            <w:noWrap w:val="0"/>
            <w:vAlign w:val="center"/>
          </w:tcPr>
          <w:p w14:paraId="37969275">
            <w:pPr>
              <w:widowControl/>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投标文件未含有采购人不能接受的附加条件的；</w:t>
            </w:r>
          </w:p>
        </w:tc>
      </w:tr>
      <w:tr w14:paraId="5115DF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40" w:type="dxa"/>
            <w:noWrap w:val="0"/>
            <w:vAlign w:val="center"/>
          </w:tcPr>
          <w:p w14:paraId="0EBD1D09">
            <w:pPr>
              <w:widowControl/>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18</w:t>
            </w:r>
          </w:p>
        </w:tc>
        <w:tc>
          <w:tcPr>
            <w:tcW w:w="1794" w:type="dxa"/>
            <w:noWrap w:val="0"/>
            <w:vAlign w:val="center"/>
          </w:tcPr>
          <w:p w14:paraId="5D133F66">
            <w:pPr>
              <w:widowControl/>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其他无效情形</w:t>
            </w:r>
          </w:p>
        </w:tc>
        <w:tc>
          <w:tcPr>
            <w:tcW w:w="6654" w:type="dxa"/>
            <w:noWrap w:val="0"/>
            <w:vAlign w:val="center"/>
          </w:tcPr>
          <w:p w14:paraId="175C42FA">
            <w:pPr>
              <w:widowControl/>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投标人、投标文件不存在不符合法律、法规和招标文件规定的其他无效情形。</w:t>
            </w:r>
          </w:p>
        </w:tc>
      </w:tr>
    </w:tbl>
    <w:p w14:paraId="0B545E83">
      <w:pPr>
        <w:widowControl/>
        <w:spacing w:line="360" w:lineRule="auto"/>
        <w:jc w:val="both"/>
        <w:rPr>
          <w:rFonts w:hint="eastAsia" w:ascii="宋体" w:hAnsi="宋体" w:eastAsia="宋体" w:cs="宋体"/>
          <w:b/>
          <w:color w:val="000000"/>
          <w:sz w:val="24"/>
          <w:szCs w:val="24"/>
          <w:highlight w:val="none"/>
        </w:rPr>
      </w:pPr>
    </w:p>
    <w:bookmarkEnd w:id="713"/>
    <w:bookmarkEnd w:id="714"/>
    <w:p w14:paraId="743F2C68">
      <w:pPr>
        <w:numPr>
          <w:ilvl w:val="0"/>
          <w:numId w:val="12"/>
        </w:numPr>
        <w:tabs>
          <w:tab w:val="left" w:pos="360"/>
        </w:tabs>
        <w:spacing w:line="360" w:lineRule="auto"/>
        <w:outlineLvl w:val="1"/>
        <w:rPr>
          <w:rFonts w:hint="eastAsia" w:ascii="宋体" w:hAnsi="宋体" w:eastAsia="宋体" w:cs="宋体"/>
          <w:color w:val="000000"/>
          <w:sz w:val="24"/>
          <w:highlight w:val="none"/>
        </w:rPr>
      </w:pPr>
      <w:r>
        <w:rPr>
          <w:rFonts w:hint="eastAsia" w:ascii="宋体" w:hAnsi="宋体" w:eastAsia="宋体" w:cs="宋体"/>
          <w:color w:val="000000"/>
          <w:sz w:val="24"/>
          <w:highlight w:val="none"/>
        </w:rPr>
        <w:t>投标文件有关事项的澄清或者说明</w:t>
      </w:r>
    </w:p>
    <w:p w14:paraId="0E25C4A0">
      <w:pPr>
        <w:numPr>
          <w:ilvl w:val="1"/>
          <w:numId w:val="12"/>
        </w:numPr>
        <w:tabs>
          <w:tab w:val="left" w:pos="1080"/>
        </w:tabs>
        <w:spacing w:line="360" w:lineRule="auto"/>
        <w:ind w:left="1077" w:hanging="720"/>
        <w:rPr>
          <w:rFonts w:hint="eastAsia" w:ascii="宋体" w:hAnsi="宋体" w:eastAsia="宋体" w:cs="宋体"/>
          <w:color w:val="000000"/>
          <w:sz w:val="24"/>
          <w:highlight w:val="none"/>
        </w:rPr>
      </w:pPr>
      <w:r>
        <w:rPr>
          <w:rFonts w:hint="eastAsia" w:ascii="宋体" w:hAnsi="宋体" w:eastAsia="宋体" w:cs="宋体"/>
          <w:color w:val="000000"/>
          <w:sz w:val="24"/>
          <w:highlight w:val="none"/>
        </w:rPr>
        <w:t>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p>
    <w:p w14:paraId="0A6DDBCB">
      <w:pPr>
        <w:numPr>
          <w:ilvl w:val="1"/>
          <w:numId w:val="12"/>
        </w:numPr>
        <w:tabs>
          <w:tab w:val="left" w:pos="1080"/>
        </w:tabs>
        <w:spacing w:line="360" w:lineRule="auto"/>
        <w:ind w:left="1077" w:hanging="720"/>
        <w:rPr>
          <w:rFonts w:hint="eastAsia" w:ascii="宋体" w:hAnsi="宋体" w:eastAsia="宋体" w:cs="宋体"/>
          <w:color w:val="000000"/>
          <w:sz w:val="24"/>
          <w:highlight w:val="none"/>
        </w:rPr>
      </w:pPr>
      <w:r>
        <w:rPr>
          <w:rFonts w:hint="eastAsia" w:ascii="宋体" w:hAnsi="宋体" w:eastAsia="宋体" w:cs="宋体"/>
          <w:color w:val="000000"/>
          <w:sz w:val="24"/>
          <w:highlight w:val="none"/>
        </w:rPr>
        <w:t>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eastAsia="宋体" w:cs="宋体"/>
          <w:b/>
          <w:color w:val="000000"/>
          <w:sz w:val="24"/>
          <w:highlight w:val="none"/>
        </w:rPr>
        <w:t>无效投标处理</w:t>
      </w:r>
      <w:r>
        <w:rPr>
          <w:rFonts w:hint="eastAsia" w:ascii="宋体" w:hAnsi="宋体" w:eastAsia="宋体" w:cs="宋体"/>
          <w:color w:val="000000"/>
          <w:sz w:val="24"/>
          <w:highlight w:val="none"/>
        </w:rPr>
        <w:t>。</w:t>
      </w:r>
    </w:p>
    <w:p w14:paraId="7F0089A4">
      <w:pPr>
        <w:numPr>
          <w:ilvl w:val="1"/>
          <w:numId w:val="12"/>
        </w:numPr>
        <w:tabs>
          <w:tab w:val="left" w:pos="1080"/>
        </w:tabs>
        <w:spacing w:line="360" w:lineRule="auto"/>
        <w:ind w:left="1077" w:hanging="720"/>
        <w:rPr>
          <w:rFonts w:hint="eastAsia" w:ascii="宋体" w:hAnsi="宋体" w:eastAsia="宋体" w:cs="宋体"/>
          <w:color w:val="000000"/>
          <w:sz w:val="24"/>
          <w:highlight w:val="none"/>
        </w:rPr>
      </w:pPr>
      <w:r>
        <w:rPr>
          <w:rFonts w:hint="eastAsia" w:ascii="宋体" w:hAnsi="宋体" w:eastAsia="宋体" w:cs="宋体"/>
          <w:color w:val="000000"/>
          <w:sz w:val="24"/>
          <w:highlight w:val="none"/>
        </w:rPr>
        <w:t>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eastAsia="宋体" w:cs="宋体"/>
          <w:b/>
          <w:color w:val="000000"/>
          <w:sz w:val="24"/>
          <w:highlight w:val="none"/>
        </w:rPr>
        <w:t>投标无效</w:t>
      </w:r>
      <w:r>
        <w:rPr>
          <w:rFonts w:hint="eastAsia" w:ascii="宋体" w:hAnsi="宋体" w:eastAsia="宋体" w:cs="宋体"/>
          <w:color w:val="000000"/>
          <w:sz w:val="24"/>
          <w:highlight w:val="none"/>
        </w:rPr>
        <w:t>。</w:t>
      </w:r>
    </w:p>
    <w:p w14:paraId="01A23035">
      <w:pPr>
        <w:numPr>
          <w:ilvl w:val="1"/>
          <w:numId w:val="12"/>
        </w:numPr>
        <w:tabs>
          <w:tab w:val="left" w:pos="1080"/>
        </w:tabs>
        <w:spacing w:line="360" w:lineRule="auto"/>
        <w:ind w:left="1077" w:hanging="720"/>
        <w:rPr>
          <w:rFonts w:hint="eastAsia" w:ascii="宋体" w:hAnsi="宋体" w:eastAsia="宋体" w:cs="宋体"/>
          <w:color w:val="000000"/>
          <w:sz w:val="24"/>
          <w:highlight w:val="none"/>
        </w:rPr>
      </w:pPr>
      <w:r>
        <w:rPr>
          <w:rFonts w:hint="eastAsia" w:ascii="宋体" w:hAnsi="宋体" w:eastAsia="宋体" w:cs="宋体"/>
          <w:color w:val="000000"/>
          <w:sz w:val="24"/>
          <w:highlight w:val="none"/>
        </w:rPr>
        <w:t>投标文件报价出现前后不一致的，按照下列规定修正：</w:t>
      </w:r>
    </w:p>
    <w:p w14:paraId="1FB663D0">
      <w:pPr>
        <w:numPr>
          <w:ilvl w:val="2"/>
          <w:numId w:val="12"/>
        </w:numPr>
        <w:tabs>
          <w:tab w:val="left" w:pos="1080"/>
          <w:tab w:val="left" w:pos="1589"/>
          <w:tab w:val="left" w:pos="2035"/>
          <w:tab w:val="left" w:pos="2114"/>
        </w:tabs>
        <w:spacing w:line="360" w:lineRule="auto"/>
        <w:ind w:left="2035"/>
        <w:rPr>
          <w:rFonts w:hint="eastAsia" w:ascii="宋体" w:hAnsi="宋体" w:eastAsia="宋体" w:cs="宋体"/>
          <w:color w:val="000000"/>
          <w:sz w:val="24"/>
          <w:highlight w:val="none"/>
        </w:rPr>
      </w:pPr>
      <w:r>
        <w:rPr>
          <w:rFonts w:hint="eastAsia" w:ascii="宋体" w:hAnsi="宋体" w:eastAsia="宋体" w:cs="宋体"/>
          <w:color w:val="000000"/>
          <w:sz w:val="24"/>
          <w:highlight w:val="none"/>
        </w:rPr>
        <w:t>招标文件对于报价修正是否另有规定：</w:t>
      </w:r>
    </w:p>
    <w:p w14:paraId="078CEFCA">
      <w:pPr>
        <w:tabs>
          <w:tab w:val="left" w:pos="1080"/>
          <w:tab w:val="left" w:pos="1589"/>
          <w:tab w:val="left" w:pos="2035"/>
          <w:tab w:val="left" w:pos="2114"/>
        </w:tabs>
        <w:spacing w:line="360" w:lineRule="auto"/>
        <w:ind w:left="2035"/>
        <w:rPr>
          <w:rFonts w:hint="eastAsia" w:ascii="宋体" w:hAnsi="宋体" w:eastAsia="宋体" w:cs="宋体"/>
          <w:color w:val="000000"/>
          <w:sz w:val="24"/>
          <w:highlight w:val="none"/>
        </w:rPr>
      </w:pPr>
      <w:r>
        <w:rPr>
          <w:rFonts w:hint="eastAsia" w:ascii="宋体" w:hAnsi="宋体" w:eastAsia="宋体" w:cs="宋体"/>
          <w:color w:val="000000"/>
          <w:sz w:val="24"/>
          <w:highlight w:val="none"/>
        </w:rPr>
        <w:t>无，按下述2.4.2-2.4.7项规定修正。</w:t>
      </w:r>
    </w:p>
    <w:p w14:paraId="78FA6C6B">
      <w:pPr>
        <w:numPr>
          <w:ilvl w:val="2"/>
          <w:numId w:val="12"/>
        </w:numPr>
        <w:tabs>
          <w:tab w:val="left" w:pos="2035"/>
          <w:tab w:val="left" w:pos="2114"/>
          <w:tab w:val="left" w:pos="2977"/>
        </w:tabs>
        <w:spacing w:line="360" w:lineRule="auto"/>
        <w:ind w:left="2035"/>
        <w:rPr>
          <w:rFonts w:hint="eastAsia" w:ascii="宋体" w:hAnsi="宋体" w:eastAsia="宋体" w:cs="宋体"/>
          <w:color w:val="000000"/>
          <w:sz w:val="24"/>
          <w:highlight w:val="none"/>
        </w:rPr>
      </w:pPr>
      <w:r>
        <w:rPr>
          <w:rFonts w:hint="eastAsia" w:ascii="宋体" w:hAnsi="宋体" w:eastAsia="宋体" w:cs="宋体"/>
          <w:color w:val="000000"/>
          <w:sz w:val="24"/>
          <w:highlight w:val="none"/>
        </w:rPr>
        <w:t>单独递交的开标一览表（报价表）与投标文件中开标一览表（报价表）内容不一致的，以单独递交的开标一览表（报价表）为准；</w:t>
      </w:r>
    </w:p>
    <w:p w14:paraId="1A3CF957">
      <w:pPr>
        <w:numPr>
          <w:ilvl w:val="2"/>
          <w:numId w:val="12"/>
        </w:numPr>
        <w:tabs>
          <w:tab w:val="left" w:pos="2035"/>
          <w:tab w:val="left" w:pos="2114"/>
          <w:tab w:val="left" w:pos="2977"/>
        </w:tabs>
        <w:spacing w:line="360" w:lineRule="auto"/>
        <w:ind w:left="2035"/>
        <w:rPr>
          <w:rFonts w:hint="eastAsia" w:ascii="宋体" w:hAnsi="宋体" w:eastAsia="宋体" w:cs="宋体"/>
          <w:color w:val="000000"/>
          <w:sz w:val="24"/>
          <w:highlight w:val="none"/>
        </w:rPr>
      </w:pPr>
      <w:r>
        <w:rPr>
          <w:rFonts w:hint="eastAsia" w:ascii="宋体" w:hAnsi="宋体" w:eastAsia="宋体" w:cs="宋体"/>
          <w:color w:val="000000"/>
          <w:sz w:val="24"/>
          <w:highlight w:val="none"/>
        </w:rPr>
        <w:t>投标文件中开标一览表（报价表）内容与投标文件中相应内容不一致的，以开标一览表（报价表）为准；</w:t>
      </w:r>
    </w:p>
    <w:p w14:paraId="4911CB95">
      <w:pPr>
        <w:numPr>
          <w:ilvl w:val="2"/>
          <w:numId w:val="12"/>
        </w:numPr>
        <w:tabs>
          <w:tab w:val="left" w:pos="2035"/>
          <w:tab w:val="left" w:pos="2114"/>
          <w:tab w:val="left" w:pos="2977"/>
        </w:tabs>
        <w:spacing w:line="360" w:lineRule="auto"/>
        <w:ind w:left="2035"/>
        <w:rPr>
          <w:rFonts w:hint="eastAsia" w:ascii="宋体" w:hAnsi="宋体" w:eastAsia="宋体" w:cs="宋体"/>
          <w:color w:val="000000"/>
          <w:sz w:val="24"/>
          <w:highlight w:val="none"/>
        </w:rPr>
      </w:pPr>
      <w:r>
        <w:rPr>
          <w:rFonts w:hint="eastAsia" w:ascii="宋体" w:hAnsi="宋体" w:eastAsia="宋体" w:cs="宋体"/>
          <w:color w:val="000000"/>
          <w:sz w:val="24"/>
          <w:highlight w:val="none"/>
        </w:rPr>
        <w:t>大写金额和小写金额不一致的，以大写金额为准；</w:t>
      </w:r>
    </w:p>
    <w:p w14:paraId="07236B6E">
      <w:pPr>
        <w:numPr>
          <w:ilvl w:val="2"/>
          <w:numId w:val="12"/>
        </w:numPr>
        <w:tabs>
          <w:tab w:val="left" w:pos="2035"/>
          <w:tab w:val="left" w:pos="2114"/>
          <w:tab w:val="left" w:pos="2977"/>
        </w:tabs>
        <w:spacing w:line="360" w:lineRule="auto"/>
        <w:ind w:left="2035"/>
        <w:rPr>
          <w:rFonts w:hint="eastAsia" w:ascii="宋体" w:hAnsi="宋体" w:eastAsia="宋体" w:cs="宋体"/>
          <w:color w:val="000000"/>
          <w:sz w:val="24"/>
          <w:highlight w:val="none"/>
        </w:rPr>
      </w:pPr>
      <w:r>
        <w:rPr>
          <w:rFonts w:hint="eastAsia" w:ascii="宋体" w:hAnsi="宋体" w:eastAsia="宋体" w:cs="宋体"/>
          <w:color w:val="000000"/>
          <w:sz w:val="24"/>
          <w:highlight w:val="none"/>
        </w:rPr>
        <w:t>单价金额小数点或者百分比有明显错位的，以开标一览表的总价为准，并修改单价；</w:t>
      </w:r>
    </w:p>
    <w:p w14:paraId="57D68D25">
      <w:pPr>
        <w:numPr>
          <w:ilvl w:val="2"/>
          <w:numId w:val="12"/>
        </w:numPr>
        <w:tabs>
          <w:tab w:val="left" w:pos="2035"/>
          <w:tab w:val="left" w:pos="2114"/>
          <w:tab w:val="left" w:pos="2977"/>
        </w:tabs>
        <w:spacing w:line="360" w:lineRule="auto"/>
        <w:ind w:left="2035"/>
        <w:rPr>
          <w:rFonts w:hint="eastAsia" w:ascii="宋体" w:hAnsi="宋体" w:eastAsia="宋体" w:cs="宋体"/>
          <w:color w:val="000000"/>
          <w:sz w:val="24"/>
          <w:highlight w:val="none"/>
        </w:rPr>
      </w:pPr>
      <w:r>
        <w:rPr>
          <w:rFonts w:hint="eastAsia" w:ascii="宋体" w:hAnsi="宋体" w:eastAsia="宋体" w:cs="宋体"/>
          <w:color w:val="000000"/>
          <w:sz w:val="24"/>
          <w:highlight w:val="none"/>
        </w:rPr>
        <w:t>总价金额与按单价汇总金额不一致的，以单价金额计算结果为准。</w:t>
      </w:r>
    </w:p>
    <w:p w14:paraId="099B5D37">
      <w:pPr>
        <w:numPr>
          <w:ilvl w:val="2"/>
          <w:numId w:val="12"/>
        </w:numPr>
        <w:tabs>
          <w:tab w:val="left" w:pos="1080"/>
          <w:tab w:val="left" w:pos="1589"/>
          <w:tab w:val="left" w:pos="2035"/>
          <w:tab w:val="left" w:pos="2114"/>
        </w:tabs>
        <w:spacing w:line="360" w:lineRule="auto"/>
        <w:ind w:left="2035"/>
        <w:rPr>
          <w:rFonts w:hint="eastAsia" w:ascii="宋体" w:hAnsi="宋体" w:eastAsia="宋体" w:cs="宋体"/>
          <w:color w:val="000000"/>
          <w:sz w:val="24"/>
          <w:highlight w:val="none"/>
        </w:rPr>
      </w:pPr>
      <w:r>
        <w:rPr>
          <w:rFonts w:hint="eastAsia" w:ascii="宋体" w:hAnsi="宋体" w:eastAsia="宋体" w:cs="宋体"/>
          <w:color w:val="000000"/>
          <w:sz w:val="24"/>
          <w:highlight w:val="none"/>
        </w:rPr>
        <w:t>同时出现两种以上不一致的，按照前款规定的顺序修正。修正后的报价经投标人书面确认后产生约束力，投标人不确认的，其</w:t>
      </w:r>
      <w:r>
        <w:rPr>
          <w:rFonts w:hint="eastAsia" w:ascii="宋体" w:hAnsi="宋体" w:eastAsia="宋体" w:cs="宋体"/>
          <w:b/>
          <w:color w:val="000000"/>
          <w:sz w:val="24"/>
          <w:highlight w:val="none"/>
        </w:rPr>
        <w:t>投标无效</w:t>
      </w:r>
      <w:r>
        <w:rPr>
          <w:rFonts w:hint="eastAsia" w:ascii="宋体" w:hAnsi="宋体" w:eastAsia="宋体" w:cs="宋体"/>
          <w:color w:val="000000"/>
          <w:sz w:val="24"/>
          <w:highlight w:val="none"/>
        </w:rPr>
        <w:t>。</w:t>
      </w:r>
    </w:p>
    <w:p w14:paraId="0100D119">
      <w:pPr>
        <w:numPr>
          <w:ilvl w:val="1"/>
          <w:numId w:val="12"/>
        </w:numPr>
        <w:tabs>
          <w:tab w:val="left" w:pos="1080"/>
        </w:tabs>
        <w:spacing w:line="360" w:lineRule="auto"/>
        <w:ind w:left="1077" w:hanging="720"/>
        <w:rPr>
          <w:rFonts w:hint="eastAsia" w:ascii="宋体" w:hAnsi="宋体" w:eastAsia="宋体" w:cs="宋体"/>
          <w:color w:val="000000"/>
          <w:sz w:val="24"/>
          <w:highlight w:val="none"/>
        </w:rPr>
      </w:pPr>
      <w:r>
        <w:rPr>
          <w:rFonts w:hint="eastAsia" w:ascii="宋体" w:hAnsi="宋体" w:eastAsia="宋体" w:cs="宋体"/>
          <w:color w:val="000000"/>
          <w:sz w:val="24"/>
          <w:highlight w:val="none"/>
        </w:rPr>
        <w:t>落实政府采购政策的价格调整：只有符合第二章《投标人须知》5.2条规定情形的，可以享受中小企业扶持政策，用扣除后的价格参加评审；</w:t>
      </w:r>
      <w:r>
        <w:rPr>
          <w:rFonts w:hint="eastAsia" w:ascii="宋体" w:hAnsi="宋体" w:eastAsia="宋体" w:cs="宋体"/>
          <w:b/>
          <w:color w:val="000000"/>
          <w:sz w:val="24"/>
          <w:highlight w:val="none"/>
        </w:rPr>
        <w:t>如是专门面向中小企业采购的项目，不再执行价格评审优惠的扶持政策</w:t>
      </w:r>
      <w:r>
        <w:rPr>
          <w:rFonts w:hint="eastAsia" w:ascii="宋体" w:hAnsi="宋体" w:eastAsia="宋体" w:cs="宋体"/>
          <w:color w:val="000000"/>
          <w:sz w:val="24"/>
          <w:highlight w:val="none"/>
        </w:rPr>
        <w:t>，</w:t>
      </w:r>
      <w:r>
        <w:rPr>
          <w:rFonts w:hint="eastAsia" w:ascii="宋体" w:hAnsi="宋体" w:eastAsia="宋体" w:cs="宋体"/>
          <w:b/>
          <w:color w:val="000000"/>
          <w:sz w:val="24"/>
          <w:highlight w:val="none"/>
        </w:rPr>
        <w:t>评标时价格不予扣除。</w:t>
      </w:r>
    </w:p>
    <w:p w14:paraId="21A1D9BA">
      <w:pPr>
        <w:numPr>
          <w:ilvl w:val="2"/>
          <w:numId w:val="12"/>
        </w:numPr>
        <w:tabs>
          <w:tab w:val="left" w:pos="1080"/>
          <w:tab w:val="left" w:pos="1589"/>
          <w:tab w:val="left" w:pos="2035"/>
        </w:tabs>
        <w:spacing w:line="360" w:lineRule="auto"/>
        <w:ind w:left="2035"/>
        <w:rPr>
          <w:rFonts w:hint="eastAsia" w:ascii="宋体" w:hAnsi="宋体" w:eastAsia="宋体" w:cs="宋体"/>
          <w:color w:val="000000"/>
          <w:sz w:val="24"/>
          <w:highlight w:val="none"/>
        </w:rPr>
      </w:pPr>
      <w:r>
        <w:rPr>
          <w:rFonts w:hint="eastAsia" w:ascii="宋体" w:hAnsi="宋体" w:eastAsia="宋体" w:cs="宋体"/>
          <w:color w:val="000000"/>
          <w:sz w:val="24"/>
          <w:highlight w:val="none"/>
        </w:rPr>
        <w:t>对于未预留份额专门面向中小企业采购的采购项目，以及预留份额项目中的非预留部分采购包，对</w:t>
      </w:r>
      <w:r>
        <w:rPr>
          <w:rFonts w:hint="eastAsia" w:ascii="宋体" w:hAnsi="宋体" w:eastAsia="宋体" w:cs="宋体"/>
          <w:b/>
          <w:color w:val="000000"/>
          <w:sz w:val="24"/>
          <w:highlight w:val="none"/>
        </w:rPr>
        <w:t>小微企业</w:t>
      </w:r>
      <w:r>
        <w:rPr>
          <w:rFonts w:hint="eastAsia" w:ascii="宋体" w:hAnsi="宋体" w:eastAsia="宋体" w:cs="宋体"/>
          <w:color w:val="000000"/>
          <w:sz w:val="24"/>
          <w:highlight w:val="none"/>
        </w:rPr>
        <w:t>报价给予</w:t>
      </w:r>
      <w:r>
        <w:rPr>
          <w:rFonts w:hint="eastAsia" w:ascii="宋体" w:hAnsi="宋体" w:eastAsia="宋体" w:cs="宋体"/>
          <w:color w:val="000000"/>
          <w:sz w:val="24"/>
          <w:highlight w:val="none"/>
          <w:u w:val="single"/>
        </w:rPr>
        <w:t>20</w:t>
      </w:r>
      <w:r>
        <w:rPr>
          <w:rFonts w:hint="eastAsia" w:ascii="宋体" w:hAnsi="宋体" w:eastAsia="宋体" w:cs="宋体"/>
          <w:color w:val="000000"/>
          <w:sz w:val="24"/>
          <w:highlight w:val="none"/>
        </w:rPr>
        <w:t>%的扣除，用扣除后的价格参加评审。</w:t>
      </w:r>
    </w:p>
    <w:p w14:paraId="0BBCE542">
      <w:pPr>
        <w:numPr>
          <w:ilvl w:val="2"/>
          <w:numId w:val="12"/>
        </w:numPr>
        <w:tabs>
          <w:tab w:val="left" w:pos="1080"/>
          <w:tab w:val="left" w:pos="1589"/>
          <w:tab w:val="left" w:pos="2035"/>
        </w:tabs>
        <w:spacing w:line="360" w:lineRule="auto"/>
        <w:ind w:left="2035"/>
        <w:rPr>
          <w:rFonts w:hint="eastAsia" w:ascii="宋体" w:hAnsi="宋体" w:eastAsia="宋体" w:cs="宋体"/>
          <w:color w:val="000000"/>
          <w:sz w:val="24"/>
          <w:highlight w:val="none"/>
        </w:rPr>
      </w:pPr>
      <w:r>
        <w:rPr>
          <w:rFonts w:hint="eastAsia" w:ascii="宋体" w:hAnsi="宋体" w:eastAsia="宋体" w:cs="宋体"/>
          <w:color w:val="000000"/>
          <w:sz w:val="24"/>
          <w:highlight w:val="none"/>
        </w:rPr>
        <w:t>对于未预留份额专门面向中小企业采购的采购项目，以及预留份额项目中的非预留部分采购包，且接受大中型企业与</w:t>
      </w:r>
      <w:r>
        <w:rPr>
          <w:rFonts w:hint="eastAsia" w:ascii="宋体" w:hAnsi="宋体" w:eastAsia="宋体" w:cs="宋体"/>
          <w:b/>
          <w:color w:val="000000"/>
          <w:sz w:val="24"/>
          <w:highlight w:val="none"/>
        </w:rPr>
        <w:t>小微企业</w:t>
      </w:r>
      <w:r>
        <w:rPr>
          <w:rFonts w:hint="eastAsia" w:ascii="宋体" w:hAnsi="宋体" w:eastAsia="宋体" w:cs="宋体"/>
          <w:color w:val="000000"/>
          <w:sz w:val="24"/>
          <w:highlight w:val="none"/>
        </w:rPr>
        <w:t>组成联合体或者允许大中型企业向一家或者多家</w:t>
      </w:r>
      <w:r>
        <w:rPr>
          <w:rFonts w:hint="eastAsia" w:ascii="宋体" w:hAnsi="宋体" w:eastAsia="宋体" w:cs="宋体"/>
          <w:b/>
          <w:color w:val="000000"/>
          <w:sz w:val="24"/>
          <w:highlight w:val="none"/>
        </w:rPr>
        <w:t>小微企业</w:t>
      </w:r>
      <w:r>
        <w:rPr>
          <w:rFonts w:hint="eastAsia" w:ascii="宋体" w:hAnsi="宋体" w:eastAsia="宋体" w:cs="宋体"/>
          <w:color w:val="000000"/>
          <w:sz w:val="24"/>
          <w:highlight w:val="none"/>
        </w:rPr>
        <w:t>分包的采购项目，对于联合协议或者分包意向协议约定</w:t>
      </w:r>
      <w:r>
        <w:rPr>
          <w:rFonts w:hint="eastAsia" w:ascii="宋体" w:hAnsi="宋体" w:eastAsia="宋体" w:cs="宋体"/>
          <w:b/>
          <w:color w:val="000000"/>
          <w:sz w:val="24"/>
          <w:highlight w:val="none"/>
        </w:rPr>
        <w:t>小微企业</w:t>
      </w:r>
      <w:r>
        <w:rPr>
          <w:rFonts w:hint="eastAsia" w:ascii="宋体" w:hAnsi="宋体" w:eastAsia="宋体" w:cs="宋体"/>
          <w:color w:val="000000"/>
          <w:sz w:val="24"/>
          <w:highlight w:val="none"/>
        </w:rPr>
        <w:t>的合同份额占到合同总金额 30%以上的联合体或者大中型企业的报价给予</w:t>
      </w:r>
      <w:r>
        <w:rPr>
          <w:rFonts w:hint="eastAsia" w:ascii="宋体" w:hAnsi="宋体" w:eastAsia="宋体" w:cs="宋体"/>
          <w:color w:val="000000"/>
          <w:sz w:val="24"/>
          <w:highlight w:val="none"/>
          <w:u w:val="single"/>
        </w:rPr>
        <w:t>6</w:t>
      </w:r>
      <w:r>
        <w:rPr>
          <w:rFonts w:hint="eastAsia" w:ascii="宋体" w:hAnsi="宋体" w:eastAsia="宋体" w:cs="宋体"/>
          <w:color w:val="000000"/>
          <w:sz w:val="24"/>
          <w:highlight w:val="none"/>
        </w:rPr>
        <w:t>%的扣除，用扣除后的价格参加评审。</w:t>
      </w:r>
    </w:p>
    <w:p w14:paraId="34759CD8">
      <w:pPr>
        <w:numPr>
          <w:ilvl w:val="2"/>
          <w:numId w:val="12"/>
        </w:numPr>
        <w:tabs>
          <w:tab w:val="left" w:pos="1080"/>
          <w:tab w:val="left" w:pos="1589"/>
          <w:tab w:val="left" w:pos="2035"/>
        </w:tabs>
        <w:spacing w:line="360" w:lineRule="auto"/>
        <w:ind w:left="2035"/>
        <w:rPr>
          <w:rFonts w:hint="eastAsia" w:ascii="宋体" w:hAnsi="宋体" w:eastAsia="宋体" w:cs="宋体"/>
          <w:color w:val="000000"/>
          <w:sz w:val="24"/>
          <w:highlight w:val="none"/>
        </w:rPr>
      </w:pPr>
      <w:r>
        <w:rPr>
          <w:rFonts w:hint="eastAsia" w:ascii="宋体" w:hAnsi="宋体" w:eastAsia="宋体" w:cs="宋体"/>
          <w:color w:val="000000"/>
          <w:sz w:val="24"/>
          <w:highlight w:val="none"/>
        </w:rPr>
        <w:t>组成联合体或者接受分包的小微企业与联合体内其他企业、分包企业之间存在直接控股、管理关系的，不享受价格扣除优惠政策。</w:t>
      </w:r>
    </w:p>
    <w:p w14:paraId="212EBF55">
      <w:pPr>
        <w:numPr>
          <w:ilvl w:val="2"/>
          <w:numId w:val="12"/>
        </w:numPr>
        <w:tabs>
          <w:tab w:val="left" w:pos="1080"/>
          <w:tab w:val="left" w:pos="1589"/>
          <w:tab w:val="left" w:pos="2035"/>
        </w:tabs>
        <w:spacing w:line="360" w:lineRule="auto"/>
        <w:ind w:left="2035"/>
        <w:rPr>
          <w:rFonts w:hint="eastAsia" w:ascii="宋体" w:hAnsi="宋体" w:eastAsia="宋体" w:cs="宋体"/>
          <w:color w:val="000000"/>
          <w:sz w:val="24"/>
          <w:highlight w:val="none"/>
        </w:rPr>
      </w:pPr>
      <w:r>
        <w:rPr>
          <w:rFonts w:hint="eastAsia" w:ascii="宋体" w:hAnsi="宋体" w:eastAsia="宋体" w:cs="宋体"/>
          <w:color w:val="000000"/>
          <w:sz w:val="24"/>
          <w:highlight w:val="none"/>
        </w:rPr>
        <w:t>价格扣除比例对小型企业和微型企业同等对待，不作区分。</w:t>
      </w:r>
    </w:p>
    <w:p w14:paraId="22DA2F9D">
      <w:pPr>
        <w:numPr>
          <w:ilvl w:val="2"/>
          <w:numId w:val="12"/>
        </w:numPr>
        <w:tabs>
          <w:tab w:val="left" w:pos="1080"/>
          <w:tab w:val="left" w:pos="1589"/>
          <w:tab w:val="left" w:pos="2035"/>
        </w:tabs>
        <w:spacing w:line="360" w:lineRule="auto"/>
        <w:ind w:left="2035"/>
        <w:rPr>
          <w:rFonts w:hint="eastAsia" w:ascii="宋体" w:hAnsi="宋体" w:eastAsia="宋体" w:cs="宋体"/>
          <w:color w:val="000000"/>
          <w:sz w:val="24"/>
          <w:highlight w:val="none"/>
        </w:rPr>
      </w:pPr>
      <w:r>
        <w:rPr>
          <w:rFonts w:hint="eastAsia" w:ascii="宋体" w:hAnsi="宋体" w:eastAsia="宋体" w:cs="宋体"/>
          <w:color w:val="000000"/>
          <w:sz w:val="24"/>
          <w:highlight w:val="none"/>
        </w:rPr>
        <w:t>中小企业参加政府采购活动，应当按照招标文件给定的格式出具《中小企业声明函》，否则不得享受相关中小企业扶持政策。</w:t>
      </w:r>
    </w:p>
    <w:p w14:paraId="34E15201">
      <w:pPr>
        <w:numPr>
          <w:ilvl w:val="2"/>
          <w:numId w:val="12"/>
        </w:numPr>
        <w:tabs>
          <w:tab w:val="left" w:pos="1080"/>
          <w:tab w:val="left" w:pos="1589"/>
          <w:tab w:val="left" w:pos="2035"/>
        </w:tabs>
        <w:spacing w:line="360" w:lineRule="auto"/>
        <w:ind w:left="2035"/>
        <w:rPr>
          <w:rFonts w:hint="eastAsia" w:ascii="宋体" w:hAnsi="宋体" w:eastAsia="宋体" w:cs="宋体"/>
          <w:color w:val="000000"/>
          <w:sz w:val="24"/>
          <w:highlight w:val="none"/>
        </w:rPr>
      </w:pPr>
      <w:r>
        <w:rPr>
          <w:rFonts w:hint="eastAsia" w:ascii="宋体" w:hAnsi="宋体" w:eastAsia="宋体" w:cs="宋体"/>
          <w:color w:val="000000"/>
          <w:sz w:val="24"/>
          <w:highlight w:val="none"/>
        </w:rPr>
        <w:t>监狱企业提供了由省级以上监狱管理局（常州市含教育矫治局）、戒毒管理局（含新疆生产建设兵团）出具的属于监狱企业的证明文件的，视同小微企业。</w:t>
      </w:r>
    </w:p>
    <w:p w14:paraId="193369EA">
      <w:pPr>
        <w:numPr>
          <w:ilvl w:val="2"/>
          <w:numId w:val="12"/>
        </w:numPr>
        <w:tabs>
          <w:tab w:val="left" w:pos="1080"/>
          <w:tab w:val="left" w:pos="1589"/>
          <w:tab w:val="left" w:pos="2035"/>
        </w:tabs>
        <w:spacing w:line="360" w:lineRule="auto"/>
        <w:ind w:left="2035"/>
        <w:rPr>
          <w:rFonts w:hint="eastAsia" w:ascii="宋体" w:hAnsi="宋体" w:eastAsia="宋体" w:cs="宋体"/>
          <w:color w:val="000000"/>
          <w:sz w:val="24"/>
          <w:highlight w:val="none"/>
        </w:rPr>
      </w:pPr>
      <w:r>
        <w:rPr>
          <w:rFonts w:hint="eastAsia" w:ascii="宋体" w:hAnsi="宋体" w:eastAsia="宋体" w:cs="宋体"/>
          <w:color w:val="000000"/>
          <w:sz w:val="24"/>
          <w:highlight w:val="none"/>
        </w:rPr>
        <w:t>残疾人福利性单位按招标文件要求提供了《残疾人福利性单位声明函》（见附件）的，视同小微企业。</w:t>
      </w:r>
    </w:p>
    <w:p w14:paraId="5E3BB96F">
      <w:pPr>
        <w:numPr>
          <w:ilvl w:val="2"/>
          <w:numId w:val="12"/>
        </w:numPr>
        <w:tabs>
          <w:tab w:val="left" w:pos="1080"/>
          <w:tab w:val="left" w:pos="1589"/>
          <w:tab w:val="left" w:pos="2014"/>
        </w:tabs>
        <w:spacing w:line="360" w:lineRule="auto"/>
        <w:ind w:left="2035"/>
        <w:rPr>
          <w:rFonts w:hint="eastAsia" w:ascii="宋体" w:hAnsi="宋体" w:eastAsia="宋体" w:cs="宋体"/>
          <w:color w:val="000000"/>
          <w:sz w:val="24"/>
          <w:highlight w:val="none"/>
        </w:rPr>
      </w:pPr>
      <w:r>
        <w:rPr>
          <w:rFonts w:hint="eastAsia" w:ascii="宋体" w:hAnsi="宋体" w:eastAsia="宋体" w:cs="宋体"/>
          <w:color w:val="000000"/>
          <w:sz w:val="24"/>
          <w:highlight w:val="none"/>
        </w:rPr>
        <w:t>若投标人同时属于小型或微型企业、监狱企业、残疾人福利性单位中的两种及以上，将不重复享受小微企业价格扣减的优惠政策。</w:t>
      </w:r>
    </w:p>
    <w:p w14:paraId="447C2EB1">
      <w:pPr>
        <w:numPr>
          <w:ilvl w:val="0"/>
          <w:numId w:val="12"/>
        </w:numPr>
        <w:tabs>
          <w:tab w:val="left" w:pos="360"/>
        </w:tabs>
        <w:spacing w:line="360" w:lineRule="auto"/>
        <w:outlineLvl w:val="1"/>
        <w:rPr>
          <w:rFonts w:hint="eastAsia" w:ascii="宋体" w:hAnsi="宋体" w:eastAsia="宋体" w:cs="宋体"/>
          <w:color w:val="000000"/>
          <w:sz w:val="24"/>
          <w:highlight w:val="none"/>
        </w:rPr>
      </w:pPr>
      <w:r>
        <w:rPr>
          <w:rFonts w:hint="eastAsia" w:ascii="宋体" w:hAnsi="宋体" w:eastAsia="宋体" w:cs="宋体"/>
          <w:color w:val="000000"/>
          <w:sz w:val="24"/>
          <w:highlight w:val="none"/>
        </w:rPr>
        <w:t>投标文件的比较和评价</w:t>
      </w:r>
    </w:p>
    <w:p w14:paraId="035C2802">
      <w:pPr>
        <w:numPr>
          <w:ilvl w:val="1"/>
          <w:numId w:val="12"/>
        </w:numPr>
        <w:tabs>
          <w:tab w:val="left" w:pos="1080"/>
        </w:tabs>
        <w:spacing w:line="360" w:lineRule="auto"/>
        <w:ind w:left="1077" w:hanging="720"/>
        <w:rPr>
          <w:rFonts w:hint="eastAsia" w:ascii="宋体" w:hAnsi="宋体" w:eastAsia="宋体" w:cs="宋体"/>
          <w:color w:val="000000"/>
          <w:sz w:val="24"/>
          <w:highlight w:val="none"/>
        </w:rPr>
      </w:pPr>
      <w:r>
        <w:rPr>
          <w:rFonts w:hint="eastAsia" w:ascii="宋体" w:hAnsi="宋体" w:eastAsia="宋体" w:cs="宋体"/>
          <w:color w:val="000000"/>
          <w:sz w:val="24"/>
          <w:highlight w:val="none"/>
        </w:rPr>
        <w:t>评标委员会将按照招标文件中规定的评标方法和标准，对符合性审查合格的投标文件进行商务和技术评估，综合比较与评价；未通过符合性审查的投标文件不得进入比较与评价。</w:t>
      </w:r>
    </w:p>
    <w:p w14:paraId="33E717C9">
      <w:pPr>
        <w:numPr>
          <w:ilvl w:val="1"/>
          <w:numId w:val="12"/>
        </w:numPr>
        <w:tabs>
          <w:tab w:val="left" w:pos="1080"/>
        </w:tabs>
        <w:spacing w:line="360" w:lineRule="auto"/>
        <w:ind w:left="1077" w:hanging="720"/>
        <w:rPr>
          <w:rFonts w:hint="eastAsia" w:ascii="宋体" w:hAnsi="宋体" w:eastAsia="宋体" w:cs="宋体"/>
          <w:color w:val="000000"/>
          <w:sz w:val="24"/>
          <w:highlight w:val="none"/>
        </w:rPr>
      </w:pPr>
      <w:r>
        <w:rPr>
          <w:rFonts w:hint="eastAsia" w:ascii="宋体" w:hAnsi="宋体" w:eastAsia="宋体" w:cs="宋体"/>
          <w:color w:val="000000"/>
          <w:sz w:val="24"/>
          <w:highlight w:val="none"/>
        </w:rPr>
        <w:t>评标方法和评标标准</w:t>
      </w:r>
    </w:p>
    <w:p w14:paraId="5FC42226">
      <w:pPr>
        <w:numPr>
          <w:ilvl w:val="2"/>
          <w:numId w:val="12"/>
        </w:numPr>
        <w:tabs>
          <w:tab w:val="left" w:pos="1080"/>
          <w:tab w:val="left" w:pos="1589"/>
          <w:tab w:val="left" w:pos="2035"/>
        </w:tabs>
        <w:spacing w:line="360" w:lineRule="auto"/>
        <w:ind w:left="2035"/>
        <w:rPr>
          <w:rFonts w:hint="eastAsia" w:ascii="宋体" w:hAnsi="宋体" w:eastAsia="宋体" w:cs="宋体"/>
          <w:color w:val="000000"/>
          <w:sz w:val="24"/>
          <w:highlight w:val="none"/>
        </w:rPr>
      </w:pPr>
      <w:r>
        <w:rPr>
          <w:rFonts w:hint="eastAsia" w:ascii="宋体" w:hAnsi="宋体" w:eastAsia="宋体" w:cs="宋体"/>
          <w:color w:val="000000"/>
          <w:sz w:val="24"/>
          <w:highlight w:val="none"/>
        </w:rPr>
        <w:t>本项目采用的评标方法为：</w:t>
      </w:r>
    </w:p>
    <w:p w14:paraId="07459A05">
      <w:pPr>
        <w:tabs>
          <w:tab w:val="left" w:pos="900"/>
          <w:tab w:val="left" w:pos="1589"/>
          <w:tab w:val="left" w:pos="1701"/>
        </w:tabs>
        <w:spacing w:line="360" w:lineRule="auto"/>
        <w:ind w:left="1985"/>
        <w:rPr>
          <w:rFonts w:hint="eastAsia" w:ascii="宋体" w:hAnsi="宋体" w:eastAsia="宋体" w:cs="宋体"/>
          <w:color w:val="000000"/>
          <w:sz w:val="24"/>
          <w:highlight w:val="none"/>
        </w:rPr>
      </w:pPr>
      <w:r>
        <w:rPr>
          <w:rFonts w:hint="eastAsia" w:ascii="宋体" w:hAnsi="宋体" w:eastAsia="宋体" w:cs="宋体"/>
          <w:color w:val="000000"/>
          <w:sz w:val="24"/>
          <w:highlight w:val="none"/>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101E3302">
      <w:pPr>
        <w:numPr>
          <w:ilvl w:val="2"/>
          <w:numId w:val="12"/>
        </w:numPr>
        <w:tabs>
          <w:tab w:val="left" w:pos="1080"/>
          <w:tab w:val="left" w:pos="1589"/>
          <w:tab w:val="left" w:pos="2035"/>
        </w:tabs>
        <w:spacing w:line="360" w:lineRule="auto"/>
        <w:ind w:left="2035"/>
        <w:rPr>
          <w:rFonts w:hint="eastAsia" w:ascii="宋体" w:hAnsi="宋体" w:eastAsia="宋体" w:cs="宋体"/>
          <w:color w:val="000000"/>
          <w:sz w:val="24"/>
          <w:highlight w:val="none"/>
        </w:rPr>
      </w:pPr>
      <w:r>
        <w:rPr>
          <w:rFonts w:hint="eastAsia" w:ascii="宋体" w:hAnsi="宋体" w:eastAsia="宋体" w:cs="宋体"/>
          <w:color w:val="000000"/>
          <w:sz w:val="24"/>
          <w:highlight w:val="none"/>
        </w:rPr>
        <w:t>非政府强制采购的节能产品或环境标志产品，依据品目清单和认证证书实施政府优先采购。优先采购的具体规定（如涉及）</w:t>
      </w:r>
      <w:r>
        <w:rPr>
          <w:rFonts w:hint="eastAsia" w:ascii="宋体" w:hAnsi="宋体" w:eastAsia="宋体" w:cs="宋体"/>
          <w:color w:val="000000"/>
          <w:sz w:val="24"/>
          <w:highlight w:val="none"/>
          <w:u w:val="single"/>
        </w:rPr>
        <w:t>见评标标准相关评分项</w:t>
      </w:r>
      <w:r>
        <w:rPr>
          <w:rFonts w:hint="eastAsia" w:ascii="宋体" w:hAnsi="宋体" w:eastAsia="宋体" w:cs="宋体"/>
          <w:color w:val="000000"/>
          <w:sz w:val="24"/>
          <w:highlight w:val="none"/>
        </w:rPr>
        <w:t>。</w:t>
      </w:r>
    </w:p>
    <w:p w14:paraId="5855F654">
      <w:pPr>
        <w:numPr>
          <w:ilvl w:val="2"/>
          <w:numId w:val="12"/>
        </w:numPr>
        <w:tabs>
          <w:tab w:val="left" w:pos="1080"/>
          <w:tab w:val="left" w:pos="1589"/>
          <w:tab w:val="left" w:pos="2035"/>
        </w:tabs>
        <w:spacing w:line="360" w:lineRule="auto"/>
        <w:ind w:left="2035"/>
        <w:rPr>
          <w:rFonts w:hint="eastAsia" w:ascii="宋体" w:hAnsi="宋体" w:eastAsia="宋体" w:cs="宋体"/>
          <w:color w:val="000000"/>
          <w:sz w:val="24"/>
          <w:highlight w:val="none"/>
        </w:rPr>
      </w:pPr>
      <w:r>
        <w:rPr>
          <w:rFonts w:hint="eastAsia" w:ascii="宋体" w:hAnsi="宋体" w:eastAsia="宋体" w:cs="宋体"/>
          <w:color w:val="000000"/>
          <w:sz w:val="24"/>
          <w:highlight w:val="none"/>
        </w:rPr>
        <w:t>关于无线局域网认证产品政府采购清单中的产品，优先采购的具体规定（如涉及）</w:t>
      </w:r>
      <w:r>
        <w:rPr>
          <w:rFonts w:hint="eastAsia" w:ascii="宋体" w:hAnsi="宋体" w:eastAsia="宋体" w:cs="宋体"/>
          <w:color w:val="000000"/>
          <w:sz w:val="24"/>
          <w:highlight w:val="none"/>
          <w:u w:val="single"/>
        </w:rPr>
        <w:t>见评标标准相关评分项</w:t>
      </w:r>
      <w:r>
        <w:rPr>
          <w:rFonts w:hint="eastAsia" w:ascii="宋体" w:hAnsi="宋体" w:eastAsia="宋体" w:cs="宋体"/>
          <w:color w:val="000000"/>
          <w:sz w:val="24"/>
          <w:highlight w:val="none"/>
        </w:rPr>
        <w:t>。</w:t>
      </w:r>
    </w:p>
    <w:p w14:paraId="0594A73A">
      <w:pPr>
        <w:numPr>
          <w:ilvl w:val="0"/>
          <w:numId w:val="12"/>
        </w:numPr>
        <w:tabs>
          <w:tab w:val="left" w:pos="360"/>
        </w:tabs>
        <w:spacing w:line="360" w:lineRule="auto"/>
        <w:outlineLvl w:val="1"/>
        <w:rPr>
          <w:rFonts w:hint="eastAsia" w:ascii="宋体" w:hAnsi="宋体" w:eastAsia="宋体" w:cs="宋体"/>
          <w:color w:val="000000"/>
          <w:sz w:val="24"/>
          <w:highlight w:val="none"/>
        </w:rPr>
      </w:pPr>
      <w:r>
        <w:rPr>
          <w:rFonts w:hint="eastAsia" w:ascii="宋体" w:hAnsi="宋体" w:eastAsia="宋体" w:cs="宋体"/>
          <w:color w:val="000000"/>
          <w:sz w:val="24"/>
          <w:highlight w:val="none"/>
        </w:rPr>
        <w:t>确定</w:t>
      </w:r>
      <w:bookmarkStart w:id="762" w:name="_Toc150480784"/>
      <w:bookmarkStart w:id="763" w:name="_Toc226965819"/>
      <w:bookmarkStart w:id="764" w:name="_Toc164608660"/>
      <w:bookmarkStart w:id="765" w:name="_Toc151193860"/>
      <w:bookmarkStart w:id="766" w:name="_Toc164351640"/>
      <w:bookmarkStart w:id="767" w:name="_Toc151193788"/>
      <w:bookmarkStart w:id="768" w:name="_Toc127151747"/>
      <w:bookmarkStart w:id="769" w:name="_Toc264969236"/>
      <w:bookmarkStart w:id="770" w:name="_Toc151193934"/>
      <w:bookmarkStart w:id="771" w:name="_Toc127161460"/>
      <w:bookmarkStart w:id="772" w:name="_Toc226309790"/>
      <w:bookmarkStart w:id="773" w:name="_Toc150774751"/>
      <w:bookmarkStart w:id="774" w:name="_Toc305158814"/>
      <w:bookmarkStart w:id="775" w:name="_Toc164229241"/>
      <w:bookmarkStart w:id="776" w:name="_Toc226965736"/>
      <w:bookmarkStart w:id="777" w:name="_Toc151193644"/>
      <w:bookmarkStart w:id="778" w:name="_Toc164608815"/>
      <w:bookmarkStart w:id="779" w:name="_Toc305158888"/>
      <w:bookmarkStart w:id="780" w:name="_Toc164229387"/>
      <w:bookmarkStart w:id="781" w:name="_Toc226337242"/>
      <w:bookmarkStart w:id="782" w:name="_Toc151190173"/>
      <w:bookmarkStart w:id="783" w:name="_Toc195842911"/>
      <w:bookmarkStart w:id="784" w:name="_Ref467307010"/>
      <w:bookmarkStart w:id="785" w:name="_Toc142311048"/>
      <w:bookmarkStart w:id="786" w:name="_Toc150774646"/>
      <w:bookmarkStart w:id="787" w:name="_Toc127151546"/>
      <w:bookmarkStart w:id="788" w:name="_Toc151193716"/>
      <w:bookmarkStart w:id="789" w:name="_Toc265228384"/>
      <w:bookmarkStart w:id="790" w:name="_Toc520356170"/>
      <w:bookmarkStart w:id="791" w:name="_Toc149720839"/>
      <w:bookmarkStart w:id="792" w:name="_Toc150509297"/>
      <w:r>
        <w:rPr>
          <w:rFonts w:hint="eastAsia" w:ascii="宋体" w:hAnsi="宋体" w:eastAsia="宋体" w:cs="宋体"/>
          <w:color w:val="000000"/>
          <w:sz w:val="24"/>
          <w:highlight w:val="none"/>
        </w:rPr>
        <w:t>中标候选人名单</w:t>
      </w:r>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p>
    <w:p w14:paraId="114720DA">
      <w:pPr>
        <w:numPr>
          <w:ilvl w:val="1"/>
          <w:numId w:val="12"/>
        </w:numPr>
        <w:tabs>
          <w:tab w:val="left" w:pos="1080"/>
        </w:tabs>
        <w:spacing w:line="360" w:lineRule="auto"/>
        <w:ind w:left="1077" w:hanging="720"/>
        <w:rPr>
          <w:rFonts w:hint="eastAsia" w:ascii="宋体" w:hAnsi="宋体" w:eastAsia="宋体" w:cs="宋体"/>
          <w:color w:val="000000"/>
          <w:sz w:val="24"/>
          <w:highlight w:val="none"/>
        </w:rPr>
      </w:pPr>
      <w:r>
        <w:rPr>
          <w:rFonts w:hint="eastAsia" w:ascii="宋体" w:hAnsi="宋体" w:eastAsia="宋体" w:cs="宋体"/>
          <w:color w:val="000000"/>
          <w:sz w:val="24"/>
          <w:highlight w:val="none"/>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0F8996D7">
      <w:pPr>
        <w:pStyle w:val="221"/>
        <w:tabs>
          <w:tab w:val="left" w:pos="900"/>
          <w:tab w:val="left" w:pos="2127"/>
        </w:tabs>
        <w:spacing w:line="360" w:lineRule="auto"/>
        <w:ind w:left="993" w:firstLine="13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其他方式，具体要求：</w:t>
      </w:r>
      <w:r>
        <w:rPr>
          <w:rFonts w:hint="eastAsia" w:ascii="宋体" w:hAnsi="宋体" w:eastAsia="宋体" w:cs="宋体"/>
          <w:color w:val="000000"/>
          <w:sz w:val="24"/>
          <w:szCs w:val="24"/>
          <w:highlight w:val="none"/>
          <w:u w:val="single"/>
        </w:rPr>
        <w:t>投标总价最低的</w:t>
      </w:r>
    </w:p>
    <w:p w14:paraId="11007959">
      <w:pPr>
        <w:numPr>
          <w:ilvl w:val="1"/>
          <w:numId w:val="12"/>
        </w:numPr>
        <w:tabs>
          <w:tab w:val="left" w:pos="1080"/>
        </w:tabs>
        <w:spacing w:line="360" w:lineRule="auto"/>
        <w:ind w:left="1077" w:hanging="720"/>
        <w:rPr>
          <w:rFonts w:hint="eastAsia" w:ascii="宋体" w:hAnsi="宋体" w:eastAsia="宋体" w:cs="宋体"/>
          <w:color w:val="000000"/>
          <w:sz w:val="24"/>
          <w:highlight w:val="none"/>
        </w:rPr>
      </w:pPr>
      <w:r>
        <w:rPr>
          <w:rFonts w:hint="eastAsia" w:ascii="宋体" w:hAnsi="宋体" w:eastAsia="宋体" w:cs="宋体"/>
          <w:color w:val="000000"/>
          <w:sz w:val="24"/>
          <w:highlight w:val="none"/>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0E83619C">
      <w:pPr>
        <w:numPr>
          <w:ilvl w:val="1"/>
          <w:numId w:val="12"/>
        </w:numPr>
        <w:tabs>
          <w:tab w:val="left" w:pos="1080"/>
        </w:tabs>
        <w:spacing w:line="360" w:lineRule="auto"/>
        <w:ind w:left="1077" w:hanging="720"/>
        <w:rPr>
          <w:rFonts w:hint="eastAsia" w:ascii="宋体" w:hAnsi="宋体" w:eastAsia="宋体" w:cs="宋体"/>
          <w:color w:val="000000"/>
          <w:sz w:val="24"/>
          <w:highlight w:val="none"/>
        </w:rPr>
      </w:pPr>
      <w:r>
        <w:rPr>
          <w:rFonts w:hint="eastAsia" w:ascii="宋体" w:hAnsi="宋体" w:eastAsia="宋体" w:cs="宋体"/>
          <w:color w:val="000000"/>
          <w:sz w:val="24"/>
          <w:highlight w:val="none"/>
        </w:rPr>
        <w:t>采用最低评标价法时，评标结果按本章2.4、2.5调整后的投标报价由低到高顺序排列。投标报价相同的并列。投标文件满足招标文件全部实质性要求且投标报价最低的投标人为排名第一的中标候选人。</w:t>
      </w:r>
    </w:p>
    <w:p w14:paraId="7D91B968">
      <w:pPr>
        <w:numPr>
          <w:ilvl w:val="1"/>
          <w:numId w:val="12"/>
        </w:numPr>
        <w:tabs>
          <w:tab w:val="left" w:pos="1080"/>
        </w:tabs>
        <w:spacing w:line="360" w:lineRule="auto"/>
        <w:ind w:left="1077" w:hanging="720"/>
        <w:rPr>
          <w:rFonts w:hint="eastAsia" w:ascii="宋体" w:hAnsi="宋体" w:eastAsia="宋体" w:cs="宋体"/>
          <w:color w:val="000000"/>
          <w:sz w:val="24"/>
          <w:highlight w:val="none"/>
        </w:rPr>
      </w:pPr>
      <w:r>
        <w:rPr>
          <w:rFonts w:hint="eastAsia" w:ascii="宋体" w:hAnsi="宋体" w:eastAsia="宋体" w:cs="宋体"/>
          <w:color w:val="000000"/>
          <w:sz w:val="24"/>
          <w:highlight w:val="none"/>
        </w:rPr>
        <w:t>评标委员会要对评分汇总情况进行复核，特别是对排名第一的、报价最低的、投标或响应文件被认定为无效的情形进行重点复核。</w:t>
      </w:r>
    </w:p>
    <w:p w14:paraId="5AAB67C4">
      <w:pPr>
        <w:numPr>
          <w:ilvl w:val="1"/>
          <w:numId w:val="12"/>
        </w:numPr>
        <w:tabs>
          <w:tab w:val="left" w:pos="1080"/>
        </w:tabs>
        <w:spacing w:line="360" w:lineRule="auto"/>
        <w:ind w:left="1077" w:hanging="720"/>
        <w:rPr>
          <w:rFonts w:hint="eastAsia" w:ascii="宋体" w:hAnsi="宋体" w:eastAsia="宋体" w:cs="宋体"/>
          <w:color w:val="000000"/>
          <w:sz w:val="24"/>
          <w:highlight w:val="none"/>
        </w:rPr>
      </w:pPr>
      <w:r>
        <w:rPr>
          <w:rFonts w:hint="eastAsia" w:ascii="宋体" w:hAnsi="宋体" w:eastAsia="宋体" w:cs="宋体"/>
          <w:color w:val="000000"/>
          <w:sz w:val="24"/>
          <w:highlight w:val="none"/>
        </w:rPr>
        <w:t>评标委员会将根据各投标人的评标排序，依次推荐本项目（各采购包）的中标候选人，起草并签署评标报告。本项目（各采购包）评标委员会共（各）推荐不少于3名中标候选人。</w:t>
      </w:r>
    </w:p>
    <w:p w14:paraId="12947A86">
      <w:pPr>
        <w:numPr>
          <w:ilvl w:val="0"/>
          <w:numId w:val="12"/>
        </w:numPr>
        <w:tabs>
          <w:tab w:val="left" w:pos="360"/>
        </w:tabs>
        <w:spacing w:line="360" w:lineRule="auto"/>
        <w:outlineLvl w:val="1"/>
        <w:rPr>
          <w:rFonts w:hint="eastAsia" w:ascii="宋体" w:hAnsi="宋体" w:eastAsia="宋体" w:cs="宋体"/>
          <w:color w:val="000000"/>
          <w:sz w:val="24"/>
          <w:highlight w:val="none"/>
        </w:rPr>
      </w:pPr>
      <w:r>
        <w:rPr>
          <w:rFonts w:hint="eastAsia" w:ascii="宋体" w:hAnsi="宋体" w:eastAsia="宋体" w:cs="宋体"/>
          <w:color w:val="000000"/>
          <w:sz w:val="24"/>
          <w:highlight w:val="none"/>
        </w:rPr>
        <w:t>报告违法行为</w:t>
      </w:r>
    </w:p>
    <w:p w14:paraId="4115668C">
      <w:pPr>
        <w:pStyle w:val="183"/>
        <w:numPr>
          <w:ilvl w:val="0"/>
          <w:numId w:val="13"/>
        </w:numPr>
        <w:spacing w:before="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评审标准</w:t>
      </w:r>
    </w:p>
    <w:tbl>
      <w:tblPr>
        <w:tblStyle w:val="28"/>
        <w:tblpPr w:leftFromText="180" w:rightFromText="180" w:vertAnchor="text" w:horzAnchor="page" w:tblpX="1313" w:tblpY="522"/>
        <w:tblW w:w="959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20"/>
        <w:gridCol w:w="1330"/>
        <w:gridCol w:w="752"/>
        <w:gridCol w:w="4297"/>
        <w:gridCol w:w="2498"/>
      </w:tblGrid>
      <w:tr w14:paraId="2108AA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3" w:hRule="atLeast"/>
        </w:trPr>
        <w:tc>
          <w:tcPr>
            <w:tcW w:w="720" w:type="dxa"/>
            <w:noWrap w:val="0"/>
            <w:vAlign w:val="center"/>
          </w:tcPr>
          <w:p w14:paraId="21A6020A">
            <w:pPr>
              <w:ind w:firstLine="28"/>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序号</w:t>
            </w:r>
          </w:p>
        </w:tc>
        <w:tc>
          <w:tcPr>
            <w:tcW w:w="1330" w:type="dxa"/>
            <w:noWrap w:val="0"/>
            <w:vAlign w:val="center"/>
          </w:tcPr>
          <w:p w14:paraId="14E5C63E">
            <w:pPr>
              <w:ind w:firstLine="28"/>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评分因素</w:t>
            </w:r>
          </w:p>
        </w:tc>
        <w:tc>
          <w:tcPr>
            <w:tcW w:w="752" w:type="dxa"/>
            <w:noWrap w:val="0"/>
            <w:vAlign w:val="center"/>
          </w:tcPr>
          <w:p w14:paraId="40DB39F9">
            <w:pPr>
              <w:ind w:firstLine="28"/>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分值</w:t>
            </w:r>
          </w:p>
        </w:tc>
        <w:tc>
          <w:tcPr>
            <w:tcW w:w="4297" w:type="dxa"/>
            <w:noWrap w:val="0"/>
            <w:vAlign w:val="center"/>
          </w:tcPr>
          <w:p w14:paraId="029C6CEE">
            <w:pPr>
              <w:ind w:firstLine="28"/>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评分标准</w:t>
            </w:r>
          </w:p>
        </w:tc>
        <w:tc>
          <w:tcPr>
            <w:tcW w:w="2498" w:type="dxa"/>
            <w:noWrap w:val="0"/>
            <w:vAlign w:val="center"/>
          </w:tcPr>
          <w:p w14:paraId="25142450">
            <w:pPr>
              <w:pStyle w:val="429"/>
              <w:spacing w:before="0"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说明</w:t>
            </w:r>
          </w:p>
        </w:tc>
      </w:tr>
      <w:tr w14:paraId="4A9198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52" w:hRule="atLeast"/>
        </w:trPr>
        <w:tc>
          <w:tcPr>
            <w:tcW w:w="720" w:type="dxa"/>
            <w:noWrap w:val="0"/>
            <w:vAlign w:val="center"/>
          </w:tcPr>
          <w:p w14:paraId="21F6F373">
            <w:pPr>
              <w:ind w:firstLine="28"/>
              <w:jc w:val="center"/>
              <w:rPr>
                <w:rFonts w:hint="eastAsia" w:ascii="宋体" w:hAnsi="宋体" w:eastAsia="宋体" w:cs="宋体"/>
                <w:b/>
                <w:color w:val="000000"/>
                <w:sz w:val="24"/>
                <w:szCs w:val="24"/>
                <w:highlight w:val="none"/>
              </w:rPr>
            </w:pPr>
            <w:r>
              <w:rPr>
                <w:rFonts w:hint="eastAsia" w:ascii="宋体" w:hAnsi="宋体" w:eastAsia="宋体" w:cs="宋体"/>
                <w:b w:val="0"/>
                <w:bCs/>
                <w:color w:val="000000"/>
                <w:sz w:val="24"/>
                <w:szCs w:val="24"/>
                <w:highlight w:val="none"/>
              </w:rPr>
              <w:t>1</w:t>
            </w:r>
          </w:p>
        </w:tc>
        <w:tc>
          <w:tcPr>
            <w:tcW w:w="1330" w:type="dxa"/>
            <w:noWrap w:val="0"/>
            <w:vAlign w:val="center"/>
          </w:tcPr>
          <w:p w14:paraId="0B932FA3">
            <w:pPr>
              <w:ind w:firstLine="28"/>
              <w:jc w:val="center"/>
              <w:rPr>
                <w:rFonts w:hint="eastAsia" w:ascii="宋体" w:hAnsi="宋体" w:eastAsia="宋体" w:cs="宋体"/>
                <w:color w:val="000000"/>
                <w:sz w:val="24"/>
                <w:szCs w:val="24"/>
                <w:highlight w:val="none"/>
              </w:rPr>
            </w:pPr>
            <w:r>
              <w:rPr>
                <w:rFonts w:hint="eastAsia" w:ascii="宋体" w:hAnsi="宋体" w:eastAsia="宋体" w:cs="Times New Roman"/>
                <w:color w:val="000000"/>
                <w:sz w:val="21"/>
                <w:szCs w:val="21"/>
                <w:highlight w:val="none"/>
                <w:lang w:eastAsia="zh-CN"/>
              </w:rPr>
              <w:t>价格分</w:t>
            </w:r>
          </w:p>
        </w:tc>
        <w:tc>
          <w:tcPr>
            <w:tcW w:w="752" w:type="dxa"/>
            <w:noWrap w:val="0"/>
            <w:vAlign w:val="center"/>
          </w:tcPr>
          <w:p w14:paraId="1CAB1278">
            <w:pPr>
              <w:ind w:firstLine="28"/>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10</w:t>
            </w:r>
          </w:p>
        </w:tc>
        <w:tc>
          <w:tcPr>
            <w:tcW w:w="4297" w:type="dxa"/>
            <w:noWrap w:val="0"/>
            <w:vAlign w:val="center"/>
          </w:tcPr>
          <w:p w14:paraId="772AEEDD">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固定价格，发生偏离即为无效标</w:t>
            </w:r>
          </w:p>
        </w:tc>
        <w:tc>
          <w:tcPr>
            <w:tcW w:w="2498" w:type="dxa"/>
            <w:noWrap w:val="0"/>
            <w:vAlign w:val="center"/>
          </w:tcPr>
          <w:p w14:paraId="7B545328">
            <w:pPr>
              <w:ind w:left="-38"/>
              <w:rPr>
                <w:rFonts w:hint="eastAsia" w:ascii="宋体" w:hAnsi="宋体" w:eastAsia="宋体" w:cs="宋体"/>
                <w:color w:val="000000"/>
                <w:sz w:val="21"/>
                <w:szCs w:val="21"/>
                <w:highlight w:val="green"/>
              </w:rPr>
            </w:pPr>
          </w:p>
        </w:tc>
      </w:tr>
      <w:tr w14:paraId="6E28E1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3" w:hRule="atLeast"/>
        </w:trPr>
        <w:tc>
          <w:tcPr>
            <w:tcW w:w="2050" w:type="dxa"/>
            <w:gridSpan w:val="2"/>
            <w:noWrap w:val="0"/>
            <w:vAlign w:val="center"/>
          </w:tcPr>
          <w:p w14:paraId="47C2D6A2">
            <w:pPr>
              <w:numPr>
                <w:ilvl w:val="0"/>
                <w:numId w:val="14"/>
              </w:numPr>
              <w:ind w:firstLine="28"/>
              <w:jc w:val="center"/>
              <w:rPr>
                <w:rFonts w:hint="eastAsia"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lang w:eastAsia="zh-CN"/>
              </w:rPr>
              <w:t>客观分</w:t>
            </w:r>
          </w:p>
        </w:tc>
        <w:tc>
          <w:tcPr>
            <w:tcW w:w="752" w:type="dxa"/>
            <w:noWrap w:val="0"/>
            <w:vAlign w:val="center"/>
          </w:tcPr>
          <w:p w14:paraId="4D02A788">
            <w:pPr>
              <w:ind w:firstLine="28"/>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40</w:t>
            </w:r>
          </w:p>
        </w:tc>
        <w:tc>
          <w:tcPr>
            <w:tcW w:w="6795" w:type="dxa"/>
            <w:gridSpan w:val="2"/>
            <w:noWrap w:val="0"/>
            <w:vAlign w:val="center"/>
          </w:tcPr>
          <w:p w14:paraId="5C3F6ECE">
            <w:pPr>
              <w:ind w:left="-38"/>
              <w:rPr>
                <w:rFonts w:hint="eastAsia" w:ascii="宋体" w:hAnsi="宋体" w:eastAsia="宋体" w:cs="宋体"/>
                <w:color w:val="000000"/>
                <w:sz w:val="21"/>
                <w:szCs w:val="21"/>
                <w:highlight w:val="none"/>
              </w:rPr>
            </w:pPr>
          </w:p>
        </w:tc>
      </w:tr>
      <w:tr w14:paraId="3303CF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5" w:hRule="atLeast"/>
        </w:trPr>
        <w:tc>
          <w:tcPr>
            <w:tcW w:w="720" w:type="dxa"/>
            <w:noWrap w:val="0"/>
            <w:vAlign w:val="center"/>
          </w:tcPr>
          <w:p w14:paraId="1A2BBEAA">
            <w:pPr>
              <w:widowControl/>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2.1</w:t>
            </w:r>
          </w:p>
        </w:tc>
        <w:tc>
          <w:tcPr>
            <w:tcW w:w="1330" w:type="dxa"/>
            <w:noWrap w:val="0"/>
            <w:vAlign w:val="center"/>
          </w:tcPr>
          <w:p w14:paraId="4592CA36">
            <w:pPr>
              <w:jc w:val="center"/>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风险综合评级</w:t>
            </w:r>
          </w:p>
        </w:tc>
        <w:tc>
          <w:tcPr>
            <w:tcW w:w="752" w:type="dxa"/>
            <w:noWrap w:val="0"/>
            <w:vAlign w:val="center"/>
          </w:tcPr>
          <w:p w14:paraId="7AE52B01">
            <w:pPr>
              <w:widowControl/>
              <w:jc w:val="center"/>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12</w:t>
            </w:r>
          </w:p>
        </w:tc>
        <w:tc>
          <w:tcPr>
            <w:tcW w:w="4297" w:type="dxa"/>
            <w:noWrap w:val="0"/>
            <w:vAlign w:val="center"/>
          </w:tcPr>
          <w:p w14:paraId="575EBA37">
            <w:pP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按照国家金融监督管理总局要求，投标人所属总公司最近公布的四个季度（2024年四季度至2025年三季度）“风险综合评级”。</w:t>
            </w:r>
          </w:p>
          <w:p w14:paraId="02B89540">
            <w:pP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AAA 3分，AA 2分，A 1分，BBB 0.5分，BB及以下不得分。四个季度的评分结果相加，合计分值最高不超过12分。</w:t>
            </w:r>
          </w:p>
        </w:tc>
        <w:tc>
          <w:tcPr>
            <w:tcW w:w="2498" w:type="dxa"/>
            <w:vMerge w:val="restart"/>
            <w:noWrap w:val="0"/>
            <w:vAlign w:val="center"/>
          </w:tcPr>
          <w:p w14:paraId="006D2232">
            <w:pPr>
              <w:widowControl/>
              <w:jc w:val="left"/>
              <w:rPr>
                <w:rFonts w:hint="eastAsia" w:ascii="宋体" w:hAnsi="宋体" w:eastAsia="宋体" w:cs="宋体"/>
                <w:color w:val="000000"/>
                <w:sz w:val="21"/>
                <w:szCs w:val="21"/>
                <w:highlight w:val="none"/>
                <w:lang w:val="en-US" w:eastAsia="zh-CN" w:bidi="ar-SA"/>
              </w:rPr>
            </w:pPr>
            <w:r>
              <w:rPr>
                <w:rFonts w:hint="eastAsia" w:ascii="宋体" w:hAnsi="宋体" w:cs="宋体"/>
                <w:szCs w:val="21"/>
                <w:lang w:val="en-US" w:eastAsia="zh-CN"/>
              </w:rPr>
              <w:t>注：</w:t>
            </w:r>
            <w:r>
              <w:rPr>
                <w:rFonts w:hint="eastAsia" w:ascii="宋体" w:hAnsi="宋体" w:cs="宋体"/>
                <w:szCs w:val="21"/>
              </w:rPr>
              <w:t>提供在中国保险行业协会公布的偿付能力报告中相关部分</w:t>
            </w:r>
          </w:p>
        </w:tc>
      </w:tr>
      <w:tr w14:paraId="4DD534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720" w:type="dxa"/>
            <w:vMerge w:val="restart"/>
            <w:noWrap w:val="0"/>
            <w:vAlign w:val="center"/>
          </w:tcPr>
          <w:p w14:paraId="103AEE99">
            <w:pPr>
              <w:widowControl/>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2.2</w:t>
            </w:r>
          </w:p>
        </w:tc>
        <w:tc>
          <w:tcPr>
            <w:tcW w:w="1330" w:type="dxa"/>
            <w:vMerge w:val="restart"/>
            <w:noWrap w:val="0"/>
            <w:vAlign w:val="center"/>
          </w:tcPr>
          <w:p w14:paraId="3998C1FF">
            <w:pPr>
              <w:jc w:val="center"/>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偿付能力情况</w:t>
            </w:r>
          </w:p>
        </w:tc>
        <w:tc>
          <w:tcPr>
            <w:tcW w:w="752" w:type="dxa"/>
            <w:noWrap w:val="0"/>
            <w:vAlign w:val="center"/>
          </w:tcPr>
          <w:p w14:paraId="37EE9511">
            <w:pPr>
              <w:widowControl/>
              <w:jc w:val="center"/>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6</w:t>
            </w:r>
          </w:p>
        </w:tc>
        <w:tc>
          <w:tcPr>
            <w:tcW w:w="4297" w:type="dxa"/>
            <w:noWrap w:val="0"/>
            <w:vAlign w:val="center"/>
          </w:tcPr>
          <w:p w14:paraId="7A233DA6">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按照国家金融监督管理总局要求，投标人所属总公司公布的2025年度末（即2025年四季度）的“综合偿付能力充足率”评分。</w:t>
            </w:r>
          </w:p>
          <w:p w14:paraId="5D9D9FE1">
            <w:pP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充足率≥174%得6分；169%≤充足率＜174%得3分；充足率＜169%不得分。</w:t>
            </w:r>
          </w:p>
        </w:tc>
        <w:tc>
          <w:tcPr>
            <w:tcW w:w="2498" w:type="dxa"/>
            <w:vMerge w:val="continue"/>
            <w:noWrap w:val="0"/>
            <w:vAlign w:val="center"/>
          </w:tcPr>
          <w:p w14:paraId="78F36AA6">
            <w:pPr>
              <w:widowControl/>
              <w:jc w:val="left"/>
              <w:rPr>
                <w:rFonts w:hint="eastAsia" w:ascii="宋体" w:hAnsi="宋体" w:eastAsia="宋体" w:cs="宋体"/>
                <w:szCs w:val="21"/>
                <w:lang w:val="en-US" w:eastAsia="zh-CN" w:bidi="ar"/>
              </w:rPr>
            </w:pPr>
          </w:p>
        </w:tc>
      </w:tr>
      <w:tr w14:paraId="3CB9CE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5" w:hRule="atLeast"/>
        </w:trPr>
        <w:tc>
          <w:tcPr>
            <w:tcW w:w="720" w:type="dxa"/>
            <w:vMerge w:val="continue"/>
            <w:noWrap w:val="0"/>
            <w:vAlign w:val="center"/>
          </w:tcPr>
          <w:p w14:paraId="17B7090B">
            <w:pPr>
              <w:widowControl/>
              <w:jc w:val="center"/>
              <w:rPr>
                <w:rFonts w:hint="eastAsia" w:ascii="宋体" w:hAnsi="宋体" w:eastAsia="宋体" w:cs="宋体"/>
                <w:color w:val="000000"/>
                <w:sz w:val="24"/>
                <w:szCs w:val="24"/>
                <w:highlight w:val="none"/>
                <w:lang w:val="en-US" w:eastAsia="zh-CN"/>
              </w:rPr>
            </w:pPr>
          </w:p>
        </w:tc>
        <w:tc>
          <w:tcPr>
            <w:tcW w:w="1330" w:type="dxa"/>
            <w:vMerge w:val="continue"/>
            <w:noWrap w:val="0"/>
            <w:vAlign w:val="center"/>
          </w:tcPr>
          <w:p w14:paraId="5ADDA9A2">
            <w:pPr>
              <w:jc w:val="center"/>
              <w:rPr>
                <w:rFonts w:ascii="宋体" w:hAnsi="宋体" w:eastAsia="宋体" w:cs="宋体"/>
                <w:color w:val="000000"/>
                <w:sz w:val="21"/>
                <w:szCs w:val="21"/>
                <w:highlight w:val="none"/>
                <w:lang w:val="en-US" w:eastAsia="zh-CN"/>
              </w:rPr>
            </w:pPr>
          </w:p>
        </w:tc>
        <w:tc>
          <w:tcPr>
            <w:tcW w:w="752" w:type="dxa"/>
            <w:noWrap w:val="0"/>
            <w:vAlign w:val="center"/>
          </w:tcPr>
          <w:p w14:paraId="3906EE63">
            <w:pPr>
              <w:widowControl/>
              <w:jc w:val="center"/>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6</w:t>
            </w:r>
          </w:p>
        </w:tc>
        <w:tc>
          <w:tcPr>
            <w:tcW w:w="4297" w:type="dxa"/>
            <w:noWrap w:val="0"/>
            <w:vAlign w:val="center"/>
          </w:tcPr>
          <w:p w14:paraId="2ACB2FAC">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按照国家金融监督管理总局要求，投标人所属总公司公布的2025年度末（即2025年四季度）的“核心偿付能力充足率”评分。</w:t>
            </w:r>
          </w:p>
          <w:p w14:paraId="15D8AA88">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充足率≥120%得6分；115%≤充足率＜120%得3分；充足率＜115%不得分。</w:t>
            </w:r>
          </w:p>
        </w:tc>
        <w:tc>
          <w:tcPr>
            <w:tcW w:w="2498" w:type="dxa"/>
            <w:vMerge w:val="continue"/>
            <w:noWrap w:val="0"/>
            <w:vAlign w:val="center"/>
          </w:tcPr>
          <w:p w14:paraId="471A2134">
            <w:pPr>
              <w:widowControl/>
              <w:jc w:val="left"/>
              <w:rPr>
                <w:rFonts w:hint="eastAsia" w:ascii="宋体" w:hAnsi="宋体" w:eastAsia="宋体" w:cs="宋体"/>
                <w:szCs w:val="21"/>
                <w:lang w:val="en-US" w:eastAsia="zh-CN" w:bidi="ar"/>
              </w:rPr>
            </w:pPr>
          </w:p>
        </w:tc>
      </w:tr>
      <w:tr w14:paraId="1D1BD3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5" w:hRule="atLeast"/>
        </w:trPr>
        <w:tc>
          <w:tcPr>
            <w:tcW w:w="720" w:type="dxa"/>
            <w:noWrap w:val="0"/>
            <w:vAlign w:val="center"/>
          </w:tcPr>
          <w:p w14:paraId="58322FB8">
            <w:pPr>
              <w:widowControl/>
              <w:jc w:val="center"/>
              <w:rPr>
                <w:rFonts w:eastAsia="宋体"/>
                <w:lang w:val="en-US" w:eastAsia="zh-CN"/>
              </w:rPr>
            </w:pPr>
            <w:r>
              <w:rPr>
                <w:rFonts w:hint="eastAsia" w:ascii="宋体" w:hAnsi="宋体" w:eastAsia="宋体" w:cs="宋体"/>
                <w:color w:val="000000"/>
                <w:sz w:val="24"/>
                <w:szCs w:val="24"/>
                <w:highlight w:val="none"/>
                <w:lang w:val="en-US" w:eastAsia="zh-CN"/>
              </w:rPr>
              <w:t>2.3</w:t>
            </w:r>
          </w:p>
        </w:tc>
        <w:tc>
          <w:tcPr>
            <w:tcW w:w="1330" w:type="dxa"/>
            <w:noWrap w:val="0"/>
            <w:vAlign w:val="center"/>
          </w:tcPr>
          <w:p w14:paraId="0D2D7650">
            <w:pPr>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承保经验</w:t>
            </w:r>
          </w:p>
        </w:tc>
        <w:tc>
          <w:tcPr>
            <w:tcW w:w="752" w:type="dxa"/>
            <w:noWrap w:val="0"/>
            <w:vAlign w:val="center"/>
          </w:tcPr>
          <w:p w14:paraId="3A47CC5F">
            <w:pPr>
              <w:widowControl/>
              <w:jc w:val="center"/>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12</w:t>
            </w:r>
          </w:p>
        </w:tc>
        <w:tc>
          <w:tcPr>
            <w:tcW w:w="4297" w:type="dxa"/>
            <w:noWrap w:val="0"/>
            <w:vAlign w:val="center"/>
          </w:tcPr>
          <w:p w14:paraId="455C5CEC">
            <w:pPr>
              <w:rPr>
                <w:rFonts w:ascii="宋体" w:hAnsi="宋体" w:eastAsia="宋体" w:cs="宋体"/>
                <w:color w:val="000000"/>
                <w:sz w:val="21"/>
                <w:szCs w:val="21"/>
                <w:highlight w:val="none"/>
                <w:lang w:val="en-US" w:eastAsia="zh-CN" w:bidi="ar-SA"/>
              </w:rPr>
            </w:pPr>
            <w:r>
              <w:rPr>
                <w:rFonts w:hint="eastAsia" w:ascii="宋体" w:hAnsi="宋体"/>
              </w:rPr>
              <w:t>投标人自2025年1月1日开始至今，承保残疾人员补充商业保险的经验（单张保单参保人数大于5千人，参保人群针对残疾人，且承保时不限最大年龄及健康情况），每有1件得4分（若为共保，主承得分，次承不得分；同一投保人计为1件）</w:t>
            </w:r>
          </w:p>
        </w:tc>
        <w:tc>
          <w:tcPr>
            <w:tcW w:w="2498" w:type="dxa"/>
            <w:noWrap w:val="0"/>
            <w:vAlign w:val="center"/>
          </w:tcPr>
          <w:p w14:paraId="6C379A83">
            <w:pPr>
              <w:widowControl/>
              <w:jc w:val="left"/>
              <w:rPr>
                <w:rFonts w:hint="eastAsia" w:ascii="宋体" w:hAnsi="宋体" w:eastAsia="宋体" w:cs="宋体"/>
                <w:color w:val="000000"/>
                <w:sz w:val="21"/>
                <w:szCs w:val="21"/>
                <w:highlight w:val="none"/>
                <w:lang w:val="en-US" w:eastAsia="zh-CN" w:bidi="ar-SA"/>
              </w:rPr>
            </w:pPr>
            <w:r>
              <w:rPr>
                <w:rFonts w:hint="eastAsia" w:ascii="宋体" w:hAnsi="宋体" w:cs="宋体"/>
                <w:szCs w:val="21"/>
                <w:lang w:val="en-US" w:eastAsia="zh-CN"/>
              </w:rPr>
              <w:t>注：</w:t>
            </w:r>
            <w:r>
              <w:rPr>
                <w:rFonts w:hint="eastAsia" w:ascii="宋体" w:hAnsi="宋体" w:cs="宋体"/>
                <w:szCs w:val="21"/>
              </w:rPr>
              <w:t>提供投保单或保险合同</w:t>
            </w:r>
            <w:r>
              <w:rPr>
                <w:rFonts w:hint="eastAsia" w:ascii="宋体" w:hAnsi="宋体" w:cs="宋体"/>
                <w:szCs w:val="21"/>
                <w:lang w:val="en-US" w:eastAsia="zh-CN"/>
              </w:rPr>
              <w:t>复印件</w:t>
            </w:r>
          </w:p>
        </w:tc>
      </w:tr>
      <w:tr w14:paraId="27FBAD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5" w:hRule="atLeast"/>
        </w:trPr>
        <w:tc>
          <w:tcPr>
            <w:tcW w:w="720" w:type="dxa"/>
            <w:noWrap w:val="0"/>
            <w:vAlign w:val="center"/>
          </w:tcPr>
          <w:p w14:paraId="6EB6517E">
            <w:pPr>
              <w:widowControl/>
              <w:jc w:val="center"/>
              <w:rPr>
                <w:rFonts w:eastAsia="宋体"/>
                <w:lang w:val="en-US" w:eastAsia="zh-CN"/>
              </w:rPr>
            </w:pPr>
            <w:r>
              <w:rPr>
                <w:rFonts w:hint="eastAsia" w:ascii="宋体" w:hAnsi="宋体" w:eastAsia="宋体" w:cs="宋体"/>
                <w:color w:val="000000"/>
                <w:sz w:val="24"/>
                <w:szCs w:val="24"/>
                <w:highlight w:val="none"/>
                <w:lang w:val="en-US" w:eastAsia="zh-CN"/>
              </w:rPr>
              <w:t>2.4</w:t>
            </w:r>
          </w:p>
        </w:tc>
        <w:tc>
          <w:tcPr>
            <w:tcW w:w="1330" w:type="dxa"/>
            <w:noWrap w:val="0"/>
            <w:vAlign w:val="center"/>
          </w:tcPr>
          <w:p w14:paraId="70E3BFFB">
            <w:pPr>
              <w:jc w:val="center"/>
              <w:rPr>
                <w:rFonts w:hint="eastAsia" w:eastAsia="宋体"/>
                <w:lang w:val="en-US" w:eastAsia="zh-CN"/>
              </w:rPr>
            </w:pPr>
            <w:r>
              <w:rPr>
                <w:rFonts w:hint="eastAsia"/>
                <w:lang w:val="en-US" w:eastAsia="zh-CN"/>
              </w:rPr>
              <w:t>相关承诺</w:t>
            </w:r>
          </w:p>
        </w:tc>
        <w:tc>
          <w:tcPr>
            <w:tcW w:w="752" w:type="dxa"/>
            <w:noWrap w:val="0"/>
            <w:vAlign w:val="center"/>
          </w:tcPr>
          <w:p w14:paraId="08132BF4">
            <w:pPr>
              <w:jc w:val="center"/>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4</w:t>
            </w:r>
          </w:p>
        </w:tc>
        <w:tc>
          <w:tcPr>
            <w:tcW w:w="4297" w:type="dxa"/>
            <w:noWrap w:val="0"/>
            <w:vAlign w:val="center"/>
          </w:tcPr>
          <w:p w14:paraId="60F6156C">
            <w:pPr>
              <w:widowControl/>
              <w:numPr>
                <w:ilvl w:val="0"/>
                <w:numId w:val="0"/>
              </w:numPr>
              <w:ind w:left="0" w:firstLine="0"/>
              <w:jc w:val="left"/>
              <w:rPr>
                <w:rFonts w:ascii="宋体" w:hAnsi="宋体" w:eastAsia="宋体" w:cs="宋体"/>
                <w:color w:val="000000"/>
                <w:sz w:val="21"/>
                <w:szCs w:val="21"/>
                <w:highlight w:val="none"/>
                <w:lang w:val="en-US" w:eastAsia="zh-CN" w:bidi="ar-SA"/>
              </w:rPr>
            </w:pPr>
            <w:r>
              <w:rPr>
                <w:rFonts w:hint="eastAsia" w:ascii="宋体" w:hAnsi="宋体"/>
              </w:rPr>
              <w:t>针对采购需求的内容，承诺能完全满足所有保险责任要求。在承保时，对被保险人的年龄上限、既往健康情况不作限制</w:t>
            </w:r>
            <w:r>
              <w:rPr>
                <w:rFonts w:hint="eastAsia" w:ascii="宋体" w:hAnsi="宋体"/>
                <w:lang w:val="en-US" w:eastAsia="zh-CN"/>
              </w:rPr>
              <w:t>的</w:t>
            </w:r>
            <w:r>
              <w:rPr>
                <w:rFonts w:hint="eastAsia" w:ascii="宋体" w:hAnsi="宋体"/>
              </w:rPr>
              <w:t>得4分</w:t>
            </w:r>
            <w:r>
              <w:rPr>
                <w:rFonts w:hint="eastAsia" w:ascii="宋体" w:hAnsi="宋体"/>
                <w:lang w:eastAsia="zh-CN"/>
              </w:rPr>
              <w:t>，</w:t>
            </w:r>
            <w:r>
              <w:rPr>
                <w:rFonts w:hint="eastAsia" w:ascii="宋体" w:hAnsi="宋体"/>
                <w:lang w:val="en-US" w:eastAsia="zh-CN"/>
              </w:rPr>
              <w:t>否则不得分。</w:t>
            </w:r>
          </w:p>
        </w:tc>
        <w:tc>
          <w:tcPr>
            <w:tcW w:w="2498" w:type="dxa"/>
            <w:noWrap w:val="0"/>
            <w:vAlign w:val="center"/>
          </w:tcPr>
          <w:p w14:paraId="0933ED95">
            <w:pPr>
              <w:rPr>
                <w:rFonts w:ascii="宋体" w:hAnsi="宋体" w:eastAsia="宋体" w:cs="宋体"/>
                <w:color w:val="000000"/>
                <w:sz w:val="21"/>
                <w:szCs w:val="21"/>
                <w:highlight w:val="none"/>
                <w:lang w:val="en-US" w:eastAsia="zh-CN" w:bidi="ar-SA"/>
              </w:rPr>
            </w:pPr>
          </w:p>
        </w:tc>
      </w:tr>
      <w:tr w14:paraId="10B474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6" w:hRule="atLeast"/>
        </w:trPr>
        <w:tc>
          <w:tcPr>
            <w:tcW w:w="2050" w:type="dxa"/>
            <w:gridSpan w:val="2"/>
            <w:noWrap w:val="0"/>
            <w:vAlign w:val="center"/>
          </w:tcPr>
          <w:p w14:paraId="338F1395">
            <w:pPr>
              <w:numPr>
                <w:ilvl w:val="0"/>
                <w:numId w:val="14"/>
              </w:numPr>
              <w:ind w:left="0" w:firstLine="28"/>
              <w:jc w:val="center"/>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eastAsia="zh-CN"/>
              </w:rPr>
              <w:t>主观分</w:t>
            </w:r>
          </w:p>
        </w:tc>
        <w:tc>
          <w:tcPr>
            <w:tcW w:w="752" w:type="dxa"/>
            <w:noWrap w:val="0"/>
            <w:vAlign w:val="center"/>
          </w:tcPr>
          <w:p w14:paraId="47BF7106">
            <w:pPr>
              <w:ind w:firstLine="28"/>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50</w:t>
            </w:r>
          </w:p>
        </w:tc>
        <w:tc>
          <w:tcPr>
            <w:tcW w:w="4297" w:type="dxa"/>
            <w:noWrap w:val="0"/>
            <w:vAlign w:val="center"/>
          </w:tcPr>
          <w:p w14:paraId="40615852">
            <w:pPr>
              <w:rPr>
                <w:rFonts w:hint="eastAsia" w:ascii="宋体" w:hAnsi="宋体" w:eastAsia="宋体" w:cs="宋体"/>
                <w:color w:val="000000"/>
                <w:sz w:val="21"/>
                <w:szCs w:val="21"/>
                <w:highlight w:val="none"/>
              </w:rPr>
            </w:pPr>
          </w:p>
        </w:tc>
        <w:tc>
          <w:tcPr>
            <w:tcW w:w="2498" w:type="dxa"/>
            <w:noWrap w:val="0"/>
            <w:vAlign w:val="center"/>
          </w:tcPr>
          <w:p w14:paraId="4B10DD47">
            <w:pPr>
              <w:ind w:left="-38"/>
              <w:rPr>
                <w:rFonts w:hint="eastAsia" w:ascii="宋体" w:hAnsi="宋体" w:eastAsia="宋体" w:cs="宋体"/>
                <w:color w:val="000000"/>
                <w:sz w:val="21"/>
                <w:szCs w:val="21"/>
                <w:highlight w:val="none"/>
              </w:rPr>
            </w:pPr>
          </w:p>
        </w:tc>
      </w:tr>
      <w:tr w14:paraId="179ED9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74" w:hRule="atLeast"/>
        </w:trPr>
        <w:tc>
          <w:tcPr>
            <w:tcW w:w="720" w:type="dxa"/>
            <w:noWrap w:val="0"/>
            <w:vAlign w:val="center"/>
          </w:tcPr>
          <w:p w14:paraId="7282AF22">
            <w:pPr>
              <w:widowControl/>
              <w:jc w:val="center"/>
              <w:rPr>
                <w:rFonts w:hint="eastAsia" w:ascii="宋体" w:hAnsi="宋体" w:eastAsia="宋体" w:cs="Times New Roman"/>
              </w:rPr>
            </w:pPr>
            <w:r>
              <w:rPr>
                <w:rFonts w:hint="eastAsia" w:ascii="宋体" w:hAnsi="宋体" w:eastAsia="宋体" w:cs="宋体"/>
                <w:color w:val="000000"/>
                <w:sz w:val="24"/>
                <w:szCs w:val="24"/>
                <w:highlight w:val="none"/>
                <w:lang w:val="en-US" w:eastAsia="zh-CN"/>
              </w:rPr>
              <w:t>3.1</w:t>
            </w:r>
          </w:p>
        </w:tc>
        <w:tc>
          <w:tcPr>
            <w:tcW w:w="1330" w:type="dxa"/>
            <w:noWrap w:val="0"/>
            <w:vAlign w:val="center"/>
          </w:tcPr>
          <w:p w14:paraId="311144FB">
            <w:pPr>
              <w:jc w:val="center"/>
              <w:rPr>
                <w:rFonts w:ascii="宋体" w:hAnsi="宋体" w:eastAsia="宋体" w:cs="Times New Roman"/>
                <w:lang w:val="en-US" w:eastAsia="zh-CN"/>
              </w:rPr>
            </w:pPr>
            <w:r>
              <w:rPr>
                <w:rFonts w:hint="eastAsia" w:ascii="宋体" w:hAnsi="宋体" w:eastAsia="宋体" w:cs="Times New Roman"/>
                <w:lang w:val="en-US" w:eastAsia="zh-CN"/>
              </w:rPr>
              <w:t>承保服务方案</w:t>
            </w:r>
          </w:p>
        </w:tc>
        <w:tc>
          <w:tcPr>
            <w:tcW w:w="752" w:type="dxa"/>
            <w:noWrap w:val="0"/>
            <w:vAlign w:val="center"/>
          </w:tcPr>
          <w:p w14:paraId="0032C2BC">
            <w:pPr>
              <w:widowControl/>
              <w:jc w:val="center"/>
              <w:rPr>
                <w:rFonts w:ascii="宋体" w:hAnsi="宋体" w:eastAsia="宋体" w:cs="Times New Roman"/>
                <w:lang w:val="en-US" w:eastAsia="zh-CN"/>
              </w:rPr>
            </w:pPr>
            <w:r>
              <w:rPr>
                <w:rFonts w:hint="eastAsia" w:ascii="宋体" w:hAnsi="宋体" w:eastAsia="宋体" w:cs="宋体"/>
                <w:b w:val="0"/>
                <w:bCs w:val="0"/>
                <w:color w:val="000000"/>
                <w:sz w:val="21"/>
                <w:szCs w:val="21"/>
                <w:highlight w:val="none"/>
                <w:lang w:val="en-US" w:eastAsia="zh-CN" w:bidi="ar-SA"/>
              </w:rPr>
              <w:t>10</w:t>
            </w:r>
          </w:p>
        </w:tc>
        <w:tc>
          <w:tcPr>
            <w:tcW w:w="4297" w:type="dxa"/>
            <w:noWrap w:val="0"/>
            <w:vAlign w:val="center"/>
          </w:tcPr>
          <w:p w14:paraId="3346275F">
            <w:pPr>
              <w:rPr>
                <w:rFonts w:hint="eastAsia" w:ascii="宋体" w:hAnsi="宋体" w:eastAsia="宋体" w:cs="Times New Roman"/>
                <w:lang w:val="en-US" w:eastAsia="zh-CN"/>
              </w:rPr>
            </w:pPr>
            <w:r>
              <w:rPr>
                <w:rFonts w:hint="eastAsia" w:ascii="宋体" w:hAnsi="宋体" w:eastAsia="宋体" w:cs="Times New Roman"/>
                <w:lang w:val="en-US" w:eastAsia="zh-CN"/>
              </w:rPr>
              <w:t>根据自身对项目的理解制定承保服务方案并进行阐述，内容包括但不限于：</w:t>
            </w:r>
            <w:r>
              <w:rPr>
                <w:rFonts w:hint="eastAsia" w:ascii="宋体" w:hAnsi="宋体" w:eastAsia="宋体" w:cs="Times New Roman"/>
              </w:rPr>
              <w:t>①</w:t>
            </w:r>
            <w:r>
              <w:rPr>
                <w:rFonts w:hint="eastAsia" w:ascii="宋体" w:hAnsi="宋体" w:eastAsia="宋体" w:cs="Times New Roman"/>
                <w:lang w:val="en-US" w:eastAsia="zh-CN"/>
              </w:rPr>
              <w:t>参保名单信息的核准</w:t>
            </w:r>
            <w:r>
              <w:rPr>
                <w:rFonts w:hint="eastAsia" w:ascii="宋体" w:hAnsi="宋体" w:eastAsia="宋体" w:cs="Times New Roman"/>
              </w:rPr>
              <w:t>；②</w:t>
            </w:r>
            <w:r>
              <w:rPr>
                <w:rFonts w:hint="eastAsia" w:ascii="宋体" w:hAnsi="宋体" w:eastAsia="宋体" w:cs="Times New Roman"/>
                <w:lang w:val="en-US" w:eastAsia="zh-CN"/>
              </w:rPr>
              <w:t>投保服务便捷、高效</w:t>
            </w:r>
            <w:r>
              <w:rPr>
                <w:rFonts w:hint="eastAsia" w:ascii="宋体" w:hAnsi="宋体" w:eastAsia="宋体" w:cs="Times New Roman"/>
              </w:rPr>
              <w:t>；③</w:t>
            </w:r>
            <w:r>
              <w:rPr>
                <w:rFonts w:hint="eastAsia" w:ascii="宋体" w:hAnsi="宋体" w:eastAsia="宋体" w:cs="Times New Roman"/>
                <w:lang w:val="en-US" w:eastAsia="zh-CN"/>
              </w:rPr>
              <w:t>提升参保知晓率</w:t>
            </w:r>
            <w:r>
              <w:rPr>
                <w:rFonts w:hint="eastAsia" w:ascii="宋体" w:hAnsi="宋体" w:eastAsia="宋体" w:cs="Times New Roman"/>
              </w:rPr>
              <w:t>等。</w:t>
            </w:r>
          </w:p>
          <w:p w14:paraId="634DB5A2">
            <w:pPr>
              <w:rPr>
                <w:rFonts w:hint="eastAsia" w:ascii="宋体" w:hAnsi="宋体" w:eastAsia="宋体" w:cs="Times New Roman"/>
              </w:rPr>
            </w:pPr>
            <w:r>
              <w:rPr>
                <w:rFonts w:hint="eastAsia" w:ascii="宋体" w:hAnsi="宋体" w:eastAsia="宋体" w:cs="Times New Roman"/>
              </w:rPr>
              <w:t>方案全面科学合理</w:t>
            </w:r>
            <w:r>
              <w:rPr>
                <w:rFonts w:hint="eastAsia" w:ascii="宋体" w:hAnsi="宋体" w:eastAsia="宋体" w:cs="Times New Roman"/>
                <w:lang w:eastAsia="zh-CN"/>
              </w:rPr>
              <w:t>，</w:t>
            </w:r>
            <w:r>
              <w:rPr>
                <w:rFonts w:hint="eastAsia" w:ascii="宋体" w:hAnsi="宋体" w:eastAsia="宋体" w:cs="Times New Roman"/>
              </w:rPr>
              <w:t>可行性高得</w:t>
            </w:r>
            <w:r>
              <w:rPr>
                <w:rFonts w:hint="eastAsia" w:ascii="宋体" w:hAnsi="宋体" w:eastAsia="宋体" w:cs="Times New Roman"/>
                <w:lang w:val="en-US" w:eastAsia="zh-CN"/>
              </w:rPr>
              <w:t>10</w:t>
            </w:r>
            <w:r>
              <w:rPr>
                <w:rFonts w:hint="eastAsia" w:ascii="宋体" w:hAnsi="宋体" w:eastAsia="宋体" w:cs="Times New Roman"/>
              </w:rPr>
              <w:t>分，</w:t>
            </w:r>
          </w:p>
          <w:p w14:paraId="6614EE81">
            <w:pPr>
              <w:rPr>
                <w:rFonts w:hint="eastAsia" w:ascii="宋体" w:hAnsi="宋体" w:eastAsia="宋体" w:cs="Times New Roman"/>
              </w:rPr>
            </w:pPr>
            <w:r>
              <w:rPr>
                <w:rFonts w:hint="eastAsia" w:ascii="宋体" w:hAnsi="宋体" w:eastAsia="宋体" w:cs="Times New Roman"/>
              </w:rPr>
              <w:t>方案</w:t>
            </w:r>
            <w:r>
              <w:rPr>
                <w:rFonts w:hint="eastAsia" w:ascii="宋体" w:hAnsi="宋体" w:eastAsia="宋体" w:cs="Times New Roman"/>
                <w:lang w:val="en-US" w:eastAsia="zh-CN"/>
              </w:rPr>
              <w:t>较</w:t>
            </w:r>
            <w:r>
              <w:rPr>
                <w:rFonts w:hint="eastAsia" w:ascii="宋体" w:hAnsi="宋体" w:eastAsia="宋体" w:cs="Times New Roman"/>
              </w:rPr>
              <w:t>全面科学合理</w:t>
            </w:r>
            <w:r>
              <w:rPr>
                <w:rFonts w:hint="eastAsia" w:ascii="宋体" w:hAnsi="宋体" w:eastAsia="宋体" w:cs="Times New Roman"/>
                <w:lang w:eastAsia="zh-CN"/>
              </w:rPr>
              <w:t>，</w:t>
            </w:r>
            <w:r>
              <w:rPr>
                <w:rFonts w:hint="eastAsia" w:ascii="宋体" w:hAnsi="宋体" w:eastAsia="宋体" w:cs="Times New Roman"/>
              </w:rPr>
              <w:t>可行性较高得</w:t>
            </w:r>
            <w:r>
              <w:rPr>
                <w:rFonts w:hint="eastAsia" w:ascii="宋体" w:hAnsi="宋体" w:eastAsia="宋体" w:cs="Times New Roman"/>
                <w:lang w:val="en-US" w:eastAsia="zh-CN"/>
              </w:rPr>
              <w:t>7</w:t>
            </w:r>
            <w:r>
              <w:rPr>
                <w:rFonts w:hint="eastAsia" w:ascii="宋体" w:hAnsi="宋体" w:eastAsia="宋体" w:cs="Times New Roman"/>
              </w:rPr>
              <w:t>分，</w:t>
            </w:r>
          </w:p>
          <w:p w14:paraId="586FA7A2">
            <w:pPr>
              <w:rPr>
                <w:rFonts w:hint="eastAsia" w:ascii="宋体" w:hAnsi="宋体" w:eastAsia="宋体" w:cs="Times New Roman"/>
              </w:rPr>
            </w:pPr>
            <w:r>
              <w:rPr>
                <w:rFonts w:hint="eastAsia" w:ascii="宋体" w:hAnsi="宋体" w:eastAsia="宋体" w:cs="Times New Roman"/>
              </w:rPr>
              <w:t>方案</w:t>
            </w:r>
            <w:r>
              <w:rPr>
                <w:rFonts w:hint="eastAsia" w:ascii="宋体" w:hAnsi="宋体" w:eastAsia="宋体" w:cs="Times New Roman"/>
                <w:lang w:val="en-US" w:eastAsia="zh-CN"/>
              </w:rPr>
              <w:t>基本</w:t>
            </w:r>
            <w:r>
              <w:rPr>
                <w:rFonts w:hint="eastAsia" w:ascii="宋体" w:hAnsi="宋体" w:eastAsia="宋体" w:cs="Times New Roman"/>
              </w:rPr>
              <w:t>全面科学合理</w:t>
            </w:r>
            <w:r>
              <w:rPr>
                <w:rFonts w:hint="eastAsia" w:ascii="宋体" w:hAnsi="宋体" w:eastAsia="宋体" w:cs="Times New Roman"/>
                <w:lang w:eastAsia="zh-CN"/>
              </w:rPr>
              <w:t>，</w:t>
            </w:r>
            <w:r>
              <w:rPr>
                <w:rFonts w:hint="eastAsia" w:ascii="宋体" w:hAnsi="宋体" w:eastAsia="宋体" w:cs="Times New Roman"/>
                <w:lang w:val="en-US" w:eastAsia="zh-CN"/>
              </w:rPr>
              <w:t>具有一定</w:t>
            </w:r>
            <w:r>
              <w:rPr>
                <w:rFonts w:hint="eastAsia" w:ascii="宋体" w:hAnsi="宋体" w:eastAsia="宋体" w:cs="Times New Roman"/>
              </w:rPr>
              <w:t>可行性</w:t>
            </w:r>
            <w:r>
              <w:rPr>
                <w:rFonts w:hint="eastAsia" w:ascii="宋体" w:hAnsi="宋体" w:eastAsia="宋体" w:cs="Times New Roman"/>
                <w:lang w:val="en-US" w:eastAsia="zh-CN"/>
              </w:rPr>
              <w:t>的</w:t>
            </w:r>
            <w:r>
              <w:rPr>
                <w:rFonts w:hint="eastAsia" w:ascii="宋体" w:hAnsi="宋体" w:eastAsia="宋体" w:cs="Times New Roman"/>
              </w:rPr>
              <w:t>得</w:t>
            </w:r>
            <w:r>
              <w:rPr>
                <w:rFonts w:hint="eastAsia" w:ascii="宋体" w:hAnsi="宋体" w:eastAsia="宋体" w:cs="Times New Roman"/>
                <w:lang w:val="en-US" w:eastAsia="zh-CN"/>
              </w:rPr>
              <w:t>4</w:t>
            </w:r>
            <w:r>
              <w:rPr>
                <w:rFonts w:hint="eastAsia" w:ascii="宋体" w:hAnsi="宋体" w:eastAsia="宋体" w:cs="Times New Roman"/>
              </w:rPr>
              <w:t>分，</w:t>
            </w:r>
          </w:p>
          <w:p w14:paraId="5EEDEE3F">
            <w:pPr>
              <w:rPr>
                <w:rFonts w:hint="eastAsia" w:ascii="宋体" w:hAnsi="宋体" w:eastAsia="宋体" w:cs="Times New Roman"/>
              </w:rPr>
            </w:pPr>
            <w:r>
              <w:rPr>
                <w:rFonts w:hint="eastAsia" w:ascii="宋体" w:hAnsi="宋体" w:eastAsia="宋体" w:cs="Times New Roman"/>
              </w:rPr>
              <w:t>方案全面科学合理可行性</w:t>
            </w:r>
            <w:r>
              <w:rPr>
                <w:rFonts w:hint="eastAsia" w:ascii="宋体" w:hAnsi="宋体" w:eastAsia="宋体" w:cs="Times New Roman"/>
                <w:lang w:val="en-US" w:eastAsia="zh-CN"/>
              </w:rPr>
              <w:t>欠缺的</w:t>
            </w:r>
            <w:r>
              <w:rPr>
                <w:rFonts w:hint="eastAsia" w:ascii="宋体" w:hAnsi="宋体" w:eastAsia="宋体" w:cs="Times New Roman"/>
              </w:rPr>
              <w:t>得</w:t>
            </w:r>
            <w:r>
              <w:rPr>
                <w:rFonts w:hint="eastAsia" w:ascii="宋体" w:hAnsi="宋体" w:eastAsia="宋体" w:cs="Times New Roman"/>
                <w:lang w:val="en-US" w:eastAsia="zh-CN"/>
              </w:rPr>
              <w:t>1</w:t>
            </w:r>
            <w:r>
              <w:rPr>
                <w:rFonts w:hint="eastAsia" w:ascii="宋体" w:hAnsi="宋体" w:eastAsia="宋体" w:cs="Times New Roman"/>
              </w:rPr>
              <w:t>分，</w:t>
            </w:r>
          </w:p>
          <w:p w14:paraId="5815533C">
            <w:pPr>
              <w:rPr>
                <w:rFonts w:hint="eastAsia" w:ascii="宋体" w:hAnsi="宋体" w:eastAsia="宋体" w:cs="Times New Roman"/>
                <w:lang w:val="en-US" w:eastAsia="zh-CN"/>
              </w:rPr>
            </w:pPr>
            <w:r>
              <w:rPr>
                <w:rFonts w:hint="eastAsia" w:ascii="宋体" w:hAnsi="宋体" w:eastAsia="宋体" w:cs="Times New Roman"/>
              </w:rPr>
              <w:t>未提供方案不得分。</w:t>
            </w:r>
          </w:p>
        </w:tc>
        <w:tc>
          <w:tcPr>
            <w:tcW w:w="2498" w:type="dxa"/>
            <w:noWrap w:val="0"/>
            <w:vAlign w:val="center"/>
          </w:tcPr>
          <w:p w14:paraId="18E01CFA">
            <w:pPr>
              <w:ind w:left="-38"/>
              <w:rPr>
                <w:rFonts w:ascii="宋体" w:hAnsi="宋体" w:eastAsia="宋体" w:cs="宋体"/>
                <w:color w:val="000000"/>
                <w:sz w:val="21"/>
                <w:szCs w:val="21"/>
                <w:highlight w:val="none"/>
                <w:lang w:val="en-US" w:eastAsia="zh-CN"/>
              </w:rPr>
            </w:pPr>
          </w:p>
        </w:tc>
      </w:tr>
      <w:tr w14:paraId="75D8C9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47" w:hRule="atLeast"/>
        </w:trPr>
        <w:tc>
          <w:tcPr>
            <w:tcW w:w="720" w:type="dxa"/>
            <w:noWrap w:val="0"/>
            <w:vAlign w:val="center"/>
          </w:tcPr>
          <w:p w14:paraId="5070208A">
            <w:pPr>
              <w:widowControl/>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w:t>
            </w:r>
          </w:p>
        </w:tc>
        <w:tc>
          <w:tcPr>
            <w:tcW w:w="1330" w:type="dxa"/>
            <w:noWrap w:val="0"/>
            <w:vAlign w:val="center"/>
          </w:tcPr>
          <w:p w14:paraId="14F390DC">
            <w:pPr>
              <w:jc w:val="center"/>
              <w:rPr>
                <w:rFonts w:hint="eastAsia" w:ascii="宋体" w:hAnsi="宋体" w:eastAsia="宋体" w:cs="Times New Roman"/>
                <w:lang w:val="en-US" w:eastAsia="zh-CN"/>
              </w:rPr>
            </w:pPr>
            <w:r>
              <w:rPr>
                <w:rFonts w:hint="eastAsia" w:ascii="宋体" w:hAnsi="宋体" w:eastAsia="宋体" w:cs="Times New Roman"/>
                <w:lang w:val="en-US" w:eastAsia="zh-CN"/>
              </w:rPr>
              <w:t>理赔服务方案</w:t>
            </w:r>
          </w:p>
        </w:tc>
        <w:tc>
          <w:tcPr>
            <w:tcW w:w="752" w:type="dxa"/>
            <w:noWrap w:val="0"/>
            <w:vAlign w:val="center"/>
          </w:tcPr>
          <w:p w14:paraId="7E7A96BE">
            <w:pPr>
              <w:widowControl/>
              <w:jc w:val="center"/>
              <w:rPr>
                <w:rFonts w:ascii="宋体" w:hAnsi="宋体" w:eastAsia="宋体" w:cs="宋体"/>
                <w:color w:val="000000"/>
                <w:sz w:val="24"/>
                <w:szCs w:val="24"/>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10</w:t>
            </w:r>
          </w:p>
        </w:tc>
        <w:tc>
          <w:tcPr>
            <w:tcW w:w="4297" w:type="dxa"/>
            <w:noWrap w:val="0"/>
            <w:vAlign w:val="center"/>
          </w:tcPr>
          <w:p w14:paraId="423386D2">
            <w:pPr>
              <w:keepNext w:val="0"/>
              <w:keepLines w:val="0"/>
              <w:pageBreakBefore w:val="0"/>
              <w:widowControl w:val="0"/>
              <w:spacing w:line="360" w:lineRule="exact"/>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根据项目的要求制定理赔服务方案并进行阐述，内容包括但不限于：</w:t>
            </w:r>
            <w:r>
              <w:rPr>
                <w:rFonts w:hint="eastAsia" w:ascii="宋体" w:hAnsi="宋体" w:cs="宋体"/>
                <w:szCs w:val="21"/>
              </w:rPr>
              <w:t>①</w:t>
            </w:r>
            <w:r>
              <w:rPr>
                <w:rFonts w:hint="eastAsia" w:ascii="宋体" w:hAnsi="宋体" w:cs="宋体"/>
                <w:szCs w:val="21"/>
                <w:lang w:val="en-US" w:eastAsia="zh-CN"/>
              </w:rPr>
              <w:t>主动发现并提醒报案的创新性</w:t>
            </w:r>
            <w:r>
              <w:rPr>
                <w:rFonts w:hint="eastAsia" w:ascii="宋体" w:hAnsi="宋体" w:cs="宋体"/>
                <w:szCs w:val="21"/>
                <w:lang w:eastAsia="zh-CN"/>
              </w:rPr>
              <w:t>、</w:t>
            </w:r>
            <w:r>
              <w:rPr>
                <w:rFonts w:hint="eastAsia" w:ascii="宋体" w:hAnsi="宋体" w:cs="宋体"/>
                <w:szCs w:val="21"/>
              </w:rPr>
              <w:t>②</w:t>
            </w:r>
            <w:r>
              <w:rPr>
                <w:rFonts w:hint="eastAsia" w:ascii="宋体" w:hAnsi="宋体" w:cs="宋体"/>
                <w:szCs w:val="21"/>
                <w:lang w:val="en-US" w:eastAsia="zh-CN"/>
              </w:rPr>
              <w:t>理赔资料受理的创新性</w:t>
            </w:r>
            <w:r>
              <w:rPr>
                <w:rFonts w:hint="eastAsia" w:ascii="宋体" w:hAnsi="宋体" w:cs="宋体"/>
                <w:szCs w:val="21"/>
                <w:lang w:eastAsia="zh-CN"/>
              </w:rPr>
              <w:t>、</w:t>
            </w:r>
            <w:r>
              <w:rPr>
                <w:rFonts w:hint="eastAsia" w:ascii="宋体" w:hAnsi="宋体" w:cs="宋体"/>
                <w:szCs w:val="21"/>
              </w:rPr>
              <w:t>③</w:t>
            </w:r>
            <w:r>
              <w:rPr>
                <w:rFonts w:hint="eastAsia" w:ascii="宋体" w:hAnsi="宋体" w:cs="宋体"/>
                <w:szCs w:val="21"/>
                <w:lang w:val="en-US" w:eastAsia="zh-CN"/>
              </w:rPr>
              <w:t>与医保同时理赔结算的创新性</w:t>
            </w:r>
            <w:r>
              <w:rPr>
                <w:rFonts w:hint="eastAsia" w:ascii="宋体" w:hAnsi="宋体" w:cs="宋体"/>
                <w:szCs w:val="21"/>
                <w:lang w:eastAsia="zh-CN"/>
              </w:rPr>
              <w:t>、</w:t>
            </w:r>
            <w:r>
              <w:rPr>
                <w:rFonts w:hint="eastAsia" w:ascii="宋体" w:hAnsi="宋体" w:cs="宋体"/>
                <w:szCs w:val="21"/>
              </w:rPr>
              <w:t>④协议理赔的经验</w:t>
            </w:r>
            <w:r>
              <w:rPr>
                <w:rFonts w:hint="eastAsia" w:ascii="宋体" w:hAnsi="宋体" w:cs="宋体"/>
                <w:szCs w:val="21"/>
                <w:lang w:val="en-US" w:eastAsia="zh-CN"/>
              </w:rPr>
              <w:t>等。</w:t>
            </w:r>
          </w:p>
          <w:p w14:paraId="4332DAC6">
            <w:pPr>
              <w:spacing w:line="400" w:lineRule="exact"/>
              <w:jc w:val="left"/>
              <w:rPr>
                <w:rFonts w:ascii="宋体" w:hAnsi="宋体" w:cs="宋体"/>
                <w:szCs w:val="21"/>
              </w:rPr>
            </w:pPr>
            <w:r>
              <w:rPr>
                <w:rFonts w:hint="eastAsia" w:ascii="宋体" w:hAnsi="宋体" w:cs="宋体"/>
                <w:szCs w:val="21"/>
              </w:rPr>
              <w:t>方案全面完善、理赔措施可操作性强得</w:t>
            </w:r>
            <w:r>
              <w:rPr>
                <w:rFonts w:hint="eastAsia" w:ascii="宋体" w:hAnsi="宋体" w:cs="宋体"/>
                <w:szCs w:val="21"/>
                <w:lang w:val="en-US" w:eastAsia="zh-CN"/>
              </w:rPr>
              <w:t>10</w:t>
            </w:r>
            <w:r>
              <w:rPr>
                <w:rFonts w:hint="eastAsia" w:ascii="宋体" w:hAnsi="宋体" w:cs="宋体"/>
                <w:szCs w:val="21"/>
              </w:rPr>
              <w:t>分；</w:t>
            </w:r>
          </w:p>
          <w:p w14:paraId="7881A7B3">
            <w:pPr>
              <w:spacing w:line="400" w:lineRule="exact"/>
              <w:jc w:val="left"/>
              <w:rPr>
                <w:rFonts w:hint="eastAsia" w:ascii="宋体" w:hAnsi="宋体" w:cs="宋体"/>
                <w:szCs w:val="21"/>
              </w:rPr>
            </w:pPr>
            <w:r>
              <w:rPr>
                <w:rFonts w:hint="eastAsia" w:ascii="宋体" w:hAnsi="宋体" w:cs="宋体"/>
                <w:szCs w:val="21"/>
              </w:rPr>
              <w:t>方案较全面完善、理赔措施可操作性较强得</w:t>
            </w:r>
            <w:r>
              <w:rPr>
                <w:rFonts w:hint="eastAsia" w:ascii="宋体" w:hAnsi="宋体" w:cs="宋体"/>
                <w:szCs w:val="21"/>
                <w:lang w:val="en-US" w:eastAsia="zh-CN"/>
              </w:rPr>
              <w:t>7</w:t>
            </w:r>
            <w:r>
              <w:rPr>
                <w:rFonts w:hint="eastAsia" w:ascii="宋体" w:hAnsi="宋体" w:cs="宋体"/>
                <w:szCs w:val="21"/>
              </w:rPr>
              <w:t>分；</w:t>
            </w:r>
          </w:p>
          <w:p w14:paraId="1E4B90F5">
            <w:pPr>
              <w:spacing w:line="400" w:lineRule="exact"/>
              <w:jc w:val="left"/>
              <w:rPr>
                <w:rFonts w:ascii="宋体" w:hAnsi="宋体" w:cs="宋体"/>
                <w:szCs w:val="21"/>
              </w:rPr>
            </w:pPr>
            <w:r>
              <w:rPr>
                <w:rFonts w:hint="eastAsia" w:ascii="宋体" w:hAnsi="宋体" w:cs="宋体"/>
                <w:szCs w:val="21"/>
              </w:rPr>
              <w:t>方案</w:t>
            </w:r>
            <w:r>
              <w:rPr>
                <w:rFonts w:hint="eastAsia" w:ascii="宋体" w:hAnsi="宋体" w:cs="宋体"/>
                <w:szCs w:val="21"/>
                <w:lang w:val="en-US" w:eastAsia="zh-CN"/>
              </w:rPr>
              <w:t>基本全面完善</w:t>
            </w:r>
            <w:r>
              <w:rPr>
                <w:rFonts w:hint="eastAsia" w:ascii="宋体" w:hAnsi="宋体" w:cs="宋体"/>
                <w:szCs w:val="21"/>
              </w:rPr>
              <w:t>、理赔措施</w:t>
            </w:r>
            <w:r>
              <w:rPr>
                <w:rFonts w:hint="eastAsia" w:ascii="宋体" w:hAnsi="宋体" w:cs="宋体"/>
                <w:szCs w:val="21"/>
                <w:lang w:val="en-US" w:eastAsia="zh-CN"/>
              </w:rPr>
              <w:t>有一定</w:t>
            </w:r>
            <w:r>
              <w:rPr>
                <w:rFonts w:hint="eastAsia" w:ascii="宋体" w:hAnsi="宋体" w:cs="宋体"/>
                <w:szCs w:val="21"/>
              </w:rPr>
              <w:t>操作性得</w:t>
            </w:r>
            <w:r>
              <w:rPr>
                <w:rFonts w:hint="eastAsia" w:ascii="宋体" w:hAnsi="宋体" w:cs="宋体"/>
                <w:szCs w:val="21"/>
                <w:lang w:val="en-US" w:eastAsia="zh-CN"/>
              </w:rPr>
              <w:t>4</w:t>
            </w:r>
            <w:r>
              <w:rPr>
                <w:rFonts w:hint="eastAsia" w:ascii="宋体" w:hAnsi="宋体" w:cs="宋体"/>
                <w:szCs w:val="21"/>
              </w:rPr>
              <w:t>分；</w:t>
            </w:r>
          </w:p>
          <w:p w14:paraId="3CDEDCF6">
            <w:pPr>
              <w:spacing w:line="400" w:lineRule="exact"/>
              <w:jc w:val="left"/>
              <w:rPr>
                <w:rFonts w:ascii="宋体" w:hAnsi="宋体" w:cs="宋体"/>
                <w:szCs w:val="21"/>
              </w:rPr>
            </w:pPr>
            <w:r>
              <w:rPr>
                <w:rFonts w:hint="eastAsia" w:ascii="宋体" w:hAnsi="宋体" w:cs="宋体"/>
                <w:szCs w:val="21"/>
              </w:rPr>
              <w:t>方案全面性、理赔措施可操作性</w:t>
            </w:r>
            <w:r>
              <w:rPr>
                <w:rFonts w:hint="eastAsia" w:ascii="宋体" w:hAnsi="宋体" w:cs="宋体"/>
                <w:szCs w:val="21"/>
                <w:lang w:val="en-US" w:eastAsia="zh-CN"/>
              </w:rPr>
              <w:t>欠缺的</w:t>
            </w:r>
            <w:r>
              <w:rPr>
                <w:rFonts w:hint="eastAsia" w:ascii="宋体" w:hAnsi="宋体" w:cs="宋体"/>
                <w:szCs w:val="21"/>
              </w:rPr>
              <w:t>得1分，</w:t>
            </w:r>
          </w:p>
          <w:p w14:paraId="1DC19562">
            <w:pPr>
              <w:spacing w:line="360" w:lineRule="exact"/>
              <w:rPr>
                <w:rFonts w:hint="eastAsia" w:ascii="宋体" w:hAnsi="宋体" w:eastAsia="宋体" w:cs="宋体"/>
                <w:color w:val="000000"/>
                <w:sz w:val="21"/>
                <w:szCs w:val="21"/>
                <w:highlight w:val="none"/>
                <w:lang w:val="en-US" w:eastAsia="zh-CN" w:bidi="ar-SA"/>
              </w:rPr>
            </w:pPr>
            <w:r>
              <w:rPr>
                <w:rFonts w:hint="eastAsia" w:ascii="宋体" w:hAnsi="宋体" w:cs="宋体"/>
                <w:szCs w:val="21"/>
              </w:rPr>
              <w:t>未提供不得分。</w:t>
            </w:r>
          </w:p>
        </w:tc>
        <w:tc>
          <w:tcPr>
            <w:tcW w:w="2498" w:type="dxa"/>
            <w:noWrap w:val="0"/>
            <w:vAlign w:val="center"/>
          </w:tcPr>
          <w:p w14:paraId="574E09C8">
            <w:pPr>
              <w:ind w:left="-38"/>
              <w:rPr>
                <w:rFonts w:hint="eastAsia" w:ascii="宋体" w:hAnsi="宋体" w:eastAsia="宋体" w:cs="宋体"/>
                <w:color w:val="000000"/>
                <w:sz w:val="21"/>
                <w:szCs w:val="21"/>
                <w:highlight w:val="none"/>
              </w:rPr>
            </w:pPr>
          </w:p>
        </w:tc>
      </w:tr>
      <w:tr w14:paraId="712EE1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55" w:hRule="atLeast"/>
        </w:trPr>
        <w:tc>
          <w:tcPr>
            <w:tcW w:w="720" w:type="dxa"/>
            <w:noWrap w:val="0"/>
            <w:vAlign w:val="center"/>
          </w:tcPr>
          <w:p w14:paraId="3F696C07">
            <w:pPr>
              <w:widowControl/>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3.3</w:t>
            </w:r>
          </w:p>
        </w:tc>
        <w:tc>
          <w:tcPr>
            <w:tcW w:w="1330" w:type="dxa"/>
            <w:noWrap w:val="0"/>
            <w:vAlign w:val="center"/>
          </w:tcPr>
          <w:p w14:paraId="095A3DD3">
            <w:pPr>
              <w:jc w:val="center"/>
              <w:rPr>
                <w:rFonts w:ascii="宋体" w:hAnsi="宋体" w:eastAsia="宋体" w:cs="Times New Roman"/>
                <w:lang w:val="en-US" w:eastAsia="zh-CN"/>
              </w:rPr>
            </w:pPr>
            <w:r>
              <w:rPr>
                <w:rFonts w:hint="eastAsia" w:ascii="宋体" w:hAnsi="宋体" w:eastAsia="宋体" w:cs="Times New Roman"/>
                <w:lang w:val="en-US" w:eastAsia="zh-CN"/>
              </w:rPr>
              <w:t>风险防控措施方案</w:t>
            </w:r>
          </w:p>
        </w:tc>
        <w:tc>
          <w:tcPr>
            <w:tcW w:w="752" w:type="dxa"/>
            <w:noWrap w:val="0"/>
            <w:vAlign w:val="center"/>
          </w:tcPr>
          <w:p w14:paraId="740BC5B3">
            <w:pPr>
              <w:widowControl/>
              <w:jc w:val="center"/>
              <w:rPr>
                <w:rFonts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10</w:t>
            </w:r>
          </w:p>
        </w:tc>
        <w:tc>
          <w:tcPr>
            <w:tcW w:w="4297" w:type="dxa"/>
            <w:noWrap w:val="0"/>
            <w:vAlign w:val="center"/>
          </w:tcPr>
          <w:p w14:paraId="642C5C9A">
            <w:pPr>
              <w:spacing w:line="400" w:lineRule="exact"/>
              <w:jc w:val="left"/>
              <w:rPr>
                <w:rFonts w:hint="eastAsia" w:ascii="宋体" w:hAnsi="宋体" w:eastAsia="宋体" w:cs="宋体"/>
                <w:szCs w:val="21"/>
                <w:lang w:val="en-US" w:eastAsia="zh-CN"/>
              </w:rPr>
            </w:pPr>
            <w:r>
              <w:rPr>
                <w:rFonts w:hint="eastAsia" w:ascii="宋体" w:hAnsi="宋体" w:eastAsia="宋体" w:cs="宋体"/>
                <w:szCs w:val="21"/>
                <w:lang w:val="en-US" w:eastAsia="zh-CN"/>
              </w:rPr>
              <w:t>根据自身对项目的理解制定风险防控方案并进行阐述，内容包括但不限于：①人员防控（虚假出险、冒名顶替）、②医院防控（挂床住院、过度医疗）等。</w:t>
            </w:r>
          </w:p>
          <w:p w14:paraId="1F1CE620">
            <w:pPr>
              <w:spacing w:line="400" w:lineRule="exact"/>
              <w:jc w:val="left"/>
              <w:rPr>
                <w:rFonts w:hint="eastAsia" w:ascii="宋体" w:hAnsi="宋体" w:eastAsia="宋体" w:cs="宋体"/>
                <w:szCs w:val="21"/>
              </w:rPr>
            </w:pPr>
            <w:r>
              <w:rPr>
                <w:rFonts w:hint="eastAsia" w:ascii="宋体" w:hAnsi="宋体" w:eastAsia="宋体" w:cs="宋体"/>
                <w:szCs w:val="21"/>
              </w:rPr>
              <w:t>方案全面科学</w:t>
            </w:r>
            <w:r>
              <w:rPr>
                <w:rFonts w:hint="eastAsia" w:ascii="宋体" w:hAnsi="宋体" w:eastAsia="宋体" w:cs="宋体"/>
                <w:szCs w:val="21"/>
                <w:lang w:eastAsia="zh-CN"/>
              </w:rPr>
              <w:t>，</w:t>
            </w:r>
            <w:r>
              <w:rPr>
                <w:rFonts w:hint="eastAsia" w:ascii="宋体" w:hAnsi="宋体" w:eastAsia="宋体" w:cs="宋体"/>
                <w:szCs w:val="21"/>
                <w:lang w:val="en-US" w:eastAsia="zh-CN"/>
              </w:rPr>
              <w:t>措施</w:t>
            </w:r>
            <w:r>
              <w:rPr>
                <w:rFonts w:hint="eastAsia" w:ascii="宋体" w:hAnsi="宋体" w:eastAsia="宋体" w:cs="宋体"/>
                <w:szCs w:val="21"/>
              </w:rPr>
              <w:t>可行性高得</w:t>
            </w:r>
            <w:r>
              <w:rPr>
                <w:rFonts w:hint="eastAsia" w:ascii="宋体" w:hAnsi="宋体" w:eastAsia="宋体" w:cs="宋体"/>
                <w:szCs w:val="21"/>
                <w:lang w:val="en-US" w:eastAsia="zh-CN"/>
              </w:rPr>
              <w:t>10</w:t>
            </w:r>
            <w:r>
              <w:rPr>
                <w:rFonts w:hint="eastAsia" w:ascii="宋体" w:hAnsi="宋体" w:eastAsia="宋体" w:cs="宋体"/>
                <w:szCs w:val="21"/>
              </w:rPr>
              <w:t>分，</w:t>
            </w:r>
          </w:p>
          <w:p w14:paraId="05216A44">
            <w:pPr>
              <w:spacing w:line="400" w:lineRule="exact"/>
              <w:jc w:val="left"/>
              <w:rPr>
                <w:rFonts w:hint="eastAsia" w:ascii="宋体" w:hAnsi="宋体" w:eastAsia="宋体" w:cs="宋体"/>
                <w:szCs w:val="21"/>
              </w:rPr>
            </w:pPr>
            <w:r>
              <w:rPr>
                <w:rFonts w:hint="eastAsia" w:ascii="宋体" w:hAnsi="宋体" w:eastAsia="宋体" w:cs="宋体"/>
                <w:szCs w:val="21"/>
              </w:rPr>
              <w:t>方案</w:t>
            </w:r>
            <w:r>
              <w:rPr>
                <w:rFonts w:hint="eastAsia" w:ascii="宋体" w:hAnsi="宋体" w:eastAsia="宋体" w:cs="宋体"/>
                <w:szCs w:val="21"/>
                <w:lang w:val="en-US" w:eastAsia="zh-CN"/>
              </w:rPr>
              <w:t>较</w:t>
            </w:r>
            <w:r>
              <w:rPr>
                <w:rFonts w:hint="eastAsia" w:ascii="宋体" w:hAnsi="宋体" w:eastAsia="宋体" w:cs="宋体"/>
                <w:szCs w:val="21"/>
              </w:rPr>
              <w:t>全面科学</w:t>
            </w:r>
            <w:r>
              <w:rPr>
                <w:rFonts w:hint="eastAsia" w:ascii="宋体" w:hAnsi="宋体" w:eastAsia="宋体" w:cs="宋体"/>
                <w:szCs w:val="21"/>
                <w:lang w:eastAsia="zh-CN"/>
              </w:rPr>
              <w:t>，</w:t>
            </w:r>
            <w:r>
              <w:rPr>
                <w:rFonts w:hint="eastAsia" w:ascii="宋体" w:hAnsi="宋体" w:eastAsia="宋体" w:cs="宋体"/>
                <w:szCs w:val="21"/>
                <w:lang w:val="en-US" w:eastAsia="zh-CN"/>
              </w:rPr>
              <w:t>措施</w:t>
            </w:r>
            <w:r>
              <w:rPr>
                <w:rFonts w:hint="eastAsia" w:ascii="宋体" w:hAnsi="宋体" w:eastAsia="宋体" w:cs="宋体"/>
                <w:szCs w:val="21"/>
              </w:rPr>
              <w:t>可行性较高得</w:t>
            </w:r>
            <w:r>
              <w:rPr>
                <w:rFonts w:hint="eastAsia" w:ascii="宋体" w:hAnsi="宋体" w:eastAsia="宋体" w:cs="宋体"/>
                <w:szCs w:val="21"/>
                <w:lang w:val="en-US" w:eastAsia="zh-CN"/>
              </w:rPr>
              <w:t>7</w:t>
            </w:r>
            <w:r>
              <w:rPr>
                <w:rFonts w:hint="eastAsia" w:ascii="宋体" w:hAnsi="宋体" w:eastAsia="宋体" w:cs="宋体"/>
                <w:szCs w:val="21"/>
              </w:rPr>
              <w:t>分，方案</w:t>
            </w:r>
            <w:r>
              <w:rPr>
                <w:rFonts w:hint="eastAsia" w:ascii="宋体" w:hAnsi="宋体" w:eastAsia="宋体" w:cs="宋体"/>
                <w:szCs w:val="21"/>
                <w:lang w:val="en-US" w:eastAsia="zh-CN"/>
              </w:rPr>
              <w:t>基本</w:t>
            </w:r>
            <w:r>
              <w:rPr>
                <w:rFonts w:hint="eastAsia" w:ascii="宋体" w:hAnsi="宋体" w:eastAsia="宋体" w:cs="宋体"/>
                <w:szCs w:val="21"/>
              </w:rPr>
              <w:t>全面科学</w:t>
            </w:r>
            <w:r>
              <w:rPr>
                <w:rFonts w:hint="eastAsia" w:ascii="宋体" w:hAnsi="宋体" w:eastAsia="宋体" w:cs="宋体"/>
                <w:szCs w:val="21"/>
                <w:lang w:eastAsia="zh-CN"/>
              </w:rPr>
              <w:t>，</w:t>
            </w:r>
            <w:r>
              <w:rPr>
                <w:rFonts w:hint="eastAsia" w:ascii="宋体" w:hAnsi="宋体" w:eastAsia="宋体" w:cs="宋体"/>
                <w:szCs w:val="21"/>
                <w:lang w:val="en-US" w:eastAsia="zh-CN"/>
              </w:rPr>
              <w:t>措施</w:t>
            </w:r>
            <w:r>
              <w:rPr>
                <w:rFonts w:hint="eastAsia" w:ascii="宋体" w:hAnsi="宋体" w:eastAsia="宋体" w:cs="宋体"/>
                <w:szCs w:val="21"/>
              </w:rPr>
              <w:t>可行性较高得</w:t>
            </w:r>
            <w:r>
              <w:rPr>
                <w:rFonts w:hint="eastAsia" w:ascii="宋体" w:hAnsi="宋体" w:eastAsia="宋体" w:cs="宋体"/>
                <w:szCs w:val="21"/>
                <w:lang w:val="en-US" w:eastAsia="zh-CN"/>
              </w:rPr>
              <w:t>4</w:t>
            </w:r>
            <w:r>
              <w:rPr>
                <w:rFonts w:hint="eastAsia" w:ascii="宋体" w:hAnsi="宋体" w:eastAsia="宋体" w:cs="宋体"/>
                <w:szCs w:val="21"/>
              </w:rPr>
              <w:t>分，</w:t>
            </w:r>
          </w:p>
          <w:p w14:paraId="28559854">
            <w:pPr>
              <w:spacing w:line="400" w:lineRule="exact"/>
              <w:jc w:val="left"/>
              <w:rPr>
                <w:rFonts w:hint="eastAsia" w:ascii="宋体" w:hAnsi="宋体" w:eastAsia="宋体" w:cs="宋体"/>
                <w:szCs w:val="21"/>
              </w:rPr>
            </w:pPr>
            <w:r>
              <w:rPr>
                <w:rFonts w:hint="eastAsia" w:ascii="宋体" w:hAnsi="宋体" w:eastAsia="宋体" w:cs="宋体"/>
                <w:szCs w:val="21"/>
              </w:rPr>
              <w:t>方案全面</w:t>
            </w:r>
            <w:r>
              <w:rPr>
                <w:rFonts w:hint="eastAsia" w:ascii="宋体" w:hAnsi="宋体" w:eastAsia="宋体" w:cs="宋体"/>
                <w:szCs w:val="21"/>
                <w:lang w:val="en-US" w:eastAsia="zh-CN"/>
              </w:rPr>
              <w:t>性和</w:t>
            </w:r>
            <w:r>
              <w:rPr>
                <w:rFonts w:hint="eastAsia" w:ascii="宋体" w:hAnsi="宋体" w:eastAsia="宋体" w:cs="宋体"/>
                <w:szCs w:val="21"/>
              </w:rPr>
              <w:t>科学</w:t>
            </w:r>
            <w:r>
              <w:rPr>
                <w:rFonts w:hint="eastAsia" w:ascii="宋体" w:hAnsi="宋体" w:eastAsia="宋体" w:cs="宋体"/>
                <w:szCs w:val="21"/>
                <w:lang w:val="en-US" w:eastAsia="zh-CN"/>
              </w:rPr>
              <w:t>性欠缺的，措施</w:t>
            </w:r>
            <w:r>
              <w:rPr>
                <w:rFonts w:hint="eastAsia" w:ascii="宋体" w:hAnsi="宋体" w:eastAsia="宋体" w:cs="宋体"/>
                <w:szCs w:val="21"/>
              </w:rPr>
              <w:t>可行性一般得1分，</w:t>
            </w:r>
          </w:p>
          <w:p w14:paraId="0E441DA9">
            <w:pPr>
              <w:spacing w:line="400" w:lineRule="exact"/>
              <w:jc w:val="left"/>
              <w:rPr>
                <w:rFonts w:hint="eastAsia"/>
                <w:lang w:eastAsia="zh-CN"/>
              </w:rPr>
            </w:pPr>
            <w:r>
              <w:rPr>
                <w:rFonts w:hint="eastAsia" w:ascii="宋体" w:hAnsi="宋体" w:eastAsia="宋体" w:cs="宋体"/>
                <w:szCs w:val="21"/>
              </w:rPr>
              <w:t>未提供方案不得分。</w:t>
            </w:r>
          </w:p>
        </w:tc>
        <w:tc>
          <w:tcPr>
            <w:tcW w:w="2498" w:type="dxa"/>
            <w:noWrap w:val="0"/>
            <w:vAlign w:val="center"/>
          </w:tcPr>
          <w:p w14:paraId="25E5AB1C">
            <w:pPr>
              <w:ind w:left="-38"/>
              <w:rPr>
                <w:rFonts w:hint="eastAsia" w:ascii="宋体" w:hAnsi="宋体" w:eastAsia="宋体" w:cs="宋体"/>
                <w:color w:val="000000"/>
                <w:sz w:val="21"/>
                <w:szCs w:val="21"/>
                <w:highlight w:val="none"/>
              </w:rPr>
            </w:pPr>
          </w:p>
        </w:tc>
      </w:tr>
      <w:tr w14:paraId="5617F4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73" w:hRule="atLeast"/>
        </w:trPr>
        <w:tc>
          <w:tcPr>
            <w:tcW w:w="720" w:type="dxa"/>
            <w:noWrap w:val="0"/>
            <w:vAlign w:val="center"/>
          </w:tcPr>
          <w:p w14:paraId="3DD4C50B">
            <w:pPr>
              <w:widowControl/>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3.4</w:t>
            </w:r>
          </w:p>
        </w:tc>
        <w:tc>
          <w:tcPr>
            <w:tcW w:w="1330" w:type="dxa"/>
            <w:noWrap w:val="0"/>
            <w:vAlign w:val="center"/>
          </w:tcPr>
          <w:p w14:paraId="6E61C584">
            <w:pPr>
              <w:jc w:val="center"/>
              <w:rPr>
                <w:rFonts w:hint="eastAsia" w:ascii="宋体" w:hAnsi="宋体" w:eastAsia="宋体" w:cs="Times New Roman"/>
                <w:lang w:val="en-US" w:eastAsia="zh-CN"/>
              </w:rPr>
            </w:pPr>
            <w:r>
              <w:rPr>
                <w:rFonts w:hint="eastAsia" w:ascii="宋体" w:hAnsi="宋体" w:eastAsia="宋体" w:cs="Times New Roman"/>
                <w:lang w:val="en-US" w:eastAsia="zh-CN"/>
              </w:rPr>
              <w:t>服务团队配置及管理方案</w:t>
            </w:r>
          </w:p>
        </w:tc>
        <w:tc>
          <w:tcPr>
            <w:tcW w:w="752" w:type="dxa"/>
            <w:noWrap w:val="0"/>
            <w:vAlign w:val="center"/>
          </w:tcPr>
          <w:p w14:paraId="2D762140">
            <w:pPr>
              <w:widowControl/>
              <w:jc w:val="center"/>
              <w:rPr>
                <w:rFonts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10</w:t>
            </w:r>
          </w:p>
        </w:tc>
        <w:tc>
          <w:tcPr>
            <w:tcW w:w="4297" w:type="dxa"/>
            <w:noWrap w:val="0"/>
            <w:vAlign w:val="center"/>
          </w:tcPr>
          <w:p w14:paraId="79A3B1AB">
            <w:pPr>
              <w:spacing w:line="400" w:lineRule="exact"/>
              <w:jc w:val="left"/>
              <w:rPr>
                <w:rFonts w:hint="eastAsia" w:ascii="宋体" w:hAnsi="宋体" w:eastAsia="宋体" w:cs="宋体"/>
                <w:szCs w:val="21"/>
                <w:lang w:val="en-US" w:eastAsia="zh-CN"/>
              </w:rPr>
            </w:pPr>
            <w:r>
              <w:rPr>
                <w:rFonts w:hint="eastAsia" w:ascii="宋体" w:hAnsi="宋体" w:eastAsia="宋体" w:cs="宋体"/>
                <w:szCs w:val="21"/>
                <w:lang w:val="en-US" w:eastAsia="zh-CN"/>
              </w:rPr>
              <w:t>根据自身对项目的理解制定团队配置及管理方案并进行阐述，内容包括但不限于：①</w:t>
            </w:r>
            <w:r>
              <w:rPr>
                <w:rFonts w:hint="eastAsia" w:ascii="宋体" w:hAnsi="宋体" w:eastAsia="宋体" w:cs="宋体"/>
                <w:color w:val="000000"/>
                <w:sz w:val="21"/>
                <w:szCs w:val="21"/>
                <w:highlight w:val="none"/>
                <w:lang w:val="en-US" w:eastAsia="zh-CN"/>
              </w:rPr>
              <w:t>服务团队构成、</w:t>
            </w:r>
            <w:r>
              <w:rPr>
                <w:rFonts w:hint="eastAsia" w:ascii="宋体" w:hAnsi="宋体" w:eastAsia="宋体" w:cs="宋体"/>
                <w:szCs w:val="21"/>
                <w:lang w:val="en-US" w:eastAsia="zh-CN"/>
              </w:rPr>
              <w:t>②</w:t>
            </w:r>
            <w:r>
              <w:rPr>
                <w:rFonts w:hint="eastAsia" w:ascii="宋体" w:hAnsi="宋体" w:eastAsia="宋体" w:cs="宋体"/>
                <w:color w:val="000000"/>
                <w:sz w:val="21"/>
                <w:szCs w:val="21"/>
                <w:highlight w:val="none"/>
                <w:lang w:val="en-US" w:eastAsia="zh-CN"/>
              </w:rPr>
              <w:t>人员的合理安排、</w:t>
            </w:r>
            <w:r>
              <w:rPr>
                <w:rFonts w:hint="eastAsia" w:ascii="宋体" w:hAnsi="宋体" w:cs="宋体"/>
                <w:szCs w:val="21"/>
              </w:rPr>
              <w:t>③</w:t>
            </w:r>
            <w:r>
              <w:rPr>
                <w:rFonts w:hint="eastAsia" w:ascii="宋体" w:hAnsi="宋体" w:eastAsia="宋体" w:cs="宋体"/>
                <w:color w:val="000000"/>
                <w:sz w:val="21"/>
                <w:szCs w:val="21"/>
                <w:highlight w:val="none"/>
                <w:lang w:val="en-US" w:eastAsia="zh-CN"/>
              </w:rPr>
              <w:t>硬件设施配备</w:t>
            </w:r>
            <w:r>
              <w:rPr>
                <w:rFonts w:hint="eastAsia" w:ascii="宋体" w:hAnsi="宋体" w:cs="宋体"/>
                <w:szCs w:val="21"/>
                <w:lang w:val="en-US" w:eastAsia="zh-CN"/>
              </w:rPr>
              <w:t>等</w:t>
            </w:r>
            <w:r>
              <w:rPr>
                <w:rFonts w:hint="eastAsia" w:ascii="宋体" w:hAnsi="宋体" w:eastAsia="宋体" w:cs="宋体"/>
                <w:szCs w:val="21"/>
                <w:lang w:val="en-US" w:eastAsia="zh-CN"/>
              </w:rPr>
              <w:t>。</w:t>
            </w:r>
          </w:p>
          <w:p w14:paraId="5ADE487B">
            <w:pPr>
              <w:keepNext w:val="0"/>
              <w:keepLines w:val="0"/>
              <w:pageBreakBefore w:val="0"/>
              <w:widowControl w:val="0"/>
              <w:spacing w:line="360" w:lineRule="exact"/>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团队组织架构完整、分工合理、职责明确的得10分；</w:t>
            </w:r>
          </w:p>
          <w:p w14:paraId="4A427333">
            <w:pPr>
              <w:keepNext w:val="0"/>
              <w:keepLines w:val="0"/>
              <w:pageBreakBefore w:val="0"/>
              <w:widowControl w:val="0"/>
              <w:spacing w:line="360" w:lineRule="exact"/>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团队组织架构较为完整、分工较为合理、职责较为明确的得7分；</w:t>
            </w:r>
          </w:p>
          <w:p w14:paraId="64BEA7C6">
            <w:pPr>
              <w:keepNext w:val="0"/>
              <w:keepLines w:val="0"/>
              <w:pageBreakBefore w:val="0"/>
              <w:widowControl w:val="0"/>
              <w:spacing w:line="360" w:lineRule="exact"/>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团队组织架构基本完整、分工基本合理、职责基本明确的得4分；</w:t>
            </w:r>
          </w:p>
          <w:p w14:paraId="49B0A629">
            <w:pPr>
              <w:keepNext w:val="0"/>
              <w:keepLines w:val="0"/>
              <w:pageBreakBefore w:val="0"/>
              <w:widowControl w:val="0"/>
              <w:spacing w:line="360" w:lineRule="exact"/>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团队组织架构不完整、分工模糊、职责不明确的得1分；</w:t>
            </w:r>
          </w:p>
          <w:p w14:paraId="7915D664">
            <w:pPr>
              <w:widowControl/>
              <w:numPr>
                <w:ilvl w:val="0"/>
                <w:numId w:val="0"/>
              </w:numPr>
              <w:ind w:left="0" w:firstLine="0"/>
              <w:jc w:val="both"/>
              <w:rPr>
                <w:rFonts w:hint="eastAsia" w:ascii="宋体" w:hAnsi="宋体" w:eastAsia="宋体" w:cs="Times New Roman"/>
                <w:color w:val="000000"/>
                <w:sz w:val="24"/>
                <w:szCs w:val="24"/>
                <w:highlight w:val="none"/>
                <w:lang w:val="en-US" w:eastAsia="zh-CN"/>
              </w:rPr>
            </w:pPr>
            <w:r>
              <w:rPr>
                <w:rFonts w:hint="eastAsia" w:ascii="宋体" w:hAnsi="宋体" w:eastAsia="宋体" w:cs="宋体"/>
                <w:color w:val="000000"/>
                <w:sz w:val="21"/>
                <w:szCs w:val="21"/>
                <w:highlight w:val="none"/>
                <w:lang w:val="en-US" w:eastAsia="zh-CN"/>
              </w:rPr>
              <w:t>不提供方案的不得分。</w:t>
            </w:r>
          </w:p>
        </w:tc>
        <w:tc>
          <w:tcPr>
            <w:tcW w:w="2498" w:type="dxa"/>
            <w:noWrap w:val="0"/>
            <w:vAlign w:val="center"/>
          </w:tcPr>
          <w:p w14:paraId="7DC6FF92">
            <w:pPr>
              <w:ind w:left="-38"/>
              <w:rPr>
                <w:rFonts w:hint="eastAsia" w:ascii="宋体" w:hAnsi="宋体" w:eastAsia="宋体" w:cs="宋体"/>
                <w:color w:val="000000"/>
                <w:sz w:val="21"/>
                <w:szCs w:val="21"/>
                <w:highlight w:val="none"/>
              </w:rPr>
            </w:pPr>
          </w:p>
        </w:tc>
      </w:tr>
      <w:tr w14:paraId="7DA91D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44" w:hRule="atLeast"/>
        </w:trPr>
        <w:tc>
          <w:tcPr>
            <w:tcW w:w="720" w:type="dxa"/>
            <w:noWrap w:val="0"/>
            <w:vAlign w:val="center"/>
          </w:tcPr>
          <w:p w14:paraId="6A059917">
            <w:pPr>
              <w:widowControl/>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3.5</w:t>
            </w:r>
          </w:p>
        </w:tc>
        <w:tc>
          <w:tcPr>
            <w:tcW w:w="1330" w:type="dxa"/>
            <w:noWrap w:val="0"/>
            <w:vAlign w:val="center"/>
          </w:tcPr>
          <w:p w14:paraId="26ED4E8F">
            <w:pPr>
              <w:jc w:val="center"/>
              <w:rPr>
                <w:rFonts w:ascii="宋体" w:hAnsi="宋体" w:eastAsia="宋体" w:cs="Times New Roman"/>
                <w:lang w:val="en-US" w:eastAsia="zh-CN"/>
              </w:rPr>
            </w:pPr>
            <w:r>
              <w:rPr>
                <w:rFonts w:hint="eastAsia" w:ascii="宋体" w:hAnsi="宋体" w:eastAsia="宋体" w:cs="Times New Roman"/>
                <w:lang w:val="en-US" w:eastAsia="zh-CN"/>
              </w:rPr>
              <w:t>责任扩展</w:t>
            </w:r>
          </w:p>
        </w:tc>
        <w:tc>
          <w:tcPr>
            <w:tcW w:w="752" w:type="dxa"/>
            <w:noWrap w:val="0"/>
            <w:vAlign w:val="center"/>
          </w:tcPr>
          <w:p w14:paraId="5FEA5FBA">
            <w:pPr>
              <w:widowControl/>
              <w:jc w:val="center"/>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10</w:t>
            </w:r>
          </w:p>
        </w:tc>
        <w:tc>
          <w:tcPr>
            <w:tcW w:w="4297" w:type="dxa"/>
            <w:noWrap w:val="0"/>
            <w:vAlign w:val="center"/>
          </w:tcPr>
          <w:p w14:paraId="3AC0E487">
            <w:pPr>
              <w:spacing w:line="400" w:lineRule="exact"/>
              <w:jc w:val="left"/>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szCs w:val="21"/>
                <w:lang w:val="en-US" w:eastAsia="zh-CN"/>
              </w:rPr>
              <w:t>根据供应商对项目采购需求内容“责任扩展可选择约定承诺”，全部选择承诺的，得10分，每减少一条，扣2分，扣完为止。</w:t>
            </w:r>
          </w:p>
        </w:tc>
        <w:tc>
          <w:tcPr>
            <w:tcW w:w="2498" w:type="dxa"/>
            <w:noWrap w:val="0"/>
            <w:vAlign w:val="center"/>
          </w:tcPr>
          <w:p w14:paraId="68D5795C">
            <w:pPr>
              <w:widowControl/>
              <w:jc w:val="center"/>
              <w:rPr>
                <w:rFonts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提供承诺书</w:t>
            </w:r>
          </w:p>
        </w:tc>
      </w:tr>
    </w:tbl>
    <w:p w14:paraId="45724413">
      <w:pPr>
        <w:numPr>
          <w:ilvl w:val="0"/>
          <w:numId w:val="0"/>
        </w:numPr>
        <w:rPr>
          <w:rFonts w:hint="eastAsia"/>
        </w:rPr>
      </w:pPr>
    </w:p>
    <w:p w14:paraId="4268ED05">
      <w:pPr>
        <w:keepNext/>
        <w:keepLines/>
        <w:numPr>
          <w:ilvl w:val="2"/>
          <w:numId w:val="0"/>
        </w:numPr>
        <w:tabs>
          <w:tab w:val="left" w:pos="0"/>
        </w:tabs>
        <w:spacing w:before="50" w:line="400" w:lineRule="exact"/>
        <w:outlineLvl w:val="2"/>
        <w:rPr>
          <w:rFonts w:ascii="宋体" w:hAnsi="宋体" w:cs="宋体"/>
          <w:color w:val="000000"/>
          <w:sz w:val="21"/>
          <w:szCs w:val="21"/>
          <w:highlight w:val="none"/>
        </w:rPr>
      </w:pPr>
      <w:r>
        <w:rPr>
          <w:rFonts w:hint="eastAsia" w:ascii="宋体" w:hAnsi="宋体" w:cs="宋体"/>
          <w:color w:val="000000"/>
          <w:sz w:val="21"/>
          <w:szCs w:val="21"/>
          <w:highlight w:val="none"/>
        </w:rPr>
        <w:t>说明：</w:t>
      </w:r>
    </w:p>
    <w:p w14:paraId="569E03A2">
      <w:pPr>
        <w:spacing w:line="400" w:lineRule="exact"/>
        <w:jc w:val="left"/>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rPr>
        <w:t>1.评分细则中要求提供的证明文件及资料等在</w:t>
      </w:r>
      <w:r>
        <w:rPr>
          <w:rFonts w:hint="eastAsia" w:ascii="宋体" w:hAnsi="宋体" w:cs="宋体"/>
          <w:color w:val="000000"/>
          <w:sz w:val="21"/>
          <w:szCs w:val="21"/>
          <w:highlight w:val="none"/>
          <w:lang w:val="en-US" w:eastAsia="zh-CN"/>
        </w:rPr>
        <w:t>响应</w:t>
      </w:r>
      <w:r>
        <w:rPr>
          <w:rFonts w:hint="eastAsia" w:ascii="宋体" w:hAnsi="宋体" w:cs="宋体"/>
          <w:color w:val="000000"/>
          <w:sz w:val="21"/>
          <w:szCs w:val="21"/>
          <w:highlight w:val="none"/>
        </w:rPr>
        <w:t>文件中提供</w:t>
      </w:r>
      <w:r>
        <w:rPr>
          <w:rFonts w:hint="eastAsia" w:ascii="宋体" w:hAnsi="宋体" w:cs="宋体"/>
          <w:color w:val="000000"/>
          <w:sz w:val="21"/>
          <w:szCs w:val="21"/>
          <w:highlight w:val="none"/>
          <w:lang w:eastAsia="zh-CN"/>
        </w:rPr>
        <w:t>电子件或扫描件（加盖公章）。</w:t>
      </w:r>
    </w:p>
    <w:p w14:paraId="0A14D5AF">
      <w:pPr>
        <w:spacing w:line="400" w:lineRule="exact"/>
        <w:jc w:val="left"/>
        <w:rPr>
          <w:rFonts w:ascii="宋体" w:hAnsi="宋体" w:cs="宋体"/>
          <w:color w:val="000000"/>
          <w:sz w:val="21"/>
          <w:szCs w:val="21"/>
          <w:highlight w:val="none"/>
        </w:rPr>
      </w:pPr>
      <w:r>
        <w:rPr>
          <w:rFonts w:hint="eastAsia" w:ascii="宋体" w:hAnsi="宋体" w:cs="宋体"/>
          <w:color w:val="000000"/>
          <w:sz w:val="21"/>
          <w:szCs w:val="21"/>
          <w:highlight w:val="none"/>
        </w:rPr>
        <w:t>2.评审时，未能按以上要求提供相应证明的，不作为评审依据，不得分。</w:t>
      </w:r>
    </w:p>
    <w:p w14:paraId="30A5E0BE">
      <w:pPr>
        <w:widowControl/>
        <w:jc w:val="center"/>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br w:type="page" w:clear="all"/>
      </w:r>
      <w:bookmarkStart w:id="793" w:name="_Toc104818928"/>
      <w:r>
        <w:rPr>
          <w:rFonts w:hint="eastAsia" w:ascii="宋体" w:hAnsi="宋体" w:eastAsia="宋体" w:cs="宋体"/>
          <w:b/>
          <w:color w:val="000000"/>
          <w:sz w:val="24"/>
          <w:szCs w:val="24"/>
          <w:highlight w:val="none"/>
        </w:rPr>
        <w:t>第</w:t>
      </w:r>
      <w:r>
        <w:rPr>
          <w:rFonts w:hint="eastAsia" w:ascii="宋体" w:hAnsi="宋体" w:eastAsia="宋体" w:cs="宋体"/>
          <w:b/>
          <w:color w:val="000000"/>
          <w:sz w:val="24"/>
          <w:szCs w:val="24"/>
          <w:highlight w:val="none"/>
          <w:lang w:val="en-US" w:eastAsia="zh-CN"/>
        </w:rPr>
        <w:t>五</w:t>
      </w:r>
      <w:r>
        <w:rPr>
          <w:rFonts w:hint="eastAsia" w:ascii="宋体" w:hAnsi="宋体" w:eastAsia="宋体" w:cs="宋体"/>
          <w:b/>
          <w:color w:val="000000"/>
          <w:sz w:val="24"/>
          <w:szCs w:val="24"/>
          <w:highlight w:val="none"/>
        </w:rPr>
        <w:t xml:space="preserve">章   </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采购需求</w:t>
      </w:r>
      <w:bookmarkEnd w:id="793"/>
    </w:p>
    <w:p w14:paraId="40ED7037">
      <w:pPr>
        <w:pStyle w:val="278"/>
        <w:numPr>
          <w:ilvl w:val="0"/>
          <w:numId w:val="0"/>
        </w:numPr>
        <w:spacing w:line="360" w:lineRule="auto"/>
        <w:ind w:left="500" w:hanging="500"/>
        <w:contextualSpacing/>
        <w:rPr>
          <w:rFonts w:ascii="Times New Roman" w:hAnsi="Times New Roman"/>
          <w:b/>
          <w:sz w:val="24"/>
          <w:szCs w:val="24"/>
        </w:rPr>
      </w:pPr>
      <w:bookmarkStart w:id="794" w:name="_Toc104818929"/>
      <w:r>
        <w:rPr>
          <w:rFonts w:ascii="Times New Roman" w:hAnsi="Times New Roman"/>
          <w:b/>
          <w:sz w:val="24"/>
          <w:szCs w:val="24"/>
          <w:lang w:val="en-US" w:eastAsia="zh-CN" w:bidi="ar-SA"/>
        </w:rPr>
        <w:t>一、</w:t>
      </w:r>
      <w:r>
        <w:rPr>
          <w:rFonts w:ascii="Times New Roman" w:hAnsi="Times New Roman"/>
          <w:b/>
          <w:sz w:val="24"/>
          <w:szCs w:val="24"/>
        </w:rPr>
        <w:t>采购标的</w:t>
      </w:r>
    </w:p>
    <w:p w14:paraId="376EC742">
      <w:pPr>
        <w:numPr>
          <w:ilvl w:val="0"/>
          <w:numId w:val="0"/>
        </w:numPr>
        <w:spacing w:line="360" w:lineRule="auto"/>
        <w:ind w:firstLine="480"/>
        <w:contextualSpacing/>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采购项目名称：溧阳市残疾人商业补充保险</w:t>
      </w:r>
    </w:p>
    <w:p w14:paraId="2A03909B">
      <w:pPr>
        <w:numPr>
          <w:ilvl w:val="0"/>
          <w:numId w:val="0"/>
        </w:numPr>
        <w:spacing w:line="360" w:lineRule="auto"/>
        <w:contextualSpacing/>
        <w:rPr>
          <w:rFonts w:hint="eastAsia" w:ascii="Times New Roman" w:hAnsi="Times New Roman" w:eastAsia="宋体" w:cs="Times New Roman"/>
          <w:b/>
          <w:bCs/>
          <w:sz w:val="24"/>
          <w:highlight w:val="none"/>
          <w:lang w:val="en-US" w:eastAsia="zh-CN"/>
        </w:rPr>
      </w:pPr>
      <w:r>
        <w:rPr>
          <w:rFonts w:ascii="Times New Roman" w:hAnsi="Times New Roman" w:eastAsia="宋体" w:cs="Times New Roman"/>
          <w:b/>
          <w:bCs/>
          <w:sz w:val="24"/>
          <w:highlight w:val="none"/>
          <w:lang w:val="en-US" w:eastAsia="zh-CN"/>
        </w:rPr>
        <w:t>二、</w:t>
      </w:r>
      <w:r>
        <w:rPr>
          <w:rFonts w:hint="eastAsia" w:ascii="Times New Roman" w:hAnsi="Times New Roman" w:eastAsia="宋体" w:cs="Times New Roman"/>
          <w:b/>
          <w:bCs/>
          <w:sz w:val="24"/>
          <w:highlight w:val="none"/>
          <w:lang w:val="en-US" w:eastAsia="zh-CN"/>
        </w:rPr>
        <w:t>商务要求</w:t>
      </w:r>
    </w:p>
    <w:p w14:paraId="1976D8AD">
      <w:pPr>
        <w:numPr>
          <w:ilvl w:val="0"/>
          <w:numId w:val="0"/>
        </w:numPr>
        <w:spacing w:line="360" w:lineRule="auto"/>
        <w:ind w:firstLine="480"/>
        <w:contextualSpacing/>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1.</w:t>
      </w:r>
      <w:r>
        <w:rPr>
          <w:rFonts w:hint="eastAsia" w:ascii="宋体" w:hAnsi="宋体" w:eastAsia="宋体" w:cs="宋体"/>
          <w:sz w:val="24"/>
          <w:highlight w:val="none"/>
        </w:rPr>
        <w:t>合同履行期限：</w:t>
      </w:r>
      <w:r>
        <w:rPr>
          <w:rFonts w:hint="eastAsia" w:ascii="宋体" w:hAnsi="宋体" w:eastAsia="宋体" w:cs="宋体"/>
          <w:sz w:val="24"/>
          <w:highlight w:val="none"/>
          <w:lang w:val="en-US" w:eastAsia="zh-CN"/>
        </w:rPr>
        <w:t>2年。</w:t>
      </w:r>
    </w:p>
    <w:p w14:paraId="2530873A">
      <w:pPr>
        <w:numPr>
          <w:ilvl w:val="0"/>
          <w:numId w:val="0"/>
        </w:numPr>
        <w:spacing w:line="360" w:lineRule="auto"/>
        <w:ind w:firstLine="480"/>
        <w:contextualSpacing/>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2.付款方式：合同签订后，在当年办理投保手续时，一次性付清当年保险费（</w:t>
      </w:r>
      <w:r>
        <w:rPr>
          <w:rFonts w:hint="eastAsia" w:ascii="宋体" w:hAnsi="宋体" w:cs="宋体"/>
          <w:sz w:val="24"/>
        </w:rPr>
        <w:t>按实际发生参保人数计算</w:t>
      </w:r>
      <w:r>
        <w:rPr>
          <w:rFonts w:hint="eastAsia" w:ascii="Times New Roman" w:hAnsi="Times New Roman" w:eastAsia="宋体" w:cs="Times New Roman"/>
          <w:sz w:val="24"/>
          <w:highlight w:val="none"/>
          <w:lang w:val="en-US" w:eastAsia="zh-CN"/>
        </w:rPr>
        <w:t>）。</w:t>
      </w:r>
    </w:p>
    <w:p w14:paraId="6CDB0A8D">
      <w:pPr>
        <w:widowControl/>
        <w:jc w:val="both"/>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三、技术要求</w:t>
      </w:r>
    </w:p>
    <w:p w14:paraId="33952D2F">
      <w:pPr>
        <w:widowControl/>
        <w:ind w:firstLine="480"/>
        <w:jc w:val="both"/>
        <w:rPr>
          <w:rFonts w:hint="eastAsia" w:ascii="宋体" w:hAnsi="宋体" w:eastAsia="宋体" w:cs="宋体"/>
          <w:b/>
          <w:color w:val="000000"/>
          <w:sz w:val="24"/>
          <w:szCs w:val="24"/>
          <w:highlight w:val="none"/>
          <w:lang w:val="en-US" w:eastAsia="zh-CN"/>
        </w:rPr>
      </w:pPr>
      <w:r>
        <w:rPr>
          <w:rFonts w:hint="eastAsia" w:ascii="宋体" w:hAnsi="宋体" w:eastAsia="宋体"/>
          <w:sz w:val="24"/>
          <w:szCs w:val="24"/>
        </w:rPr>
        <w:t>人均保费130元/人/年，合计人数约2万人/年</w:t>
      </w:r>
      <w:r>
        <w:rPr>
          <w:rFonts w:hint="eastAsia" w:ascii="宋体" w:hAnsi="宋体" w:eastAsia="宋体"/>
          <w:sz w:val="24"/>
          <w:szCs w:val="24"/>
          <w:lang w:eastAsia="zh-CN"/>
        </w:rPr>
        <w:t>。</w:t>
      </w:r>
    </w:p>
    <w:p w14:paraId="2DA8FD36">
      <w:pPr>
        <w:widowControl/>
        <w:ind w:firstLine="482"/>
        <w:jc w:val="both"/>
        <w:rPr>
          <w:rFonts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1.其他要求</w:t>
      </w:r>
    </w:p>
    <w:tbl>
      <w:tblPr>
        <w:tblStyle w:val="28"/>
        <w:tblW w:w="9018" w:type="dxa"/>
        <w:tblInd w:w="-113" w:type="dxa"/>
        <w:tblLayout w:type="autofit"/>
        <w:tblCellMar>
          <w:top w:w="0" w:type="dxa"/>
          <w:left w:w="108" w:type="dxa"/>
          <w:bottom w:w="0" w:type="dxa"/>
          <w:right w:w="108" w:type="dxa"/>
        </w:tblCellMar>
      </w:tblPr>
      <w:tblGrid>
        <w:gridCol w:w="1954"/>
        <w:gridCol w:w="1503"/>
        <w:gridCol w:w="5561"/>
      </w:tblGrid>
      <w:tr w14:paraId="62892E48">
        <w:tblPrEx>
          <w:tblCellMar>
            <w:top w:w="0" w:type="dxa"/>
            <w:left w:w="108" w:type="dxa"/>
            <w:bottom w:w="0" w:type="dxa"/>
            <w:right w:w="108" w:type="dxa"/>
          </w:tblCellMar>
        </w:tblPrEx>
        <w:trPr>
          <w:trHeight w:val="446" w:hRule="atLeast"/>
        </w:trPr>
        <w:tc>
          <w:tcPr>
            <w:tcW w:w="1954" w:type="dxa"/>
            <w:tcBorders>
              <w:top w:val="single" w:color="000000" w:sz="4" w:space="0"/>
              <w:left w:val="single" w:color="000000" w:sz="4" w:space="0"/>
              <w:bottom w:val="single" w:color="000000" w:sz="4" w:space="0"/>
              <w:right w:val="single" w:color="000000" w:sz="4" w:space="0"/>
            </w:tcBorders>
            <w:noWrap/>
            <w:vAlign w:val="center"/>
          </w:tcPr>
          <w:p w14:paraId="39662BBF">
            <w:pPr>
              <w:widowControl/>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保险责任</w:t>
            </w:r>
          </w:p>
        </w:tc>
        <w:tc>
          <w:tcPr>
            <w:tcW w:w="1503" w:type="dxa"/>
            <w:tcBorders>
              <w:top w:val="single" w:color="000000" w:sz="4" w:space="0"/>
              <w:left w:val="nil"/>
              <w:bottom w:val="single" w:color="000000" w:sz="4" w:space="0"/>
              <w:right w:val="single" w:color="000000" w:sz="4" w:space="0"/>
            </w:tcBorders>
            <w:noWrap/>
            <w:vAlign w:val="center"/>
          </w:tcPr>
          <w:p w14:paraId="2C8F164D">
            <w:pPr>
              <w:widowControl/>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保障</w:t>
            </w:r>
          </w:p>
        </w:tc>
        <w:tc>
          <w:tcPr>
            <w:tcW w:w="5561" w:type="dxa"/>
            <w:tcBorders>
              <w:top w:val="single" w:color="000000" w:sz="4" w:space="0"/>
              <w:left w:val="nil"/>
              <w:bottom w:val="single" w:color="000000" w:sz="4" w:space="0"/>
              <w:right w:val="single" w:color="000000" w:sz="4" w:space="0"/>
            </w:tcBorders>
            <w:noWrap w:val="0"/>
            <w:vAlign w:val="center"/>
          </w:tcPr>
          <w:p w14:paraId="55CE6021">
            <w:pPr>
              <w:widowControl/>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理赔规则</w:t>
            </w:r>
          </w:p>
        </w:tc>
      </w:tr>
      <w:tr w14:paraId="42D3BBC1">
        <w:tblPrEx>
          <w:tblCellMar>
            <w:top w:w="0" w:type="dxa"/>
            <w:left w:w="108" w:type="dxa"/>
            <w:bottom w:w="0" w:type="dxa"/>
            <w:right w:w="108" w:type="dxa"/>
          </w:tblCellMar>
        </w:tblPrEx>
        <w:trPr>
          <w:trHeight w:val="469" w:hRule="atLeast"/>
        </w:trPr>
        <w:tc>
          <w:tcPr>
            <w:tcW w:w="1954" w:type="dxa"/>
            <w:tcBorders>
              <w:top w:val="nil"/>
              <w:left w:val="single" w:color="000000" w:sz="4" w:space="0"/>
              <w:bottom w:val="single" w:color="000000" w:sz="4" w:space="0"/>
              <w:right w:val="single" w:color="000000" w:sz="4" w:space="0"/>
            </w:tcBorders>
            <w:noWrap/>
            <w:vAlign w:val="center"/>
          </w:tcPr>
          <w:p w14:paraId="4BEA37E8">
            <w:pPr>
              <w:widowControl/>
              <w:jc w:val="center"/>
              <w:rPr>
                <w:rFonts w:hint="eastAsia" w:ascii="宋体" w:hAnsi="宋体" w:eastAsia="宋体" w:cs="宋体"/>
                <w:color w:val="000000"/>
                <w:sz w:val="24"/>
                <w:szCs w:val="24"/>
              </w:rPr>
            </w:pPr>
            <w:r>
              <w:rPr>
                <w:rFonts w:hint="eastAsia" w:ascii="宋体" w:hAnsi="宋体" w:eastAsia="宋体" w:cs="宋体"/>
                <w:color w:val="000000"/>
                <w:sz w:val="24"/>
                <w:szCs w:val="24"/>
              </w:rPr>
              <w:t>重大疾病</w:t>
            </w:r>
          </w:p>
        </w:tc>
        <w:tc>
          <w:tcPr>
            <w:tcW w:w="1503" w:type="dxa"/>
            <w:tcBorders>
              <w:top w:val="nil"/>
              <w:left w:val="nil"/>
              <w:bottom w:val="single" w:color="000000" w:sz="4" w:space="0"/>
              <w:right w:val="single" w:color="000000" w:sz="4" w:space="0"/>
            </w:tcBorders>
            <w:noWrap/>
            <w:vAlign w:val="center"/>
          </w:tcPr>
          <w:p w14:paraId="38025001">
            <w:pPr>
              <w:widowControl/>
              <w:jc w:val="center"/>
              <w:rPr>
                <w:rFonts w:hint="eastAsia" w:ascii="宋体" w:hAnsi="宋体" w:eastAsia="宋体" w:cs="宋体"/>
                <w:color w:val="000000"/>
                <w:sz w:val="24"/>
                <w:szCs w:val="24"/>
              </w:rPr>
            </w:pPr>
            <w:r>
              <w:rPr>
                <w:rFonts w:hint="eastAsia" w:ascii="宋体" w:hAnsi="宋体" w:eastAsia="宋体" w:cs="宋体"/>
                <w:color w:val="000000"/>
                <w:sz w:val="24"/>
                <w:szCs w:val="24"/>
              </w:rPr>
              <w:t>4万</w:t>
            </w:r>
          </w:p>
        </w:tc>
        <w:tc>
          <w:tcPr>
            <w:tcW w:w="5561" w:type="dxa"/>
            <w:tcBorders>
              <w:top w:val="nil"/>
              <w:left w:val="nil"/>
              <w:bottom w:val="single" w:color="000000" w:sz="4" w:space="0"/>
              <w:right w:val="single" w:color="000000" w:sz="4" w:space="0"/>
            </w:tcBorders>
            <w:noWrap w:val="0"/>
            <w:vAlign w:val="center"/>
          </w:tcPr>
          <w:p w14:paraId="23B33262">
            <w:pPr>
              <w:widowControl/>
              <w:jc w:val="center"/>
              <w:rPr>
                <w:rFonts w:hint="eastAsia" w:ascii="宋体" w:hAnsi="宋体" w:eastAsia="宋体" w:cs="宋体"/>
                <w:color w:val="000000"/>
                <w:sz w:val="24"/>
                <w:szCs w:val="24"/>
              </w:rPr>
            </w:pPr>
            <w:r>
              <w:rPr>
                <w:rFonts w:hint="eastAsia" w:ascii="宋体" w:hAnsi="宋体" w:eastAsia="宋体" w:cs="宋体"/>
                <w:color w:val="000000"/>
                <w:sz w:val="24"/>
                <w:szCs w:val="24"/>
              </w:rPr>
              <w:t>50种重大疾病</w:t>
            </w:r>
          </w:p>
        </w:tc>
      </w:tr>
      <w:tr w14:paraId="75C05C67">
        <w:tblPrEx>
          <w:tblCellMar>
            <w:top w:w="0" w:type="dxa"/>
            <w:left w:w="108" w:type="dxa"/>
            <w:bottom w:w="0" w:type="dxa"/>
            <w:right w:w="108" w:type="dxa"/>
          </w:tblCellMar>
        </w:tblPrEx>
        <w:trPr>
          <w:trHeight w:val="1372" w:hRule="atLeast"/>
        </w:trPr>
        <w:tc>
          <w:tcPr>
            <w:tcW w:w="1954" w:type="dxa"/>
            <w:tcBorders>
              <w:top w:val="nil"/>
              <w:left w:val="single" w:color="000000" w:sz="4" w:space="0"/>
              <w:bottom w:val="single" w:color="000000" w:sz="4" w:space="0"/>
              <w:right w:val="single" w:color="000000" w:sz="4" w:space="0"/>
            </w:tcBorders>
            <w:noWrap/>
            <w:vAlign w:val="center"/>
          </w:tcPr>
          <w:p w14:paraId="2A533226">
            <w:pPr>
              <w:widowControl/>
              <w:jc w:val="center"/>
              <w:rPr>
                <w:rFonts w:hint="eastAsia" w:ascii="宋体" w:hAnsi="宋体" w:eastAsia="宋体" w:cs="宋体"/>
                <w:color w:val="000000"/>
                <w:sz w:val="24"/>
                <w:szCs w:val="24"/>
              </w:rPr>
            </w:pPr>
            <w:r>
              <w:rPr>
                <w:rFonts w:hint="eastAsia" w:ascii="宋体" w:hAnsi="宋体" w:eastAsia="宋体" w:cs="宋体"/>
                <w:color w:val="000000"/>
                <w:sz w:val="24"/>
                <w:szCs w:val="24"/>
              </w:rPr>
              <w:t>疾病住院</w:t>
            </w:r>
          </w:p>
          <w:p w14:paraId="589646BD">
            <w:pPr>
              <w:widowControl/>
              <w:jc w:val="center"/>
              <w:rPr>
                <w:rFonts w:hint="eastAsia" w:ascii="宋体" w:hAnsi="宋体" w:eastAsia="宋体" w:cs="宋体"/>
                <w:color w:val="000000"/>
                <w:sz w:val="24"/>
                <w:szCs w:val="24"/>
              </w:rPr>
            </w:pPr>
            <w:r>
              <w:rPr>
                <w:rFonts w:hint="eastAsia" w:ascii="宋体" w:hAnsi="宋体" w:eastAsia="宋体" w:cs="宋体"/>
                <w:color w:val="000000"/>
                <w:sz w:val="24"/>
                <w:szCs w:val="24"/>
              </w:rPr>
              <w:t>大额医疗费用</w:t>
            </w:r>
          </w:p>
        </w:tc>
        <w:tc>
          <w:tcPr>
            <w:tcW w:w="1503" w:type="dxa"/>
            <w:tcBorders>
              <w:top w:val="nil"/>
              <w:left w:val="nil"/>
              <w:bottom w:val="single" w:color="000000" w:sz="4" w:space="0"/>
              <w:right w:val="single" w:color="000000" w:sz="4" w:space="0"/>
            </w:tcBorders>
            <w:noWrap/>
            <w:vAlign w:val="center"/>
          </w:tcPr>
          <w:p w14:paraId="332E1205">
            <w:pPr>
              <w:widowControl/>
              <w:jc w:val="center"/>
              <w:rPr>
                <w:rFonts w:hint="eastAsia" w:ascii="宋体" w:hAnsi="宋体" w:eastAsia="宋体" w:cs="宋体"/>
                <w:color w:val="000000"/>
                <w:sz w:val="24"/>
                <w:szCs w:val="24"/>
              </w:rPr>
            </w:pPr>
            <w:r>
              <w:rPr>
                <w:rFonts w:hint="eastAsia" w:ascii="宋体" w:hAnsi="宋体" w:eastAsia="宋体" w:cs="宋体"/>
                <w:color w:val="000000"/>
                <w:sz w:val="24"/>
                <w:szCs w:val="24"/>
              </w:rPr>
              <w:t>5万</w:t>
            </w:r>
          </w:p>
        </w:tc>
        <w:tc>
          <w:tcPr>
            <w:tcW w:w="5561" w:type="dxa"/>
            <w:tcBorders>
              <w:top w:val="nil"/>
              <w:left w:val="nil"/>
              <w:bottom w:val="single" w:color="000000" w:sz="4" w:space="0"/>
              <w:right w:val="single" w:color="000000" w:sz="4" w:space="0"/>
            </w:tcBorders>
            <w:noWrap w:val="0"/>
            <w:vAlign w:val="center"/>
          </w:tcPr>
          <w:p w14:paraId="42A13935">
            <w:pPr>
              <w:widowControl/>
              <w:jc w:val="left"/>
              <w:rPr>
                <w:rFonts w:hint="eastAsia" w:ascii="宋体" w:hAnsi="宋体" w:eastAsia="宋体" w:cs="宋体"/>
                <w:color w:val="000000"/>
                <w:sz w:val="24"/>
                <w:szCs w:val="24"/>
              </w:rPr>
            </w:pPr>
            <w:r>
              <w:rPr>
                <w:rFonts w:hint="eastAsia" w:ascii="宋体" w:hAnsi="宋体" w:eastAsia="宋体" w:cs="宋体"/>
                <w:color w:val="000000"/>
                <w:sz w:val="24"/>
                <w:szCs w:val="24"/>
              </w:rPr>
              <w:t>有医保：免赔额8千元/次，赔付比例按分级累进：8千元-1.8万元部30%；1.8万元以上-2.8万元部分60%；2.8万元以上部分80%。</w:t>
            </w:r>
          </w:p>
          <w:p w14:paraId="3E5E7B5F">
            <w:pPr>
              <w:widowControl/>
              <w:jc w:val="left"/>
              <w:rPr>
                <w:rFonts w:hint="eastAsia" w:ascii="宋体" w:hAnsi="宋体" w:eastAsia="宋体" w:cs="宋体"/>
                <w:color w:val="000000"/>
                <w:sz w:val="24"/>
                <w:szCs w:val="24"/>
              </w:rPr>
            </w:pPr>
            <w:r>
              <w:rPr>
                <w:rFonts w:hint="eastAsia" w:ascii="宋体" w:hAnsi="宋体" w:eastAsia="宋体" w:cs="宋体"/>
                <w:color w:val="000000"/>
                <w:sz w:val="24"/>
                <w:szCs w:val="24"/>
              </w:rPr>
              <w:t>无医保：免赔额1万元/次，赔付比例15%</w:t>
            </w:r>
          </w:p>
        </w:tc>
      </w:tr>
      <w:tr w14:paraId="3B2CEE6A">
        <w:tblPrEx>
          <w:tblCellMar>
            <w:top w:w="0" w:type="dxa"/>
            <w:left w:w="108" w:type="dxa"/>
            <w:bottom w:w="0" w:type="dxa"/>
            <w:right w:w="108" w:type="dxa"/>
          </w:tblCellMar>
        </w:tblPrEx>
        <w:trPr>
          <w:trHeight w:val="1062" w:hRule="atLeast"/>
        </w:trPr>
        <w:tc>
          <w:tcPr>
            <w:tcW w:w="1954" w:type="dxa"/>
            <w:tcBorders>
              <w:top w:val="nil"/>
              <w:left w:val="single" w:color="000000" w:sz="4" w:space="0"/>
              <w:bottom w:val="single" w:color="000000" w:sz="4" w:space="0"/>
              <w:right w:val="single" w:color="000000" w:sz="4" w:space="0"/>
            </w:tcBorders>
            <w:noWrap/>
            <w:vAlign w:val="center"/>
          </w:tcPr>
          <w:p w14:paraId="76DC6D03">
            <w:pPr>
              <w:widowControl/>
              <w:jc w:val="center"/>
              <w:rPr>
                <w:rFonts w:hint="eastAsia" w:ascii="宋体" w:hAnsi="宋体" w:eastAsia="宋体" w:cs="宋体"/>
                <w:color w:val="000000"/>
                <w:sz w:val="24"/>
                <w:szCs w:val="24"/>
              </w:rPr>
            </w:pPr>
            <w:r>
              <w:rPr>
                <w:rFonts w:hint="eastAsia" w:ascii="宋体" w:hAnsi="宋体" w:eastAsia="宋体" w:cs="宋体"/>
                <w:color w:val="000000"/>
                <w:sz w:val="24"/>
                <w:szCs w:val="24"/>
              </w:rPr>
              <w:t>意外住院津贴</w:t>
            </w:r>
          </w:p>
        </w:tc>
        <w:tc>
          <w:tcPr>
            <w:tcW w:w="1503" w:type="dxa"/>
            <w:tcBorders>
              <w:top w:val="nil"/>
              <w:left w:val="nil"/>
              <w:bottom w:val="single" w:color="000000" w:sz="4" w:space="0"/>
              <w:right w:val="single" w:color="000000" w:sz="4" w:space="0"/>
            </w:tcBorders>
            <w:noWrap/>
            <w:vAlign w:val="center"/>
          </w:tcPr>
          <w:p w14:paraId="2F695897">
            <w:pPr>
              <w:widowControl/>
              <w:jc w:val="center"/>
              <w:rPr>
                <w:rFonts w:hint="eastAsia" w:ascii="宋体" w:hAnsi="宋体" w:eastAsia="宋体" w:cs="宋体"/>
                <w:color w:val="000000"/>
                <w:sz w:val="24"/>
                <w:szCs w:val="24"/>
              </w:rPr>
            </w:pPr>
            <w:r>
              <w:rPr>
                <w:rFonts w:hint="eastAsia" w:ascii="宋体" w:hAnsi="宋体" w:eastAsia="宋体" w:cs="宋体"/>
                <w:color w:val="000000"/>
                <w:sz w:val="24"/>
                <w:szCs w:val="24"/>
              </w:rPr>
              <w:t>200元/天</w:t>
            </w:r>
          </w:p>
          <w:p w14:paraId="2E101F04">
            <w:pPr>
              <w:widowControl/>
              <w:jc w:val="center"/>
              <w:rPr>
                <w:rFonts w:hint="eastAsia" w:ascii="宋体" w:hAnsi="宋体" w:eastAsia="宋体" w:cs="宋体"/>
                <w:color w:val="000000"/>
                <w:sz w:val="24"/>
                <w:szCs w:val="24"/>
              </w:rPr>
            </w:pPr>
            <w:r>
              <w:rPr>
                <w:rFonts w:hint="eastAsia" w:ascii="宋体" w:hAnsi="宋体" w:eastAsia="宋体" w:cs="宋体"/>
                <w:color w:val="000000"/>
                <w:sz w:val="24"/>
                <w:szCs w:val="24"/>
              </w:rPr>
              <w:t>300元/天</w:t>
            </w:r>
          </w:p>
        </w:tc>
        <w:tc>
          <w:tcPr>
            <w:tcW w:w="5561" w:type="dxa"/>
            <w:tcBorders>
              <w:top w:val="nil"/>
              <w:left w:val="nil"/>
              <w:bottom w:val="single" w:color="000000" w:sz="4" w:space="0"/>
              <w:right w:val="single" w:color="000000" w:sz="4" w:space="0"/>
            </w:tcBorders>
            <w:noWrap w:val="0"/>
            <w:vAlign w:val="center"/>
          </w:tcPr>
          <w:p w14:paraId="7F03608A">
            <w:pPr>
              <w:widowControl/>
              <w:jc w:val="left"/>
              <w:rPr>
                <w:rFonts w:hint="eastAsia" w:ascii="宋体" w:hAnsi="宋体" w:eastAsia="宋体" w:cs="宋体"/>
                <w:color w:val="000000"/>
                <w:sz w:val="24"/>
                <w:szCs w:val="24"/>
              </w:rPr>
            </w:pPr>
            <w:r>
              <w:rPr>
                <w:rFonts w:hint="eastAsia" w:ascii="宋体" w:hAnsi="宋体" w:eastAsia="宋体" w:cs="宋体"/>
                <w:color w:val="000000"/>
                <w:sz w:val="24"/>
                <w:szCs w:val="24"/>
              </w:rPr>
              <w:t>意外住院，按住院天数，定额给付200元/天（59岁及以下）；300元/天（60岁及以上）</w:t>
            </w:r>
          </w:p>
          <w:p w14:paraId="0AE25A44">
            <w:pPr>
              <w:widowControl/>
              <w:jc w:val="left"/>
              <w:rPr>
                <w:rFonts w:hint="eastAsia" w:ascii="宋体" w:hAnsi="宋体" w:eastAsia="宋体" w:cs="宋体"/>
                <w:color w:val="000000"/>
                <w:sz w:val="24"/>
                <w:szCs w:val="24"/>
              </w:rPr>
            </w:pPr>
            <w:r>
              <w:rPr>
                <w:rFonts w:hint="eastAsia" w:ascii="宋体" w:hAnsi="宋体" w:eastAsia="宋体" w:cs="宋体"/>
                <w:color w:val="000000"/>
                <w:sz w:val="24"/>
                <w:szCs w:val="24"/>
              </w:rPr>
              <w:t>单次90天为限，全年180天为限。</w:t>
            </w:r>
          </w:p>
        </w:tc>
      </w:tr>
      <w:tr w14:paraId="56DBD68E">
        <w:tblPrEx>
          <w:tblCellMar>
            <w:top w:w="0" w:type="dxa"/>
            <w:left w:w="108" w:type="dxa"/>
            <w:bottom w:w="0" w:type="dxa"/>
            <w:right w:w="108" w:type="dxa"/>
          </w:tblCellMar>
        </w:tblPrEx>
        <w:trPr>
          <w:trHeight w:val="791" w:hRule="atLeast"/>
        </w:trPr>
        <w:tc>
          <w:tcPr>
            <w:tcW w:w="1954" w:type="dxa"/>
            <w:tcBorders>
              <w:top w:val="nil"/>
              <w:left w:val="single" w:color="000000" w:sz="4" w:space="0"/>
              <w:bottom w:val="single" w:color="000000" w:sz="4" w:space="0"/>
              <w:right w:val="single" w:color="000000" w:sz="4" w:space="0"/>
            </w:tcBorders>
            <w:noWrap/>
            <w:vAlign w:val="center"/>
          </w:tcPr>
          <w:p w14:paraId="11E30E92">
            <w:pPr>
              <w:widowControl/>
              <w:jc w:val="center"/>
              <w:rPr>
                <w:rFonts w:hint="eastAsia" w:ascii="宋体" w:hAnsi="宋体" w:eastAsia="宋体" w:cs="宋体"/>
                <w:color w:val="000000"/>
                <w:sz w:val="24"/>
                <w:szCs w:val="24"/>
              </w:rPr>
            </w:pPr>
            <w:r>
              <w:rPr>
                <w:rFonts w:hint="eastAsia" w:ascii="宋体" w:hAnsi="宋体" w:eastAsia="宋体" w:cs="宋体"/>
                <w:color w:val="000000"/>
                <w:sz w:val="24"/>
                <w:szCs w:val="24"/>
              </w:rPr>
              <w:t>意外医疗费用</w:t>
            </w:r>
          </w:p>
        </w:tc>
        <w:tc>
          <w:tcPr>
            <w:tcW w:w="1503" w:type="dxa"/>
            <w:tcBorders>
              <w:top w:val="nil"/>
              <w:left w:val="nil"/>
              <w:bottom w:val="single" w:color="000000" w:sz="4" w:space="0"/>
              <w:right w:val="single" w:color="000000" w:sz="4" w:space="0"/>
            </w:tcBorders>
            <w:noWrap/>
            <w:vAlign w:val="center"/>
          </w:tcPr>
          <w:p w14:paraId="10E28182">
            <w:pPr>
              <w:widowControl/>
              <w:jc w:val="center"/>
              <w:rPr>
                <w:rFonts w:hint="eastAsia" w:ascii="宋体" w:hAnsi="宋体" w:eastAsia="宋体" w:cs="宋体"/>
                <w:color w:val="000000"/>
                <w:sz w:val="24"/>
                <w:szCs w:val="24"/>
              </w:rPr>
            </w:pPr>
            <w:r>
              <w:rPr>
                <w:rFonts w:hint="eastAsia" w:ascii="宋体" w:hAnsi="宋体" w:eastAsia="宋体" w:cs="宋体"/>
                <w:color w:val="000000"/>
                <w:sz w:val="24"/>
                <w:szCs w:val="24"/>
              </w:rPr>
              <w:t>10万</w:t>
            </w:r>
          </w:p>
        </w:tc>
        <w:tc>
          <w:tcPr>
            <w:tcW w:w="5561" w:type="dxa"/>
            <w:tcBorders>
              <w:top w:val="nil"/>
              <w:left w:val="nil"/>
              <w:bottom w:val="single" w:color="000000" w:sz="4" w:space="0"/>
              <w:right w:val="single" w:color="000000" w:sz="4" w:space="0"/>
            </w:tcBorders>
            <w:noWrap w:val="0"/>
            <w:vAlign w:val="center"/>
          </w:tcPr>
          <w:p w14:paraId="30DCA62D">
            <w:pPr>
              <w:widowControl/>
              <w:jc w:val="left"/>
              <w:rPr>
                <w:rFonts w:hint="eastAsia" w:ascii="宋体" w:hAnsi="宋体" w:eastAsia="宋体" w:cs="宋体"/>
                <w:color w:val="000000"/>
                <w:sz w:val="24"/>
                <w:szCs w:val="24"/>
              </w:rPr>
            </w:pPr>
            <w:r>
              <w:rPr>
                <w:rFonts w:hint="eastAsia" w:ascii="宋体" w:hAnsi="宋体" w:eastAsia="宋体" w:cs="宋体"/>
                <w:color w:val="000000"/>
                <w:sz w:val="24"/>
                <w:szCs w:val="24"/>
              </w:rPr>
              <w:t>有医保，免赔额0元/次，给付比例100%</w:t>
            </w:r>
          </w:p>
          <w:p w14:paraId="280B0D5E">
            <w:pPr>
              <w:widowControl/>
              <w:jc w:val="left"/>
              <w:rPr>
                <w:rFonts w:hint="eastAsia" w:ascii="宋体" w:hAnsi="宋体" w:eastAsia="宋体" w:cs="宋体"/>
                <w:color w:val="000000"/>
                <w:sz w:val="24"/>
                <w:szCs w:val="24"/>
              </w:rPr>
            </w:pPr>
            <w:r>
              <w:rPr>
                <w:rFonts w:hint="eastAsia" w:ascii="宋体" w:hAnsi="宋体" w:eastAsia="宋体" w:cs="宋体"/>
                <w:color w:val="000000"/>
                <w:sz w:val="24"/>
                <w:szCs w:val="24"/>
              </w:rPr>
              <w:t>无医保，免赔额50元/次，给付比例70%</w:t>
            </w:r>
          </w:p>
        </w:tc>
      </w:tr>
      <w:tr w14:paraId="5FF1415E">
        <w:tblPrEx>
          <w:tblCellMar>
            <w:top w:w="0" w:type="dxa"/>
            <w:left w:w="108" w:type="dxa"/>
            <w:bottom w:w="0" w:type="dxa"/>
            <w:right w:w="108" w:type="dxa"/>
          </w:tblCellMar>
        </w:tblPrEx>
        <w:trPr>
          <w:trHeight w:val="1874" w:hRule="atLeast"/>
        </w:trPr>
        <w:tc>
          <w:tcPr>
            <w:tcW w:w="1954" w:type="dxa"/>
            <w:tcBorders>
              <w:top w:val="nil"/>
              <w:left w:val="single" w:color="000000" w:sz="4" w:space="0"/>
              <w:bottom w:val="single" w:color="000000" w:sz="4" w:space="0"/>
              <w:right w:val="single" w:color="000000" w:sz="4" w:space="0"/>
            </w:tcBorders>
            <w:noWrap/>
            <w:vAlign w:val="center"/>
          </w:tcPr>
          <w:p w14:paraId="5967DBAB">
            <w:pPr>
              <w:widowControl/>
              <w:jc w:val="center"/>
              <w:rPr>
                <w:rFonts w:hint="eastAsia" w:ascii="宋体" w:hAnsi="宋体" w:eastAsia="宋体" w:cs="宋体"/>
                <w:color w:val="000000"/>
                <w:sz w:val="24"/>
                <w:szCs w:val="24"/>
              </w:rPr>
            </w:pPr>
            <w:r>
              <w:rPr>
                <w:rFonts w:hint="eastAsia" w:ascii="宋体" w:hAnsi="宋体" w:eastAsia="宋体" w:cs="宋体"/>
                <w:color w:val="000000"/>
                <w:sz w:val="24"/>
                <w:szCs w:val="24"/>
              </w:rPr>
              <w:t>意外身故</w:t>
            </w:r>
          </w:p>
          <w:p w14:paraId="3C315529">
            <w:pPr>
              <w:widowControl/>
              <w:jc w:val="center"/>
              <w:rPr>
                <w:rFonts w:hint="eastAsia" w:ascii="宋体" w:hAnsi="宋体" w:eastAsia="宋体" w:cs="宋体"/>
                <w:color w:val="000000"/>
                <w:sz w:val="24"/>
                <w:szCs w:val="24"/>
              </w:rPr>
            </w:pPr>
            <w:r>
              <w:rPr>
                <w:rFonts w:hint="eastAsia" w:ascii="宋体" w:hAnsi="宋体" w:eastAsia="宋体" w:cs="宋体"/>
                <w:color w:val="000000"/>
                <w:sz w:val="24"/>
                <w:szCs w:val="24"/>
              </w:rPr>
              <w:t>及伤残</w:t>
            </w:r>
          </w:p>
        </w:tc>
        <w:tc>
          <w:tcPr>
            <w:tcW w:w="1503" w:type="dxa"/>
            <w:tcBorders>
              <w:top w:val="nil"/>
              <w:left w:val="nil"/>
              <w:bottom w:val="single" w:color="000000" w:sz="4" w:space="0"/>
              <w:right w:val="single" w:color="000000" w:sz="4" w:space="0"/>
            </w:tcBorders>
            <w:noWrap/>
            <w:vAlign w:val="center"/>
          </w:tcPr>
          <w:p w14:paraId="410A70B5">
            <w:pPr>
              <w:widowControl/>
              <w:jc w:val="center"/>
              <w:rPr>
                <w:rFonts w:hint="eastAsia" w:ascii="宋体" w:hAnsi="宋体" w:eastAsia="宋体" w:cs="宋体"/>
                <w:color w:val="000000"/>
                <w:sz w:val="24"/>
                <w:szCs w:val="24"/>
              </w:rPr>
            </w:pPr>
            <w:r>
              <w:rPr>
                <w:rFonts w:hint="eastAsia" w:ascii="宋体" w:hAnsi="宋体" w:eastAsia="宋体" w:cs="宋体"/>
                <w:color w:val="000000"/>
                <w:sz w:val="24"/>
                <w:szCs w:val="24"/>
              </w:rPr>
              <w:t>5万</w:t>
            </w:r>
          </w:p>
        </w:tc>
        <w:tc>
          <w:tcPr>
            <w:tcW w:w="5561" w:type="dxa"/>
            <w:tcBorders>
              <w:top w:val="nil"/>
              <w:left w:val="nil"/>
              <w:bottom w:val="single" w:color="000000" w:sz="4" w:space="0"/>
              <w:right w:val="single" w:color="000000" w:sz="4" w:space="0"/>
            </w:tcBorders>
            <w:noWrap w:val="0"/>
            <w:vAlign w:val="center"/>
          </w:tcPr>
          <w:p w14:paraId="6583A71A">
            <w:pPr>
              <w:widowControl/>
              <w:jc w:val="left"/>
              <w:rPr>
                <w:rFonts w:hint="eastAsia" w:ascii="宋体" w:hAnsi="宋体" w:eastAsia="宋体" w:cs="宋体"/>
                <w:color w:val="000000"/>
                <w:sz w:val="24"/>
                <w:szCs w:val="24"/>
              </w:rPr>
            </w:pPr>
            <w:r>
              <w:rPr>
                <w:rFonts w:hint="eastAsia" w:ascii="宋体" w:hAnsi="宋体" w:eastAsia="宋体" w:cs="宋体"/>
                <w:color w:val="000000"/>
                <w:sz w:val="24"/>
                <w:szCs w:val="24"/>
              </w:rPr>
              <w:t>59岁及以下，承担所有意外伤害类型。</w:t>
            </w:r>
          </w:p>
          <w:p w14:paraId="314E2984">
            <w:pPr>
              <w:widowControl/>
              <w:jc w:val="left"/>
              <w:rPr>
                <w:rFonts w:hint="eastAsia" w:ascii="宋体" w:hAnsi="宋体" w:eastAsia="宋体" w:cs="宋体"/>
                <w:color w:val="000000"/>
                <w:sz w:val="24"/>
                <w:szCs w:val="24"/>
              </w:rPr>
            </w:pPr>
            <w:r>
              <w:rPr>
                <w:rFonts w:hint="eastAsia" w:ascii="宋体" w:hAnsi="宋体" w:eastAsia="宋体" w:cs="宋体"/>
                <w:color w:val="000000"/>
                <w:sz w:val="24"/>
                <w:szCs w:val="24"/>
              </w:rPr>
              <w:t>60岁及以上，承担以下意外伤害类型：意外伤害类型仅限：交通事故（含行人/车辆/轮船/火车/飞机）、锐器伤（刀割、刺伤）、烧烫伤、火灾、爆炸、触电、中毒；（其他意外伤害类型，不承担保险责任）</w:t>
            </w:r>
          </w:p>
        </w:tc>
      </w:tr>
    </w:tbl>
    <w:p w14:paraId="12B697C5">
      <w:pPr>
        <w:ind w:firstLine="426"/>
        <w:rPr>
          <w:rFonts w:hint="eastAsia" w:ascii="宋体" w:hAnsi="宋体" w:eastAsia="宋体"/>
          <w:b/>
          <w:bCs/>
          <w:sz w:val="24"/>
          <w:szCs w:val="24"/>
        </w:rPr>
      </w:pPr>
      <w:r>
        <w:rPr>
          <w:rFonts w:hint="eastAsia" w:ascii="宋体" w:hAnsi="宋体" w:eastAsia="宋体"/>
          <w:b/>
          <w:bCs/>
          <w:sz w:val="24"/>
          <w:szCs w:val="24"/>
        </w:rPr>
        <w:t>在以上保障方案中，针对以下特定人群，差异化调整保障额度。</w:t>
      </w:r>
    </w:p>
    <w:p w14:paraId="7A5C776E">
      <w:pPr>
        <w:ind w:firstLine="424"/>
        <w:rPr>
          <w:rFonts w:hint="eastAsia" w:ascii="宋体" w:hAnsi="宋体" w:eastAsia="宋体"/>
          <w:sz w:val="24"/>
          <w:szCs w:val="24"/>
        </w:rPr>
      </w:pPr>
      <w:r>
        <w:rPr>
          <w:rFonts w:hint="eastAsia" w:ascii="宋体" w:hAnsi="宋体" w:eastAsia="宋体"/>
          <w:sz w:val="24"/>
          <w:szCs w:val="24"/>
        </w:rPr>
        <w:t>1、对于存在“智力”和“精神”的残疾人员：提升“意外医疗费用”保障额度至13万；降低“意外身故”保障至2万元。</w:t>
      </w:r>
    </w:p>
    <w:p w14:paraId="6B424FC9">
      <w:pPr>
        <w:ind w:firstLine="424"/>
        <w:rPr>
          <w:rFonts w:hint="eastAsia" w:ascii="宋体" w:hAnsi="宋体" w:eastAsia="宋体"/>
          <w:sz w:val="24"/>
          <w:szCs w:val="24"/>
        </w:rPr>
      </w:pPr>
      <w:r>
        <w:rPr>
          <w:rFonts w:hint="eastAsia" w:ascii="宋体" w:hAnsi="宋体" w:eastAsia="宋体"/>
          <w:sz w:val="24"/>
          <w:szCs w:val="24"/>
        </w:rPr>
        <w:t>2、对于残疾等级为“一级（极重度）和二级（重度）”的人员：提升“疾病住院大额医疗费用”保额额度至6万元。</w:t>
      </w:r>
      <w:r>
        <w:rPr>
          <w:rFonts w:hint="eastAsia" w:ascii="宋体" w:hAnsi="宋体" w:cs="宋体"/>
          <w:color w:val="000000"/>
          <w:sz w:val="24"/>
          <w:szCs w:val="24"/>
          <w:lang w:eastAsia="zh-CN"/>
        </w:rPr>
        <w:t>（</w:t>
      </w:r>
      <w:r>
        <w:rPr>
          <w:rFonts w:hint="eastAsia" w:ascii="宋体" w:hAnsi="宋体" w:cs="宋体"/>
          <w:color w:val="000000"/>
          <w:sz w:val="24"/>
          <w:szCs w:val="24"/>
          <w:lang w:val="en-US" w:eastAsia="zh-CN"/>
        </w:rPr>
        <w:t>往年重度残疾人数约9200人，仅供参考，具体以实际为准</w:t>
      </w:r>
      <w:r>
        <w:rPr>
          <w:rFonts w:hint="eastAsia" w:ascii="宋体" w:hAnsi="宋体" w:cs="宋体"/>
          <w:color w:val="000000"/>
          <w:sz w:val="24"/>
          <w:szCs w:val="24"/>
          <w:lang w:eastAsia="zh-CN"/>
        </w:rPr>
        <w:t>）</w:t>
      </w:r>
    </w:p>
    <w:p w14:paraId="29B047B4">
      <w:pPr>
        <w:ind w:firstLine="424"/>
        <w:rPr>
          <w:rFonts w:hint="eastAsia" w:ascii="宋体" w:hAnsi="宋体" w:eastAsia="宋体" w:cs="宋体"/>
          <w:color w:val="000000"/>
          <w:sz w:val="24"/>
          <w:szCs w:val="24"/>
          <w:lang w:eastAsia="zh-CN"/>
        </w:rPr>
      </w:pPr>
      <w:r>
        <w:rPr>
          <w:rFonts w:hint="eastAsia" w:ascii="宋体" w:hAnsi="宋体" w:eastAsia="宋体"/>
          <w:sz w:val="24"/>
          <w:szCs w:val="24"/>
        </w:rPr>
        <w:t>3、对于低保和低保边缘的困难残疾人：“重大疾病”保险额度提升至5万元，“意外住院津贴”定额给付提升至250元/天</w:t>
      </w:r>
      <w:r>
        <w:rPr>
          <w:rFonts w:hint="eastAsia" w:ascii="宋体" w:hAnsi="宋体" w:eastAsia="宋体" w:cs="宋体"/>
          <w:color w:val="000000"/>
          <w:sz w:val="24"/>
          <w:szCs w:val="24"/>
        </w:rPr>
        <w:t>（59岁及以下）</w:t>
      </w:r>
      <w:r>
        <w:rPr>
          <w:rFonts w:hint="eastAsia" w:ascii="宋体" w:hAnsi="宋体" w:eastAsia="宋体"/>
          <w:sz w:val="24"/>
          <w:szCs w:val="24"/>
        </w:rPr>
        <w:t>；350元/天</w:t>
      </w:r>
      <w:r>
        <w:rPr>
          <w:rFonts w:hint="eastAsia" w:ascii="宋体" w:hAnsi="宋体" w:eastAsia="宋体" w:cs="宋体"/>
          <w:color w:val="000000"/>
          <w:sz w:val="24"/>
          <w:szCs w:val="24"/>
        </w:rPr>
        <w:t>（60岁及以上）</w:t>
      </w:r>
      <w:r>
        <w:rPr>
          <w:rFonts w:hint="eastAsia" w:ascii="宋体" w:hAnsi="宋体" w:eastAsia="宋体" w:cs="宋体"/>
          <w:color w:val="000000"/>
          <w:sz w:val="24"/>
          <w:szCs w:val="24"/>
          <w:lang w:eastAsia="zh-CN"/>
        </w:rPr>
        <w:t>。</w:t>
      </w:r>
      <w:r>
        <w:rPr>
          <w:rFonts w:hint="eastAsia" w:ascii="宋体" w:hAnsi="宋体" w:cs="宋体"/>
          <w:color w:val="000000"/>
          <w:sz w:val="24"/>
          <w:szCs w:val="24"/>
          <w:lang w:eastAsia="zh-CN"/>
        </w:rPr>
        <w:t>（</w:t>
      </w:r>
      <w:r>
        <w:rPr>
          <w:rFonts w:hint="eastAsia" w:ascii="宋体" w:hAnsi="宋体" w:cs="宋体"/>
          <w:color w:val="000000"/>
          <w:sz w:val="24"/>
          <w:szCs w:val="24"/>
          <w:lang w:val="en-US" w:eastAsia="zh-CN"/>
        </w:rPr>
        <w:t>往年困难人数约1400-1500人，仅供参考，具体以实际为准</w:t>
      </w:r>
      <w:r>
        <w:rPr>
          <w:rFonts w:hint="eastAsia" w:ascii="宋体" w:hAnsi="宋体" w:cs="宋体"/>
          <w:color w:val="000000"/>
          <w:sz w:val="24"/>
          <w:szCs w:val="24"/>
          <w:lang w:eastAsia="zh-CN"/>
        </w:rPr>
        <w:t>）</w:t>
      </w:r>
      <w:bookmarkStart w:id="888" w:name="_GoBack"/>
      <w:bookmarkEnd w:id="888"/>
    </w:p>
    <w:p w14:paraId="1E48A442">
      <w:pPr>
        <w:ind w:firstLine="424"/>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4、</w:t>
      </w:r>
      <w:r>
        <w:rPr>
          <w:rFonts w:hint="eastAsia" w:ascii="宋体" w:hAnsi="宋体" w:eastAsia="宋体" w:cs="宋体"/>
          <w:sz w:val="24"/>
          <w:highlight w:val="none"/>
          <w:lang w:val="en-US" w:eastAsia="zh-CN"/>
        </w:rPr>
        <w:t>参保人群：具有溧阳市常住户籍并持有第二代《中华人民共和国残疾人证》的残疾人。</w:t>
      </w:r>
    </w:p>
    <w:p w14:paraId="50559EDC">
      <w:pPr>
        <w:keepNext w:val="0"/>
        <w:keepLines w:val="0"/>
        <w:pageBreakBefore w:val="0"/>
        <w:widowControl/>
        <w:spacing w:line="360" w:lineRule="auto"/>
        <w:ind w:firstLine="482"/>
        <w:jc w:val="both"/>
        <w:rPr>
          <w:rFonts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2.基本要求</w:t>
      </w:r>
    </w:p>
    <w:p w14:paraId="7819D044">
      <w:pPr>
        <w:keepNext w:val="0"/>
        <w:keepLines w:val="0"/>
        <w:pageBreakBefore w:val="0"/>
        <w:spacing w:line="360" w:lineRule="auto"/>
        <w:ind w:firstLine="241"/>
        <w:rPr>
          <w:rFonts w:hint="eastAsia" w:ascii="新宋体" w:hAnsi="新宋体" w:eastAsia="新宋体" w:cs="新宋体"/>
          <w:b/>
          <w:bCs/>
          <w:color w:val="000000"/>
          <w:sz w:val="24"/>
          <w:szCs w:val="24"/>
          <w:highlight w:val="none"/>
          <w:u w:val="none"/>
        </w:rPr>
      </w:pPr>
      <w:r>
        <w:rPr>
          <w:rFonts w:hint="eastAsia" w:ascii="新宋体" w:hAnsi="新宋体" w:eastAsia="新宋体" w:cs="新宋体"/>
          <w:b/>
          <w:bCs/>
          <w:color w:val="000000"/>
          <w:sz w:val="24"/>
          <w:szCs w:val="24"/>
          <w:highlight w:val="none"/>
          <w:u w:val="none"/>
        </w:rPr>
        <w:t>（一）大病补充保险</w:t>
      </w:r>
    </w:p>
    <w:p w14:paraId="76C3462D">
      <w:pPr>
        <w:rPr>
          <w:rFonts w:hint="eastAsia" w:ascii="宋体" w:hAnsi="宋体" w:eastAsia="宋体"/>
          <w:b/>
          <w:bCs/>
          <w:sz w:val="24"/>
          <w:szCs w:val="24"/>
        </w:rPr>
      </w:pPr>
      <w:r>
        <w:rPr>
          <w:rFonts w:hint="eastAsia" w:ascii="宋体" w:hAnsi="宋体" w:eastAsia="宋体"/>
          <w:b/>
          <w:bCs/>
          <w:sz w:val="24"/>
          <w:szCs w:val="24"/>
        </w:rPr>
        <w:t>1、重大疾病</w:t>
      </w:r>
    </w:p>
    <w:p w14:paraId="2B34F393">
      <w:pPr>
        <w:keepNext w:val="0"/>
        <w:keepLines w:val="0"/>
        <w:pageBreakBefore w:val="0"/>
        <w:widowControl w:val="0"/>
        <w:spacing w:line="360" w:lineRule="auto"/>
        <w:ind w:firstLine="424"/>
        <w:rPr>
          <w:rFonts w:hint="eastAsia" w:ascii="宋体" w:hAnsi="宋体" w:eastAsia="宋体"/>
          <w:sz w:val="24"/>
          <w:szCs w:val="24"/>
        </w:rPr>
      </w:pPr>
      <w:r>
        <w:rPr>
          <w:rFonts w:hint="eastAsia" w:ascii="宋体" w:hAnsi="宋体" w:eastAsia="宋体"/>
          <w:sz w:val="24"/>
          <w:szCs w:val="24"/>
        </w:rPr>
        <w:t>在本合同保险期间内，被保险人初次发生并经专科医生明确诊断患约定的重大疾病（50种重大疾病定义见附件）(无论一种或多种)，保险公司按约定金额给付重大疾病保险金，该被保险人的本项保险责任终止。</w:t>
      </w:r>
    </w:p>
    <w:p w14:paraId="598E8533">
      <w:pPr>
        <w:keepNext w:val="0"/>
        <w:keepLines w:val="0"/>
        <w:pageBreakBefore w:val="0"/>
        <w:widowControl w:val="0"/>
        <w:spacing w:line="360" w:lineRule="auto"/>
        <w:ind w:firstLine="424"/>
        <w:rPr>
          <w:rFonts w:hint="eastAsia" w:ascii="宋体" w:hAnsi="宋体" w:eastAsia="宋体"/>
          <w:color w:val="00B0F0"/>
          <w:sz w:val="24"/>
          <w:szCs w:val="24"/>
        </w:rPr>
      </w:pPr>
      <w:r>
        <w:rPr>
          <w:rFonts w:hint="eastAsia" w:ascii="宋体" w:hAnsi="宋体" w:eastAsia="宋体"/>
          <w:color w:val="00B0F0"/>
          <w:sz w:val="24"/>
          <w:szCs w:val="24"/>
        </w:rPr>
        <w:t>责任扩展可选择约定承诺：对于既往已患重疾的被保险人，承担合同期间内新发重疾和转移性重疾的保险责任。</w:t>
      </w:r>
    </w:p>
    <w:p w14:paraId="169DF46D">
      <w:pPr>
        <w:keepNext w:val="0"/>
        <w:keepLines w:val="0"/>
        <w:pageBreakBefore w:val="0"/>
        <w:widowControl w:val="0"/>
        <w:spacing w:line="360" w:lineRule="auto"/>
        <w:rPr>
          <w:rFonts w:hint="eastAsia" w:ascii="宋体" w:hAnsi="宋体" w:eastAsia="宋体"/>
          <w:b/>
          <w:bCs/>
          <w:sz w:val="24"/>
          <w:szCs w:val="24"/>
        </w:rPr>
      </w:pPr>
      <w:r>
        <w:rPr>
          <w:rFonts w:hint="eastAsia" w:ascii="宋体" w:hAnsi="宋体" w:eastAsia="宋体"/>
          <w:b/>
          <w:bCs/>
          <w:sz w:val="24"/>
          <w:szCs w:val="24"/>
        </w:rPr>
        <w:t>2、疾病住院大额医疗费用</w:t>
      </w:r>
    </w:p>
    <w:p w14:paraId="3363E379">
      <w:pPr>
        <w:keepNext w:val="0"/>
        <w:keepLines w:val="0"/>
        <w:pageBreakBefore w:val="0"/>
        <w:widowControl w:val="0"/>
        <w:spacing w:line="360" w:lineRule="auto"/>
        <w:ind w:firstLine="424"/>
        <w:rPr>
          <w:rFonts w:hint="eastAsia" w:ascii="宋体" w:hAnsi="宋体" w:eastAsia="宋体"/>
          <w:sz w:val="24"/>
          <w:szCs w:val="24"/>
        </w:rPr>
      </w:pPr>
      <w:r>
        <w:rPr>
          <w:rFonts w:hint="eastAsia" w:ascii="宋体" w:hAnsi="宋体" w:eastAsia="宋体"/>
          <w:sz w:val="24"/>
          <w:szCs w:val="24"/>
        </w:rPr>
        <w:t>在本合同保险期间内，被保险人因疾病（不含意外伤害）在二级以上(含二级)医院住院诊疗，对被保险人实际支出的、符合当地基本医疗保险支付范围的住院医疗费用，保险公司按以下约定的给付比例给付保险金。</w:t>
      </w:r>
    </w:p>
    <w:p w14:paraId="5D46842B">
      <w:pPr>
        <w:keepNext w:val="0"/>
        <w:keepLines w:val="0"/>
        <w:pageBreakBefore w:val="0"/>
        <w:widowControl w:val="0"/>
        <w:spacing w:line="360" w:lineRule="auto"/>
        <w:ind w:firstLine="424"/>
        <w:rPr>
          <w:rFonts w:hint="eastAsia" w:ascii="宋体" w:hAnsi="宋体" w:eastAsia="宋体"/>
          <w:sz w:val="24"/>
          <w:szCs w:val="24"/>
        </w:rPr>
      </w:pPr>
      <w:r>
        <w:rPr>
          <w:rFonts w:hint="eastAsia" w:ascii="宋体" w:hAnsi="宋体" w:eastAsia="宋体"/>
          <w:sz w:val="24"/>
          <w:szCs w:val="24"/>
        </w:rPr>
        <w:t>若被保险人已从当地基本医疗保险、公费医疗、城乡居民大病保险、其他费用补偿型医疗保险和其他途径获得补偿或给付，对剩余未获补偿或给付的部分，每次医疗事件，保险公司在扣除免赔额8000元后，按分级累进比例给予赔付：8千元至1.8万元部分，给付比例为30%；1.8万元以上至2.8万元部分，给付比例为60%；2.8万元以上部分，给付比例为80%。</w:t>
      </w:r>
    </w:p>
    <w:p w14:paraId="0949F19D">
      <w:pPr>
        <w:keepNext w:val="0"/>
        <w:keepLines w:val="0"/>
        <w:pageBreakBefore w:val="0"/>
        <w:widowControl w:val="0"/>
        <w:spacing w:line="360" w:lineRule="auto"/>
        <w:ind w:firstLine="424"/>
        <w:rPr>
          <w:rFonts w:hint="eastAsia" w:ascii="宋体" w:hAnsi="宋体" w:eastAsia="宋体"/>
          <w:sz w:val="24"/>
          <w:szCs w:val="24"/>
        </w:rPr>
      </w:pPr>
      <w:r>
        <w:rPr>
          <w:rFonts w:hint="eastAsia" w:ascii="宋体" w:hAnsi="宋体" w:eastAsia="宋体"/>
          <w:sz w:val="24"/>
          <w:szCs w:val="24"/>
        </w:rPr>
        <w:t>若被保险人未能从当地基本医疗保险、公费医疗、城乡居民大病保险、其他费用补偿型医疗保险和其他途径获得补偿或给付，每次医疗事件，保险公司在扣除免赔额1万元后，按15%的比例给予赔付。</w:t>
      </w:r>
    </w:p>
    <w:p w14:paraId="41887FAC">
      <w:pPr>
        <w:keepNext w:val="0"/>
        <w:keepLines w:val="0"/>
        <w:pageBreakBefore w:val="0"/>
        <w:widowControl w:val="0"/>
        <w:spacing w:line="360" w:lineRule="auto"/>
        <w:ind w:firstLine="424"/>
        <w:rPr>
          <w:rFonts w:hint="eastAsia" w:ascii="宋体" w:hAnsi="宋体" w:eastAsia="宋体"/>
          <w:sz w:val="24"/>
          <w:szCs w:val="24"/>
        </w:rPr>
      </w:pPr>
      <w:r>
        <w:rPr>
          <w:rFonts w:hint="eastAsia" w:ascii="宋体" w:hAnsi="宋体" w:eastAsia="宋体"/>
          <w:sz w:val="24"/>
          <w:szCs w:val="24"/>
        </w:rPr>
        <w:t>保险公司对每一被保险人给付的保险金以约定金额为限，一次或累计给付的保险金达到约定金额时，对该被保险人的本项保险责任终止。保险期间届满被保险人治疗仍未结束的，保险公司继续承担给付保险金责任，但以保险期间届满的次日起连续九十日为限。</w:t>
      </w:r>
    </w:p>
    <w:p w14:paraId="0BA0C3D9">
      <w:pPr>
        <w:keepNext w:val="0"/>
        <w:keepLines w:val="0"/>
        <w:pageBreakBefore w:val="0"/>
        <w:widowControl w:val="0"/>
        <w:spacing w:line="360" w:lineRule="auto"/>
        <w:ind w:firstLine="424"/>
        <w:rPr>
          <w:rFonts w:hint="eastAsia" w:ascii="宋体" w:hAnsi="宋体" w:eastAsia="宋体"/>
          <w:sz w:val="24"/>
          <w:szCs w:val="24"/>
        </w:rPr>
      </w:pPr>
      <w:r>
        <w:rPr>
          <w:rFonts w:hint="eastAsia" w:ascii="宋体" w:hAnsi="宋体" w:eastAsia="宋体"/>
          <w:color w:val="00B0F0"/>
          <w:sz w:val="24"/>
          <w:szCs w:val="24"/>
        </w:rPr>
        <w:t>责任扩展可选择约定承诺</w:t>
      </w:r>
      <w:r>
        <w:rPr>
          <w:rFonts w:hint="eastAsia" w:ascii="宋体" w:hAnsi="宋体" w:eastAsia="宋体"/>
          <w:sz w:val="24"/>
          <w:szCs w:val="24"/>
        </w:rPr>
        <w:t>：</w:t>
      </w:r>
    </w:p>
    <w:p w14:paraId="6F70F7B7">
      <w:pPr>
        <w:keepNext w:val="0"/>
        <w:keepLines w:val="0"/>
        <w:pageBreakBefore w:val="0"/>
        <w:widowControl w:val="0"/>
        <w:spacing w:line="360" w:lineRule="auto"/>
        <w:ind w:firstLine="424"/>
        <w:rPr>
          <w:rFonts w:hint="eastAsia" w:ascii="宋体" w:hAnsi="宋体" w:eastAsia="宋体"/>
          <w:sz w:val="24"/>
          <w:szCs w:val="24"/>
        </w:rPr>
      </w:pPr>
      <w:r>
        <w:rPr>
          <w:rFonts w:hint="eastAsia" w:ascii="宋体" w:hAnsi="宋体" w:eastAsia="宋体"/>
          <w:sz w:val="24"/>
          <w:szCs w:val="24"/>
        </w:rPr>
        <w:t>1、保险人因遗传性疾病、先天性畸形、变形或染色体异常，精神和行为障碍及投保前未治愈疾病导致的住院，保险公司仍承担赔付责任。</w:t>
      </w:r>
    </w:p>
    <w:p w14:paraId="4BF39BB7">
      <w:pPr>
        <w:keepNext w:val="0"/>
        <w:keepLines w:val="0"/>
        <w:pageBreakBefore w:val="0"/>
        <w:widowControl w:val="0"/>
        <w:spacing w:line="360" w:lineRule="auto"/>
        <w:ind w:firstLine="424"/>
        <w:rPr>
          <w:rFonts w:hint="eastAsia" w:ascii="宋体" w:hAnsi="宋体" w:eastAsia="宋体"/>
          <w:sz w:val="24"/>
          <w:szCs w:val="24"/>
        </w:rPr>
      </w:pPr>
      <w:r>
        <w:rPr>
          <w:rFonts w:hint="eastAsia" w:ascii="宋体" w:hAnsi="宋体" w:eastAsia="宋体"/>
          <w:sz w:val="24"/>
          <w:szCs w:val="24"/>
        </w:rPr>
        <w:t>2、溧阳市医保中心认可的医疗机构均作为本保险认可的医疗机构。</w:t>
      </w:r>
    </w:p>
    <w:p w14:paraId="30C38235">
      <w:pPr>
        <w:keepNext w:val="0"/>
        <w:keepLines w:val="0"/>
        <w:pageBreakBefore w:val="0"/>
        <w:spacing w:line="360" w:lineRule="auto"/>
        <w:ind w:firstLine="241"/>
        <w:rPr>
          <w:rFonts w:hint="eastAsia" w:ascii="新宋体" w:hAnsi="新宋体" w:eastAsia="新宋体" w:cs="新宋体"/>
          <w:b/>
          <w:bCs/>
          <w:sz w:val="24"/>
          <w:szCs w:val="24"/>
        </w:rPr>
      </w:pPr>
      <w:r>
        <w:rPr>
          <w:rFonts w:hint="eastAsia" w:ascii="新宋体" w:hAnsi="新宋体" w:eastAsia="新宋体" w:cs="新宋体"/>
          <w:b/>
          <w:bCs/>
          <w:sz w:val="24"/>
          <w:szCs w:val="24"/>
        </w:rPr>
        <w:t>（二）意外伤害保险</w:t>
      </w:r>
    </w:p>
    <w:p w14:paraId="6DD7C0B0">
      <w:pPr>
        <w:keepNext w:val="0"/>
        <w:keepLines w:val="0"/>
        <w:pageBreakBefore w:val="0"/>
        <w:widowControl w:val="0"/>
        <w:spacing w:line="360" w:lineRule="auto"/>
        <w:rPr>
          <w:rFonts w:hint="eastAsia" w:ascii="宋体" w:hAnsi="宋体" w:eastAsia="宋体" w:cs="Times New Roman"/>
          <w:b/>
          <w:bCs/>
          <w:sz w:val="24"/>
          <w:szCs w:val="24"/>
        </w:rPr>
      </w:pPr>
      <w:r>
        <w:rPr>
          <w:rFonts w:hint="eastAsia" w:ascii="宋体" w:hAnsi="宋体" w:eastAsia="宋体" w:cs="Times New Roman"/>
          <w:b/>
          <w:bCs/>
          <w:sz w:val="24"/>
          <w:szCs w:val="24"/>
        </w:rPr>
        <w:t>1、意外身故与伤残</w:t>
      </w:r>
    </w:p>
    <w:p w14:paraId="444BBA72">
      <w:pPr>
        <w:keepNext w:val="0"/>
        <w:keepLines w:val="0"/>
        <w:pageBreakBefore w:val="0"/>
        <w:widowControl w:val="0"/>
        <w:spacing w:line="360" w:lineRule="auto"/>
        <w:ind w:firstLine="424"/>
        <w:rPr>
          <w:rFonts w:hint="eastAsia" w:ascii="宋体" w:hAnsi="宋体" w:eastAsia="宋体"/>
          <w:sz w:val="24"/>
          <w:szCs w:val="24"/>
        </w:rPr>
      </w:pPr>
      <w:r>
        <w:rPr>
          <w:rFonts w:hint="eastAsia" w:ascii="宋体" w:hAnsi="宋体" w:eastAsia="宋体"/>
          <w:sz w:val="24"/>
          <w:szCs w:val="24"/>
        </w:rPr>
        <w:t>身故：在本合同保险期间内，被保险人遭受意外伤害，并自该意外伤害发生之日起一百八十日内因该意外伤害导致身故的，保险公司按约定金额扣除已给付的意外伤残保险金后的余额，给付意外身故保险金，该被保险人本项保险责任终止。</w:t>
      </w:r>
    </w:p>
    <w:p w14:paraId="250CA362">
      <w:pPr>
        <w:keepNext w:val="0"/>
        <w:keepLines w:val="0"/>
        <w:pageBreakBefore w:val="0"/>
        <w:widowControl w:val="0"/>
        <w:spacing w:line="360" w:lineRule="auto"/>
        <w:ind w:firstLine="424"/>
        <w:rPr>
          <w:rFonts w:hint="eastAsia" w:ascii="宋体" w:hAnsi="宋体" w:eastAsia="宋体"/>
          <w:sz w:val="24"/>
          <w:szCs w:val="24"/>
        </w:rPr>
      </w:pPr>
      <w:r>
        <w:rPr>
          <w:rFonts w:hint="eastAsia" w:ascii="宋体" w:hAnsi="宋体" w:eastAsia="宋体"/>
          <w:sz w:val="24"/>
          <w:szCs w:val="24"/>
        </w:rPr>
        <w:t>伤残：在本合同保险期间内，被保险人遭受意外伤害，并自该意外伤害发生之日起一百八十日内因该意外伤害导致身体伤残的，保险公司根据《人身保险伤残评定及代码》(GB/T44893-2024)确定的伤残程度及其对应的保险金给付比例，按约定金额乘以该处伤残的伤残等级所对应的保险金给付比例，给付意外伤残保险金。伤残等级与保险金给付比例为：一级100%、二级90%、三级80%、四级70%、</w:t>
      </w:r>
      <w:r>
        <w:rPr>
          <w:rFonts w:hint="eastAsia" w:ascii="Segoe UI Emoji" w:hAnsi="Segoe UI Emoji" w:eastAsia="宋体" w:cs="Segoe UI Emoji"/>
          <w:sz w:val="24"/>
          <w:szCs w:val="24"/>
        </w:rPr>
        <w:t>五</w:t>
      </w:r>
      <w:r>
        <w:rPr>
          <w:rFonts w:hint="eastAsia" w:ascii="宋体" w:hAnsi="宋体" w:eastAsia="宋体"/>
          <w:sz w:val="24"/>
          <w:szCs w:val="24"/>
        </w:rPr>
        <w:t>级60%、六级50%、七级40%、八级30%、九级20%、十级10%。保险公司对每一被保险人给付的累计保险金之和以5万元为限，一次或累计给付的上述各项保险金之和达到5万元时，本合同对该被保险人的伤残保险责任终止。</w:t>
      </w:r>
    </w:p>
    <w:p w14:paraId="7C91A441">
      <w:pPr>
        <w:keepNext w:val="0"/>
        <w:keepLines w:val="0"/>
        <w:pageBreakBefore w:val="0"/>
        <w:widowControl w:val="0"/>
        <w:spacing w:line="360" w:lineRule="auto"/>
        <w:ind w:firstLine="424"/>
        <w:rPr>
          <w:rFonts w:hint="eastAsia" w:ascii="宋体" w:hAnsi="宋体" w:eastAsia="宋体"/>
          <w:sz w:val="24"/>
          <w:szCs w:val="24"/>
        </w:rPr>
      </w:pPr>
      <w:r>
        <w:rPr>
          <w:rFonts w:hint="eastAsia" w:ascii="宋体" w:hAnsi="宋体" w:eastAsia="宋体"/>
          <w:sz w:val="24"/>
          <w:szCs w:val="24"/>
        </w:rPr>
        <w:t>特别约定：投保年龄在59周岁及以下人员，承担所有意外伤害类型的本项保险责任。投保年龄在60周岁及以上人员，仅只承担以下意外伤害类型的本项保险责任，其他类型的意外伤害，不承担本项保险责任：</w:t>
      </w:r>
    </w:p>
    <w:p w14:paraId="43EB6AB6">
      <w:pPr>
        <w:keepNext w:val="0"/>
        <w:keepLines w:val="0"/>
        <w:pageBreakBefore w:val="0"/>
        <w:widowControl w:val="0"/>
        <w:spacing w:line="360" w:lineRule="auto"/>
        <w:ind w:firstLine="424"/>
        <w:rPr>
          <w:rFonts w:hint="eastAsia" w:ascii="宋体" w:hAnsi="宋体" w:eastAsia="宋体"/>
          <w:sz w:val="24"/>
          <w:szCs w:val="24"/>
        </w:rPr>
      </w:pPr>
      <w:r>
        <w:rPr>
          <w:rFonts w:hint="eastAsia" w:ascii="宋体" w:hAnsi="宋体" w:eastAsia="宋体"/>
          <w:sz w:val="24"/>
          <w:szCs w:val="24"/>
        </w:rPr>
        <w:t>（1）驾驶机动车/非机动车或者未使用交通工具发生的交通意外伤害事故，搭乘机动车、水上或轨道交通工具和飞机发生的意外伤害事故（需提供由公安机关(交警)出具的事故证明）</w:t>
      </w:r>
    </w:p>
    <w:p w14:paraId="6EB30FBC">
      <w:pPr>
        <w:keepNext w:val="0"/>
        <w:keepLines w:val="0"/>
        <w:pageBreakBefore w:val="0"/>
        <w:widowControl w:val="0"/>
        <w:spacing w:line="360" w:lineRule="auto"/>
        <w:ind w:firstLine="424"/>
        <w:rPr>
          <w:rFonts w:hint="eastAsia" w:ascii="宋体" w:hAnsi="宋体" w:eastAsia="宋体"/>
          <w:sz w:val="24"/>
          <w:szCs w:val="24"/>
        </w:rPr>
      </w:pPr>
      <w:r>
        <w:rPr>
          <w:rFonts w:hint="eastAsia" w:ascii="宋体" w:hAnsi="宋体" w:eastAsia="宋体"/>
          <w:sz w:val="24"/>
          <w:szCs w:val="24"/>
        </w:rPr>
        <w:t>（2）锐器伤（刀割、刺伤）、烧烫伤的意外伤害事故（需提供医疗机构的检查报告及病历证明）</w:t>
      </w:r>
    </w:p>
    <w:p w14:paraId="732F82A4">
      <w:pPr>
        <w:keepNext w:val="0"/>
        <w:keepLines w:val="0"/>
        <w:pageBreakBefore w:val="0"/>
        <w:widowControl w:val="0"/>
        <w:spacing w:line="360" w:lineRule="auto"/>
        <w:ind w:firstLine="424"/>
        <w:rPr>
          <w:rFonts w:hint="eastAsia" w:ascii="宋体" w:hAnsi="宋体" w:eastAsia="宋体"/>
          <w:sz w:val="24"/>
          <w:szCs w:val="24"/>
        </w:rPr>
      </w:pPr>
      <w:r>
        <w:rPr>
          <w:rFonts w:hint="eastAsia" w:ascii="宋体" w:hAnsi="宋体" w:eastAsia="宋体"/>
          <w:sz w:val="24"/>
          <w:szCs w:val="24"/>
        </w:rPr>
        <w:t>（3）火灾、爆炸、触电、中毒（需由公安机关或消防救援局出具的相关证明依据）</w:t>
      </w:r>
    </w:p>
    <w:p w14:paraId="5D4CC147">
      <w:pPr>
        <w:keepNext w:val="0"/>
        <w:keepLines w:val="0"/>
        <w:pageBreakBefore w:val="0"/>
        <w:widowControl w:val="0"/>
        <w:spacing w:line="360" w:lineRule="auto"/>
        <w:rPr>
          <w:rFonts w:hint="eastAsia" w:ascii="宋体" w:hAnsi="宋体" w:eastAsia="宋体"/>
          <w:b/>
          <w:bCs/>
          <w:sz w:val="24"/>
          <w:szCs w:val="24"/>
        </w:rPr>
      </w:pPr>
      <w:r>
        <w:rPr>
          <w:rFonts w:hint="eastAsia" w:ascii="宋体" w:hAnsi="宋体" w:eastAsia="宋体"/>
          <w:b/>
          <w:bCs/>
          <w:sz w:val="24"/>
          <w:szCs w:val="24"/>
        </w:rPr>
        <w:t>2、意外医疗费用</w:t>
      </w:r>
    </w:p>
    <w:p w14:paraId="527828EE">
      <w:pPr>
        <w:keepNext w:val="0"/>
        <w:keepLines w:val="0"/>
        <w:pageBreakBefore w:val="0"/>
        <w:widowControl w:val="0"/>
        <w:spacing w:line="360" w:lineRule="auto"/>
        <w:ind w:firstLine="424"/>
        <w:rPr>
          <w:rFonts w:hint="eastAsia" w:ascii="宋体" w:hAnsi="宋体" w:eastAsia="宋体"/>
          <w:sz w:val="24"/>
          <w:szCs w:val="24"/>
        </w:rPr>
      </w:pPr>
      <w:r>
        <w:rPr>
          <w:rFonts w:hint="eastAsia" w:ascii="宋体" w:hAnsi="宋体" w:eastAsia="宋体"/>
          <w:sz w:val="24"/>
          <w:szCs w:val="24"/>
        </w:rPr>
        <w:t>在本合同保险期间内，被保险人遭受意外伤害，并因该意外伤害在二级以上(含二级)医院诊疗，对被保险人实际支出的符合当地基本医疗保险支付范围的医疗费用，保险公司按以下约定的给付比例给付保险金。</w:t>
      </w:r>
    </w:p>
    <w:p w14:paraId="52270480">
      <w:pPr>
        <w:keepNext w:val="0"/>
        <w:keepLines w:val="0"/>
        <w:pageBreakBefore w:val="0"/>
        <w:widowControl w:val="0"/>
        <w:spacing w:line="360" w:lineRule="auto"/>
        <w:ind w:firstLine="424"/>
        <w:rPr>
          <w:rFonts w:hint="eastAsia" w:ascii="宋体" w:hAnsi="宋体" w:eastAsia="宋体"/>
          <w:sz w:val="24"/>
          <w:szCs w:val="24"/>
        </w:rPr>
      </w:pPr>
      <w:r>
        <w:rPr>
          <w:rFonts w:hint="eastAsia" w:ascii="宋体" w:hAnsi="宋体" w:eastAsia="宋体"/>
          <w:sz w:val="24"/>
          <w:szCs w:val="24"/>
        </w:rPr>
        <w:t>若被保险人已从当地基本医疗保险、公费医疗、城乡居民大病保险、其他费用补偿型医疗保险和其他途径获得补偿或给付，对剩余未获补偿或给付的部分，每次医疗事件，保险公司按100%给予赔付。</w:t>
      </w:r>
    </w:p>
    <w:p w14:paraId="3D5B2286">
      <w:pPr>
        <w:keepNext w:val="0"/>
        <w:keepLines w:val="0"/>
        <w:pageBreakBefore w:val="0"/>
        <w:widowControl w:val="0"/>
        <w:spacing w:line="360" w:lineRule="auto"/>
        <w:ind w:firstLine="424"/>
        <w:rPr>
          <w:rFonts w:hint="eastAsia" w:ascii="宋体" w:hAnsi="宋体" w:eastAsia="宋体"/>
          <w:sz w:val="24"/>
          <w:szCs w:val="24"/>
        </w:rPr>
      </w:pPr>
      <w:r>
        <w:rPr>
          <w:rFonts w:hint="eastAsia" w:ascii="宋体" w:hAnsi="宋体" w:eastAsia="宋体"/>
          <w:sz w:val="24"/>
          <w:szCs w:val="24"/>
        </w:rPr>
        <w:t>若被保险人未能从当地基本医疗保险、公费医疗、城乡居民大病保险、其他费用补偿型医疗保险和其他途径获得补偿或给付，每次医疗事件，保险公司在扣除免赔额50元后，按70%给予赔付。</w:t>
      </w:r>
    </w:p>
    <w:p w14:paraId="0CBA3CBD">
      <w:pPr>
        <w:keepNext w:val="0"/>
        <w:keepLines w:val="0"/>
        <w:pageBreakBefore w:val="0"/>
        <w:widowControl w:val="0"/>
        <w:spacing w:line="360" w:lineRule="auto"/>
        <w:ind w:firstLine="424"/>
        <w:rPr>
          <w:rFonts w:hint="eastAsia" w:ascii="宋体" w:hAnsi="宋体" w:eastAsia="宋体"/>
          <w:sz w:val="24"/>
          <w:szCs w:val="24"/>
        </w:rPr>
      </w:pPr>
      <w:r>
        <w:rPr>
          <w:rFonts w:hint="eastAsia" w:ascii="宋体" w:hAnsi="宋体" w:eastAsia="宋体"/>
          <w:sz w:val="24"/>
          <w:szCs w:val="24"/>
        </w:rPr>
        <w:t>保险期间届满被保险人治疗仍未结束的，保险公司承担给付保险金责任的期限，自保险期间届满次日起，门(急)诊治疗最长为连续十五日；住院治疗至被保险人出院之日止，但最长为连续九十日。保险公司对每一被保险人给付的保险金以约定金额为限，数次或累计给付的保险金达到约定金额时，本合同对该被保险人的保险责任终止。</w:t>
      </w:r>
    </w:p>
    <w:p w14:paraId="1A273F88">
      <w:pPr>
        <w:keepNext w:val="0"/>
        <w:keepLines w:val="0"/>
        <w:pageBreakBefore w:val="0"/>
        <w:widowControl w:val="0"/>
        <w:spacing w:line="360" w:lineRule="auto"/>
        <w:ind w:firstLine="424"/>
        <w:rPr>
          <w:rFonts w:hint="eastAsia" w:ascii="宋体" w:hAnsi="宋体" w:eastAsia="宋体"/>
          <w:sz w:val="24"/>
          <w:szCs w:val="24"/>
        </w:rPr>
      </w:pPr>
      <w:r>
        <w:rPr>
          <w:rFonts w:hint="eastAsia" w:ascii="宋体" w:hAnsi="宋体" w:eastAsia="宋体"/>
          <w:color w:val="00B0F0"/>
          <w:sz w:val="24"/>
          <w:szCs w:val="24"/>
        </w:rPr>
        <w:t>责任扩展可选择约定承诺</w:t>
      </w:r>
      <w:r>
        <w:rPr>
          <w:rFonts w:hint="eastAsia" w:ascii="宋体" w:hAnsi="宋体" w:eastAsia="宋体"/>
          <w:sz w:val="24"/>
          <w:szCs w:val="24"/>
        </w:rPr>
        <w:t>：</w:t>
      </w:r>
    </w:p>
    <w:p w14:paraId="448122FF">
      <w:pPr>
        <w:keepNext w:val="0"/>
        <w:keepLines w:val="0"/>
        <w:pageBreakBefore w:val="0"/>
        <w:widowControl w:val="0"/>
        <w:spacing w:line="360" w:lineRule="auto"/>
        <w:ind w:firstLine="424"/>
        <w:rPr>
          <w:rFonts w:hint="eastAsia" w:ascii="宋体" w:hAnsi="宋体" w:eastAsia="宋体"/>
          <w:sz w:val="24"/>
          <w:szCs w:val="24"/>
        </w:rPr>
      </w:pPr>
      <w:r>
        <w:rPr>
          <w:rFonts w:hint="eastAsia" w:ascii="宋体" w:hAnsi="宋体" w:eastAsia="宋体"/>
          <w:sz w:val="24"/>
          <w:szCs w:val="24"/>
        </w:rPr>
        <w:t>1、溧阳市医保中心认可的医疗机构均作为本保险认可的医疗机构。</w:t>
      </w:r>
    </w:p>
    <w:p w14:paraId="2EF0297B">
      <w:pPr>
        <w:keepNext w:val="0"/>
        <w:keepLines w:val="0"/>
        <w:pageBreakBefore w:val="0"/>
        <w:widowControl w:val="0"/>
        <w:spacing w:line="360" w:lineRule="auto"/>
        <w:ind w:firstLine="424"/>
        <w:rPr>
          <w:rFonts w:hint="eastAsia" w:ascii="宋体" w:hAnsi="宋体" w:eastAsia="宋体"/>
          <w:sz w:val="24"/>
          <w:szCs w:val="24"/>
        </w:rPr>
      </w:pPr>
      <w:r>
        <w:rPr>
          <w:rFonts w:hint="eastAsia" w:ascii="宋体" w:hAnsi="宋体" w:eastAsia="宋体"/>
          <w:sz w:val="24"/>
          <w:szCs w:val="24"/>
        </w:rPr>
        <w:t>2、因热射病（或疑似中暑）导致的就医，承担本项保险责任。</w:t>
      </w:r>
    </w:p>
    <w:p w14:paraId="0C1FBEA3">
      <w:pPr>
        <w:keepNext w:val="0"/>
        <w:keepLines w:val="0"/>
        <w:pageBreakBefore w:val="0"/>
        <w:widowControl w:val="0"/>
        <w:spacing w:line="360" w:lineRule="auto"/>
        <w:ind w:firstLine="424"/>
        <w:rPr>
          <w:rFonts w:hint="eastAsia" w:ascii="宋体" w:hAnsi="宋体" w:eastAsia="宋体"/>
          <w:sz w:val="24"/>
          <w:szCs w:val="24"/>
        </w:rPr>
      </w:pPr>
      <w:r>
        <w:rPr>
          <w:rFonts w:hint="eastAsia" w:ascii="宋体" w:hAnsi="宋体" w:eastAsia="宋体"/>
          <w:sz w:val="24"/>
          <w:szCs w:val="24"/>
        </w:rPr>
        <w:t>3、因蜱虫或毒虫咬伤（或疑似虫类咬伤）导致的就医，承担本项保险责任。</w:t>
      </w:r>
    </w:p>
    <w:p w14:paraId="1335B012">
      <w:pPr>
        <w:keepNext w:val="0"/>
        <w:keepLines w:val="0"/>
        <w:pageBreakBefore w:val="0"/>
        <w:widowControl w:val="0"/>
        <w:spacing w:line="360" w:lineRule="auto"/>
        <w:ind w:firstLine="424"/>
        <w:rPr>
          <w:rFonts w:hint="eastAsia" w:ascii="宋体" w:hAnsi="宋体" w:eastAsia="宋体"/>
          <w:sz w:val="24"/>
          <w:szCs w:val="24"/>
        </w:rPr>
      </w:pPr>
      <w:r>
        <w:rPr>
          <w:rFonts w:hint="eastAsia" w:ascii="宋体" w:hAnsi="宋体" w:eastAsia="宋体"/>
          <w:sz w:val="24"/>
          <w:szCs w:val="24"/>
        </w:rPr>
        <w:t>4、被动物咬伤（包含猫、狗、马蜂、蛇等）使用的抗狂犬病疫苗、血清、破伤风针等药品，视为目录范围内费用给予理赔。</w:t>
      </w:r>
    </w:p>
    <w:p w14:paraId="0A6FB91B">
      <w:pPr>
        <w:keepNext w:val="0"/>
        <w:keepLines w:val="0"/>
        <w:pageBreakBefore w:val="0"/>
        <w:widowControl w:val="0"/>
        <w:spacing w:line="360" w:lineRule="auto"/>
        <w:ind w:firstLine="424"/>
        <w:rPr>
          <w:rFonts w:hint="eastAsia" w:ascii="宋体" w:hAnsi="宋体" w:eastAsia="宋体"/>
          <w:sz w:val="24"/>
          <w:szCs w:val="24"/>
        </w:rPr>
      </w:pPr>
      <w:r>
        <w:rPr>
          <w:rFonts w:hint="eastAsia" w:ascii="宋体" w:hAnsi="宋体" w:eastAsia="宋体"/>
          <w:sz w:val="24"/>
          <w:szCs w:val="24"/>
        </w:rPr>
        <w:t>5、因肢体残缺或肢体功能异常以及精神和行为障碍导致的意外伤害事故，承担本项保险责任</w:t>
      </w:r>
    </w:p>
    <w:p w14:paraId="6ADA8D87">
      <w:pPr>
        <w:keepNext w:val="0"/>
        <w:keepLines w:val="0"/>
        <w:pageBreakBefore w:val="0"/>
        <w:widowControl w:val="0"/>
        <w:spacing w:line="360" w:lineRule="auto"/>
        <w:rPr>
          <w:rFonts w:hint="eastAsia" w:ascii="宋体" w:hAnsi="宋体" w:eastAsia="宋体"/>
          <w:b/>
          <w:bCs/>
          <w:sz w:val="24"/>
          <w:szCs w:val="24"/>
        </w:rPr>
      </w:pPr>
      <w:r>
        <w:rPr>
          <w:rFonts w:hint="eastAsia" w:ascii="宋体" w:hAnsi="宋体" w:eastAsia="宋体"/>
          <w:b/>
          <w:bCs/>
          <w:sz w:val="24"/>
          <w:szCs w:val="24"/>
        </w:rPr>
        <w:t>3、意外住院津贴</w:t>
      </w:r>
    </w:p>
    <w:p w14:paraId="5A0D0AC9">
      <w:pPr>
        <w:keepNext w:val="0"/>
        <w:keepLines w:val="0"/>
        <w:pageBreakBefore w:val="0"/>
        <w:widowControl w:val="0"/>
        <w:spacing w:line="360" w:lineRule="auto"/>
        <w:ind w:firstLine="424"/>
        <w:rPr>
          <w:rFonts w:hint="eastAsia" w:ascii="宋体" w:hAnsi="宋体" w:eastAsia="宋体"/>
          <w:sz w:val="24"/>
          <w:szCs w:val="24"/>
        </w:rPr>
      </w:pPr>
      <w:r>
        <w:rPr>
          <w:rFonts w:hint="eastAsia" w:ascii="宋体" w:hAnsi="宋体" w:eastAsia="宋体"/>
          <w:sz w:val="24"/>
          <w:szCs w:val="24"/>
        </w:rPr>
        <w:t>在本合同保险期间内，被保险人遭受意外伤害，并因该意外伤害在二级以上(含二级)医院住院治疗，保险公司按约定金额乘以实际住院日数给付保险金，但对该被保险人每次住院的给付日数以九十日为限。该被保险人多次住院的，累计给付日数以一百八十日为限。若该被保险人本次住院治疗与前次住院原因相同，并且前次出院与本次入院间隔不超过三十日，则本次住院与前次住院视为同一次住院。</w:t>
      </w:r>
    </w:p>
    <w:p w14:paraId="7C3C8590">
      <w:pPr>
        <w:keepNext w:val="0"/>
        <w:keepLines w:val="0"/>
        <w:pageBreakBefore w:val="0"/>
        <w:widowControl w:val="0"/>
        <w:spacing w:line="360" w:lineRule="auto"/>
        <w:ind w:firstLine="424"/>
        <w:rPr>
          <w:rFonts w:hint="eastAsia" w:ascii="宋体" w:hAnsi="宋体" w:eastAsia="宋体"/>
          <w:sz w:val="24"/>
          <w:szCs w:val="24"/>
        </w:rPr>
      </w:pPr>
      <w:r>
        <w:rPr>
          <w:rFonts w:hint="eastAsia" w:ascii="宋体" w:hAnsi="宋体" w:eastAsia="宋体"/>
          <w:color w:val="00B0F0"/>
          <w:sz w:val="24"/>
          <w:szCs w:val="24"/>
        </w:rPr>
        <w:t>责任扩展可选择约定承诺</w:t>
      </w:r>
      <w:r>
        <w:rPr>
          <w:rFonts w:hint="eastAsia" w:ascii="宋体" w:hAnsi="宋体" w:eastAsia="宋体"/>
          <w:sz w:val="24"/>
          <w:szCs w:val="24"/>
        </w:rPr>
        <w:t>：</w:t>
      </w:r>
    </w:p>
    <w:p w14:paraId="3A7B9E57">
      <w:pPr>
        <w:keepNext w:val="0"/>
        <w:keepLines w:val="0"/>
        <w:pageBreakBefore w:val="0"/>
        <w:widowControl w:val="0"/>
        <w:spacing w:line="360" w:lineRule="auto"/>
        <w:ind w:firstLine="424"/>
        <w:rPr>
          <w:rFonts w:hint="eastAsia" w:ascii="宋体" w:hAnsi="宋体" w:eastAsia="宋体"/>
          <w:sz w:val="24"/>
          <w:szCs w:val="24"/>
        </w:rPr>
      </w:pPr>
      <w:r>
        <w:rPr>
          <w:rFonts w:hint="eastAsia" w:ascii="宋体" w:hAnsi="宋体" w:eastAsia="宋体"/>
          <w:sz w:val="24"/>
          <w:szCs w:val="24"/>
        </w:rPr>
        <w:t>1、溧阳市医保中心认可的医疗机构均作为本保险认可的医疗机构。</w:t>
      </w:r>
    </w:p>
    <w:p w14:paraId="6BA78051">
      <w:pPr>
        <w:keepNext w:val="0"/>
        <w:keepLines w:val="0"/>
        <w:pageBreakBefore w:val="0"/>
        <w:widowControl w:val="0"/>
        <w:spacing w:line="360" w:lineRule="auto"/>
        <w:ind w:firstLine="424"/>
        <w:rPr>
          <w:rFonts w:hint="eastAsia" w:ascii="宋体" w:hAnsi="宋体" w:eastAsia="宋体"/>
          <w:sz w:val="24"/>
          <w:szCs w:val="24"/>
        </w:rPr>
      </w:pPr>
      <w:r>
        <w:rPr>
          <w:rFonts w:hint="eastAsia" w:ascii="宋体" w:hAnsi="宋体" w:eastAsia="宋体"/>
          <w:sz w:val="24"/>
          <w:szCs w:val="24"/>
        </w:rPr>
        <w:t>2、因热射病（或疑似中暑）导致医疗，承担本项保险责任。</w:t>
      </w:r>
    </w:p>
    <w:p w14:paraId="72368D47">
      <w:pPr>
        <w:keepNext w:val="0"/>
        <w:keepLines w:val="0"/>
        <w:pageBreakBefore w:val="0"/>
        <w:widowControl w:val="0"/>
        <w:spacing w:line="360" w:lineRule="auto"/>
        <w:ind w:firstLine="424"/>
        <w:rPr>
          <w:rFonts w:hint="eastAsia" w:ascii="宋体" w:hAnsi="宋体" w:eastAsia="宋体"/>
          <w:sz w:val="24"/>
          <w:szCs w:val="24"/>
        </w:rPr>
      </w:pPr>
      <w:r>
        <w:rPr>
          <w:rFonts w:hint="eastAsia" w:ascii="宋体" w:hAnsi="宋体" w:eastAsia="宋体"/>
          <w:sz w:val="24"/>
          <w:szCs w:val="24"/>
        </w:rPr>
        <w:t>3、因蜱虫或毒虫咬伤（或疑似虫类咬伤）导致医疗，承担本项保险责任。</w:t>
      </w:r>
    </w:p>
    <w:p w14:paraId="78D2012E">
      <w:pPr>
        <w:keepNext w:val="0"/>
        <w:keepLines w:val="0"/>
        <w:pageBreakBefore w:val="0"/>
        <w:widowControl w:val="0"/>
        <w:spacing w:line="360" w:lineRule="auto"/>
        <w:ind w:firstLine="424"/>
        <w:rPr>
          <w:rFonts w:hint="eastAsia" w:ascii="宋体" w:hAnsi="宋体" w:eastAsia="宋体"/>
          <w:sz w:val="24"/>
          <w:szCs w:val="24"/>
        </w:rPr>
      </w:pPr>
      <w:r>
        <w:rPr>
          <w:rFonts w:hint="eastAsia" w:ascii="宋体" w:hAnsi="宋体" w:eastAsia="宋体"/>
          <w:sz w:val="24"/>
          <w:szCs w:val="24"/>
        </w:rPr>
        <w:t>4、因肢体残缺或肢体功能异常以及精神和行为障碍导致的意外伤害事故，承担本项保险责任</w:t>
      </w:r>
    </w:p>
    <w:p w14:paraId="4006E761">
      <w:pPr>
        <w:keepNext w:val="0"/>
        <w:keepLines w:val="0"/>
        <w:pageBreakBefore w:val="0"/>
        <w:widowControl w:val="0"/>
        <w:spacing w:line="360" w:lineRule="auto"/>
        <w:rPr>
          <w:rFonts w:hint="eastAsia" w:ascii="新宋体" w:hAnsi="新宋体" w:eastAsia="新宋体" w:cs="新宋体"/>
          <w:b/>
          <w:bCs/>
          <w:sz w:val="24"/>
          <w:szCs w:val="24"/>
        </w:rPr>
      </w:pPr>
      <w:r>
        <w:rPr>
          <w:rFonts w:hint="eastAsia" w:ascii="新宋体" w:hAnsi="新宋体" w:eastAsia="新宋体" w:cs="新宋体"/>
          <w:b/>
          <w:bCs/>
          <w:sz w:val="24"/>
          <w:szCs w:val="24"/>
        </w:rPr>
        <w:t>（三）责任免除</w:t>
      </w:r>
    </w:p>
    <w:p w14:paraId="26B1510C">
      <w:pPr>
        <w:keepNext w:val="0"/>
        <w:keepLines w:val="0"/>
        <w:pageBreakBefore w:val="0"/>
        <w:widowControl w:val="0"/>
        <w:spacing w:line="360" w:lineRule="auto"/>
        <w:ind w:firstLine="566"/>
        <w:rPr>
          <w:rFonts w:hint="eastAsia" w:ascii="宋体" w:hAnsi="宋体" w:eastAsia="宋体"/>
          <w:sz w:val="24"/>
          <w:szCs w:val="24"/>
        </w:rPr>
      </w:pPr>
      <w:r>
        <w:rPr>
          <w:rFonts w:hint="eastAsia" w:ascii="宋体" w:hAnsi="宋体" w:eastAsia="宋体"/>
          <w:sz w:val="24"/>
          <w:szCs w:val="24"/>
        </w:rPr>
        <w:t>1、被保险人发生下列情形之一，保险公司可不承担“重大疾病、疾病住院大额医疗费用、意外身故与伤残、意外医疗费用和意外住院津贴”的保险责任：被保险人故意自伤、故意犯罪或抗拒依法采取的刑事强制措施；被保险人斗殴、醉酒，服用、吸食或注射毒品；被保险人酒后驾驶、无合法有效驾驶证驾驶，或驾驶无合法有效行驶证的机动车；被保险人感染艾滋病病毒或患艾滋病；战争、军事冲突、暴乱或武装叛乱；核爆炸、核辐射或核污染；被保险人的洗牙、牙齿美白、正畸、烤瓷牙、种植牙或镶牙等牙齿保健和修复；被保险人的视力矫正手术或变性手术；被保险人的整容或矫形手术；被保险人猝死；被保险人未遵医嘱，私自使用或服用药物，但按使用说明的规定使用非处方药不在此限；被保险人参加潜水、跳伞、攀岩、驾乘滑翔机或滑翔伞、探险、摔跤、武术比赛、特技表演、赛马、赛车等高风险运动；被保险人的产前产后检查、妊娠(含宫外孕)、流产(含人工流产)、分娩(含剖腹产)，避孕、绝育手术、治疗不孕不育症以及上述原因引起的并发症；</w:t>
      </w:r>
    </w:p>
    <w:p w14:paraId="01BB4F71">
      <w:pPr>
        <w:keepNext w:val="0"/>
        <w:keepLines w:val="0"/>
        <w:pageBreakBefore w:val="0"/>
        <w:widowControl w:val="0"/>
        <w:spacing w:line="360" w:lineRule="auto"/>
        <w:ind w:firstLine="566"/>
        <w:rPr>
          <w:rFonts w:hint="eastAsia" w:ascii="宋体" w:hAnsi="宋体" w:eastAsia="宋体"/>
          <w:sz w:val="24"/>
          <w:szCs w:val="24"/>
        </w:rPr>
      </w:pPr>
      <w:r>
        <w:rPr>
          <w:rFonts w:hint="eastAsia" w:ascii="宋体" w:hAnsi="宋体" w:eastAsia="宋体"/>
          <w:sz w:val="24"/>
          <w:szCs w:val="24"/>
        </w:rPr>
        <w:t>2、被保险人因遗传性疾病，先天性畸形、变形或染色体异常发生重大疾病，保险公司可不承担“重大疾病”的保险责任。</w:t>
      </w:r>
    </w:p>
    <w:p w14:paraId="313FCDBA">
      <w:pPr>
        <w:keepNext w:val="0"/>
        <w:keepLines w:val="0"/>
        <w:pageBreakBefore w:val="0"/>
        <w:widowControl w:val="0"/>
        <w:spacing w:line="360" w:lineRule="auto"/>
        <w:ind w:firstLine="566"/>
        <w:rPr>
          <w:rFonts w:hint="eastAsia"/>
          <w:sz w:val="24"/>
          <w:szCs w:val="24"/>
        </w:rPr>
      </w:pPr>
      <w:r>
        <w:rPr>
          <w:rFonts w:hint="eastAsia" w:ascii="宋体" w:hAnsi="宋体" w:eastAsia="宋体"/>
          <w:sz w:val="24"/>
          <w:szCs w:val="24"/>
        </w:rPr>
        <w:t>3、被保险人因精神和行为障碍导致的身故或伤残，保险公司可不承担“意外身故与伤残”的保险责任。</w:t>
      </w:r>
    </w:p>
    <w:p w14:paraId="21F20742">
      <w:pPr>
        <w:keepNext w:val="0"/>
        <w:keepLines w:val="0"/>
        <w:pageBreakBefore w:val="0"/>
        <w:widowControl w:val="0"/>
        <w:spacing w:line="360" w:lineRule="auto"/>
        <w:rPr>
          <w:rFonts w:hint="eastAsia" w:ascii="宋体" w:hAnsi="宋体" w:eastAsia="宋体"/>
          <w:sz w:val="24"/>
          <w:szCs w:val="24"/>
        </w:rPr>
      </w:pPr>
      <w:r>
        <w:rPr>
          <w:rFonts w:hint="eastAsia" w:ascii="微软雅黑" w:hAnsi="微软雅黑" w:eastAsia="微软雅黑"/>
          <w:b/>
          <w:bCs/>
          <w:sz w:val="24"/>
          <w:szCs w:val="24"/>
        </w:rPr>
        <w:t>50种重大疾病定义</w:t>
      </w:r>
    </w:p>
    <w:p w14:paraId="0CA96771">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一、恶性肿瘤——重度：</w:t>
      </w:r>
    </w:p>
    <w:p w14:paraId="70BB79B3">
      <w:pPr>
        <w:keepNext w:val="0"/>
        <w:keepLines w:val="0"/>
        <w:pageBreakBefore w:val="0"/>
        <w:widowControl w:val="0"/>
        <w:spacing w:line="360" w:lineRule="auto"/>
        <w:ind w:firstLine="480"/>
        <w:rPr>
          <w:rFonts w:hint="eastAsia" w:ascii="宋体" w:hAnsi="宋体" w:cs="Arial"/>
          <w:sz w:val="24"/>
          <w:szCs w:val="24"/>
        </w:rPr>
      </w:pPr>
      <w:r>
        <w:rPr>
          <w:rFonts w:hint="eastAsia" w:ascii="宋体" w:hAnsi="宋体" w:cs="Arial"/>
          <w:sz w:val="24"/>
          <w:szCs w:val="24"/>
        </w:rPr>
        <w:t>指恶性细胞不受控制的进行性增长和扩散，浸润和破坏周围正常组织，可以经血管、淋巴管和体腔扩散转移到身体其他部位，病灶经组织病理学检查（涵盖骨髓病理学检查）结果明确诊断，临床诊断属于世界卫生组织（WHO，World Health Organization）《疾病和有关健康问题的国际统计分类》第十次修订版（ICD-10）的恶性肿瘤类别及《国际疾病分类肿瘤学专辑》第三版（ICD-O-3）的肿瘤形态学编码属于3、6、9（恶性肿瘤）范畴的疾病。</w:t>
      </w:r>
    </w:p>
    <w:p w14:paraId="0BADAEA5">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下列疾病不属于“恶性肿瘤——重度”，不在保障范围内：</w:t>
      </w:r>
    </w:p>
    <w:p w14:paraId="70FAA86D">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olor w:val="000000"/>
          <w:sz w:val="24"/>
          <w:szCs w:val="24"/>
        </w:rPr>
        <w:t>1．</w:t>
      </w:r>
      <w:r>
        <w:rPr>
          <w:rFonts w:hint="eastAsia" w:ascii="宋体" w:hAnsi="宋体" w:cs="Arial"/>
          <w:color w:val="000000"/>
          <w:sz w:val="24"/>
          <w:szCs w:val="24"/>
        </w:rPr>
        <w:t>ICD-O-3肿瘤形态学编码属于0（良性肿瘤）、1（动态未定性肿瘤）、2（原位癌和非侵袭性癌）范畴的疾病，如：</w:t>
      </w:r>
    </w:p>
    <w:p w14:paraId="67C656E5">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（1）原位癌，癌前病变，非浸润性癌，非侵袭性癌，肿瘤细胞未侵犯基底层，上皮内瘤变，细胞不典型性增生等；</w:t>
      </w:r>
    </w:p>
    <w:p w14:paraId="0258BA57">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（2）交界性肿瘤，交界恶性肿瘤，肿瘤低度恶性潜能，潜在低度恶性肿瘤等；</w:t>
      </w:r>
    </w:p>
    <w:p w14:paraId="776E8026">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2</w:t>
      </w:r>
      <w:r>
        <w:rPr>
          <w:rFonts w:hint="eastAsia" w:ascii="宋体" w:hAnsi="宋体"/>
          <w:color w:val="000000"/>
          <w:sz w:val="24"/>
          <w:szCs w:val="24"/>
        </w:rPr>
        <w:t>．</w:t>
      </w:r>
      <w:r>
        <w:rPr>
          <w:rFonts w:hint="eastAsia" w:ascii="宋体" w:hAnsi="宋体" w:cs="Arial"/>
          <w:color w:val="000000"/>
          <w:sz w:val="24"/>
          <w:szCs w:val="24"/>
        </w:rPr>
        <w:t>TNM分期为</w:t>
      </w:r>
      <w:r>
        <w:rPr>
          <w:rFonts w:hint="eastAsia" w:ascii="宋体" w:hAnsi="宋体" w:cs="宋体"/>
          <w:color w:val="000000"/>
          <w:sz w:val="24"/>
          <w:szCs w:val="24"/>
        </w:rPr>
        <w:t>Ⅰ</w:t>
      </w:r>
      <w:r>
        <w:rPr>
          <w:rFonts w:hint="eastAsia" w:ascii="宋体" w:hAnsi="宋体" w:cs="Arial"/>
          <w:color w:val="000000"/>
          <w:sz w:val="24"/>
          <w:szCs w:val="24"/>
        </w:rPr>
        <w:t>期或更轻分期的甲状腺癌；</w:t>
      </w:r>
    </w:p>
    <w:p w14:paraId="29AD019B">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3</w:t>
      </w:r>
      <w:r>
        <w:rPr>
          <w:rFonts w:hint="eastAsia" w:ascii="宋体" w:hAnsi="宋体"/>
          <w:color w:val="000000"/>
          <w:sz w:val="24"/>
          <w:szCs w:val="24"/>
        </w:rPr>
        <w:t>．</w:t>
      </w:r>
      <w:r>
        <w:rPr>
          <w:rFonts w:hint="eastAsia" w:ascii="宋体" w:hAnsi="宋体" w:cs="Arial"/>
          <w:color w:val="000000"/>
          <w:sz w:val="24"/>
          <w:szCs w:val="24"/>
        </w:rPr>
        <w:t>TNM分期为</w:t>
      </w:r>
      <w:r>
        <w:rPr>
          <w:rFonts w:hint="eastAsia" w:ascii="宋体" w:hAnsi="宋体" w:cs="Arial"/>
          <w:sz w:val="24"/>
          <w:szCs w:val="24"/>
        </w:rPr>
        <w:t>T</w:t>
      </w:r>
      <w:r>
        <w:rPr>
          <w:rFonts w:hint="eastAsia" w:ascii="宋体" w:hAnsi="宋体" w:cs="Arial"/>
          <w:sz w:val="24"/>
          <w:szCs w:val="24"/>
          <w:vertAlign w:val="subscript"/>
        </w:rPr>
        <w:t>1</w:t>
      </w:r>
      <w:r>
        <w:rPr>
          <w:rFonts w:hint="eastAsia" w:ascii="宋体" w:hAnsi="宋体" w:cs="Arial"/>
          <w:sz w:val="24"/>
          <w:szCs w:val="24"/>
        </w:rPr>
        <w:t>N</w:t>
      </w:r>
      <w:r>
        <w:rPr>
          <w:rFonts w:hint="eastAsia" w:ascii="宋体" w:hAnsi="宋体" w:cs="Arial"/>
          <w:sz w:val="24"/>
          <w:szCs w:val="24"/>
          <w:vertAlign w:val="subscript"/>
        </w:rPr>
        <w:t>0</w:t>
      </w:r>
      <w:r>
        <w:rPr>
          <w:rFonts w:hint="eastAsia" w:ascii="宋体" w:hAnsi="宋体" w:cs="Arial"/>
          <w:sz w:val="24"/>
          <w:szCs w:val="24"/>
        </w:rPr>
        <w:t>M</w:t>
      </w:r>
      <w:r>
        <w:rPr>
          <w:rFonts w:hint="eastAsia" w:ascii="宋体" w:hAnsi="宋体" w:cs="Arial"/>
          <w:sz w:val="24"/>
          <w:szCs w:val="24"/>
          <w:vertAlign w:val="subscript"/>
        </w:rPr>
        <w:t>0</w:t>
      </w:r>
      <w:r>
        <w:rPr>
          <w:rFonts w:hint="eastAsia" w:ascii="宋体" w:hAnsi="宋体" w:cs="Arial"/>
          <w:color w:val="000000"/>
          <w:sz w:val="24"/>
          <w:szCs w:val="24"/>
        </w:rPr>
        <w:t>期或更轻分期的前列腺癌；</w:t>
      </w:r>
    </w:p>
    <w:p w14:paraId="4A7A1F35">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4</w:t>
      </w:r>
      <w:r>
        <w:rPr>
          <w:rFonts w:hint="eastAsia" w:ascii="宋体" w:hAnsi="宋体"/>
          <w:color w:val="000000"/>
          <w:sz w:val="24"/>
          <w:szCs w:val="24"/>
        </w:rPr>
        <w:t>．</w:t>
      </w:r>
      <w:r>
        <w:rPr>
          <w:rFonts w:hint="eastAsia" w:ascii="宋体" w:hAnsi="宋体" w:cs="Arial"/>
          <w:color w:val="000000"/>
          <w:sz w:val="24"/>
          <w:szCs w:val="24"/>
        </w:rPr>
        <w:t>黑色素瘤以外的未发生淋巴结和远处转移的皮肤恶性肿瘤；</w:t>
      </w:r>
    </w:p>
    <w:p w14:paraId="6DD51ADF">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5</w:t>
      </w:r>
      <w:r>
        <w:rPr>
          <w:rFonts w:hint="eastAsia" w:ascii="宋体" w:hAnsi="宋体"/>
          <w:color w:val="000000"/>
          <w:sz w:val="24"/>
          <w:szCs w:val="24"/>
        </w:rPr>
        <w:t>．</w:t>
      </w:r>
      <w:r>
        <w:rPr>
          <w:rFonts w:hint="eastAsia" w:ascii="宋体" w:hAnsi="宋体" w:cs="Arial"/>
          <w:color w:val="000000"/>
          <w:sz w:val="24"/>
          <w:szCs w:val="24"/>
        </w:rPr>
        <w:t>相当于Binet分期方案A期程度的慢性淋巴细胞白血病；</w:t>
      </w:r>
    </w:p>
    <w:p w14:paraId="64744753">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6</w:t>
      </w:r>
      <w:r>
        <w:rPr>
          <w:rFonts w:hint="eastAsia" w:ascii="宋体" w:hAnsi="宋体"/>
          <w:color w:val="000000"/>
          <w:sz w:val="24"/>
          <w:szCs w:val="24"/>
        </w:rPr>
        <w:t>．</w:t>
      </w:r>
      <w:r>
        <w:rPr>
          <w:rFonts w:hint="eastAsia" w:ascii="宋体" w:hAnsi="宋体" w:cs="Arial"/>
          <w:color w:val="000000"/>
          <w:sz w:val="24"/>
          <w:szCs w:val="24"/>
        </w:rPr>
        <w:t>相当于Ann Arbor分期方案</w:t>
      </w:r>
      <w:r>
        <w:rPr>
          <w:rFonts w:hint="eastAsia" w:ascii="宋体" w:hAnsi="宋体" w:cs="宋体"/>
          <w:color w:val="000000"/>
          <w:sz w:val="24"/>
          <w:szCs w:val="24"/>
        </w:rPr>
        <w:t>Ⅰ</w:t>
      </w:r>
      <w:r>
        <w:rPr>
          <w:rFonts w:hint="eastAsia" w:ascii="宋体" w:hAnsi="宋体" w:cs="Arial"/>
          <w:color w:val="000000"/>
          <w:sz w:val="24"/>
          <w:szCs w:val="24"/>
        </w:rPr>
        <w:t>期程度的何杰金氏病；</w:t>
      </w:r>
    </w:p>
    <w:p w14:paraId="7F180002">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7</w:t>
      </w:r>
      <w:r>
        <w:rPr>
          <w:rFonts w:hint="eastAsia" w:ascii="宋体" w:hAnsi="宋体"/>
          <w:color w:val="000000"/>
          <w:sz w:val="24"/>
          <w:szCs w:val="24"/>
        </w:rPr>
        <w:t>．</w:t>
      </w:r>
      <w:r>
        <w:rPr>
          <w:rFonts w:hint="eastAsia" w:ascii="宋体" w:hAnsi="宋体" w:cs="Arial"/>
          <w:color w:val="000000"/>
          <w:sz w:val="24"/>
          <w:szCs w:val="24"/>
        </w:rPr>
        <w:t>未发生淋巴结和远处转移且WHO分级为G1级别（核分裂像&lt;10/50 HPF和ki-67≤2%）或更轻分级的神经内分泌肿瘤。</w:t>
      </w:r>
    </w:p>
    <w:p w14:paraId="41855E9F">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二、较重急性心肌梗死：</w:t>
      </w:r>
    </w:p>
    <w:p w14:paraId="325CEE35">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急性心肌梗死指由于冠状动脉闭塞或梗阻引起部分心肌严重的持久性缺血造成急性心肌坏死。急性心肌梗死的诊断必须依据国际国内诊断标准，符合（1）检测到肌酸激酶同工酶（CK-MB）或肌钙蛋白（cTn）升高和/或降低的动态变化，至少一次达到或超过心肌梗死的临床诊断标准；（2）同时存在下列之一的证据，包括：缺血性胸痛症状、新发生的缺血性心电图改变、新生成的病理性Q波、影像学证据显示有新出现的心肌活性丧失或新出现局部室壁运动异常、冠脉造影证实存在冠状动脉血栓。</w:t>
      </w:r>
    </w:p>
    <w:p w14:paraId="7F1C69AC">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较重急性心肌梗死指依照上述标准被明确诊断为急性心肌梗死，并且必须同时满足下列至少一项条件：</w:t>
      </w:r>
    </w:p>
    <w:p w14:paraId="007C90E4">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olor w:val="000000"/>
          <w:sz w:val="24"/>
          <w:szCs w:val="24"/>
        </w:rPr>
        <w:t>1．</w:t>
      </w:r>
      <w:r>
        <w:rPr>
          <w:rFonts w:hint="eastAsia" w:ascii="宋体" w:hAnsi="宋体" w:cs="Arial"/>
          <w:color w:val="000000"/>
          <w:sz w:val="24"/>
          <w:szCs w:val="24"/>
        </w:rPr>
        <w:t>心肌损伤标志物肌钙蛋白（cTn）升高，至少一次检测结果达到该检验正常参考值上限的15倍（含）以上；</w:t>
      </w:r>
    </w:p>
    <w:p w14:paraId="1A29BD76">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2</w:t>
      </w:r>
      <w:r>
        <w:rPr>
          <w:rFonts w:hint="eastAsia" w:ascii="宋体" w:hAnsi="宋体"/>
          <w:color w:val="000000"/>
          <w:sz w:val="24"/>
          <w:szCs w:val="24"/>
        </w:rPr>
        <w:t>．</w:t>
      </w:r>
      <w:r>
        <w:rPr>
          <w:rFonts w:hint="eastAsia" w:ascii="宋体" w:hAnsi="宋体" w:cs="Arial"/>
          <w:color w:val="000000"/>
          <w:sz w:val="24"/>
          <w:szCs w:val="24"/>
        </w:rPr>
        <w:t>肌酸激酶同工酶（CK-MB）升高，至少一次检测结果达到该检验正常参考值上限的2倍（含）以上；</w:t>
      </w:r>
    </w:p>
    <w:p w14:paraId="773C38AC">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3</w:t>
      </w:r>
      <w:r>
        <w:rPr>
          <w:rFonts w:hint="eastAsia" w:ascii="宋体" w:hAnsi="宋体"/>
          <w:color w:val="000000"/>
          <w:sz w:val="24"/>
          <w:szCs w:val="24"/>
        </w:rPr>
        <w:t>．</w:t>
      </w:r>
      <w:r>
        <w:rPr>
          <w:rFonts w:hint="eastAsia" w:ascii="宋体" w:hAnsi="宋体" w:cs="Arial"/>
          <w:color w:val="000000"/>
          <w:sz w:val="24"/>
          <w:szCs w:val="24"/>
        </w:rPr>
        <w:t>出现左心室收缩功能下降，在确诊6周以后，检测左室射血分数（LVEF）低于50%（不含）；</w:t>
      </w:r>
    </w:p>
    <w:p w14:paraId="2048982B">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4</w:t>
      </w:r>
      <w:r>
        <w:rPr>
          <w:rFonts w:hint="eastAsia" w:ascii="宋体" w:hAnsi="宋体"/>
          <w:color w:val="000000"/>
          <w:sz w:val="24"/>
          <w:szCs w:val="24"/>
        </w:rPr>
        <w:t>．</w:t>
      </w:r>
      <w:r>
        <w:rPr>
          <w:rFonts w:hint="eastAsia" w:ascii="宋体" w:hAnsi="宋体" w:cs="Arial"/>
          <w:color w:val="000000"/>
          <w:sz w:val="24"/>
          <w:szCs w:val="24"/>
        </w:rPr>
        <w:t>影像学检查证实存在新发的乳头肌功能失调或断裂引起的中度（含）以上的二尖瓣反流；</w:t>
      </w:r>
    </w:p>
    <w:p w14:paraId="48757495">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5</w:t>
      </w:r>
      <w:r>
        <w:rPr>
          <w:rFonts w:hint="eastAsia" w:ascii="宋体" w:hAnsi="宋体"/>
          <w:color w:val="000000"/>
          <w:sz w:val="24"/>
          <w:szCs w:val="24"/>
        </w:rPr>
        <w:t>．</w:t>
      </w:r>
      <w:r>
        <w:rPr>
          <w:rFonts w:hint="eastAsia" w:ascii="宋体" w:hAnsi="宋体" w:cs="Arial"/>
          <w:color w:val="000000"/>
          <w:sz w:val="24"/>
          <w:szCs w:val="24"/>
        </w:rPr>
        <w:t>影像学检查证实存在新出现的室壁瘤；</w:t>
      </w:r>
    </w:p>
    <w:p w14:paraId="27FC28E2">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6</w:t>
      </w:r>
      <w:r>
        <w:rPr>
          <w:rFonts w:hint="eastAsia" w:ascii="宋体" w:hAnsi="宋体"/>
          <w:color w:val="000000"/>
          <w:sz w:val="24"/>
          <w:szCs w:val="24"/>
        </w:rPr>
        <w:t>．</w:t>
      </w:r>
      <w:r>
        <w:rPr>
          <w:rFonts w:hint="eastAsia" w:ascii="宋体" w:hAnsi="宋体" w:cs="Arial"/>
          <w:color w:val="000000"/>
          <w:sz w:val="24"/>
          <w:szCs w:val="24"/>
        </w:rPr>
        <w:t>出现室性心动过速、心室颤动或心源性休克。</w:t>
      </w:r>
    </w:p>
    <w:p w14:paraId="608FAAC5">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其他非冠状动脉阻塞性疾病所引起的肌钙蛋白（cTn）升高不在保障范围内。</w:t>
      </w:r>
    </w:p>
    <w:p w14:paraId="45EB4DA4">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三、严重脑中风后遗症：</w:t>
      </w:r>
    </w:p>
    <w:p w14:paraId="671C8B54">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指因脑血管的突发病变引起脑血管出血、栓塞或梗塞，须由头颅断层扫描（CT）、核磁共振检查（MRI）等影像学检查证实，并导致神经系统永久性的功能障碍。神经系统永久性的功能障碍，指疾病确诊180天后，仍遗留下列至少一种障碍：</w:t>
      </w:r>
    </w:p>
    <w:p w14:paraId="5CD83D1A">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1</w:t>
      </w:r>
      <w:r>
        <w:rPr>
          <w:rFonts w:hint="eastAsia" w:ascii="宋体" w:hAnsi="宋体"/>
          <w:color w:val="000000"/>
          <w:sz w:val="24"/>
          <w:szCs w:val="24"/>
        </w:rPr>
        <w:t>．</w:t>
      </w:r>
      <w:r>
        <w:rPr>
          <w:rFonts w:hint="eastAsia" w:ascii="宋体" w:hAnsi="宋体" w:cs="Arial"/>
          <w:color w:val="000000"/>
          <w:sz w:val="24"/>
          <w:szCs w:val="24"/>
        </w:rPr>
        <w:t>一肢（含）以上肢体肌力2级（含）以下；</w:t>
      </w:r>
    </w:p>
    <w:p w14:paraId="457D021F">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2</w:t>
      </w:r>
      <w:r>
        <w:rPr>
          <w:rFonts w:hint="eastAsia" w:ascii="宋体" w:hAnsi="宋体"/>
          <w:color w:val="000000"/>
          <w:sz w:val="24"/>
          <w:szCs w:val="24"/>
        </w:rPr>
        <w:t>．</w:t>
      </w:r>
      <w:r>
        <w:rPr>
          <w:rFonts w:hint="eastAsia" w:ascii="宋体" w:hAnsi="宋体" w:cs="Arial"/>
          <w:color w:val="000000"/>
          <w:sz w:val="24"/>
          <w:szCs w:val="24"/>
        </w:rPr>
        <w:t>语言能力完全丧失，或严重咀嚼吞咽功能障碍；</w:t>
      </w:r>
    </w:p>
    <w:p w14:paraId="77092F7F">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3</w:t>
      </w:r>
      <w:r>
        <w:rPr>
          <w:rFonts w:hint="eastAsia" w:ascii="宋体" w:hAnsi="宋体"/>
          <w:color w:val="000000"/>
          <w:sz w:val="24"/>
          <w:szCs w:val="24"/>
        </w:rPr>
        <w:t>．</w:t>
      </w:r>
      <w:r>
        <w:rPr>
          <w:rFonts w:hint="eastAsia" w:ascii="宋体" w:hAnsi="宋体" w:cs="Arial"/>
          <w:color w:val="000000"/>
          <w:sz w:val="24"/>
          <w:szCs w:val="24"/>
        </w:rPr>
        <w:t>自主生活能力完全丧失，无法独立完成六项基本日常生活活动中的三项或三项以上。</w:t>
      </w:r>
    </w:p>
    <w:p w14:paraId="68025915">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四、重大器官移植术或造血干细胞移植术：</w:t>
      </w:r>
    </w:p>
    <w:p w14:paraId="762C7115">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重大器官移植术，指因相应器官功能衰竭，已经实施了肾脏、肝脏、心脏、肺脏或小肠的异体移植手术。</w:t>
      </w:r>
    </w:p>
    <w:p w14:paraId="009BD64E">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造血干细胞移植术，指因造血功能损害或造血系统恶性肿瘤，已经实施了造血干细胞（包括骨髓造血干细胞、外周血造血干细胞和脐血造血干细胞）的移植手术。</w:t>
      </w:r>
    </w:p>
    <w:p w14:paraId="78AD275A">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五、冠状动脉搭桥术（或称冠状动脉旁路移植术）：</w:t>
      </w:r>
    </w:p>
    <w:p w14:paraId="4C6DE1C1">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指为治疗严重的冠心病，已经实施了切开心包进行的冠状动脉血管旁路移植的手术。</w:t>
      </w:r>
    </w:p>
    <w:p w14:paraId="28D32F48">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所有未切开心包的冠状动脉介入治疗不在保障范围内。</w:t>
      </w:r>
    </w:p>
    <w:p w14:paraId="00F00033">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六、严重慢性肾衰竭：</w:t>
      </w:r>
    </w:p>
    <w:p w14:paraId="0C43FC09">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指双肾功能慢性不可逆性衰竭，依据肾脏病预后质量倡议（K/DOQI）制定的指南，分期达到慢性肾脏病5期，且经诊断后已经进行了至少90天的规律性透析治疗。规律性透析是指每周进行血液透析或每天进行腹膜透析。</w:t>
      </w:r>
    </w:p>
    <w:p w14:paraId="4B45CC9E">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七、多个肢体缺失：</w:t>
      </w:r>
    </w:p>
    <w:p w14:paraId="3D480B38">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指因疾病或意外伤害导致两个或两个以上肢体自腕关节或踝关节近端（靠近躯干端）以上完全性断离。</w:t>
      </w:r>
    </w:p>
    <w:p w14:paraId="681A2494">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八、急性重症肝炎或亚急性重症肝炎：</w:t>
      </w:r>
    </w:p>
    <w:p w14:paraId="658634F8">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指因肝炎病毒感染引起肝脏组织弥漫性坏死，导致急性肝功能衰竭，且经血清学或病毒学检查证实，并须满足下列全部条件：</w:t>
      </w:r>
    </w:p>
    <w:p w14:paraId="48EC8683">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1</w:t>
      </w:r>
      <w:r>
        <w:rPr>
          <w:rFonts w:hint="eastAsia" w:ascii="宋体" w:hAnsi="宋体"/>
          <w:color w:val="000000"/>
          <w:sz w:val="24"/>
          <w:szCs w:val="24"/>
        </w:rPr>
        <w:t>．</w:t>
      </w:r>
      <w:r>
        <w:rPr>
          <w:rFonts w:hint="eastAsia" w:ascii="宋体" w:hAnsi="宋体" w:cs="Arial"/>
          <w:color w:val="000000"/>
          <w:sz w:val="24"/>
          <w:szCs w:val="24"/>
        </w:rPr>
        <w:t>重度黄疸或黄疸迅速加重；</w:t>
      </w:r>
    </w:p>
    <w:p w14:paraId="097DBFA8">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2</w:t>
      </w:r>
      <w:r>
        <w:rPr>
          <w:rFonts w:hint="eastAsia" w:ascii="宋体" w:hAnsi="宋体"/>
          <w:color w:val="000000"/>
          <w:sz w:val="24"/>
          <w:szCs w:val="24"/>
        </w:rPr>
        <w:t>．</w:t>
      </w:r>
      <w:r>
        <w:rPr>
          <w:rFonts w:hint="eastAsia" w:ascii="宋体" w:hAnsi="宋体" w:cs="Arial"/>
          <w:color w:val="000000"/>
          <w:sz w:val="24"/>
          <w:szCs w:val="24"/>
        </w:rPr>
        <w:t>肝性脑病；</w:t>
      </w:r>
    </w:p>
    <w:p w14:paraId="4313C1FB">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3</w:t>
      </w:r>
      <w:r>
        <w:rPr>
          <w:rFonts w:hint="eastAsia" w:ascii="宋体" w:hAnsi="宋体"/>
          <w:color w:val="000000"/>
          <w:sz w:val="24"/>
          <w:szCs w:val="24"/>
        </w:rPr>
        <w:t>．</w:t>
      </w:r>
      <w:r>
        <w:rPr>
          <w:rFonts w:hint="eastAsia" w:ascii="宋体" w:hAnsi="宋体" w:cs="Arial"/>
          <w:color w:val="000000"/>
          <w:sz w:val="24"/>
          <w:szCs w:val="24"/>
        </w:rPr>
        <w:t>B超或其他影像学检查显示肝脏体积急速萎缩；</w:t>
      </w:r>
    </w:p>
    <w:p w14:paraId="0DDC6D27">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4</w:t>
      </w:r>
      <w:r>
        <w:rPr>
          <w:rFonts w:hint="eastAsia" w:ascii="宋体" w:hAnsi="宋体"/>
          <w:color w:val="000000"/>
          <w:sz w:val="24"/>
          <w:szCs w:val="24"/>
        </w:rPr>
        <w:t>．</w:t>
      </w:r>
      <w:r>
        <w:rPr>
          <w:rFonts w:hint="eastAsia" w:ascii="宋体" w:hAnsi="宋体" w:cs="Arial"/>
          <w:color w:val="000000"/>
          <w:sz w:val="24"/>
          <w:szCs w:val="24"/>
        </w:rPr>
        <w:t>肝功能指标进行性恶化。</w:t>
      </w:r>
    </w:p>
    <w:p w14:paraId="448E41EC">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九、严重非恶性颅内肿瘤：</w:t>
      </w:r>
    </w:p>
    <w:p w14:paraId="302F6846">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指起源于脑、脑神经、脑被膜的非恶性肿瘤，ICD-O-3肿瘤形态学编码属于0（良性肿瘤）、1（动态未定性肿瘤）范畴，并已经引起颅内压升高或神经系统功能损害，出现视乳头水肿或视觉受损、听觉受损、面部或肢体瘫痪、癫痫等，须由头颅断层扫描（CT）、核磁共振检查（MRI）或正电子发射断层扫描（PET）等影像学检查证实，且须满足下列至少一项条件：</w:t>
      </w:r>
    </w:p>
    <w:p w14:paraId="05F93071">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1</w:t>
      </w:r>
      <w:r>
        <w:rPr>
          <w:rFonts w:hint="eastAsia" w:ascii="宋体" w:hAnsi="宋体"/>
          <w:color w:val="000000"/>
          <w:sz w:val="24"/>
          <w:szCs w:val="24"/>
        </w:rPr>
        <w:t>．</w:t>
      </w:r>
      <w:r>
        <w:rPr>
          <w:rFonts w:hint="eastAsia" w:ascii="宋体" w:hAnsi="宋体" w:cs="Arial"/>
          <w:color w:val="000000"/>
          <w:sz w:val="24"/>
          <w:szCs w:val="24"/>
        </w:rPr>
        <w:t>已经实施了开颅进行的颅内肿瘤完全或部分切除手术；</w:t>
      </w:r>
    </w:p>
    <w:p w14:paraId="307B496A">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2</w:t>
      </w:r>
      <w:r>
        <w:rPr>
          <w:rFonts w:hint="eastAsia" w:ascii="宋体" w:hAnsi="宋体"/>
          <w:color w:val="000000"/>
          <w:sz w:val="24"/>
          <w:szCs w:val="24"/>
        </w:rPr>
        <w:t>．</w:t>
      </w:r>
      <w:r>
        <w:rPr>
          <w:rFonts w:hint="eastAsia" w:ascii="宋体" w:hAnsi="宋体" w:cs="Arial"/>
          <w:color w:val="000000"/>
          <w:sz w:val="24"/>
          <w:szCs w:val="24"/>
        </w:rPr>
        <w:t>已经实施了针对颅内肿瘤的放射治疗，如γ刀、质子重离子治疗等。</w:t>
      </w:r>
    </w:p>
    <w:p w14:paraId="7AE76DD5">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下列疾病不在保障范围内：</w:t>
      </w:r>
    </w:p>
    <w:p w14:paraId="7E57571F">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1</w:t>
      </w:r>
      <w:r>
        <w:rPr>
          <w:rFonts w:hint="eastAsia" w:ascii="宋体" w:hAnsi="宋体"/>
          <w:color w:val="000000"/>
          <w:sz w:val="24"/>
          <w:szCs w:val="24"/>
        </w:rPr>
        <w:t>．</w:t>
      </w:r>
      <w:r>
        <w:rPr>
          <w:rFonts w:hint="eastAsia" w:ascii="宋体" w:hAnsi="宋体" w:cs="Arial"/>
          <w:color w:val="000000"/>
          <w:sz w:val="24"/>
          <w:szCs w:val="24"/>
        </w:rPr>
        <w:t>脑垂体瘤；</w:t>
      </w:r>
    </w:p>
    <w:p w14:paraId="0F525AF3">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2</w:t>
      </w:r>
      <w:r>
        <w:rPr>
          <w:rFonts w:hint="eastAsia" w:ascii="宋体" w:hAnsi="宋体"/>
          <w:color w:val="000000"/>
          <w:sz w:val="24"/>
          <w:szCs w:val="24"/>
        </w:rPr>
        <w:t>．</w:t>
      </w:r>
      <w:r>
        <w:rPr>
          <w:rFonts w:hint="eastAsia" w:ascii="宋体" w:hAnsi="宋体" w:cs="Arial"/>
          <w:color w:val="000000"/>
          <w:sz w:val="24"/>
          <w:szCs w:val="24"/>
        </w:rPr>
        <w:t>脑囊肿；</w:t>
      </w:r>
    </w:p>
    <w:p w14:paraId="1AD8E8F0">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3</w:t>
      </w:r>
      <w:r>
        <w:rPr>
          <w:rFonts w:hint="eastAsia" w:ascii="宋体" w:hAnsi="宋体"/>
          <w:color w:val="000000"/>
          <w:sz w:val="24"/>
          <w:szCs w:val="24"/>
        </w:rPr>
        <w:t>．</w:t>
      </w:r>
      <w:r>
        <w:rPr>
          <w:rFonts w:hint="eastAsia" w:ascii="宋体" w:hAnsi="宋体" w:cs="Arial"/>
          <w:color w:val="000000"/>
          <w:sz w:val="24"/>
          <w:szCs w:val="24"/>
        </w:rPr>
        <w:t>颅内血管性疾病（如脑动脉瘤、脑动静脉畸形、海绵状血管瘤、毛细血管扩张症等）。</w:t>
      </w:r>
    </w:p>
    <w:p w14:paraId="5ABF7CF9">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十、严重慢性肝衰竭：</w:t>
      </w:r>
    </w:p>
    <w:p w14:paraId="36F6EF1B">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指因慢性肝脏疾病导致的肝衰竭，且须满足下列全部条件：</w:t>
      </w:r>
    </w:p>
    <w:p w14:paraId="129C18DD">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1</w:t>
      </w:r>
      <w:r>
        <w:rPr>
          <w:rFonts w:hint="eastAsia" w:ascii="宋体" w:hAnsi="宋体"/>
          <w:color w:val="000000"/>
          <w:sz w:val="24"/>
          <w:szCs w:val="24"/>
        </w:rPr>
        <w:t>．</w:t>
      </w:r>
      <w:r>
        <w:rPr>
          <w:rFonts w:hint="eastAsia" w:ascii="宋体" w:hAnsi="宋体" w:cs="Arial"/>
          <w:color w:val="000000"/>
          <w:sz w:val="24"/>
          <w:szCs w:val="24"/>
        </w:rPr>
        <w:t>持续性黄疸；</w:t>
      </w:r>
    </w:p>
    <w:p w14:paraId="3BBDEF67">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2</w:t>
      </w:r>
      <w:r>
        <w:rPr>
          <w:rFonts w:hint="eastAsia" w:ascii="宋体" w:hAnsi="宋体"/>
          <w:color w:val="000000"/>
          <w:sz w:val="24"/>
          <w:szCs w:val="24"/>
        </w:rPr>
        <w:t>．</w:t>
      </w:r>
      <w:r>
        <w:rPr>
          <w:rFonts w:hint="eastAsia" w:ascii="宋体" w:hAnsi="宋体" w:cs="Arial"/>
          <w:color w:val="000000"/>
          <w:sz w:val="24"/>
          <w:szCs w:val="24"/>
        </w:rPr>
        <w:t>腹水；</w:t>
      </w:r>
    </w:p>
    <w:p w14:paraId="36219223">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3</w:t>
      </w:r>
      <w:r>
        <w:rPr>
          <w:rFonts w:hint="eastAsia" w:ascii="宋体" w:hAnsi="宋体"/>
          <w:color w:val="000000"/>
          <w:sz w:val="24"/>
          <w:szCs w:val="24"/>
        </w:rPr>
        <w:t>．</w:t>
      </w:r>
      <w:r>
        <w:rPr>
          <w:rFonts w:hint="eastAsia" w:ascii="宋体" w:hAnsi="宋体" w:cs="Arial"/>
          <w:color w:val="000000"/>
          <w:sz w:val="24"/>
          <w:szCs w:val="24"/>
        </w:rPr>
        <w:t>肝性脑病；</w:t>
      </w:r>
    </w:p>
    <w:p w14:paraId="39E0FEB7">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4</w:t>
      </w:r>
      <w:r>
        <w:rPr>
          <w:rFonts w:hint="eastAsia" w:ascii="宋体" w:hAnsi="宋体"/>
          <w:color w:val="000000"/>
          <w:sz w:val="24"/>
          <w:szCs w:val="24"/>
        </w:rPr>
        <w:t>．</w:t>
      </w:r>
      <w:r>
        <w:rPr>
          <w:rFonts w:hint="eastAsia" w:ascii="宋体" w:hAnsi="宋体" w:cs="Arial"/>
          <w:color w:val="000000"/>
          <w:sz w:val="24"/>
          <w:szCs w:val="24"/>
        </w:rPr>
        <w:t>充血性脾肿大伴脾功能亢进或食管胃底静脉曲张。</w:t>
      </w:r>
    </w:p>
    <w:p w14:paraId="2D54676C">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因酗酒或药物滥用导致的肝衰竭不在保障范围内。</w:t>
      </w:r>
    </w:p>
    <w:p w14:paraId="6C0FCC60">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十一、严重脑炎后遗症或严重脑膜炎后遗症：</w:t>
      </w:r>
    </w:p>
    <w:p w14:paraId="4DF1398F">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指因患脑炎或脑膜炎导致的神经系统永久性的功能障碍。神经系统永久性的功能障碍，指经相关专科医生确诊疾病180天后，仍遗留下列至少一种障碍：</w:t>
      </w:r>
    </w:p>
    <w:p w14:paraId="135D98AC">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1</w:t>
      </w:r>
      <w:r>
        <w:rPr>
          <w:rFonts w:hint="eastAsia" w:ascii="宋体" w:hAnsi="宋体"/>
          <w:color w:val="000000"/>
          <w:sz w:val="24"/>
          <w:szCs w:val="24"/>
        </w:rPr>
        <w:t>．</w:t>
      </w:r>
      <w:r>
        <w:rPr>
          <w:rFonts w:hint="eastAsia" w:ascii="宋体" w:hAnsi="宋体" w:cs="Arial"/>
          <w:color w:val="000000"/>
          <w:sz w:val="24"/>
          <w:szCs w:val="24"/>
        </w:rPr>
        <w:t>一肢（含）以上肢体肌力2级（含）以下；</w:t>
      </w:r>
    </w:p>
    <w:p w14:paraId="62D096EE">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2</w:t>
      </w:r>
      <w:r>
        <w:rPr>
          <w:rFonts w:hint="eastAsia" w:ascii="宋体" w:hAnsi="宋体"/>
          <w:color w:val="000000"/>
          <w:sz w:val="24"/>
          <w:szCs w:val="24"/>
        </w:rPr>
        <w:t>．</w:t>
      </w:r>
      <w:r>
        <w:rPr>
          <w:rFonts w:hint="eastAsia" w:ascii="宋体" w:hAnsi="宋体" w:cs="Arial"/>
          <w:color w:val="000000"/>
          <w:sz w:val="24"/>
          <w:szCs w:val="24"/>
        </w:rPr>
        <w:t>语言能力完全丧失，或严重咀嚼吞咽功能障碍；</w:t>
      </w:r>
    </w:p>
    <w:p w14:paraId="46453F74">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3</w:t>
      </w:r>
      <w:r>
        <w:rPr>
          <w:rFonts w:hint="eastAsia" w:ascii="宋体" w:hAnsi="宋体"/>
          <w:color w:val="000000"/>
          <w:sz w:val="24"/>
          <w:szCs w:val="24"/>
        </w:rPr>
        <w:t>．</w:t>
      </w:r>
      <w:r>
        <w:rPr>
          <w:rFonts w:hint="eastAsia" w:ascii="宋体" w:hAnsi="宋体" w:cs="Arial"/>
          <w:color w:val="000000"/>
          <w:sz w:val="24"/>
          <w:szCs w:val="24"/>
        </w:rPr>
        <w:t>由具有评估资格的专科医生根据临床痴呆评定量表（CDR，Clinical Dementia Rating）评估结果为3分；</w:t>
      </w:r>
    </w:p>
    <w:p w14:paraId="0AAAA0A2">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4</w:t>
      </w:r>
      <w:r>
        <w:rPr>
          <w:rFonts w:hint="eastAsia" w:ascii="宋体" w:hAnsi="宋体"/>
          <w:color w:val="000000"/>
          <w:sz w:val="24"/>
          <w:szCs w:val="24"/>
        </w:rPr>
        <w:t>．</w:t>
      </w:r>
      <w:r>
        <w:rPr>
          <w:rFonts w:hint="eastAsia" w:ascii="宋体" w:hAnsi="宋体" w:cs="Arial"/>
          <w:color w:val="000000"/>
          <w:sz w:val="24"/>
          <w:szCs w:val="24"/>
        </w:rPr>
        <w:t>自主生活能力完全丧失，无法独立完成六项基本日常生活活动中的三项或三项以上。</w:t>
      </w:r>
    </w:p>
    <w:p w14:paraId="3F1A4FDF">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十二、深度昏迷：</w:t>
      </w:r>
    </w:p>
    <w:p w14:paraId="7DCEE88B">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指因疾病或意外伤害导致意识丧失，对外界刺激和体内需求均无反应，昏迷程度按照格拉斯哥昏迷分级（GCS，Glasgow Coma Scale）结果为5分或5分以下，且已经持续使用呼吸机及其他生命维持系统96小时以上。</w:t>
      </w:r>
    </w:p>
    <w:p w14:paraId="3B1421CC">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因酗酒或药物滥用导致的深度昏迷不在保障范围内。</w:t>
      </w:r>
    </w:p>
    <w:p w14:paraId="6A3E87F6">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十三、特定年龄双耳失聪：</w:t>
      </w:r>
    </w:p>
    <w:p w14:paraId="784A748E">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指</w:t>
      </w:r>
      <w:r>
        <w:rPr>
          <w:rFonts w:hint="eastAsia" w:ascii="宋体" w:hAnsi="宋体"/>
          <w:color w:val="000000"/>
          <w:sz w:val="24"/>
          <w:szCs w:val="24"/>
        </w:rPr>
        <w:t>被保险人年满3周岁后</w:t>
      </w:r>
      <w:r>
        <w:rPr>
          <w:rFonts w:hint="eastAsia" w:ascii="宋体" w:hAnsi="宋体" w:cs="Arial"/>
          <w:color w:val="000000"/>
          <w:sz w:val="24"/>
          <w:szCs w:val="24"/>
        </w:rPr>
        <w:t>因疾病或意外伤害导致双耳听力永久不可逆性丧失，在500赫兹、1000赫兹和2000赫兹语音频率下，平均听阈大于等于91分贝，且经纯音听力测试、声导抗检测或听觉诱发电位检测等证实。</w:t>
      </w:r>
    </w:p>
    <w:p w14:paraId="6991285F">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十四、特定年龄双目失明：</w:t>
      </w:r>
    </w:p>
    <w:p w14:paraId="7980BC6F">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指</w:t>
      </w:r>
      <w:r>
        <w:rPr>
          <w:rFonts w:hint="eastAsia" w:ascii="宋体" w:hAnsi="宋体"/>
          <w:color w:val="000000"/>
          <w:sz w:val="24"/>
          <w:szCs w:val="24"/>
        </w:rPr>
        <w:t>被保险人年满3周岁后</w:t>
      </w:r>
      <w:r>
        <w:rPr>
          <w:rFonts w:hint="eastAsia" w:ascii="宋体" w:hAnsi="宋体" w:cs="Arial"/>
          <w:color w:val="000000"/>
          <w:sz w:val="24"/>
          <w:szCs w:val="24"/>
        </w:rPr>
        <w:t>因疾病或意外伤害导致双眼视力永久不可逆性丧失，双眼中较好眼须满足下列至少一项条件：</w:t>
      </w:r>
    </w:p>
    <w:p w14:paraId="0813108C">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1</w:t>
      </w:r>
      <w:r>
        <w:rPr>
          <w:rFonts w:hint="eastAsia" w:ascii="宋体" w:hAnsi="宋体"/>
          <w:color w:val="000000"/>
          <w:sz w:val="24"/>
          <w:szCs w:val="24"/>
        </w:rPr>
        <w:t>．</w:t>
      </w:r>
      <w:r>
        <w:rPr>
          <w:rFonts w:hint="eastAsia" w:ascii="宋体" w:hAnsi="宋体" w:cs="Arial"/>
          <w:color w:val="000000"/>
          <w:sz w:val="24"/>
          <w:szCs w:val="24"/>
        </w:rPr>
        <w:t>眼球缺失或摘除；</w:t>
      </w:r>
    </w:p>
    <w:p w14:paraId="5A2927DE">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2</w:t>
      </w:r>
      <w:r>
        <w:rPr>
          <w:rFonts w:hint="eastAsia" w:ascii="宋体" w:hAnsi="宋体"/>
          <w:color w:val="000000"/>
          <w:sz w:val="24"/>
          <w:szCs w:val="24"/>
        </w:rPr>
        <w:t>．</w:t>
      </w:r>
      <w:r>
        <w:rPr>
          <w:rFonts w:hint="eastAsia" w:ascii="宋体" w:hAnsi="宋体" w:cs="Arial"/>
          <w:color w:val="000000"/>
          <w:sz w:val="24"/>
          <w:szCs w:val="24"/>
        </w:rPr>
        <w:t>矫正视力低于0.02（采用国际标准视力表，如果使用其他视力表应进行换算）；</w:t>
      </w:r>
    </w:p>
    <w:p w14:paraId="3F477B9F">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3</w:t>
      </w:r>
      <w:r>
        <w:rPr>
          <w:rFonts w:hint="eastAsia" w:ascii="宋体" w:hAnsi="宋体"/>
          <w:color w:val="000000"/>
          <w:sz w:val="24"/>
          <w:szCs w:val="24"/>
        </w:rPr>
        <w:t>．</w:t>
      </w:r>
      <w:r>
        <w:rPr>
          <w:rFonts w:hint="eastAsia" w:ascii="宋体" w:hAnsi="宋体" w:cs="Arial"/>
          <w:color w:val="000000"/>
          <w:sz w:val="24"/>
          <w:szCs w:val="24"/>
        </w:rPr>
        <w:t>视野半径小于5度。</w:t>
      </w:r>
    </w:p>
    <w:p w14:paraId="0B9D91FB">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十五、瘫痪：</w:t>
      </w:r>
    </w:p>
    <w:p w14:paraId="479BA16C">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指因疾病或意外伤害导致两肢或两肢以上肢体随意运动功能永久完全丧失。肢体随意运动功能永久完全丧失，指疾病确诊180天后或意外伤害发生180天后，每肢三大关节中的两大关节仍然完全僵硬，或肢体肌力在2级（含）以下。</w:t>
      </w:r>
    </w:p>
    <w:p w14:paraId="5E238AEA">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十六、心脏瓣膜手术：</w:t>
      </w:r>
    </w:p>
    <w:p w14:paraId="5FED94C8">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指为治疗心脏瓣膜疾病，已经实施了切开心脏进行的心脏瓣膜置换或修复的手术。</w:t>
      </w:r>
    </w:p>
    <w:p w14:paraId="24A15D86">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所有未切开心脏的心脏瓣膜介入手术不在保障范围内。</w:t>
      </w:r>
    </w:p>
    <w:p w14:paraId="287056E4">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十七、严重阿尔茨海默病：</w:t>
      </w:r>
    </w:p>
    <w:p w14:paraId="4DFDA02F">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指因大脑进行性、不可逆性改变导致智能严重衰退或丧失，临床表现为严重的认知功能障碍、精神行为异常和社交能力减退等，其日常生活必须持续受到他人监护。须由头颅断层扫描（CT）、核磁共振检查（MRI）或正电子发射断层扫描（PET）等影像学检查证实，并经相关专科医生确诊，且须满足下列至少一项条件：</w:t>
      </w:r>
    </w:p>
    <w:p w14:paraId="034F764D">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1</w:t>
      </w:r>
      <w:r>
        <w:rPr>
          <w:rFonts w:hint="eastAsia" w:ascii="宋体" w:hAnsi="宋体"/>
          <w:color w:val="000000"/>
          <w:sz w:val="24"/>
          <w:szCs w:val="24"/>
        </w:rPr>
        <w:t>．</w:t>
      </w:r>
      <w:r>
        <w:rPr>
          <w:rFonts w:hint="eastAsia" w:ascii="宋体" w:hAnsi="宋体" w:cs="Arial"/>
          <w:color w:val="000000"/>
          <w:sz w:val="24"/>
          <w:szCs w:val="24"/>
        </w:rPr>
        <w:t>由具有评估资格的专科医生根据临床痴呆评定量表（CDR，Clinical Dementia Rating）评估结果为3分；</w:t>
      </w:r>
    </w:p>
    <w:p w14:paraId="4AE2C977">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2</w:t>
      </w:r>
      <w:r>
        <w:rPr>
          <w:rFonts w:hint="eastAsia" w:ascii="宋体" w:hAnsi="宋体"/>
          <w:color w:val="000000"/>
          <w:sz w:val="24"/>
          <w:szCs w:val="24"/>
        </w:rPr>
        <w:t>．</w:t>
      </w:r>
      <w:r>
        <w:rPr>
          <w:rFonts w:hint="eastAsia" w:ascii="宋体" w:hAnsi="宋体" w:cs="Arial"/>
          <w:color w:val="000000"/>
          <w:sz w:val="24"/>
          <w:szCs w:val="24"/>
        </w:rPr>
        <w:t>自主生活能力完全丧失，无法独立完成六项基本日常生活活动中的三项或三项以上。</w:t>
      </w:r>
    </w:p>
    <w:p w14:paraId="6CB30EBC">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阿尔茨海默病之外的其他类型痴呆不在保障范围内。</w:t>
      </w:r>
    </w:p>
    <w:p w14:paraId="3927EF13">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十八、严重脑损伤：</w:t>
      </w:r>
    </w:p>
    <w:p w14:paraId="11238A9E">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指因头部遭受机械性外力，引起脑重要部位损伤，导致神经系统永久性的功能障碍。须由头颅断层扫描（CT）、核磁共振检查（MRI）或正电子发射断层扫描（PET）等影像学检查证实。神经系统永久性的功能障碍，指脑损伤180天后，仍遗留下列至少一种障碍：</w:t>
      </w:r>
    </w:p>
    <w:p w14:paraId="68DF982D">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1</w:t>
      </w:r>
      <w:r>
        <w:rPr>
          <w:rFonts w:hint="eastAsia" w:ascii="宋体" w:hAnsi="宋体"/>
          <w:color w:val="000000"/>
          <w:sz w:val="24"/>
          <w:szCs w:val="24"/>
        </w:rPr>
        <w:t>．</w:t>
      </w:r>
      <w:r>
        <w:rPr>
          <w:rFonts w:hint="eastAsia" w:ascii="宋体" w:hAnsi="宋体" w:cs="Arial"/>
          <w:color w:val="000000"/>
          <w:sz w:val="24"/>
          <w:szCs w:val="24"/>
        </w:rPr>
        <w:t>一肢（含）以上肢体肌力2级（含）以下；</w:t>
      </w:r>
    </w:p>
    <w:p w14:paraId="1C879163">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2</w:t>
      </w:r>
      <w:r>
        <w:rPr>
          <w:rFonts w:hint="eastAsia" w:ascii="宋体" w:hAnsi="宋体"/>
          <w:color w:val="000000"/>
          <w:sz w:val="24"/>
          <w:szCs w:val="24"/>
        </w:rPr>
        <w:t>．</w:t>
      </w:r>
      <w:r>
        <w:rPr>
          <w:rFonts w:hint="eastAsia" w:ascii="宋体" w:hAnsi="宋体" w:cs="Arial"/>
          <w:color w:val="000000"/>
          <w:sz w:val="24"/>
          <w:szCs w:val="24"/>
        </w:rPr>
        <w:t>语言能力完全丧失，或严重咀嚼吞咽功能障碍；</w:t>
      </w:r>
    </w:p>
    <w:p w14:paraId="4610B4D3">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3</w:t>
      </w:r>
      <w:r>
        <w:rPr>
          <w:rFonts w:hint="eastAsia" w:ascii="宋体" w:hAnsi="宋体"/>
          <w:color w:val="000000"/>
          <w:sz w:val="24"/>
          <w:szCs w:val="24"/>
        </w:rPr>
        <w:t>．</w:t>
      </w:r>
      <w:r>
        <w:rPr>
          <w:rFonts w:hint="eastAsia" w:ascii="宋体" w:hAnsi="宋体" w:cs="Arial"/>
          <w:color w:val="000000"/>
          <w:sz w:val="24"/>
          <w:szCs w:val="24"/>
        </w:rPr>
        <w:t>自主生活能力完全丧失，无法独立完成六项基本日常生活活动中的三项或三项以上。</w:t>
      </w:r>
    </w:p>
    <w:p w14:paraId="3861AAD5">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十九、严重原发性帕金森病：</w:t>
      </w:r>
    </w:p>
    <w:p w14:paraId="3AE9DB66">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是一种中枢神经系统的退行性疾病，临床表现为运动迟缓、静止性震颤或肌强直等，经相关专科医生确诊，且须满足自主生活能力完全丧失，无法独立完成六项基本日常生活活动中的三项或三项以上。</w:t>
      </w:r>
    </w:p>
    <w:p w14:paraId="5CF951F6">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继发性帕金森综合征、帕金森叠加综合征不在保障范围内。</w:t>
      </w:r>
    </w:p>
    <w:p w14:paraId="30309318">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二十、严重Ⅲ度烧伤：</w:t>
      </w:r>
    </w:p>
    <w:p w14:paraId="7B71029F">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指烧伤程度为</w:t>
      </w:r>
      <w:r>
        <w:rPr>
          <w:rFonts w:hint="eastAsia" w:ascii="宋体" w:hAnsi="宋体" w:cs="宋体"/>
          <w:color w:val="000000"/>
          <w:sz w:val="24"/>
          <w:szCs w:val="24"/>
        </w:rPr>
        <w:t>Ⅲ</w:t>
      </w:r>
      <w:r>
        <w:rPr>
          <w:rFonts w:hint="eastAsia" w:ascii="宋体" w:hAnsi="宋体" w:cs="Arial"/>
          <w:color w:val="000000"/>
          <w:sz w:val="24"/>
          <w:szCs w:val="24"/>
        </w:rPr>
        <w:t>度，且</w:t>
      </w:r>
      <w:r>
        <w:rPr>
          <w:rFonts w:hint="eastAsia" w:ascii="宋体" w:hAnsi="宋体" w:cs="宋体"/>
          <w:color w:val="000000"/>
          <w:sz w:val="24"/>
          <w:szCs w:val="24"/>
        </w:rPr>
        <w:t>Ⅲ</w:t>
      </w:r>
      <w:r>
        <w:rPr>
          <w:rFonts w:hint="eastAsia" w:ascii="宋体" w:hAnsi="宋体" w:cs="Arial"/>
          <w:color w:val="000000"/>
          <w:sz w:val="24"/>
          <w:szCs w:val="24"/>
        </w:rPr>
        <w:t>度烧伤的面积达到全身体表面积的20％或20％以上。体表面积根据《中国新九分法》计算。</w:t>
      </w:r>
    </w:p>
    <w:p w14:paraId="3A1678B2">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二十一、严重特发性肺动脉高压：</w:t>
      </w:r>
    </w:p>
    <w:p w14:paraId="5580B8EE">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指不明原因的肺动脉压力持续性增高，进行性发展而导致的慢性疾病，已经造成永久不可逆性的体力活动能力受限，达到美国纽约心脏病学会（New York Heart Association，NYHA）心功能状态分级IV级，且静息状态下肺动脉平均压在36mmHg（含）以上。</w:t>
      </w:r>
    </w:p>
    <w:p w14:paraId="01D325ED">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二十二、严重运动神经元病：</w:t>
      </w:r>
    </w:p>
    <w:p w14:paraId="4A39B3F5">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是一组中枢神经系统运动神经元的进行性变性疾病，包括进行性脊肌萎缩症、进行性延髓麻痹症、原发性侧索硬化症、肌萎缩性侧索硬化症，经相关专科医生确诊，且须满足下列至少一项条件：</w:t>
      </w:r>
    </w:p>
    <w:p w14:paraId="23E50400">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1</w:t>
      </w:r>
      <w:r>
        <w:rPr>
          <w:rFonts w:hint="eastAsia" w:ascii="宋体" w:hAnsi="宋体"/>
          <w:color w:val="000000"/>
          <w:sz w:val="24"/>
          <w:szCs w:val="24"/>
        </w:rPr>
        <w:t>．</w:t>
      </w:r>
      <w:r>
        <w:rPr>
          <w:rFonts w:hint="eastAsia" w:ascii="宋体" w:hAnsi="宋体" w:cs="Arial"/>
          <w:color w:val="000000"/>
          <w:sz w:val="24"/>
          <w:szCs w:val="24"/>
        </w:rPr>
        <w:t>严重咀嚼吞咽功能障碍；</w:t>
      </w:r>
    </w:p>
    <w:p w14:paraId="6AF7AA2E">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2</w:t>
      </w:r>
      <w:r>
        <w:rPr>
          <w:rFonts w:hint="eastAsia" w:ascii="宋体" w:hAnsi="宋体"/>
          <w:color w:val="000000"/>
          <w:sz w:val="24"/>
          <w:szCs w:val="24"/>
        </w:rPr>
        <w:t>．</w:t>
      </w:r>
      <w:r>
        <w:rPr>
          <w:rFonts w:hint="eastAsia" w:ascii="宋体" w:hAnsi="宋体" w:cs="Arial"/>
          <w:color w:val="000000"/>
          <w:sz w:val="24"/>
          <w:szCs w:val="24"/>
        </w:rPr>
        <w:t>呼吸肌麻痹导致严重呼吸困难，且已经持续使用呼吸机7天（含）以上；</w:t>
      </w:r>
    </w:p>
    <w:p w14:paraId="1A4419F6">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3</w:t>
      </w:r>
      <w:r>
        <w:rPr>
          <w:rFonts w:hint="eastAsia" w:ascii="宋体" w:hAnsi="宋体"/>
          <w:color w:val="000000"/>
          <w:sz w:val="24"/>
          <w:szCs w:val="24"/>
        </w:rPr>
        <w:t>．</w:t>
      </w:r>
      <w:r>
        <w:rPr>
          <w:rFonts w:hint="eastAsia" w:ascii="宋体" w:hAnsi="宋体" w:cs="Arial"/>
          <w:color w:val="000000"/>
          <w:sz w:val="24"/>
          <w:szCs w:val="24"/>
        </w:rPr>
        <w:t>自主生活能力完全丧失，无法独立完成六项基本日常生活活动中的三项或三项以上。</w:t>
      </w:r>
    </w:p>
    <w:p w14:paraId="48CBB2C1">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二十三、语言能力丧失：</w:t>
      </w:r>
    </w:p>
    <w:p w14:paraId="5DE6D2B2">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指因疾病或意外伤害导致语言能力完全丧失，经过积极治疗至少12个月（声带完全切除不受此时间限制），仍无法通过现有医疗手段恢复。</w:t>
      </w:r>
    </w:p>
    <w:p w14:paraId="311C9A68">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精神心理因素所致的语言能力丧失不在保障范围内。</w:t>
      </w:r>
    </w:p>
    <w:p w14:paraId="1A57480D">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二十四、重型再生障碍性贫血：</w:t>
      </w:r>
    </w:p>
    <w:p w14:paraId="31AB2E1C">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指因骨髓造血功能慢性持续性衰竭导致的贫血、中性粒细胞减少及血小板减少，且须满足下列全部条件：</w:t>
      </w:r>
    </w:p>
    <w:p w14:paraId="1BF8F47E">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1</w:t>
      </w:r>
      <w:r>
        <w:rPr>
          <w:rFonts w:hint="eastAsia" w:ascii="宋体" w:hAnsi="宋体"/>
          <w:color w:val="000000"/>
          <w:sz w:val="24"/>
          <w:szCs w:val="24"/>
        </w:rPr>
        <w:t>．</w:t>
      </w:r>
      <w:r>
        <w:rPr>
          <w:rFonts w:hint="eastAsia" w:ascii="宋体" w:hAnsi="宋体" w:cs="Arial"/>
          <w:color w:val="000000"/>
          <w:sz w:val="24"/>
          <w:szCs w:val="24"/>
        </w:rPr>
        <w:t>骨髓穿刺检查或骨髓活检结果支持诊断：骨髓细胞增生程度&lt;正常的25%；如≥正常的25%但&lt;50%，则残存的造血细胞应&lt;30%；</w:t>
      </w:r>
    </w:p>
    <w:p w14:paraId="679CC75E">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2</w:t>
      </w:r>
      <w:r>
        <w:rPr>
          <w:rFonts w:hint="eastAsia" w:ascii="宋体" w:hAnsi="宋体"/>
          <w:color w:val="000000"/>
          <w:sz w:val="24"/>
          <w:szCs w:val="24"/>
        </w:rPr>
        <w:t>．</w:t>
      </w:r>
      <w:r>
        <w:rPr>
          <w:rFonts w:hint="eastAsia" w:ascii="宋体" w:hAnsi="宋体" w:cs="Arial"/>
          <w:color w:val="000000"/>
          <w:sz w:val="24"/>
          <w:szCs w:val="24"/>
        </w:rPr>
        <w:t>外周血象须具备以下三项条件中的两项：</w:t>
      </w:r>
    </w:p>
    <w:p w14:paraId="30771F5B">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宋体"/>
          <w:color w:val="000000"/>
          <w:sz w:val="24"/>
          <w:szCs w:val="24"/>
        </w:rPr>
        <w:t>（1）</w:t>
      </w:r>
      <w:r>
        <w:rPr>
          <w:rFonts w:hint="eastAsia" w:ascii="宋体" w:hAnsi="宋体" w:cs="Arial"/>
          <w:color w:val="000000"/>
          <w:sz w:val="24"/>
          <w:szCs w:val="24"/>
        </w:rPr>
        <w:t>中性粒细胞绝对值&lt;0.5×10</w:t>
      </w:r>
      <w:r>
        <w:rPr>
          <w:rFonts w:hint="eastAsia" w:ascii="宋体" w:hAnsi="宋体" w:cs="Arial"/>
          <w:color w:val="000000"/>
          <w:sz w:val="24"/>
          <w:szCs w:val="24"/>
          <w:vertAlign w:val="superscript"/>
        </w:rPr>
        <w:t>9</w:t>
      </w:r>
      <w:r>
        <w:rPr>
          <w:rFonts w:hint="eastAsia" w:ascii="宋体" w:hAnsi="宋体" w:cs="Arial"/>
          <w:color w:val="000000"/>
          <w:sz w:val="24"/>
          <w:szCs w:val="24"/>
        </w:rPr>
        <w:t>/L；</w:t>
      </w:r>
    </w:p>
    <w:p w14:paraId="7F9C6808">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宋体"/>
          <w:color w:val="000000"/>
          <w:sz w:val="24"/>
          <w:szCs w:val="24"/>
        </w:rPr>
        <w:t>（2）</w:t>
      </w:r>
      <w:r>
        <w:rPr>
          <w:rFonts w:hint="eastAsia" w:ascii="宋体" w:hAnsi="宋体" w:cs="Arial"/>
          <w:color w:val="000000"/>
          <w:sz w:val="24"/>
          <w:szCs w:val="24"/>
        </w:rPr>
        <w:t>网织红细胞计数&lt;20×10</w:t>
      </w:r>
      <w:r>
        <w:rPr>
          <w:rFonts w:hint="eastAsia" w:ascii="宋体" w:hAnsi="宋体" w:cs="Arial"/>
          <w:color w:val="000000"/>
          <w:sz w:val="24"/>
          <w:szCs w:val="24"/>
          <w:vertAlign w:val="superscript"/>
        </w:rPr>
        <w:t>9</w:t>
      </w:r>
      <w:r>
        <w:rPr>
          <w:rFonts w:hint="eastAsia" w:ascii="宋体" w:hAnsi="宋体" w:cs="Arial"/>
          <w:color w:val="000000"/>
          <w:sz w:val="24"/>
          <w:szCs w:val="24"/>
        </w:rPr>
        <w:t>/L；</w:t>
      </w:r>
    </w:p>
    <w:p w14:paraId="4F0EDC8E">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宋体"/>
          <w:color w:val="000000"/>
          <w:sz w:val="24"/>
          <w:szCs w:val="24"/>
        </w:rPr>
        <w:t>（3）</w:t>
      </w:r>
      <w:r>
        <w:rPr>
          <w:rFonts w:hint="eastAsia" w:ascii="宋体" w:hAnsi="宋体" w:cs="Arial"/>
          <w:color w:val="000000"/>
          <w:sz w:val="24"/>
          <w:szCs w:val="24"/>
        </w:rPr>
        <w:t>血小板绝对值&lt;20×10</w:t>
      </w:r>
      <w:r>
        <w:rPr>
          <w:rFonts w:hint="eastAsia" w:ascii="宋体" w:hAnsi="宋体" w:cs="Arial"/>
          <w:color w:val="000000"/>
          <w:sz w:val="24"/>
          <w:szCs w:val="24"/>
          <w:vertAlign w:val="superscript"/>
        </w:rPr>
        <w:t>9</w:t>
      </w:r>
      <w:r>
        <w:rPr>
          <w:rFonts w:hint="eastAsia" w:ascii="宋体" w:hAnsi="宋体" w:cs="Arial"/>
          <w:color w:val="000000"/>
          <w:sz w:val="24"/>
          <w:szCs w:val="24"/>
        </w:rPr>
        <w:t>/L。</w:t>
      </w:r>
    </w:p>
    <w:p w14:paraId="7F801E04">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二十五、主动脉手术：</w:t>
      </w:r>
    </w:p>
    <w:p w14:paraId="3F130180">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指为治疗主动脉疾病或主动脉创伤，已经实施了开胸（含胸腔镜下）或开腹（含腹腔镜下）进行的切除、置换、修补病损主动脉血管、主动脉创伤后修复的手术。主动脉指升主动脉、主动脉弓和降主动脉（含胸主动脉和腹主动脉），不包括升主动脉、主动脉弓和降主动脉的分支血管。</w:t>
      </w:r>
    </w:p>
    <w:p w14:paraId="58723E7A">
      <w:pPr>
        <w:keepNext w:val="0"/>
        <w:keepLines w:val="0"/>
        <w:pageBreakBefore w:val="0"/>
        <w:widowControl w:val="0"/>
        <w:spacing w:line="360" w:lineRule="auto"/>
        <w:ind w:firstLine="432"/>
        <w:rPr>
          <w:rFonts w:hint="eastAsia" w:ascii="宋体" w:hAnsi="宋体" w:cs="Arial"/>
          <w:color w:val="000000"/>
          <w:sz w:val="24"/>
          <w:szCs w:val="24"/>
        </w:rPr>
      </w:pPr>
      <w:r>
        <w:rPr>
          <w:rFonts w:hint="eastAsia" w:ascii="宋体" w:hAnsi="宋体" w:cs="Arial"/>
          <w:color w:val="000000"/>
          <w:sz w:val="24"/>
          <w:szCs w:val="24"/>
        </w:rPr>
        <w:t>所有未实施开胸或开腹的动脉内介入治疗不在保障范围内。</w:t>
      </w:r>
    </w:p>
    <w:p w14:paraId="3AD67BE9">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二十六、严重慢性呼吸衰竭：</w:t>
      </w:r>
    </w:p>
    <w:p w14:paraId="7442D5B1">
      <w:pPr>
        <w:keepNext w:val="0"/>
        <w:keepLines w:val="0"/>
        <w:pageBreakBefore w:val="0"/>
        <w:widowControl w:val="0"/>
        <w:spacing w:line="360" w:lineRule="auto"/>
        <w:ind w:firstLine="432"/>
        <w:rPr>
          <w:rFonts w:hint="eastAsia" w:ascii="宋体" w:hAnsi="宋体" w:cs="Arial"/>
          <w:color w:val="000000"/>
          <w:sz w:val="24"/>
          <w:szCs w:val="24"/>
        </w:rPr>
      </w:pPr>
      <w:r>
        <w:rPr>
          <w:rFonts w:hint="eastAsia" w:ascii="宋体" w:hAnsi="宋体" w:cs="Arial"/>
          <w:color w:val="000000"/>
          <w:sz w:val="24"/>
          <w:szCs w:val="24"/>
        </w:rPr>
        <w:t>指因慢性呼吸系统疾病导致永久不可逆性的呼吸衰竭，经过积极治疗180天后满足以下所有条件：</w:t>
      </w:r>
    </w:p>
    <w:p w14:paraId="04F1948E">
      <w:pPr>
        <w:keepNext w:val="0"/>
        <w:keepLines w:val="0"/>
        <w:pageBreakBefore w:val="0"/>
        <w:widowControl w:val="0"/>
        <w:spacing w:line="360" w:lineRule="auto"/>
        <w:ind w:firstLine="432"/>
        <w:rPr>
          <w:rFonts w:hint="eastAsia" w:ascii="宋体" w:hAnsi="宋体" w:cs="Arial"/>
          <w:color w:val="000000"/>
          <w:sz w:val="24"/>
          <w:szCs w:val="24"/>
        </w:rPr>
      </w:pPr>
      <w:r>
        <w:rPr>
          <w:rFonts w:hint="eastAsia" w:ascii="宋体" w:hAnsi="宋体" w:cs="Arial"/>
          <w:color w:val="000000"/>
          <w:sz w:val="24"/>
          <w:szCs w:val="24"/>
        </w:rPr>
        <w:t>1</w:t>
      </w:r>
      <w:r>
        <w:rPr>
          <w:rFonts w:hint="eastAsia" w:ascii="宋体" w:hAnsi="宋体"/>
          <w:color w:val="000000"/>
          <w:sz w:val="24"/>
          <w:szCs w:val="24"/>
        </w:rPr>
        <w:t>．</w:t>
      </w:r>
      <w:r>
        <w:rPr>
          <w:rFonts w:hint="eastAsia" w:ascii="宋体" w:hAnsi="宋体" w:cs="Arial"/>
          <w:color w:val="000000"/>
          <w:sz w:val="24"/>
          <w:szCs w:val="24"/>
        </w:rPr>
        <w:t>静息时出现呼吸困难；</w:t>
      </w:r>
    </w:p>
    <w:p w14:paraId="24E277F9">
      <w:pPr>
        <w:keepNext w:val="0"/>
        <w:keepLines w:val="0"/>
        <w:pageBreakBefore w:val="0"/>
        <w:widowControl w:val="0"/>
        <w:spacing w:line="360" w:lineRule="auto"/>
        <w:ind w:firstLine="432"/>
        <w:rPr>
          <w:rFonts w:hint="eastAsia" w:ascii="宋体" w:hAnsi="宋体" w:cs="Arial"/>
          <w:color w:val="000000"/>
          <w:sz w:val="24"/>
          <w:szCs w:val="24"/>
        </w:rPr>
      </w:pPr>
      <w:r>
        <w:rPr>
          <w:rFonts w:hint="eastAsia" w:ascii="宋体" w:hAnsi="宋体" w:cs="Arial"/>
          <w:color w:val="000000"/>
          <w:sz w:val="24"/>
          <w:szCs w:val="24"/>
        </w:rPr>
        <w:t>2</w:t>
      </w:r>
      <w:r>
        <w:rPr>
          <w:rFonts w:hint="eastAsia" w:ascii="宋体" w:hAnsi="宋体"/>
          <w:color w:val="000000"/>
          <w:sz w:val="24"/>
          <w:szCs w:val="24"/>
        </w:rPr>
        <w:t>．</w:t>
      </w:r>
      <w:r>
        <w:rPr>
          <w:rFonts w:hint="eastAsia" w:ascii="宋体" w:hAnsi="宋体" w:cs="Arial"/>
          <w:color w:val="000000"/>
          <w:sz w:val="24"/>
          <w:szCs w:val="24"/>
        </w:rPr>
        <w:t>肺功能第一秒用力呼气容积（FEV</w:t>
      </w:r>
      <w:r>
        <w:rPr>
          <w:rFonts w:hint="eastAsia" w:ascii="宋体" w:hAnsi="宋体" w:cs="Arial"/>
          <w:color w:val="000000"/>
          <w:sz w:val="24"/>
          <w:szCs w:val="24"/>
          <w:vertAlign w:val="subscript"/>
        </w:rPr>
        <w:t>1</w:t>
      </w:r>
      <w:r>
        <w:rPr>
          <w:rFonts w:hint="eastAsia" w:ascii="宋体" w:hAnsi="宋体" w:cs="Arial"/>
          <w:color w:val="000000"/>
          <w:sz w:val="24"/>
          <w:szCs w:val="24"/>
        </w:rPr>
        <w:t>）占预计值的百分比＜30%；</w:t>
      </w:r>
    </w:p>
    <w:p w14:paraId="125A63BE">
      <w:pPr>
        <w:keepNext w:val="0"/>
        <w:keepLines w:val="0"/>
        <w:pageBreakBefore w:val="0"/>
        <w:widowControl w:val="0"/>
        <w:spacing w:line="360" w:lineRule="auto"/>
        <w:ind w:firstLine="432"/>
        <w:rPr>
          <w:rFonts w:hint="eastAsia" w:ascii="宋体" w:hAnsi="宋体" w:cs="Arial"/>
          <w:color w:val="000000"/>
          <w:sz w:val="24"/>
          <w:szCs w:val="24"/>
        </w:rPr>
      </w:pPr>
      <w:r>
        <w:rPr>
          <w:rFonts w:hint="eastAsia" w:ascii="宋体" w:hAnsi="宋体" w:cs="Arial"/>
          <w:color w:val="000000"/>
          <w:sz w:val="24"/>
          <w:szCs w:val="24"/>
        </w:rPr>
        <w:t>3</w:t>
      </w:r>
      <w:r>
        <w:rPr>
          <w:rFonts w:hint="eastAsia" w:ascii="宋体" w:hAnsi="宋体"/>
          <w:color w:val="000000"/>
          <w:sz w:val="24"/>
          <w:szCs w:val="24"/>
        </w:rPr>
        <w:t>．</w:t>
      </w:r>
      <w:r>
        <w:rPr>
          <w:rFonts w:hint="eastAsia" w:ascii="宋体" w:hAnsi="宋体" w:cs="Arial"/>
          <w:color w:val="000000"/>
          <w:sz w:val="24"/>
          <w:szCs w:val="24"/>
        </w:rPr>
        <w:t>在静息状态、呼吸空气条件下，动脉血氧分压（PaO</w:t>
      </w:r>
      <w:r>
        <w:rPr>
          <w:rFonts w:hint="eastAsia" w:ascii="宋体" w:hAnsi="宋体" w:cs="Arial"/>
          <w:color w:val="000000"/>
          <w:sz w:val="24"/>
          <w:szCs w:val="24"/>
          <w:vertAlign w:val="subscript"/>
        </w:rPr>
        <w:t>2</w:t>
      </w:r>
      <w:r>
        <w:rPr>
          <w:rFonts w:hint="eastAsia" w:ascii="宋体" w:hAnsi="宋体" w:cs="Arial"/>
          <w:color w:val="000000"/>
          <w:sz w:val="24"/>
          <w:szCs w:val="24"/>
        </w:rPr>
        <w:t>）＜50mmHg。</w:t>
      </w:r>
    </w:p>
    <w:p w14:paraId="2C466F69">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二十七、严重克罗恩病：</w:t>
      </w:r>
    </w:p>
    <w:p w14:paraId="3FB100CC">
      <w:pPr>
        <w:keepNext w:val="0"/>
        <w:keepLines w:val="0"/>
        <w:pageBreakBefore w:val="0"/>
        <w:widowControl w:val="0"/>
        <w:spacing w:line="360" w:lineRule="auto"/>
        <w:ind w:firstLine="432"/>
        <w:rPr>
          <w:rFonts w:hint="eastAsia" w:ascii="宋体" w:hAnsi="宋体" w:cs="Arial"/>
          <w:color w:val="000000"/>
          <w:sz w:val="24"/>
          <w:szCs w:val="24"/>
        </w:rPr>
      </w:pPr>
      <w:r>
        <w:rPr>
          <w:rFonts w:hint="eastAsia" w:ascii="宋体" w:hAnsi="宋体" w:cs="Arial"/>
          <w:color w:val="000000"/>
          <w:sz w:val="24"/>
          <w:szCs w:val="24"/>
        </w:rPr>
        <w:t>指一种慢性肉芽肿性肠炎，具有特征性的克罗恩病（Crohn病）病理组织学变化，须根据组织病理学特点诊断，且已经造成瘘管形成并伴有肠梗阻或肠穿孔。</w:t>
      </w:r>
    </w:p>
    <w:p w14:paraId="1A2C8B85">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二十八、严重溃疡性结肠炎：</w:t>
      </w:r>
    </w:p>
    <w:p w14:paraId="5D810BEE">
      <w:pPr>
        <w:keepNext w:val="0"/>
        <w:keepLines w:val="0"/>
        <w:pageBreakBefore w:val="0"/>
        <w:widowControl w:val="0"/>
        <w:spacing w:line="360" w:lineRule="auto"/>
        <w:ind w:firstLine="432"/>
        <w:rPr>
          <w:rFonts w:hint="eastAsia" w:ascii="宋体" w:hAnsi="宋体" w:cs="Arial"/>
          <w:color w:val="000000"/>
          <w:sz w:val="24"/>
          <w:szCs w:val="24"/>
        </w:rPr>
      </w:pPr>
      <w:r>
        <w:rPr>
          <w:rFonts w:hint="eastAsia" w:ascii="宋体" w:hAnsi="宋体" w:cs="Arial"/>
          <w:color w:val="000000"/>
          <w:sz w:val="24"/>
          <w:szCs w:val="24"/>
        </w:rPr>
        <w:t>指伴有致命性电解质紊乱的急性暴发性溃疡性结肠炎，病变已经累及全结肠，表现为严重的血便和系统性症状体征，须根据组织病理学特点诊断，且已经实施了结肠切除或回肠造瘘术。</w:t>
      </w:r>
    </w:p>
    <w:p w14:paraId="55939350">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二十九、严重原发性心肌病：</w:t>
      </w:r>
    </w:p>
    <w:p w14:paraId="567ECF66">
      <w:pPr>
        <w:keepNext w:val="0"/>
        <w:keepLines w:val="0"/>
        <w:pageBreakBefore w:val="0"/>
        <w:widowControl w:val="0"/>
        <w:spacing w:line="360" w:lineRule="auto"/>
        <w:ind w:firstLine="432"/>
        <w:rPr>
          <w:rFonts w:hint="eastAsia" w:ascii="宋体" w:hAnsi="宋体" w:cs="Arial"/>
          <w:color w:val="000000"/>
          <w:sz w:val="24"/>
          <w:szCs w:val="24"/>
        </w:rPr>
      </w:pPr>
      <w:r>
        <w:rPr>
          <w:rFonts w:hint="eastAsia" w:ascii="宋体" w:hAnsi="宋体" w:cs="Arial"/>
          <w:color w:val="000000"/>
          <w:sz w:val="24"/>
          <w:szCs w:val="24"/>
        </w:rPr>
        <w:t>指不明原因引起的一类心肌病变，包括原发性扩张型心肌病、原发性肥厚型心肌病及原发性限制型心肌病三种，病变必须已造成事实上心室功能障碍而出现明显的心功能衰竭（指达到美国纽约心脏病学会（New York Heart Association，NYHA）心功能状态分级</w:t>
      </w:r>
      <w:r>
        <w:rPr>
          <w:rFonts w:hint="eastAsia" w:ascii="宋体" w:hAnsi="宋体" w:cs="宋体"/>
          <w:color w:val="000000"/>
          <w:sz w:val="24"/>
          <w:szCs w:val="24"/>
        </w:rPr>
        <w:t>Ⅳ</w:t>
      </w:r>
      <w:r>
        <w:rPr>
          <w:rFonts w:hint="eastAsia" w:ascii="宋体" w:hAnsi="宋体" w:cs="Arial"/>
          <w:color w:val="000000"/>
          <w:sz w:val="24"/>
          <w:szCs w:val="24"/>
        </w:rPr>
        <w:t>级），且有相关住院医疗记录显示</w:t>
      </w:r>
      <w:r>
        <w:rPr>
          <w:rFonts w:hint="eastAsia" w:ascii="宋体" w:hAnsi="宋体" w:cs="宋体"/>
          <w:color w:val="000000"/>
          <w:sz w:val="24"/>
          <w:szCs w:val="24"/>
        </w:rPr>
        <w:t>Ⅳ</w:t>
      </w:r>
      <w:r>
        <w:rPr>
          <w:rFonts w:hint="eastAsia" w:ascii="宋体" w:hAnsi="宋体" w:cs="Arial"/>
          <w:color w:val="000000"/>
          <w:sz w:val="24"/>
          <w:szCs w:val="24"/>
        </w:rPr>
        <w:t>级心功能衰竭状态已持续至少180日。本病须经专科医生明确诊断。</w:t>
      </w:r>
    </w:p>
    <w:p w14:paraId="0859298C">
      <w:pPr>
        <w:keepNext w:val="0"/>
        <w:keepLines w:val="0"/>
        <w:pageBreakBefore w:val="0"/>
        <w:widowControl w:val="0"/>
        <w:spacing w:line="360" w:lineRule="auto"/>
        <w:ind w:firstLine="432"/>
        <w:rPr>
          <w:rFonts w:hint="eastAsia" w:ascii="宋体" w:hAnsi="宋体" w:cs="Arial"/>
          <w:color w:val="000000"/>
          <w:sz w:val="24"/>
          <w:szCs w:val="24"/>
        </w:rPr>
      </w:pPr>
      <w:r>
        <w:rPr>
          <w:rFonts w:hint="eastAsia" w:ascii="宋体" w:hAnsi="宋体" w:cs="Arial"/>
          <w:color w:val="000000"/>
          <w:sz w:val="24"/>
          <w:szCs w:val="24"/>
        </w:rPr>
        <w:t>继发于全身性疾病或其他器官系统疾病造成的心肌病变不在保障范围内。</w:t>
      </w:r>
    </w:p>
    <w:p w14:paraId="46E47C67">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三十、严重多发性硬化症：</w:t>
      </w:r>
    </w:p>
    <w:p w14:paraId="59F2919A">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指因中枢神经系统脱髓鞘疾病，导致不可逆的运动或感觉功能障碍，临床表现为视力受损、截瘫、平衡失调、构音障碍、大小便机能失调等症状。不可逆指运动或感觉功能障碍初次诊断后需持续180天以上。须由断层扫描（CT）、核磁共振检查（MRI）或正电子发射断层扫描（PET）等影像学检查证实，且须满足下列全部条件：</w:t>
      </w:r>
    </w:p>
    <w:p w14:paraId="1E9D6A0B">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1．明确出现因视神经、脑干或脊髓损伤等导致的上述临床症状；</w:t>
      </w:r>
    </w:p>
    <w:p w14:paraId="11F5DE2B">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2．散在的、多样性的神经损伤；</w:t>
      </w:r>
    </w:p>
    <w:p w14:paraId="0BBC98C4">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3．上述临床症状反复发作、恶化及神经损伤的病史纪录。</w:t>
      </w:r>
    </w:p>
    <w:p w14:paraId="2ADE0975">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三十一、严重脊髓灰质炎：</w:t>
      </w:r>
    </w:p>
    <w:p w14:paraId="513AA2D1">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脊髓灰质炎指由于脊髓灰质炎病毒感染所致的瘫痪性疾病，临床表现为运动功能损害或呼吸无力。脊髓灰质炎必须明确诊断。本合同所称“严重脊髓灰质炎”仅指脊髓灰质炎造成的神经系统功能损害导致被保险人一肢或一肢以上肢体随意运动功能永久完全丧失的情形。肢体随意运动功能永久完全丧失，指疾病确诊180天后，每肢三大关节中的两大关节仍然完全僵硬，或肢体肌力在2级（含）以下。</w:t>
      </w:r>
    </w:p>
    <w:p w14:paraId="6AAA12AD">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若无因此感染而导致麻痹性瘫痪的事实结果，以及其他病因所致的麻痹，例如格林巴利综合征则不属于本合同所指的脊髓灰质炎。</w:t>
      </w:r>
    </w:p>
    <w:p w14:paraId="267C353D">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三十二、严重类风湿性关节炎：</w:t>
      </w:r>
    </w:p>
    <w:p w14:paraId="0B6EA2C1">
      <w:pPr>
        <w:keepNext w:val="0"/>
        <w:keepLines w:val="0"/>
        <w:pageBreakBefore w:val="0"/>
        <w:widowControl w:val="0"/>
        <w:spacing w:line="360" w:lineRule="auto"/>
        <w:ind w:firstLine="420"/>
        <w:rPr>
          <w:rFonts w:hint="eastAsia" w:ascii="宋体" w:hAnsi="宋体" w:cs="Arial"/>
          <w:color w:val="000000"/>
          <w:sz w:val="24"/>
          <w:szCs w:val="24"/>
        </w:rPr>
      </w:pPr>
      <w:r>
        <w:rPr>
          <w:rFonts w:hint="eastAsia" w:ascii="宋体" w:hAnsi="宋体" w:cs="Arial"/>
          <w:color w:val="000000"/>
          <w:sz w:val="24"/>
          <w:szCs w:val="24"/>
        </w:rPr>
        <w:t>指广泛分布的慢性进行性多关节病变，表现为关节严重变形，侵犯至少三个主要关节（腕关节、肘关节、肩关节、踝关节、膝关节、髋关节）或关节组（如手的多个指间、掌指关节，足的多个足趾、跖趾关节等）。类风湿性关节炎须明确诊断，并已达到类风湿性关节炎功能分类IV级的永久不可逆性关节功能障碍，且须满足下列全部条件：</w:t>
      </w:r>
    </w:p>
    <w:p w14:paraId="20495872">
      <w:pPr>
        <w:keepNext w:val="0"/>
        <w:keepLines w:val="0"/>
        <w:pageBreakBefore w:val="0"/>
        <w:widowControl w:val="0"/>
        <w:spacing w:line="360" w:lineRule="auto"/>
        <w:ind w:firstLine="420"/>
        <w:rPr>
          <w:rFonts w:hint="eastAsia" w:ascii="宋体" w:hAnsi="宋体" w:cs="Arial"/>
          <w:color w:val="000000"/>
          <w:sz w:val="24"/>
          <w:szCs w:val="24"/>
        </w:rPr>
      </w:pPr>
      <w:r>
        <w:rPr>
          <w:rFonts w:hint="eastAsia" w:ascii="宋体" w:hAnsi="宋体" w:cs="Arial"/>
          <w:color w:val="000000"/>
          <w:sz w:val="24"/>
          <w:szCs w:val="24"/>
        </w:rPr>
        <w:t>1．晨僵；</w:t>
      </w:r>
    </w:p>
    <w:p w14:paraId="642977B4">
      <w:pPr>
        <w:keepNext w:val="0"/>
        <w:keepLines w:val="0"/>
        <w:pageBreakBefore w:val="0"/>
        <w:widowControl w:val="0"/>
        <w:spacing w:line="360" w:lineRule="auto"/>
        <w:ind w:firstLine="420"/>
        <w:rPr>
          <w:rFonts w:hint="eastAsia" w:ascii="宋体" w:hAnsi="宋体" w:cs="Arial"/>
          <w:color w:val="000000"/>
          <w:sz w:val="24"/>
          <w:szCs w:val="24"/>
        </w:rPr>
      </w:pPr>
      <w:r>
        <w:rPr>
          <w:rFonts w:hint="eastAsia" w:ascii="宋体" w:hAnsi="宋体" w:cs="Arial"/>
          <w:color w:val="000000"/>
          <w:sz w:val="24"/>
          <w:szCs w:val="24"/>
        </w:rPr>
        <w:t>2．对称性关节炎；</w:t>
      </w:r>
    </w:p>
    <w:p w14:paraId="13BD2566">
      <w:pPr>
        <w:keepNext w:val="0"/>
        <w:keepLines w:val="0"/>
        <w:pageBreakBefore w:val="0"/>
        <w:widowControl w:val="0"/>
        <w:spacing w:line="360" w:lineRule="auto"/>
        <w:ind w:firstLine="420"/>
        <w:rPr>
          <w:rFonts w:hint="eastAsia" w:ascii="宋体" w:hAnsi="宋体" w:cs="Arial"/>
          <w:color w:val="000000"/>
          <w:sz w:val="24"/>
          <w:szCs w:val="24"/>
        </w:rPr>
      </w:pPr>
      <w:r>
        <w:rPr>
          <w:rFonts w:hint="eastAsia" w:ascii="宋体" w:hAnsi="宋体" w:cs="Arial"/>
          <w:color w:val="000000"/>
          <w:sz w:val="24"/>
          <w:szCs w:val="24"/>
        </w:rPr>
        <w:t>3．类风湿性皮下结节；</w:t>
      </w:r>
    </w:p>
    <w:p w14:paraId="3F168AA9">
      <w:pPr>
        <w:keepNext w:val="0"/>
        <w:keepLines w:val="0"/>
        <w:pageBreakBefore w:val="0"/>
        <w:widowControl w:val="0"/>
        <w:spacing w:line="360" w:lineRule="auto"/>
        <w:ind w:firstLine="420"/>
        <w:rPr>
          <w:rFonts w:hint="eastAsia" w:ascii="宋体" w:hAnsi="宋体" w:cs="Arial"/>
          <w:color w:val="000000"/>
          <w:sz w:val="24"/>
          <w:szCs w:val="24"/>
        </w:rPr>
      </w:pPr>
      <w:r>
        <w:rPr>
          <w:rFonts w:hint="eastAsia" w:ascii="宋体" w:hAnsi="宋体" w:cs="Arial"/>
          <w:color w:val="000000"/>
          <w:sz w:val="24"/>
          <w:szCs w:val="24"/>
        </w:rPr>
        <w:t>4．类风湿因子滴度升高；</w:t>
      </w:r>
    </w:p>
    <w:p w14:paraId="4EDFBBB0">
      <w:pPr>
        <w:keepNext w:val="0"/>
        <w:keepLines w:val="0"/>
        <w:pageBreakBefore w:val="0"/>
        <w:widowControl w:val="0"/>
        <w:spacing w:line="360" w:lineRule="auto"/>
        <w:ind w:firstLine="420"/>
        <w:rPr>
          <w:rFonts w:hint="eastAsia" w:ascii="宋体" w:hAnsi="宋体" w:cs="Arial"/>
          <w:color w:val="000000"/>
          <w:sz w:val="24"/>
          <w:szCs w:val="24"/>
        </w:rPr>
      </w:pPr>
      <w:r>
        <w:rPr>
          <w:rFonts w:hint="eastAsia" w:ascii="宋体" w:hAnsi="宋体" w:cs="Arial"/>
          <w:color w:val="000000"/>
          <w:sz w:val="24"/>
          <w:szCs w:val="24"/>
        </w:rPr>
        <w:t>5．X线显示严重的关节（软骨和骨）破坏和关节畸形。</w:t>
      </w:r>
    </w:p>
    <w:p w14:paraId="2D70E1AA">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三十三、严重系统性红斑狼疮性肾病：</w:t>
      </w:r>
    </w:p>
    <w:p w14:paraId="120566F0">
      <w:pPr>
        <w:keepNext w:val="0"/>
        <w:keepLines w:val="0"/>
        <w:pageBreakBefore w:val="0"/>
        <w:widowControl w:val="0"/>
        <w:spacing w:line="360" w:lineRule="auto"/>
        <w:ind w:firstLine="420"/>
        <w:rPr>
          <w:rFonts w:hint="eastAsia" w:ascii="宋体" w:hAnsi="宋体" w:cs="Arial"/>
          <w:color w:val="000000"/>
          <w:sz w:val="24"/>
          <w:szCs w:val="24"/>
        </w:rPr>
      </w:pPr>
      <w:r>
        <w:rPr>
          <w:rFonts w:hint="eastAsia" w:ascii="宋体" w:hAnsi="宋体" w:cs="Arial"/>
          <w:color w:val="000000"/>
          <w:sz w:val="24"/>
          <w:szCs w:val="24"/>
        </w:rPr>
        <w:t>系统性红斑狼疮是累及多系统、多器官的具有多种自身抗体的免疫性疾病。系统性红斑狼疮性肾病，又称为狼疮性肾炎，是系统性红斑狼疮累及肾脏，造成肾功能损伤。须由肾脏病理学检查结果证实或经临床确诊，并符合下列WHO诊断标准定义的</w:t>
      </w:r>
      <w:r>
        <w:rPr>
          <w:rFonts w:hint="eastAsia" w:ascii="宋体" w:hAnsi="宋体" w:cs="宋体"/>
          <w:color w:val="000000"/>
          <w:sz w:val="24"/>
          <w:szCs w:val="24"/>
        </w:rPr>
        <w:t>Ⅲ</w:t>
      </w:r>
      <w:r>
        <w:rPr>
          <w:rFonts w:hint="eastAsia" w:ascii="宋体" w:hAnsi="宋体" w:cs="Arial"/>
          <w:color w:val="000000"/>
          <w:sz w:val="24"/>
          <w:szCs w:val="24"/>
        </w:rPr>
        <w:t>型至</w:t>
      </w:r>
      <w:r>
        <w:rPr>
          <w:rFonts w:hint="eastAsia" w:ascii="宋体" w:hAnsi="宋体" w:cs="宋体"/>
          <w:color w:val="000000"/>
          <w:sz w:val="24"/>
          <w:szCs w:val="24"/>
        </w:rPr>
        <w:t>Ⅴ</w:t>
      </w:r>
      <w:r>
        <w:rPr>
          <w:rFonts w:hint="eastAsia" w:ascii="宋体" w:hAnsi="宋体" w:cs="Arial"/>
          <w:color w:val="000000"/>
          <w:sz w:val="24"/>
          <w:szCs w:val="24"/>
        </w:rPr>
        <w:t>型狼疮性肾炎。</w:t>
      </w:r>
    </w:p>
    <w:p w14:paraId="010B5F2B">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世界卫生组织（WHO）狼疮性肾炎分型：</w:t>
      </w:r>
    </w:p>
    <w:p w14:paraId="7EAB50ED">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宋体"/>
          <w:color w:val="000000"/>
          <w:sz w:val="24"/>
          <w:szCs w:val="24"/>
        </w:rPr>
        <w:t>Ⅰ</w:t>
      </w:r>
      <w:r>
        <w:rPr>
          <w:rFonts w:hint="eastAsia" w:ascii="宋体" w:hAnsi="宋体" w:cs="Arial"/>
          <w:color w:val="000000"/>
          <w:sz w:val="24"/>
          <w:szCs w:val="24"/>
        </w:rPr>
        <w:t>型（微小病变型）：镜下阴性，尿液正常；</w:t>
      </w:r>
    </w:p>
    <w:p w14:paraId="1D187D99">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宋体"/>
          <w:color w:val="000000"/>
          <w:sz w:val="24"/>
          <w:szCs w:val="24"/>
        </w:rPr>
        <w:t>Ⅱ</w:t>
      </w:r>
      <w:r>
        <w:rPr>
          <w:rFonts w:hint="eastAsia" w:ascii="宋体" w:hAnsi="宋体" w:cs="Arial"/>
          <w:color w:val="000000"/>
          <w:sz w:val="24"/>
          <w:szCs w:val="24"/>
        </w:rPr>
        <w:t>型（系膜病变型）：中度蛋白尿，偶有尿沉渣改变；</w:t>
      </w:r>
    </w:p>
    <w:p w14:paraId="0AEEB9A6">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宋体"/>
          <w:color w:val="000000"/>
          <w:sz w:val="24"/>
          <w:szCs w:val="24"/>
        </w:rPr>
        <w:t>Ⅲ</w:t>
      </w:r>
      <w:r>
        <w:rPr>
          <w:rFonts w:hint="eastAsia" w:ascii="宋体" w:hAnsi="宋体" w:cs="Arial"/>
          <w:color w:val="000000"/>
          <w:sz w:val="24"/>
          <w:szCs w:val="24"/>
        </w:rPr>
        <w:t>型（局灶及节段增生型）：蛋白尿，尿沉渣改变；</w:t>
      </w:r>
    </w:p>
    <w:p w14:paraId="164FB86F">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宋体"/>
          <w:color w:val="000000"/>
          <w:sz w:val="24"/>
          <w:szCs w:val="24"/>
        </w:rPr>
        <w:t>Ⅳ</w:t>
      </w:r>
      <w:r>
        <w:rPr>
          <w:rFonts w:hint="eastAsia" w:ascii="宋体" w:hAnsi="宋体" w:cs="Arial"/>
          <w:color w:val="000000"/>
          <w:sz w:val="24"/>
          <w:szCs w:val="24"/>
        </w:rPr>
        <w:t>型（弥漫增生型）：急性肾炎伴有尿沉渣改变或肾病综合征；</w:t>
      </w:r>
    </w:p>
    <w:p w14:paraId="61AE9982">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宋体"/>
          <w:color w:val="000000"/>
          <w:sz w:val="24"/>
          <w:szCs w:val="24"/>
        </w:rPr>
        <w:t>Ⅴ</w:t>
      </w:r>
      <w:r>
        <w:rPr>
          <w:rFonts w:hint="eastAsia" w:ascii="宋体" w:hAnsi="宋体" w:cs="Arial"/>
          <w:color w:val="000000"/>
          <w:sz w:val="24"/>
          <w:szCs w:val="24"/>
        </w:rPr>
        <w:t>型（膜型）：肾病综合征或重度蛋白尿。</w:t>
      </w:r>
    </w:p>
    <w:p w14:paraId="6608B9FD">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其他类型的红斑性狼疮，如盘状狼疮，仅累及血液及关节等其他系统的系统性红斑狼疮不在保障范围内。</w:t>
      </w:r>
    </w:p>
    <w:p w14:paraId="4099E362">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三十四、植物人状态：</w:t>
      </w:r>
    </w:p>
    <w:p w14:paraId="79C965AD">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指脑皮质广泛性坏死而导致对自身及周边的认知能力完全丧失，但脑干功能依然存在。必须由神经专科医生明确诊断，并有头颅断层扫描（CT），核磁共振检查（MRI）或正电子发射断层扫描（PET）等影像学检查证实。上述情况必须有至少一个月的病历记录加以证实。</w:t>
      </w:r>
    </w:p>
    <w:p w14:paraId="177D1BAB">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由于酗酒或滥用药物所致的植物人状态不在保障范围内。</w:t>
      </w:r>
    </w:p>
    <w:p w14:paraId="25C70496">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三十五、严重胰岛素依赖型糖尿病：</w:t>
      </w:r>
    </w:p>
    <w:p w14:paraId="30E9E81C">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指由于胰岛素分泌绝对不足引起的慢性血糖升高，经血胰岛素测定、血c肽测定或尿c肽测定结果证实，且已经持续性的依赖外源性胰岛素维持180天以上；须至少满足下列一个条件：</w:t>
      </w:r>
    </w:p>
    <w:p w14:paraId="19A38C86">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1．已出现增殖性视网膜病变；</w:t>
      </w:r>
    </w:p>
    <w:p w14:paraId="0B01E335">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2．糖尿病肾病，且尿蛋白&gt;0.5g/24h；</w:t>
      </w:r>
    </w:p>
    <w:p w14:paraId="28FE480D">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3．因坏疽需切除至少一个脚趾。</w:t>
      </w:r>
    </w:p>
    <w:p w14:paraId="4A774F30">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三十六、严重冠心病：</w:t>
      </w:r>
    </w:p>
    <w:p w14:paraId="568CB5C0">
      <w:pPr>
        <w:keepNext w:val="0"/>
        <w:keepLines w:val="0"/>
        <w:pageBreakBefore w:val="0"/>
        <w:widowControl w:val="0"/>
        <w:spacing w:line="360" w:lineRule="auto"/>
        <w:ind w:firstLine="480"/>
        <w:jc w:val="left"/>
        <w:rPr>
          <w:rFonts w:hint="eastAsia" w:ascii="宋体" w:hAnsi="宋体" w:cs="Arial"/>
          <w:color w:val="000000"/>
          <w:sz w:val="24"/>
          <w:szCs w:val="24"/>
        </w:rPr>
      </w:pPr>
      <w:r>
        <w:rPr>
          <w:rFonts w:hint="eastAsia" w:ascii="宋体" w:hAnsi="宋体" w:cs="Arial"/>
          <w:color w:val="000000"/>
          <w:sz w:val="24"/>
          <w:szCs w:val="24"/>
        </w:rPr>
        <w:t>指经根据冠状动脉造影检查结果明确诊断为三支主要血管严重狭窄性病变（至少一支血管管腔直径减少75％以上和其他两支血管管腔直径减少60％以上）。冠状动脉的主要血管指左冠状动脉主干、前降支、回旋支及右冠状动脉，不包括前降支、左旋支及右冠状动脉的分支血管。</w:t>
      </w:r>
    </w:p>
    <w:p w14:paraId="3116D5AB">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三十七、急性坏死性胰腺炎开腹手术：</w:t>
      </w:r>
    </w:p>
    <w:p w14:paraId="3AD19F38">
      <w:pPr>
        <w:keepNext w:val="0"/>
        <w:keepLines w:val="0"/>
        <w:pageBreakBefore w:val="0"/>
        <w:widowControl w:val="0"/>
        <w:spacing w:line="360" w:lineRule="auto"/>
        <w:ind w:firstLine="420"/>
        <w:rPr>
          <w:rFonts w:hint="eastAsia" w:ascii="宋体" w:hAnsi="宋体" w:cs="Arial"/>
          <w:color w:val="000000"/>
          <w:sz w:val="24"/>
          <w:szCs w:val="24"/>
        </w:rPr>
      </w:pPr>
      <w:r>
        <w:rPr>
          <w:rFonts w:hint="eastAsia" w:ascii="宋体" w:hAnsi="宋体" w:cs="Arial"/>
          <w:color w:val="000000"/>
          <w:sz w:val="24"/>
          <w:szCs w:val="24"/>
        </w:rPr>
        <w:t>指为治疗急性坏死性胰腺炎，实际实施了开腹进行的坏死组织清除术、病灶切除术或胰腺部分切除术。</w:t>
      </w:r>
    </w:p>
    <w:p w14:paraId="2C0EB44F">
      <w:pPr>
        <w:keepNext w:val="0"/>
        <w:keepLines w:val="0"/>
        <w:pageBreakBefore w:val="0"/>
        <w:widowControl w:val="0"/>
        <w:spacing w:line="360" w:lineRule="auto"/>
        <w:ind w:firstLine="420"/>
        <w:rPr>
          <w:rFonts w:hint="eastAsia" w:ascii="宋体" w:hAnsi="宋体" w:cs="Arial"/>
          <w:color w:val="000000"/>
          <w:sz w:val="24"/>
          <w:szCs w:val="24"/>
        </w:rPr>
      </w:pPr>
      <w:r>
        <w:rPr>
          <w:rFonts w:hint="eastAsia" w:ascii="宋体" w:hAnsi="宋体" w:cs="Arial"/>
          <w:color w:val="000000"/>
          <w:sz w:val="24"/>
          <w:szCs w:val="24"/>
        </w:rPr>
        <w:t>为治疗因酒精中毒引起的急性坏死性胰腺炎的开腹手术不在保障范围内。</w:t>
      </w:r>
    </w:p>
    <w:p w14:paraId="0E36AA3E">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三十八、经输血导致的人类免疫缺陷病毒感染：</w:t>
      </w:r>
    </w:p>
    <w:p w14:paraId="71B63C2B">
      <w:pPr>
        <w:keepNext w:val="0"/>
        <w:keepLines w:val="0"/>
        <w:pageBreakBefore w:val="0"/>
        <w:widowControl w:val="0"/>
        <w:spacing w:line="360" w:lineRule="auto"/>
        <w:ind w:firstLine="420"/>
        <w:jc w:val="left"/>
        <w:rPr>
          <w:rFonts w:hint="eastAsia" w:ascii="宋体" w:hAnsi="宋体" w:cs="Arial"/>
          <w:color w:val="000000"/>
          <w:sz w:val="24"/>
          <w:szCs w:val="24"/>
        </w:rPr>
      </w:pPr>
      <w:r>
        <w:rPr>
          <w:rFonts w:hint="eastAsia" w:ascii="宋体" w:hAnsi="宋体" w:cs="Arial"/>
          <w:color w:val="000000"/>
          <w:sz w:val="24"/>
          <w:szCs w:val="24"/>
        </w:rPr>
        <w:t>被保险人感染人类免疫缺陷病毒（HIV），且须满足下列全部条件：</w:t>
      </w:r>
    </w:p>
    <w:p w14:paraId="0C157090">
      <w:pPr>
        <w:keepNext w:val="0"/>
        <w:keepLines w:val="0"/>
        <w:pageBreakBefore w:val="0"/>
        <w:widowControl w:val="0"/>
        <w:spacing w:line="360" w:lineRule="auto"/>
        <w:ind w:firstLine="420"/>
        <w:jc w:val="left"/>
        <w:rPr>
          <w:rFonts w:hint="eastAsia" w:ascii="宋体" w:hAnsi="宋体" w:cs="Arial"/>
          <w:color w:val="000000"/>
          <w:sz w:val="24"/>
          <w:szCs w:val="24"/>
        </w:rPr>
      </w:pPr>
      <w:r>
        <w:rPr>
          <w:rFonts w:hint="eastAsia" w:ascii="宋体" w:hAnsi="宋体" w:cs="Arial"/>
          <w:color w:val="000000"/>
          <w:sz w:val="24"/>
          <w:szCs w:val="24"/>
        </w:rPr>
        <w:t>1</w:t>
      </w:r>
      <w:r>
        <w:rPr>
          <w:rFonts w:hint="eastAsia" w:ascii="宋体" w:hAnsi="宋体"/>
          <w:color w:val="000000"/>
          <w:sz w:val="24"/>
          <w:szCs w:val="24"/>
        </w:rPr>
        <w:t>．</w:t>
      </w:r>
      <w:r>
        <w:rPr>
          <w:rFonts w:hint="eastAsia" w:ascii="宋体" w:hAnsi="宋体" w:cs="Arial"/>
          <w:color w:val="000000"/>
          <w:sz w:val="24"/>
          <w:szCs w:val="24"/>
        </w:rPr>
        <w:t>被保险人因治疗必需而接受输血，并且因输血而感染人类免疫缺陷病毒（HIV）；</w:t>
      </w:r>
    </w:p>
    <w:p w14:paraId="32E4867D">
      <w:pPr>
        <w:keepNext w:val="0"/>
        <w:keepLines w:val="0"/>
        <w:pageBreakBefore w:val="0"/>
        <w:widowControl w:val="0"/>
        <w:spacing w:line="360" w:lineRule="auto"/>
        <w:ind w:firstLine="420"/>
        <w:jc w:val="left"/>
        <w:rPr>
          <w:rFonts w:hint="eastAsia" w:ascii="宋体" w:hAnsi="宋体" w:cs="Arial"/>
          <w:color w:val="000000"/>
          <w:sz w:val="24"/>
          <w:szCs w:val="24"/>
        </w:rPr>
      </w:pPr>
      <w:r>
        <w:rPr>
          <w:rFonts w:hint="eastAsia" w:ascii="宋体" w:hAnsi="宋体" w:cs="Arial"/>
          <w:color w:val="000000"/>
          <w:sz w:val="24"/>
          <w:szCs w:val="24"/>
        </w:rPr>
        <w:t>2</w:t>
      </w:r>
      <w:r>
        <w:rPr>
          <w:rFonts w:hint="eastAsia" w:ascii="宋体" w:hAnsi="宋体"/>
          <w:color w:val="000000"/>
          <w:sz w:val="24"/>
          <w:szCs w:val="24"/>
        </w:rPr>
        <w:t>．</w:t>
      </w:r>
      <w:r>
        <w:rPr>
          <w:rFonts w:hint="eastAsia" w:ascii="宋体" w:hAnsi="宋体" w:cs="Arial"/>
          <w:color w:val="000000"/>
          <w:sz w:val="24"/>
          <w:szCs w:val="24"/>
        </w:rPr>
        <w:t>提供输血治疗的输血中心或医院出具该项输血感染属医疗责任事故的报告，或者法院终审裁定为医疗责任；</w:t>
      </w:r>
    </w:p>
    <w:p w14:paraId="1BBC180A">
      <w:pPr>
        <w:keepNext w:val="0"/>
        <w:keepLines w:val="0"/>
        <w:pageBreakBefore w:val="0"/>
        <w:widowControl w:val="0"/>
        <w:spacing w:line="360" w:lineRule="auto"/>
        <w:ind w:firstLine="420"/>
        <w:jc w:val="left"/>
        <w:rPr>
          <w:rFonts w:hint="eastAsia" w:ascii="宋体" w:hAnsi="宋体" w:cs="Arial"/>
          <w:color w:val="000000"/>
          <w:sz w:val="24"/>
          <w:szCs w:val="24"/>
        </w:rPr>
      </w:pPr>
      <w:r>
        <w:rPr>
          <w:rFonts w:hint="eastAsia" w:ascii="宋体" w:hAnsi="宋体" w:cs="Arial"/>
          <w:color w:val="000000"/>
          <w:sz w:val="24"/>
          <w:szCs w:val="24"/>
        </w:rPr>
        <w:t>3</w:t>
      </w:r>
      <w:r>
        <w:rPr>
          <w:rFonts w:hint="eastAsia" w:ascii="宋体" w:hAnsi="宋体"/>
          <w:color w:val="000000"/>
          <w:sz w:val="24"/>
          <w:szCs w:val="24"/>
        </w:rPr>
        <w:t>．</w:t>
      </w:r>
      <w:r>
        <w:rPr>
          <w:rFonts w:hint="eastAsia" w:ascii="宋体" w:hAnsi="宋体" w:cs="Arial"/>
          <w:color w:val="000000"/>
          <w:sz w:val="24"/>
          <w:szCs w:val="24"/>
        </w:rPr>
        <w:t>提供输血治疗的输血中心或医院必须拥有合法经营执照；</w:t>
      </w:r>
    </w:p>
    <w:p w14:paraId="3D26E4F7">
      <w:pPr>
        <w:keepNext w:val="0"/>
        <w:keepLines w:val="0"/>
        <w:pageBreakBefore w:val="0"/>
        <w:widowControl w:val="0"/>
        <w:spacing w:line="360" w:lineRule="auto"/>
        <w:ind w:firstLine="420"/>
        <w:jc w:val="left"/>
        <w:rPr>
          <w:rFonts w:hint="eastAsia" w:ascii="宋体" w:hAnsi="宋体" w:cs="Arial"/>
          <w:color w:val="000000"/>
          <w:sz w:val="24"/>
          <w:szCs w:val="24"/>
        </w:rPr>
      </w:pPr>
      <w:r>
        <w:rPr>
          <w:rFonts w:hint="eastAsia" w:ascii="宋体" w:hAnsi="宋体" w:cs="Arial"/>
          <w:color w:val="000000"/>
          <w:sz w:val="24"/>
          <w:szCs w:val="24"/>
        </w:rPr>
        <w:t>4</w:t>
      </w:r>
      <w:r>
        <w:rPr>
          <w:rFonts w:hint="eastAsia" w:ascii="宋体" w:hAnsi="宋体"/>
          <w:color w:val="000000"/>
          <w:sz w:val="24"/>
          <w:szCs w:val="24"/>
        </w:rPr>
        <w:t>．</w:t>
      </w:r>
      <w:r>
        <w:rPr>
          <w:rFonts w:hint="eastAsia" w:ascii="宋体" w:hAnsi="宋体" w:cs="Arial"/>
          <w:color w:val="000000"/>
          <w:sz w:val="24"/>
          <w:szCs w:val="24"/>
        </w:rPr>
        <w:t>受感染的被保险人不是血友病患者。</w:t>
      </w:r>
    </w:p>
    <w:p w14:paraId="3BEDCC8B">
      <w:pPr>
        <w:keepNext w:val="0"/>
        <w:keepLines w:val="0"/>
        <w:pageBreakBefore w:val="0"/>
        <w:widowControl w:val="0"/>
        <w:spacing w:line="360" w:lineRule="auto"/>
        <w:ind w:firstLine="420"/>
        <w:jc w:val="left"/>
        <w:rPr>
          <w:rFonts w:hint="eastAsia" w:ascii="宋体" w:hAnsi="宋体" w:cs="Arial"/>
          <w:color w:val="000000"/>
          <w:sz w:val="24"/>
          <w:szCs w:val="24"/>
        </w:rPr>
      </w:pPr>
      <w:r>
        <w:rPr>
          <w:rFonts w:hint="eastAsia" w:ascii="宋体" w:hAnsi="宋体" w:cs="Arial"/>
          <w:color w:val="000000"/>
          <w:sz w:val="24"/>
          <w:szCs w:val="24"/>
        </w:rPr>
        <w:t>血友病：为一组遗传性凝血功能障碍的出血性疾病，其共同的特征是活性凝血活酶生成障碍，凝血时间延长，终身具有轻微创伤后出血倾向，重症患者没有明显外伤也可发生“自发性”出血。</w:t>
      </w:r>
    </w:p>
    <w:p w14:paraId="7B837527">
      <w:pPr>
        <w:keepNext w:val="0"/>
        <w:keepLines w:val="0"/>
        <w:pageBreakBefore w:val="0"/>
        <w:widowControl w:val="0"/>
        <w:spacing w:line="360" w:lineRule="auto"/>
        <w:ind w:firstLine="420"/>
        <w:jc w:val="left"/>
        <w:rPr>
          <w:rFonts w:hint="eastAsia" w:ascii="宋体" w:hAnsi="宋体" w:cs="Arial"/>
          <w:color w:val="000000"/>
          <w:sz w:val="24"/>
          <w:szCs w:val="24"/>
        </w:rPr>
      </w:pPr>
      <w:r>
        <w:rPr>
          <w:rFonts w:hint="eastAsia" w:ascii="宋体" w:hAnsi="宋体" w:cs="Arial"/>
          <w:color w:val="000000"/>
          <w:sz w:val="24"/>
          <w:szCs w:val="24"/>
        </w:rPr>
        <w:t>任何因其他传播方式（包括：性传播或静脉注射毒品）导致人类免疫缺陷病毒（HIV）感染不在保障范围内。保险公司具有获得和使用被保险人的所有血液样本的权利以及能够对这些样本进行独立检验的权利。</w:t>
      </w:r>
    </w:p>
    <w:p w14:paraId="76734A39">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三十九、非阿尔茨海默病所致严重痴呆：</w:t>
      </w:r>
    </w:p>
    <w:p w14:paraId="5AFF3220">
      <w:pPr>
        <w:keepNext w:val="0"/>
        <w:keepLines w:val="0"/>
        <w:pageBreakBefore w:val="0"/>
        <w:widowControl w:val="0"/>
        <w:spacing w:line="360" w:lineRule="auto"/>
        <w:ind w:firstLine="480"/>
        <w:jc w:val="left"/>
        <w:rPr>
          <w:rFonts w:hint="eastAsia" w:ascii="宋体" w:hAnsi="宋体" w:cs="Arial"/>
          <w:color w:val="000000"/>
          <w:sz w:val="24"/>
          <w:szCs w:val="24"/>
        </w:rPr>
      </w:pPr>
      <w:r>
        <w:rPr>
          <w:rFonts w:hint="eastAsia" w:ascii="宋体" w:hAnsi="宋体" w:cs="Arial"/>
          <w:color w:val="000000"/>
          <w:sz w:val="24"/>
          <w:szCs w:val="24"/>
        </w:rPr>
        <w:t>指因阿尔茨海默病以外的脑的器质性疾病造成脑功能衰竭导致永久不可逆性严重痴呆，临床表现为明显的认知能力障碍、行为异常和社交能力减退。被保险人自主生活能力完全丧失，无法独立完成六项基本日常生活活动中的三项或三项以上，日常生活必须持续受到他人监护。导致痴呆的疾病必须明确诊断，并且由完整的临床、实验室和影像学检查结果证实。</w:t>
      </w:r>
    </w:p>
    <w:p w14:paraId="4FA242C5">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神经官能症，精神疾病及酒精中毒所致脑损害不在保障范围内。</w:t>
      </w:r>
    </w:p>
    <w:p w14:paraId="7078C6AD">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四十、严重弥漫性系统性硬皮病：</w:t>
      </w:r>
    </w:p>
    <w:p w14:paraId="4978680A">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一种系统性胶原血管病引起进行性的皮肤、血管和内脏器官的弥漫性纤维化。本病症须经专科医生明确诊断，并须满足下列全部条件：</w:t>
      </w:r>
    </w:p>
    <w:p w14:paraId="1BAB8DBB">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1．由活检和血清学证据支持；</w:t>
      </w:r>
    </w:p>
    <w:p w14:paraId="6B9B091E">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2．疾病已经影响到肺脏、心脏或肾脏等内脏器官并且达到下列标准之一：</w:t>
      </w:r>
    </w:p>
    <w:p w14:paraId="38A3A5B4">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（1）肺脏：已造成肺脏纤维化，并同时出现肺动脉高压和肺心病；</w:t>
      </w:r>
    </w:p>
    <w:p w14:paraId="06C77B4B">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（2）心脏：心脏功能衰竭程度达到美国纽约心脏病学会（New York Heart Association，NYHA）心功能状态分级IV级；</w:t>
      </w:r>
    </w:p>
    <w:p w14:paraId="593DE98E">
      <w:pPr>
        <w:keepNext w:val="0"/>
        <w:keepLines w:val="0"/>
        <w:pageBreakBefore w:val="0"/>
        <w:widowControl w:val="0"/>
        <w:spacing w:line="360" w:lineRule="auto"/>
        <w:ind w:firstLine="480"/>
        <w:rPr>
          <w:rFonts w:hint="eastAsia" w:ascii="宋体" w:hAnsi="宋体" w:cs="Arial"/>
          <w:color w:val="000000"/>
          <w:sz w:val="24"/>
          <w:szCs w:val="24"/>
          <w:u w:val="single"/>
        </w:rPr>
      </w:pPr>
      <w:r>
        <w:rPr>
          <w:rFonts w:hint="eastAsia" w:ascii="宋体" w:hAnsi="宋体" w:cs="Arial"/>
          <w:color w:val="000000"/>
          <w:sz w:val="24"/>
          <w:szCs w:val="24"/>
        </w:rPr>
        <w:t>（3）肾脏：已造成肾脏损害，并出现肾功能衰竭。</w:t>
      </w:r>
    </w:p>
    <w:p w14:paraId="636EFD7F">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局限性硬皮病（带状硬皮病或斑状损害）、嗜酸细胞筋膜炎和CREST综合征不在保障范围内。</w:t>
      </w:r>
    </w:p>
    <w:p w14:paraId="53840E95">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四十一、重症急性坏死性筋膜炎：</w:t>
      </w:r>
    </w:p>
    <w:p w14:paraId="29168F57">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是一种由细菌侵入皮下组织和筋膜引起的急性坏死性软组织感染，可伴有毒血症、败血症、中毒性休克、弥漫性血管内凝血及多器官衰竭。须满足下列全部条件：</w:t>
      </w:r>
    </w:p>
    <w:p w14:paraId="51127348">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1．细菌培养和临床表现符合坏死性筋膜炎诊断标准；</w:t>
      </w:r>
    </w:p>
    <w:p w14:paraId="3DAC7CAE">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2．病情迅速恶化，有脓毒血症表现；</w:t>
      </w:r>
    </w:p>
    <w:p w14:paraId="5A346BC4">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3．受感染肢体被截肢（自腕关节或踝关节靠近躯干端）。</w:t>
      </w:r>
    </w:p>
    <w:p w14:paraId="41EC7CF5">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四十二、埃博拉出血热：</w:t>
      </w:r>
    </w:p>
    <w:p w14:paraId="559274DE">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指埃博拉病毒感染导致的出血性发热。埃博拉病必须经国家机关认可的有合法资质的传染病专家确诊，并须满足下列全部条件：</w:t>
      </w:r>
    </w:p>
    <w:p w14:paraId="370EBD16">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1．埃博拉病毒的存在必须经过实验室检查证实；</w:t>
      </w:r>
    </w:p>
    <w:p w14:paraId="6F1D10B7">
      <w:pPr>
        <w:keepNext w:val="0"/>
        <w:keepLines w:val="0"/>
        <w:pageBreakBefore w:val="0"/>
        <w:widowControl w:val="0"/>
        <w:spacing w:line="360" w:lineRule="auto"/>
        <w:ind w:left="420"/>
        <w:rPr>
          <w:rFonts w:hint="eastAsia" w:ascii="宋体" w:hAnsi="宋体" w:cs="Arial"/>
          <w:color w:val="000000"/>
          <w:sz w:val="24"/>
          <w:szCs w:val="24"/>
        </w:rPr>
      </w:pPr>
      <w:r>
        <w:rPr>
          <w:rFonts w:hint="eastAsia" w:ascii="宋体" w:hAnsi="宋体" w:cs="Arial"/>
          <w:color w:val="000000"/>
          <w:sz w:val="24"/>
          <w:szCs w:val="24"/>
        </w:rPr>
        <w:t>2．存在皮肤粘膜出血，呕血，咯血，便血或血尿等临床表现；</w:t>
      </w:r>
    </w:p>
    <w:p w14:paraId="55FC5B3A">
      <w:pPr>
        <w:keepNext w:val="0"/>
        <w:keepLines w:val="0"/>
        <w:pageBreakBefore w:val="0"/>
        <w:widowControl w:val="0"/>
        <w:spacing w:line="360" w:lineRule="auto"/>
        <w:ind w:left="420"/>
        <w:rPr>
          <w:rFonts w:hint="eastAsia" w:ascii="宋体" w:hAnsi="宋体" w:cs="Arial"/>
          <w:color w:val="000000"/>
          <w:sz w:val="24"/>
          <w:szCs w:val="24"/>
        </w:rPr>
      </w:pPr>
      <w:r>
        <w:rPr>
          <w:rFonts w:hint="eastAsia" w:ascii="宋体" w:hAnsi="宋体" w:cs="Arial"/>
          <w:color w:val="000000"/>
          <w:sz w:val="24"/>
          <w:szCs w:val="24"/>
        </w:rPr>
        <w:t>3．感染埃博拉病毒并出现出血性发热持续三十（30）天以上，且持续出现并发症。</w:t>
      </w:r>
    </w:p>
    <w:p w14:paraId="0388D730">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单纯实验室诊断但没有临床出血表现的不在保障范围内。</w:t>
      </w:r>
    </w:p>
    <w:p w14:paraId="7FED0BF3">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四十三、严重感染性心内膜炎：</w:t>
      </w:r>
    </w:p>
    <w:p w14:paraId="00FB4BAA">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指因细菌、真菌和其他微生物制剂感染而产生心脏瓣膜的炎症或心室壁内膜的炎症，引起心脏瓣膜关闭不全。须满足下列全部条件：</w:t>
      </w:r>
    </w:p>
    <w:p w14:paraId="7BE4293E">
      <w:pPr>
        <w:keepNext w:val="0"/>
        <w:keepLines w:val="0"/>
        <w:pageBreakBefore w:val="0"/>
        <w:widowControl w:val="0"/>
        <w:spacing w:line="360" w:lineRule="auto"/>
        <w:ind w:left="420"/>
        <w:rPr>
          <w:rFonts w:hint="eastAsia" w:ascii="宋体" w:hAnsi="宋体" w:cs="Arial"/>
          <w:color w:val="000000"/>
          <w:sz w:val="24"/>
          <w:szCs w:val="24"/>
        </w:rPr>
      </w:pPr>
      <w:r>
        <w:rPr>
          <w:rFonts w:hint="eastAsia" w:ascii="宋体" w:hAnsi="宋体" w:cs="Arial"/>
          <w:color w:val="000000"/>
          <w:sz w:val="24"/>
          <w:szCs w:val="24"/>
        </w:rPr>
        <w:t>1．急性或亚急性感染性心内膜炎临床表现；</w:t>
      </w:r>
    </w:p>
    <w:p w14:paraId="0D3EDA5D">
      <w:pPr>
        <w:keepNext w:val="0"/>
        <w:keepLines w:val="0"/>
        <w:pageBreakBefore w:val="0"/>
        <w:widowControl w:val="0"/>
        <w:spacing w:line="360" w:lineRule="auto"/>
        <w:ind w:left="420"/>
        <w:rPr>
          <w:rFonts w:hint="eastAsia" w:ascii="宋体" w:hAnsi="宋体" w:cs="Arial"/>
          <w:color w:val="000000"/>
          <w:sz w:val="24"/>
          <w:szCs w:val="24"/>
        </w:rPr>
      </w:pPr>
      <w:r>
        <w:rPr>
          <w:rFonts w:hint="eastAsia" w:ascii="宋体" w:hAnsi="宋体" w:cs="Arial"/>
          <w:color w:val="000000"/>
          <w:sz w:val="24"/>
          <w:szCs w:val="24"/>
        </w:rPr>
        <w:t>2．血培养病原体阳性；</w:t>
      </w:r>
    </w:p>
    <w:p w14:paraId="43E72DF9">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3．心脏功能衰竭程度达到美国纽约心脏病学会（New York Heart Association，NYHA）心功能状态分级IV级并持续180天，或接受了心脏瓣膜置换手术。</w:t>
      </w:r>
    </w:p>
    <w:p w14:paraId="3F03F5D8">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四十四、胰腺移植：</w:t>
      </w:r>
    </w:p>
    <w:p w14:paraId="7ED890D6">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指因胰腺功能衰竭，已经实施了在全身麻醉下进行的胰腺的异体器官移植手术（供体必须是人体器官）。</w:t>
      </w:r>
    </w:p>
    <w:p w14:paraId="0BCB383C">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单纯胰岛移植、部分胰腺组织或细胞的移植不在保障范围内。</w:t>
      </w:r>
    </w:p>
    <w:p w14:paraId="3B1D1270">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四十五、严重自身免疫性肝炎：</w:t>
      </w:r>
    </w:p>
    <w:p w14:paraId="0FDECAF4">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自身免疫性肝炎是一种原因不明的慢性肝脏的坏死性炎性疾病，由于人体免疫功能紊乱产生针对肝脏自身抗原的抗体导致自身免疫反应，从而破坏肝脏细胞造成肝脏炎症坏死，进而发展为肝硬化。须满足下列全部条件：</w:t>
      </w:r>
    </w:p>
    <w:p w14:paraId="5105D9FA">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1．高γ球蛋白血症；</w:t>
      </w:r>
    </w:p>
    <w:p w14:paraId="223079FF">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2．血液中存在高水平的自身免疫抗体，如ANA（抗核抗体），SMA（抗平滑肌抗体），抗LKM1抗体或抗-SLA/LP抗体；</w:t>
      </w:r>
    </w:p>
    <w:p w14:paraId="55C14E09">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3．肝脏活检证实免疫性肝炎；</w:t>
      </w:r>
    </w:p>
    <w:p w14:paraId="2D794995">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4．临床已经同时出现腹水、食道静脉曲张及脾脏肿大等肝硬化表现。</w:t>
      </w:r>
    </w:p>
    <w:p w14:paraId="548C2C31">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四十六、原发性硬化性胆管炎：</w:t>
      </w:r>
    </w:p>
    <w:p w14:paraId="072CCCCC">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指一种胆汁淤积综合征，其特征是肝内、肝外胆道因纤维化性炎症逐渐狭窄，并最终导致完全阻塞而发展为肝硬化。须经逆行胰胆管造影（ERCP）或经皮胆管造影（PTC）等影像学检查证实，且须满足下列全部条件：</w:t>
      </w:r>
    </w:p>
    <w:p w14:paraId="493CDE93">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1．总胆红素和直接胆红素同时升高，血清ALP&gt;200U/L；</w:t>
      </w:r>
    </w:p>
    <w:p w14:paraId="2BA4D889">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2．持续性黄疸病史；</w:t>
      </w:r>
    </w:p>
    <w:p w14:paraId="5F4511E1">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3．出现胆汁性肝硬化或门脉高压。</w:t>
      </w:r>
    </w:p>
    <w:p w14:paraId="54FB6171">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因肿瘤或胆管损伤等导致的继发性硬化性胆管炎不在保障范围内。</w:t>
      </w:r>
    </w:p>
    <w:p w14:paraId="61797666">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四十七、头臂动脉型多发性大动脉炎旁路移植手术：</w:t>
      </w:r>
    </w:p>
    <w:p w14:paraId="07EDA32D">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多发性大动脉炎（高安氏动脉炎）是一种发生在主动脉和其主要分支的慢性炎症性动脉疾病，表现为受累动脉狭窄或闭塞。头臂动脉型多发性大动脉炎是指多发性大动脉炎头臂动脉型（I型），又称为无脉症。被保险人被明确诊断为头臂动脉型多发性大动脉炎并且实际接受了经胸部切开进行的无名动脉（头臂干）、颈总动脉、锁骨下动脉旁路移植手术。</w:t>
      </w:r>
    </w:p>
    <w:p w14:paraId="60367B64">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非开胸的血管旁路移植手术、因其他病因而进行的旁路移植手术，对其他动脉进行的旁路移植手术，经皮经导管进行的血管内手术不在保障范围内。</w:t>
      </w:r>
    </w:p>
    <w:p w14:paraId="0109C780">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四十八、溶血性链球菌性坏疽：</w:t>
      </w:r>
    </w:p>
    <w:p w14:paraId="24663371">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指包围肢体或者躯干的浅筋膜或者深筋膜受到溶血性链球菌的感染，病情在短时间内急剧恶化，且已经立刻进行了手术。最后的诊断须由微生物或者病理学专家进行相关检查后证实。</w:t>
      </w:r>
    </w:p>
    <w:p w14:paraId="459F8B27">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四十九、克-雅氏病（CJD、人类疯牛病）：</w:t>
      </w:r>
    </w:p>
    <w:p w14:paraId="26DFE3DD">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一种由动物传染而来的中枢神经系统变性疾病，大脑呈海绵状改变伴神经元缺失和胶质化。临床表现为进行性痴呆、不随意运动及抽搐、行动困难等。须由权威医疗机构根据致病蛋白的发现而明确诊断。</w:t>
      </w:r>
    </w:p>
    <w:p w14:paraId="66D5982C">
      <w:pPr>
        <w:keepNext w:val="0"/>
        <w:keepLines w:val="0"/>
        <w:pageBreakBefore w:val="0"/>
        <w:widowControl w:val="0"/>
        <w:spacing w:line="360" w:lineRule="auto"/>
        <w:ind w:firstLine="480"/>
        <w:rPr>
          <w:rFonts w:hint="eastAsia" w:ascii="宋体" w:hAnsi="宋体" w:cs="Arial"/>
          <w:color w:val="000000"/>
          <w:sz w:val="24"/>
          <w:szCs w:val="24"/>
        </w:rPr>
      </w:pPr>
      <w:r>
        <w:rPr>
          <w:rFonts w:hint="eastAsia" w:ascii="宋体" w:hAnsi="宋体" w:cs="Arial"/>
          <w:color w:val="000000"/>
          <w:sz w:val="24"/>
          <w:szCs w:val="24"/>
        </w:rPr>
        <w:t>五十、丝虫病所致象皮肿：</w:t>
      </w:r>
    </w:p>
    <w:p w14:paraId="27CBFDD2">
      <w:pPr>
        <w:keepNext w:val="0"/>
        <w:keepLines w:val="0"/>
        <w:pageBreakBefore w:val="0"/>
        <w:widowControl w:val="0"/>
        <w:spacing w:line="360" w:lineRule="auto"/>
        <w:ind w:firstLine="420"/>
        <w:rPr>
          <w:rFonts w:hint="eastAsia" w:ascii="宋体" w:hAnsi="宋体" w:cs="Arial"/>
          <w:color w:val="000000"/>
          <w:sz w:val="24"/>
          <w:szCs w:val="24"/>
        </w:rPr>
      </w:pPr>
      <w:r>
        <w:rPr>
          <w:rFonts w:hint="eastAsia" w:ascii="宋体" w:hAnsi="宋体" w:cs="Arial"/>
          <w:color w:val="000000"/>
          <w:sz w:val="24"/>
          <w:szCs w:val="24"/>
        </w:rPr>
        <w:t>指因丝虫感染导致淋巴管阻塞而造成身体组织出现严重淋巴水肿，达到国际淋巴学会淋巴水肿分期第</w:t>
      </w:r>
      <w:r>
        <w:rPr>
          <w:rFonts w:hint="eastAsia" w:ascii="宋体" w:hAnsi="宋体" w:cs="宋体"/>
          <w:color w:val="000000"/>
          <w:sz w:val="24"/>
          <w:szCs w:val="24"/>
        </w:rPr>
        <w:t>Ⅲ</w:t>
      </w:r>
      <w:r>
        <w:rPr>
          <w:rFonts w:hint="eastAsia" w:ascii="宋体" w:hAnsi="宋体" w:cs="Arial"/>
          <w:color w:val="000000"/>
          <w:sz w:val="24"/>
          <w:szCs w:val="24"/>
        </w:rPr>
        <w:t>期，其临床表现为肢体非凹陷性水肿伴畸形增大，硬皮症及疣状增生。须满足自主生活能力完全丧失，无法独立完成六项基本日常生活活动中的三项或三项以上。须经保险公司认可医院的专科医生根据临床表现和微丝蚴的化验结果确诊。</w:t>
      </w:r>
    </w:p>
    <w:p w14:paraId="3266F003">
      <w:pPr>
        <w:keepNext w:val="0"/>
        <w:keepLines w:val="0"/>
        <w:pageBreakBefore w:val="0"/>
        <w:widowControl w:val="0"/>
        <w:spacing w:line="360" w:lineRule="auto"/>
        <w:ind w:firstLine="420"/>
        <w:rPr>
          <w:rFonts w:hint="eastAsia" w:ascii="宋体" w:hAnsi="宋体" w:cs="Arial"/>
          <w:color w:val="000000"/>
          <w:sz w:val="24"/>
          <w:szCs w:val="24"/>
        </w:rPr>
      </w:pPr>
      <w:r>
        <w:rPr>
          <w:rFonts w:hint="eastAsia" w:ascii="宋体" w:hAnsi="宋体" w:cs="Arial"/>
          <w:color w:val="000000"/>
          <w:sz w:val="24"/>
          <w:szCs w:val="24"/>
        </w:rPr>
        <w:t>由性接触传染的疾病、创伤、手术后疤痕、充血性心力衰竭或先天性淋巴系统异常引起的淋巴水肿，以及急性淋巴管炎或其他原因引起的淋巴水肿不在保障范围内。</w:t>
      </w:r>
    </w:p>
    <w:p w14:paraId="7ABC1810">
      <w:pPr>
        <w:widowControl/>
        <w:jc w:val="both"/>
        <w:rPr>
          <w:rFonts w:hint="eastAsia" w:ascii="宋体" w:hAnsi="宋体" w:eastAsia="宋体" w:cs="宋体"/>
          <w:b/>
          <w:color w:val="000000"/>
          <w:sz w:val="24"/>
          <w:szCs w:val="24"/>
          <w:highlight w:val="none"/>
        </w:rPr>
      </w:pPr>
    </w:p>
    <w:p w14:paraId="24F356DD">
      <w:pPr>
        <w:widowControl/>
        <w:jc w:val="center"/>
        <w:rPr>
          <w:rFonts w:hint="eastAsia" w:ascii="宋体" w:hAnsi="宋体" w:eastAsia="宋体" w:cs="宋体"/>
          <w:b/>
          <w:color w:val="000000"/>
          <w:sz w:val="24"/>
          <w:szCs w:val="24"/>
          <w:highlight w:val="none"/>
        </w:rPr>
      </w:pPr>
    </w:p>
    <w:p w14:paraId="06185D82">
      <w:pPr>
        <w:widowControl/>
        <w:jc w:val="center"/>
        <w:rPr>
          <w:rFonts w:hint="eastAsia" w:ascii="宋体" w:hAnsi="宋体" w:eastAsia="宋体" w:cs="宋体"/>
          <w:b/>
          <w:color w:val="000000"/>
          <w:sz w:val="24"/>
          <w:szCs w:val="24"/>
          <w:highlight w:val="none"/>
        </w:rPr>
      </w:pPr>
    </w:p>
    <w:p w14:paraId="542C5E27">
      <w:pPr>
        <w:widowControl/>
        <w:jc w:val="center"/>
        <w:rPr>
          <w:rFonts w:hint="eastAsia" w:ascii="宋体" w:hAnsi="宋体" w:eastAsia="宋体" w:cs="宋体"/>
          <w:b/>
          <w:color w:val="000000"/>
          <w:sz w:val="24"/>
          <w:szCs w:val="24"/>
          <w:highlight w:val="none"/>
        </w:rPr>
      </w:pPr>
    </w:p>
    <w:p w14:paraId="0B0FE572">
      <w:pPr>
        <w:widowControl/>
        <w:jc w:val="center"/>
        <w:rPr>
          <w:rFonts w:hint="eastAsia" w:ascii="宋体" w:hAnsi="宋体" w:eastAsia="宋体" w:cs="宋体"/>
          <w:b/>
          <w:color w:val="000000"/>
          <w:sz w:val="24"/>
          <w:szCs w:val="24"/>
          <w:highlight w:val="none"/>
        </w:rPr>
      </w:pPr>
    </w:p>
    <w:p w14:paraId="7038B2F5">
      <w:pPr>
        <w:widowControl/>
        <w:jc w:val="center"/>
        <w:rPr>
          <w:rFonts w:hint="eastAsia" w:ascii="宋体" w:hAnsi="宋体" w:eastAsia="宋体" w:cs="宋体"/>
          <w:b/>
          <w:color w:val="000000"/>
          <w:sz w:val="24"/>
          <w:szCs w:val="24"/>
          <w:highlight w:val="none"/>
        </w:rPr>
      </w:pPr>
    </w:p>
    <w:p w14:paraId="6DD39935">
      <w:pPr>
        <w:widowControl/>
        <w:jc w:val="center"/>
        <w:rPr>
          <w:rFonts w:hint="eastAsia" w:ascii="宋体" w:hAnsi="宋体" w:eastAsia="宋体" w:cs="宋体"/>
          <w:b/>
          <w:color w:val="000000"/>
          <w:sz w:val="24"/>
          <w:szCs w:val="24"/>
          <w:highlight w:val="none"/>
        </w:rPr>
      </w:pPr>
    </w:p>
    <w:p w14:paraId="5264BEC9">
      <w:pPr>
        <w:widowControl/>
        <w:jc w:val="center"/>
        <w:rPr>
          <w:rFonts w:hint="eastAsia" w:ascii="宋体" w:hAnsi="宋体" w:eastAsia="宋体" w:cs="宋体"/>
          <w:b/>
          <w:color w:val="000000"/>
          <w:sz w:val="24"/>
          <w:szCs w:val="24"/>
          <w:highlight w:val="none"/>
        </w:rPr>
      </w:pPr>
    </w:p>
    <w:p w14:paraId="3C6DE2A1">
      <w:pPr>
        <w:widowControl/>
        <w:jc w:val="center"/>
        <w:rPr>
          <w:rFonts w:hint="eastAsia" w:ascii="宋体" w:hAnsi="宋体" w:eastAsia="宋体" w:cs="宋体"/>
          <w:b/>
          <w:color w:val="000000"/>
          <w:sz w:val="24"/>
          <w:szCs w:val="24"/>
          <w:highlight w:val="none"/>
        </w:rPr>
      </w:pPr>
    </w:p>
    <w:p w14:paraId="40B71681">
      <w:pPr>
        <w:widowControl/>
        <w:jc w:val="center"/>
        <w:rPr>
          <w:rFonts w:hint="eastAsia" w:ascii="宋体" w:hAnsi="宋体" w:eastAsia="宋体" w:cs="宋体"/>
          <w:b/>
          <w:color w:val="000000"/>
          <w:sz w:val="24"/>
          <w:szCs w:val="24"/>
          <w:highlight w:val="none"/>
        </w:rPr>
      </w:pPr>
    </w:p>
    <w:p w14:paraId="1387B15A">
      <w:pPr>
        <w:widowControl/>
        <w:jc w:val="center"/>
        <w:rPr>
          <w:rFonts w:hint="eastAsia" w:ascii="宋体" w:hAnsi="宋体" w:eastAsia="宋体" w:cs="宋体"/>
          <w:b/>
          <w:color w:val="000000"/>
          <w:sz w:val="24"/>
          <w:szCs w:val="24"/>
          <w:highlight w:val="none"/>
        </w:rPr>
      </w:pPr>
    </w:p>
    <w:p w14:paraId="11F0F3BA">
      <w:pPr>
        <w:widowControl/>
        <w:jc w:val="center"/>
        <w:rPr>
          <w:rFonts w:hint="eastAsia" w:ascii="宋体" w:hAnsi="宋体" w:eastAsia="宋体" w:cs="宋体"/>
          <w:b/>
          <w:color w:val="000000"/>
          <w:sz w:val="24"/>
          <w:szCs w:val="24"/>
          <w:highlight w:val="none"/>
        </w:rPr>
      </w:pPr>
    </w:p>
    <w:p w14:paraId="07A8C9E9">
      <w:pPr>
        <w:widowControl/>
        <w:jc w:val="center"/>
        <w:rPr>
          <w:rFonts w:hint="eastAsia" w:ascii="宋体" w:hAnsi="宋体" w:eastAsia="宋体" w:cs="宋体"/>
          <w:b/>
          <w:color w:val="000000"/>
          <w:sz w:val="24"/>
          <w:szCs w:val="24"/>
          <w:highlight w:val="none"/>
        </w:rPr>
      </w:pPr>
    </w:p>
    <w:p w14:paraId="491C34A7">
      <w:pPr>
        <w:widowControl/>
        <w:jc w:val="center"/>
        <w:rPr>
          <w:rFonts w:hint="eastAsia" w:ascii="宋体" w:hAnsi="宋体" w:eastAsia="宋体" w:cs="宋体"/>
          <w:b/>
          <w:color w:val="000000"/>
          <w:sz w:val="24"/>
          <w:szCs w:val="24"/>
          <w:highlight w:val="none"/>
        </w:rPr>
      </w:pPr>
    </w:p>
    <w:p w14:paraId="0A9E4AFB">
      <w:pPr>
        <w:widowControl/>
        <w:jc w:val="center"/>
        <w:rPr>
          <w:rFonts w:hint="eastAsia" w:ascii="宋体" w:hAnsi="宋体" w:eastAsia="宋体" w:cs="宋体"/>
          <w:b/>
          <w:color w:val="000000"/>
          <w:sz w:val="24"/>
          <w:szCs w:val="24"/>
          <w:highlight w:val="none"/>
        </w:rPr>
      </w:pPr>
    </w:p>
    <w:p w14:paraId="0D75EE31">
      <w:pPr>
        <w:widowControl/>
        <w:jc w:val="center"/>
        <w:rPr>
          <w:rFonts w:hint="eastAsia" w:ascii="宋体" w:hAnsi="宋体" w:eastAsia="宋体" w:cs="宋体"/>
          <w:b/>
          <w:color w:val="000000"/>
          <w:sz w:val="24"/>
          <w:szCs w:val="24"/>
          <w:highlight w:val="none"/>
        </w:rPr>
      </w:pPr>
    </w:p>
    <w:p w14:paraId="47133D1E">
      <w:pPr>
        <w:widowControl/>
        <w:jc w:val="center"/>
        <w:rPr>
          <w:rFonts w:hint="eastAsia" w:ascii="宋体" w:hAnsi="宋体" w:eastAsia="宋体" w:cs="宋体"/>
          <w:b/>
          <w:color w:val="000000"/>
          <w:sz w:val="24"/>
          <w:szCs w:val="24"/>
          <w:highlight w:val="none"/>
        </w:rPr>
      </w:pPr>
    </w:p>
    <w:p w14:paraId="3D5E8BE8">
      <w:pPr>
        <w:widowControl/>
        <w:jc w:val="center"/>
        <w:rPr>
          <w:rFonts w:hint="eastAsia" w:ascii="宋体" w:hAnsi="宋体" w:eastAsia="宋体" w:cs="宋体"/>
          <w:b/>
          <w:color w:val="000000"/>
          <w:sz w:val="24"/>
          <w:szCs w:val="24"/>
          <w:highlight w:val="none"/>
        </w:rPr>
      </w:pPr>
    </w:p>
    <w:p w14:paraId="56DD118F">
      <w:pPr>
        <w:widowControl/>
        <w:jc w:val="center"/>
        <w:rPr>
          <w:rFonts w:hint="eastAsia" w:ascii="宋体" w:hAnsi="宋体" w:eastAsia="宋体" w:cs="宋体"/>
          <w:b/>
          <w:color w:val="000000"/>
          <w:sz w:val="24"/>
          <w:szCs w:val="24"/>
          <w:highlight w:val="none"/>
        </w:rPr>
      </w:pPr>
    </w:p>
    <w:p w14:paraId="0045EA44">
      <w:pPr>
        <w:widowControl/>
        <w:jc w:val="center"/>
        <w:rPr>
          <w:rFonts w:hint="eastAsia" w:ascii="宋体" w:hAnsi="宋体" w:eastAsia="宋体" w:cs="宋体"/>
          <w:b/>
          <w:color w:val="000000"/>
          <w:sz w:val="24"/>
          <w:szCs w:val="24"/>
          <w:highlight w:val="none"/>
        </w:rPr>
      </w:pPr>
    </w:p>
    <w:p w14:paraId="7DB9735C">
      <w:pPr>
        <w:widowControl/>
        <w:jc w:val="center"/>
        <w:rPr>
          <w:rFonts w:hint="eastAsia" w:ascii="宋体" w:hAnsi="宋体" w:eastAsia="宋体" w:cs="宋体"/>
          <w:b/>
          <w:color w:val="000000"/>
          <w:sz w:val="24"/>
          <w:szCs w:val="24"/>
          <w:highlight w:val="none"/>
        </w:rPr>
      </w:pPr>
    </w:p>
    <w:p w14:paraId="52A62156">
      <w:pPr>
        <w:widowControl/>
        <w:jc w:val="center"/>
        <w:rPr>
          <w:rFonts w:hint="eastAsia" w:ascii="宋体" w:hAnsi="宋体" w:eastAsia="宋体" w:cs="宋体"/>
          <w:b/>
          <w:color w:val="000000"/>
          <w:sz w:val="24"/>
          <w:szCs w:val="24"/>
          <w:highlight w:val="none"/>
        </w:rPr>
      </w:pPr>
    </w:p>
    <w:p w14:paraId="74ABD77B">
      <w:pPr>
        <w:widowControl/>
        <w:jc w:val="center"/>
        <w:rPr>
          <w:rFonts w:hint="eastAsia" w:ascii="宋体" w:hAnsi="宋体" w:eastAsia="宋体" w:cs="宋体"/>
          <w:b/>
          <w:color w:val="000000"/>
          <w:sz w:val="24"/>
          <w:szCs w:val="24"/>
          <w:highlight w:val="none"/>
        </w:rPr>
      </w:pPr>
    </w:p>
    <w:p w14:paraId="03B7E77F">
      <w:pPr>
        <w:widowControl/>
        <w:jc w:val="center"/>
        <w:rPr>
          <w:rFonts w:hint="eastAsia" w:ascii="宋体" w:hAnsi="宋体" w:eastAsia="宋体" w:cs="宋体"/>
          <w:b/>
          <w:color w:val="000000"/>
          <w:sz w:val="24"/>
          <w:szCs w:val="24"/>
          <w:highlight w:val="none"/>
        </w:rPr>
      </w:pPr>
    </w:p>
    <w:p w14:paraId="6C513540">
      <w:pPr>
        <w:widowControl/>
        <w:jc w:val="center"/>
        <w:rPr>
          <w:rFonts w:hint="eastAsia" w:ascii="宋体" w:hAnsi="宋体" w:eastAsia="宋体" w:cs="宋体"/>
          <w:b/>
          <w:color w:val="000000"/>
          <w:sz w:val="24"/>
          <w:szCs w:val="24"/>
          <w:highlight w:val="none"/>
        </w:rPr>
      </w:pPr>
    </w:p>
    <w:p w14:paraId="49B4DB42">
      <w:pPr>
        <w:widowControl/>
        <w:jc w:val="center"/>
        <w:rPr>
          <w:rFonts w:hint="eastAsia" w:ascii="宋体" w:hAnsi="宋体" w:eastAsia="宋体" w:cs="宋体"/>
          <w:b/>
          <w:color w:val="000000"/>
          <w:sz w:val="24"/>
          <w:szCs w:val="24"/>
          <w:highlight w:val="none"/>
        </w:rPr>
      </w:pPr>
    </w:p>
    <w:p w14:paraId="6E2C161A">
      <w:pPr>
        <w:widowControl/>
        <w:jc w:val="center"/>
        <w:rPr>
          <w:rFonts w:hint="eastAsia" w:ascii="宋体" w:hAnsi="宋体" w:eastAsia="宋体" w:cs="宋体"/>
          <w:b/>
          <w:color w:val="000000"/>
          <w:sz w:val="24"/>
          <w:szCs w:val="24"/>
          <w:highlight w:val="none"/>
        </w:rPr>
      </w:pPr>
    </w:p>
    <w:p w14:paraId="60F75771">
      <w:pPr>
        <w:widowControl/>
        <w:jc w:val="center"/>
        <w:rPr>
          <w:rFonts w:hint="eastAsia" w:ascii="宋体" w:hAnsi="宋体" w:eastAsia="宋体" w:cs="宋体"/>
          <w:b/>
          <w:color w:val="000000"/>
          <w:sz w:val="24"/>
          <w:szCs w:val="24"/>
          <w:highlight w:val="none"/>
        </w:rPr>
      </w:pPr>
    </w:p>
    <w:p w14:paraId="37A1CF24">
      <w:pPr>
        <w:widowControl/>
        <w:jc w:val="both"/>
        <w:rPr>
          <w:rFonts w:hint="eastAsia" w:ascii="宋体" w:hAnsi="宋体" w:eastAsia="宋体" w:cs="宋体"/>
          <w:b/>
          <w:color w:val="000000"/>
          <w:sz w:val="24"/>
          <w:szCs w:val="24"/>
          <w:highlight w:val="none"/>
        </w:rPr>
      </w:pPr>
    </w:p>
    <w:p w14:paraId="66B19402">
      <w:pPr>
        <w:widowControl/>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第</w:t>
      </w:r>
      <w:r>
        <w:rPr>
          <w:rFonts w:hint="eastAsia" w:ascii="宋体" w:hAnsi="宋体" w:eastAsia="宋体" w:cs="宋体"/>
          <w:b/>
          <w:color w:val="000000"/>
          <w:sz w:val="24"/>
          <w:szCs w:val="24"/>
          <w:highlight w:val="none"/>
          <w:lang w:val="en-US" w:eastAsia="zh-CN"/>
        </w:rPr>
        <w:t>六</w:t>
      </w:r>
      <w:r>
        <w:rPr>
          <w:rFonts w:hint="eastAsia" w:ascii="宋体" w:hAnsi="宋体" w:eastAsia="宋体" w:cs="宋体"/>
          <w:b/>
          <w:color w:val="000000"/>
          <w:sz w:val="24"/>
          <w:szCs w:val="24"/>
          <w:highlight w:val="none"/>
        </w:rPr>
        <w:t xml:space="preserve">章   </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合同草案条款</w:t>
      </w:r>
      <w:bookmarkEnd w:id="794"/>
    </w:p>
    <w:p w14:paraId="237A6AC1">
      <w:pPr>
        <w:rPr>
          <w:rFonts w:hint="eastAsia" w:ascii="宋体" w:hAnsi="宋体" w:cs="宋体"/>
          <w:color w:val="000000"/>
          <w:sz w:val="44"/>
          <w:szCs w:val="44"/>
          <w:highlight w:val="none"/>
        </w:rPr>
      </w:pPr>
      <w:bookmarkStart w:id="795" w:name="_Toc104818930"/>
    </w:p>
    <w:p w14:paraId="51108066">
      <w:pPr>
        <w:pStyle w:val="221"/>
        <w:spacing w:line="360" w:lineRule="auto"/>
        <w:rPr>
          <w:rFonts w:cs="宋体"/>
          <w:sz w:val="24"/>
          <w:szCs w:val="24"/>
          <w:u w:val="single"/>
        </w:rPr>
      </w:pPr>
      <w:r>
        <w:rPr>
          <w:rFonts w:hint="eastAsia" w:cs="宋体"/>
          <w:b/>
          <w:sz w:val="24"/>
          <w:szCs w:val="24"/>
          <w:lang w:val="en-US" w:eastAsia="zh-CN"/>
        </w:rPr>
        <w:t>甲方</w:t>
      </w:r>
      <w:r>
        <w:rPr>
          <w:rFonts w:cs="宋体"/>
          <w:b/>
          <w:sz w:val="24"/>
          <w:szCs w:val="24"/>
          <w:lang w:val="zh-CN"/>
        </w:rPr>
        <w:t>（</w:t>
      </w:r>
      <w:r>
        <w:rPr>
          <w:rFonts w:hint="eastAsia" w:cs="宋体"/>
          <w:b/>
          <w:sz w:val="24"/>
          <w:szCs w:val="24"/>
          <w:lang w:val="en-US" w:eastAsia="zh-CN"/>
        </w:rPr>
        <w:t>采购人</w:t>
      </w:r>
      <w:r>
        <w:rPr>
          <w:rFonts w:cs="宋体"/>
          <w:b/>
          <w:sz w:val="24"/>
          <w:szCs w:val="24"/>
        </w:rPr>
        <w:t>）:</w:t>
      </w:r>
      <w:r>
        <w:rPr>
          <w:rFonts w:cs="宋体"/>
          <w:b/>
          <w:sz w:val="24"/>
          <w:szCs w:val="24"/>
          <w:u w:val="single"/>
        </w:rPr>
        <w:t xml:space="preserve">                         </w:t>
      </w:r>
    </w:p>
    <w:p w14:paraId="46FB0662">
      <w:pPr>
        <w:pStyle w:val="221"/>
        <w:spacing w:line="360" w:lineRule="auto"/>
        <w:rPr>
          <w:rFonts w:hAnsi="宋体" w:cs="宋体"/>
          <w:b/>
        </w:rPr>
      </w:pPr>
      <w:r>
        <w:rPr>
          <w:rFonts w:hint="eastAsia" w:cs="宋体"/>
          <w:b/>
          <w:sz w:val="24"/>
          <w:szCs w:val="24"/>
          <w:lang w:val="en-US" w:eastAsia="zh-CN"/>
        </w:rPr>
        <w:t>乙方</w:t>
      </w:r>
      <w:r>
        <w:rPr>
          <w:rFonts w:cs="宋体"/>
          <w:b/>
          <w:sz w:val="24"/>
          <w:szCs w:val="24"/>
        </w:rPr>
        <w:t>（</w:t>
      </w:r>
      <w:r>
        <w:rPr>
          <w:rFonts w:hint="eastAsia" w:cs="宋体"/>
          <w:b/>
          <w:sz w:val="24"/>
          <w:szCs w:val="24"/>
          <w:lang w:val="en-US" w:eastAsia="zh-CN"/>
        </w:rPr>
        <w:t>供应商</w:t>
      </w:r>
      <w:r>
        <w:rPr>
          <w:rFonts w:cs="宋体"/>
          <w:b/>
          <w:sz w:val="24"/>
          <w:szCs w:val="24"/>
        </w:rPr>
        <w:t>）:</w:t>
      </w:r>
      <w:r>
        <w:rPr>
          <w:rFonts w:cs="宋体"/>
          <w:b/>
          <w:sz w:val="24"/>
          <w:szCs w:val="24"/>
          <w:u w:val="single"/>
        </w:rPr>
        <w:t xml:space="preserve">                         </w:t>
      </w:r>
    </w:p>
    <w:p w14:paraId="1151C500">
      <w:pPr>
        <w:pStyle w:val="221"/>
        <w:spacing w:line="360" w:lineRule="auto"/>
        <w:ind w:firstLine="480"/>
        <w:rPr>
          <w:rFonts w:cs="宋体"/>
          <w:sz w:val="24"/>
          <w:szCs w:val="24"/>
        </w:rPr>
      </w:pPr>
      <w:r>
        <w:rPr>
          <w:rFonts w:cs="宋体"/>
          <w:sz w:val="24"/>
          <w:szCs w:val="24"/>
        </w:rPr>
        <w:t>甲乙双方依据《中华人民共和国民法典》以及有关法律、法规的规定，经协商一致，订立本合同，以便共同遵守。</w:t>
      </w:r>
    </w:p>
    <w:p w14:paraId="7D01E36A">
      <w:pPr>
        <w:pStyle w:val="221"/>
        <w:spacing w:line="360" w:lineRule="auto"/>
        <w:ind w:firstLine="482"/>
        <w:rPr>
          <w:rFonts w:cs="宋体"/>
          <w:b/>
          <w:sz w:val="24"/>
          <w:szCs w:val="24"/>
        </w:rPr>
      </w:pPr>
      <w:r>
        <w:rPr>
          <w:rFonts w:cs="宋体"/>
          <w:b/>
          <w:sz w:val="24"/>
          <w:szCs w:val="24"/>
        </w:rPr>
        <w:t>第一条 合同标的</w:t>
      </w:r>
    </w:p>
    <w:p w14:paraId="02F91A96">
      <w:pPr>
        <w:widowControl/>
        <w:spacing w:line="360" w:lineRule="auto"/>
        <w:ind w:firstLine="480"/>
        <w:jc w:val="left"/>
        <w:rPr>
          <w:rFonts w:ascii="宋体" w:hAnsi="宋体" w:cs="宋体"/>
          <w:sz w:val="24"/>
          <w:lang w:val="zh-CN"/>
        </w:rPr>
      </w:pPr>
      <w:r>
        <w:rPr>
          <w:rFonts w:hint="eastAsia" w:ascii="宋体" w:hAnsi="宋体" w:cs="宋体"/>
          <w:sz w:val="24"/>
          <w:lang w:val="zh-CN"/>
        </w:rPr>
        <w:t>乙方根据甲方需求提供下列服务：</w:t>
      </w:r>
      <w:r>
        <w:rPr>
          <w:rFonts w:hint="eastAsia" w:ascii="宋体" w:hAnsi="宋体" w:cs="宋体"/>
          <w:sz w:val="24"/>
          <w:u w:val="single"/>
          <w:lang w:val="zh-CN"/>
        </w:rPr>
        <w:t xml:space="preserve">         </w:t>
      </w:r>
      <w:r>
        <w:rPr>
          <w:rFonts w:hint="eastAsia" w:ascii="宋体" w:hAnsi="宋体" w:cs="宋体"/>
          <w:sz w:val="24"/>
          <w:lang w:val="zh-CN"/>
        </w:rPr>
        <w:t>，</w:t>
      </w:r>
      <w:r>
        <w:rPr>
          <w:rFonts w:hint="eastAsia" w:ascii="宋体" w:hAnsi="宋体" w:cs="宋体"/>
          <w:sz w:val="24"/>
        </w:rPr>
        <w:t>系指根据合同规定乙方须承担与服务有关的所有辅助服务</w:t>
      </w:r>
      <w:r>
        <w:rPr>
          <w:rFonts w:hint="eastAsia" w:ascii="宋体" w:hAnsi="宋体" w:cs="宋体"/>
          <w:sz w:val="24"/>
          <w:lang w:val="zh-CN"/>
        </w:rPr>
        <w:t>。</w:t>
      </w:r>
    </w:p>
    <w:p w14:paraId="4CFC5704">
      <w:pPr>
        <w:pStyle w:val="221"/>
        <w:spacing w:line="360" w:lineRule="auto"/>
        <w:ind w:firstLine="482"/>
        <w:rPr>
          <w:rFonts w:cs="宋体"/>
          <w:b/>
          <w:sz w:val="24"/>
          <w:szCs w:val="24"/>
        </w:rPr>
      </w:pPr>
      <w:r>
        <w:rPr>
          <w:rFonts w:cs="宋体"/>
          <w:b/>
          <w:sz w:val="24"/>
          <w:szCs w:val="24"/>
        </w:rPr>
        <w:t>第二条 合同价格</w:t>
      </w:r>
    </w:p>
    <w:p w14:paraId="076864AA">
      <w:pPr>
        <w:pStyle w:val="221"/>
        <w:spacing w:line="360" w:lineRule="auto"/>
        <w:ind w:firstLine="482"/>
        <w:jc w:val="left"/>
        <w:rPr>
          <w:rFonts w:cs="宋体"/>
          <w:b/>
          <w:sz w:val="24"/>
          <w:szCs w:val="24"/>
        </w:rPr>
      </w:pPr>
      <w:r>
        <w:rPr>
          <w:rFonts w:cs="宋体"/>
          <w:b/>
          <w:sz w:val="24"/>
          <w:szCs w:val="24"/>
        </w:rPr>
        <w:t>签约合同总价（人民币，下同）：</w:t>
      </w:r>
    </w:p>
    <w:p w14:paraId="1E92B699">
      <w:pPr>
        <w:pStyle w:val="221"/>
        <w:spacing w:line="360" w:lineRule="auto"/>
        <w:ind w:firstLine="482"/>
        <w:jc w:val="left"/>
        <w:rPr>
          <w:rFonts w:cs="宋体"/>
          <w:b/>
          <w:sz w:val="24"/>
          <w:szCs w:val="24"/>
        </w:rPr>
      </w:pPr>
      <w:r>
        <w:rPr>
          <w:rFonts w:cs="宋体"/>
          <w:b/>
          <w:sz w:val="24"/>
          <w:szCs w:val="24"/>
        </w:rPr>
        <w:t>签约人均保费价格:</w:t>
      </w:r>
      <w:r>
        <w:rPr>
          <w:rFonts w:cs="宋体"/>
          <w:b/>
          <w:sz w:val="24"/>
          <w:szCs w:val="24"/>
          <w:u w:val="single"/>
        </w:rPr>
        <w:t xml:space="preserve">                </w:t>
      </w:r>
      <w:r>
        <w:rPr>
          <w:rFonts w:cs="宋体"/>
          <w:b/>
          <w:sz w:val="24"/>
          <w:szCs w:val="24"/>
        </w:rPr>
        <w:t>元，人民币(小写</w:t>
      </w:r>
      <w:r>
        <w:rPr>
          <w:rFonts w:cs="宋体"/>
          <w:b/>
          <w:sz w:val="24"/>
          <w:szCs w:val="24"/>
          <w:u w:val="single"/>
        </w:rPr>
        <w:t xml:space="preserve">         ）；</w:t>
      </w:r>
    </w:p>
    <w:p w14:paraId="676336CB">
      <w:pPr>
        <w:pStyle w:val="221"/>
        <w:spacing w:line="360" w:lineRule="auto"/>
        <w:ind w:firstLine="480"/>
        <w:rPr>
          <w:rFonts w:cs="宋体"/>
          <w:sz w:val="24"/>
          <w:szCs w:val="24"/>
        </w:rPr>
      </w:pPr>
      <w:r>
        <w:rPr>
          <w:rFonts w:cs="宋体"/>
          <w:sz w:val="24"/>
          <w:szCs w:val="24"/>
        </w:rPr>
        <w:t>本合同总价包括招标文件所确定的招标范围相应服务的提供、人员（包括工资和补贴）、办公场所及设施、保险、劳保、管理、各种税费、利润、税金、政策性文件规定及合同包含的所有风险、责任等各项应有费用，以及为完成该项服务项目所涉及到的一切相关费用，甲方不再支付其他任何费用。</w:t>
      </w:r>
    </w:p>
    <w:p w14:paraId="2674F31B">
      <w:pPr>
        <w:pStyle w:val="221"/>
        <w:spacing w:line="360" w:lineRule="auto"/>
        <w:ind w:firstLine="482"/>
        <w:rPr>
          <w:rFonts w:cs="宋体"/>
          <w:b/>
          <w:sz w:val="24"/>
          <w:szCs w:val="24"/>
        </w:rPr>
      </w:pPr>
      <w:r>
        <w:rPr>
          <w:rFonts w:cs="宋体"/>
          <w:b/>
          <w:sz w:val="24"/>
          <w:szCs w:val="24"/>
        </w:rPr>
        <w:t>第三条 合同履行期限</w:t>
      </w:r>
    </w:p>
    <w:p w14:paraId="29FFF392">
      <w:pPr>
        <w:spacing w:line="360" w:lineRule="auto"/>
        <w:ind w:firstLine="480"/>
        <w:rPr>
          <w:rFonts w:ascii="宋体" w:hAnsi="宋体" w:cs="宋体"/>
          <w:sz w:val="24"/>
        </w:rPr>
      </w:pPr>
      <w:r>
        <w:rPr>
          <w:rFonts w:hint="eastAsia" w:ascii="宋体" w:hAnsi="宋体" w:cs="宋体"/>
          <w:sz w:val="24"/>
        </w:rPr>
        <w:t>本项目服务期限为</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rPr>
          <w:rFonts w:hint="eastAsia" w:ascii="宋体" w:hAnsi="宋体" w:cs="宋体"/>
          <w:sz w:val="24"/>
        </w:rPr>
        <w:t>年（    6年  月  日至    年  月  日），合同金额按实际发生参保人数结算。</w:t>
      </w:r>
    </w:p>
    <w:p w14:paraId="47947F22">
      <w:pPr>
        <w:pStyle w:val="221"/>
        <w:spacing w:line="360" w:lineRule="auto"/>
        <w:ind w:firstLine="482"/>
        <w:rPr>
          <w:rFonts w:cs="宋体"/>
          <w:b/>
          <w:sz w:val="24"/>
          <w:szCs w:val="24"/>
        </w:rPr>
      </w:pPr>
      <w:r>
        <w:rPr>
          <w:rFonts w:cs="宋体"/>
          <w:b/>
          <w:sz w:val="24"/>
          <w:szCs w:val="24"/>
        </w:rPr>
        <w:t>第四条 组成本合同的有关文件</w:t>
      </w:r>
    </w:p>
    <w:p w14:paraId="65563CD2">
      <w:pPr>
        <w:pStyle w:val="221"/>
        <w:spacing w:line="360" w:lineRule="auto"/>
        <w:ind w:firstLine="480"/>
        <w:rPr>
          <w:rFonts w:cs="宋体"/>
          <w:sz w:val="24"/>
          <w:szCs w:val="24"/>
        </w:rPr>
      </w:pPr>
      <w:r>
        <w:rPr>
          <w:rFonts w:cs="宋体"/>
          <w:sz w:val="24"/>
          <w:szCs w:val="24"/>
        </w:rPr>
        <w:t>下列与本次采购活动有关的文件及有关附件是本合同不可分割的组成部分，与本合同具有同等法律效力，这些文件包括但不限于：</w:t>
      </w:r>
    </w:p>
    <w:p w14:paraId="6318A50A">
      <w:pPr>
        <w:pStyle w:val="221"/>
        <w:spacing w:line="360" w:lineRule="auto"/>
        <w:ind w:firstLine="480"/>
        <w:rPr>
          <w:rFonts w:cs="宋体"/>
          <w:sz w:val="24"/>
          <w:szCs w:val="24"/>
        </w:rPr>
      </w:pPr>
      <w:r>
        <w:rPr>
          <w:rFonts w:cs="宋体"/>
          <w:sz w:val="24"/>
          <w:szCs w:val="24"/>
        </w:rPr>
        <w:t xml:space="preserve">（1）招标文件（编号：  </w:t>
      </w:r>
      <w:r>
        <w:rPr>
          <w:rFonts w:hint="eastAsia" w:cs="宋体"/>
          <w:sz w:val="24"/>
          <w:szCs w:val="24"/>
          <w:lang w:val="en-US" w:eastAsia="zh-CN"/>
        </w:rPr>
        <w:t xml:space="preserve">  </w:t>
      </w:r>
      <w:r>
        <w:rPr>
          <w:rFonts w:cs="宋体"/>
          <w:sz w:val="24"/>
          <w:szCs w:val="24"/>
        </w:rPr>
        <w:t xml:space="preserve"> ）             （2）乙方提供的投标文件； </w:t>
      </w:r>
    </w:p>
    <w:p w14:paraId="5D3965F1">
      <w:pPr>
        <w:pStyle w:val="221"/>
        <w:spacing w:line="360" w:lineRule="auto"/>
        <w:ind w:firstLine="480"/>
        <w:rPr>
          <w:rFonts w:cs="宋体"/>
          <w:sz w:val="24"/>
          <w:szCs w:val="24"/>
        </w:rPr>
      </w:pPr>
      <w:r>
        <w:rPr>
          <w:rFonts w:cs="宋体"/>
          <w:sz w:val="24"/>
          <w:szCs w:val="24"/>
        </w:rPr>
        <w:t>（3）中标通知书；                        （4）甲乙双方商定的其他文件等。</w:t>
      </w:r>
    </w:p>
    <w:p w14:paraId="0FCE04DD">
      <w:pPr>
        <w:spacing w:line="360" w:lineRule="auto"/>
        <w:ind w:firstLine="482"/>
        <w:rPr>
          <w:rFonts w:ascii="宋体" w:hAnsi="宋体" w:cs="宋体"/>
          <w:b/>
          <w:sz w:val="24"/>
        </w:rPr>
      </w:pPr>
      <w:r>
        <w:rPr>
          <w:rFonts w:hint="eastAsia" w:ascii="宋体" w:hAnsi="宋体" w:cs="宋体"/>
          <w:b/>
          <w:sz w:val="24"/>
        </w:rPr>
        <w:t>第五条 合同款结算及支付</w:t>
      </w:r>
    </w:p>
    <w:p w14:paraId="04F2FBB6">
      <w:pPr>
        <w:spacing w:line="360" w:lineRule="auto"/>
        <w:ind w:firstLine="480"/>
        <w:rPr>
          <w:rFonts w:ascii="宋体" w:hAnsi="宋体" w:cs="宋体"/>
          <w:sz w:val="24"/>
        </w:rPr>
      </w:pPr>
      <w:r>
        <w:rPr>
          <w:rFonts w:hint="eastAsia" w:ascii="宋体" w:hAnsi="宋体" w:cs="宋体"/>
          <w:sz w:val="24"/>
        </w:rPr>
        <w:t>1.本合同项下所有款项均以人民币支付。</w:t>
      </w:r>
    </w:p>
    <w:p w14:paraId="3D66F553">
      <w:pPr>
        <w:spacing w:line="360" w:lineRule="auto"/>
        <w:ind w:firstLine="480"/>
        <w:rPr>
          <w:rFonts w:ascii="宋体" w:hAnsi="宋体" w:cs="宋体"/>
          <w:sz w:val="24"/>
        </w:rPr>
      </w:pPr>
      <w:r>
        <w:rPr>
          <w:rFonts w:hint="eastAsia" w:ascii="宋体" w:hAnsi="宋体" w:cs="宋体"/>
          <w:sz w:val="24"/>
        </w:rPr>
        <w:t>2.本合同项下的采购资金由甲方自行支付，乙方向甲方开具发票。</w:t>
      </w:r>
    </w:p>
    <w:p w14:paraId="2C4ECF71">
      <w:pPr>
        <w:spacing w:line="360" w:lineRule="auto"/>
        <w:ind w:firstLine="480"/>
        <w:rPr>
          <w:rFonts w:hint="eastAsia" w:ascii="宋体" w:hAnsi="宋体" w:cs="宋体"/>
          <w:sz w:val="24"/>
        </w:rPr>
      </w:pPr>
      <w:r>
        <w:rPr>
          <w:rFonts w:hint="eastAsia" w:ascii="宋体" w:hAnsi="宋体" w:cs="宋体"/>
          <w:sz w:val="24"/>
        </w:rPr>
        <w:t>3.结算原则：固定单价。</w:t>
      </w:r>
    </w:p>
    <w:p w14:paraId="09A169C7">
      <w:pPr>
        <w:spacing w:line="360" w:lineRule="auto"/>
        <w:ind w:firstLine="480"/>
        <w:rPr>
          <w:rFonts w:hint="default" w:ascii="宋体" w:hAnsi="宋体" w:cs="宋体"/>
          <w:sz w:val="24"/>
          <w:lang w:val="en-US"/>
        </w:rPr>
      </w:pPr>
      <w:r>
        <w:rPr>
          <w:rFonts w:hint="eastAsia" w:ascii="宋体" w:hAnsi="宋体" w:cs="宋体"/>
          <w:sz w:val="24"/>
        </w:rPr>
        <w:t>4.付款方式：</w:t>
      </w:r>
      <w:r>
        <w:rPr>
          <w:rFonts w:hint="eastAsia" w:ascii="Times New Roman" w:hAnsi="Times New Roman" w:eastAsia="宋体" w:cs="Times New Roman"/>
          <w:sz w:val="24"/>
          <w:highlight w:val="none"/>
          <w:lang w:val="en-US" w:eastAsia="zh-CN"/>
        </w:rPr>
        <w:t>合同签订后，在当年办理投保手续时，一次性付清当年保险费（</w:t>
      </w:r>
      <w:r>
        <w:rPr>
          <w:rFonts w:hint="eastAsia" w:ascii="宋体" w:hAnsi="宋体" w:cs="宋体"/>
          <w:sz w:val="24"/>
        </w:rPr>
        <w:t>按实际发生参保人数计算</w:t>
      </w:r>
      <w:r>
        <w:rPr>
          <w:rFonts w:hint="eastAsia" w:ascii="Times New Roman" w:hAnsi="Times New Roman" w:eastAsia="宋体" w:cs="Times New Roman"/>
          <w:sz w:val="24"/>
          <w:highlight w:val="none"/>
          <w:lang w:val="en-US" w:eastAsia="zh-CN"/>
        </w:rPr>
        <w:t>）。年度赔付率不得低于80%，低于80%的部分将在下一年度的保费中予以扣除。</w:t>
      </w:r>
    </w:p>
    <w:p w14:paraId="74C2C57F">
      <w:pPr>
        <w:spacing w:line="360" w:lineRule="auto"/>
        <w:ind w:firstLine="482"/>
        <w:rPr>
          <w:rFonts w:ascii="宋体" w:hAnsi="宋体" w:cs="宋体"/>
          <w:b/>
          <w:sz w:val="24"/>
        </w:rPr>
      </w:pPr>
      <w:r>
        <w:rPr>
          <w:rFonts w:hint="eastAsia" w:ascii="宋体" w:hAnsi="宋体" w:cs="宋体"/>
          <w:b/>
          <w:sz w:val="24"/>
        </w:rPr>
        <w:t>第六条 违约责任</w:t>
      </w:r>
    </w:p>
    <w:p w14:paraId="2D7916E8">
      <w:pPr>
        <w:spacing w:line="360" w:lineRule="auto"/>
        <w:ind w:firstLine="480"/>
        <w:rPr>
          <w:rFonts w:hint="eastAsia" w:ascii="宋体" w:hAnsi="宋体" w:cs="宋体"/>
          <w:sz w:val="24"/>
        </w:rPr>
      </w:pPr>
      <w:r>
        <w:rPr>
          <w:rFonts w:hint="eastAsia" w:ascii="宋体" w:hAnsi="宋体" w:cs="宋体"/>
          <w:sz w:val="24"/>
        </w:rPr>
        <w:t>1.如乙方不能按约定进行服务的，甲方有权解除合同，同时有权要求乙方按照合同总价5%的标准支付违约金，解除合同的通知自发出之日生效。</w:t>
      </w:r>
    </w:p>
    <w:p w14:paraId="4B84F648">
      <w:pPr>
        <w:spacing w:line="360" w:lineRule="auto"/>
        <w:ind w:firstLine="480"/>
        <w:rPr>
          <w:rFonts w:hint="eastAsia" w:ascii="宋体" w:hAnsi="宋体" w:cs="宋体"/>
          <w:sz w:val="24"/>
        </w:rPr>
      </w:pPr>
      <w:r>
        <w:rPr>
          <w:rFonts w:hint="eastAsia" w:ascii="宋体" w:hAnsi="宋体" w:cs="宋体"/>
          <w:sz w:val="24"/>
        </w:rPr>
        <w:t>2.甲方未按合同规定的期限向乙方支付的，每逾期1天甲方向乙方偿付欠款总额的5‰滞纳金，但累计滞纳金总额不超过欠款总额的5% 。</w:t>
      </w:r>
    </w:p>
    <w:p w14:paraId="1C6A17C7">
      <w:pPr>
        <w:spacing w:line="360" w:lineRule="auto"/>
        <w:ind w:firstLine="480"/>
        <w:rPr>
          <w:rFonts w:hint="eastAsia" w:ascii="宋体" w:hAnsi="宋体" w:cs="宋体"/>
          <w:sz w:val="24"/>
        </w:rPr>
      </w:pPr>
      <w:r>
        <w:rPr>
          <w:rFonts w:hint="eastAsia" w:ascii="宋体" w:hAnsi="宋体" w:cs="宋体"/>
          <w:sz w:val="24"/>
        </w:rPr>
        <w:t>3.乙方未按本合同的规定和“服务承诺”提供伴随服务的，甲方有权提前解除本合同，同时乙方应按合同总价款的5 %向甲方承担违约责任。</w:t>
      </w:r>
    </w:p>
    <w:p w14:paraId="22D2FA95">
      <w:pPr>
        <w:spacing w:line="360" w:lineRule="auto"/>
        <w:ind w:firstLine="480"/>
        <w:rPr>
          <w:rFonts w:hint="eastAsia" w:ascii="宋体" w:hAnsi="宋体" w:cs="宋体"/>
          <w:sz w:val="24"/>
        </w:rPr>
      </w:pPr>
      <w:r>
        <w:rPr>
          <w:rFonts w:hint="eastAsia" w:ascii="宋体" w:hAnsi="宋体" w:cs="宋体"/>
          <w:sz w:val="24"/>
        </w:rPr>
        <w:t>4.乙方在承担上述一项或多项违约责任后，仍应继续履行合同规定的义务（甲方解除合同的除外）。甲方未能及时追究乙方的任何一项违约责任并不表明甲方放弃追究乙方该项或其他违约责任。</w:t>
      </w:r>
    </w:p>
    <w:p w14:paraId="4007D076">
      <w:pPr>
        <w:spacing w:line="360" w:lineRule="auto"/>
        <w:ind w:firstLine="480"/>
        <w:rPr>
          <w:rFonts w:hint="eastAsia" w:ascii="宋体" w:hAnsi="宋体" w:cs="宋体"/>
          <w:sz w:val="24"/>
        </w:rPr>
      </w:pPr>
      <w:r>
        <w:rPr>
          <w:rFonts w:hint="eastAsia" w:ascii="宋体" w:hAnsi="宋体" w:cs="宋体"/>
          <w:sz w:val="24"/>
        </w:rPr>
        <w:t>5.乙方属虚假承诺，或是由于乙方的过错造成合同无法继续履行的，应向甲方支付不少于合同总价30%违约金，若该违约金不足以弥补甲方损失，则应当赔偿甲方所有损失。</w:t>
      </w:r>
    </w:p>
    <w:p w14:paraId="613F3539">
      <w:pPr>
        <w:spacing w:line="360" w:lineRule="auto"/>
        <w:ind w:firstLine="480"/>
        <w:rPr>
          <w:rFonts w:hint="eastAsia" w:ascii="宋体" w:hAnsi="宋体" w:cs="宋体"/>
          <w:sz w:val="24"/>
        </w:rPr>
      </w:pPr>
      <w:r>
        <w:rPr>
          <w:rFonts w:hint="eastAsia" w:ascii="宋体" w:hAnsi="宋体" w:cs="宋体"/>
          <w:sz w:val="24"/>
        </w:rPr>
        <w:t>6.其他未尽事宜，以《民法典》等有关法律法规规定为准，无相关规定的，双方协商解决。</w:t>
      </w:r>
    </w:p>
    <w:p w14:paraId="61E45203">
      <w:pPr>
        <w:spacing w:line="360" w:lineRule="auto"/>
        <w:ind w:firstLine="482"/>
        <w:rPr>
          <w:rFonts w:ascii="宋体" w:hAnsi="宋体" w:cs="宋体"/>
          <w:b/>
          <w:sz w:val="24"/>
        </w:rPr>
      </w:pPr>
      <w:r>
        <w:rPr>
          <w:rFonts w:hint="eastAsia" w:ascii="宋体" w:hAnsi="宋体" w:cs="宋体"/>
          <w:b/>
          <w:sz w:val="24"/>
        </w:rPr>
        <w:t>第七条 合同的变更和终止</w:t>
      </w:r>
    </w:p>
    <w:p w14:paraId="49FB6F16">
      <w:pPr>
        <w:spacing w:line="360" w:lineRule="auto"/>
        <w:ind w:firstLine="480"/>
        <w:rPr>
          <w:rFonts w:ascii="宋体" w:hAnsi="宋体" w:cs="宋体"/>
          <w:sz w:val="24"/>
        </w:rPr>
      </w:pPr>
      <w:r>
        <w:rPr>
          <w:rFonts w:hint="eastAsia" w:ascii="宋体" w:hAnsi="宋体" w:cs="宋体"/>
          <w:sz w:val="24"/>
        </w:rPr>
        <w:t>1.本合同一经签订，甲乙双方不得擅自变更、中止或终止合同。</w:t>
      </w:r>
    </w:p>
    <w:p w14:paraId="74D6C23A">
      <w:pPr>
        <w:spacing w:line="360" w:lineRule="auto"/>
        <w:ind w:firstLine="480"/>
        <w:rPr>
          <w:rFonts w:ascii="宋体" w:hAnsi="宋体" w:cs="宋体"/>
          <w:sz w:val="24"/>
        </w:rPr>
      </w:pPr>
      <w:r>
        <w:rPr>
          <w:rFonts w:hint="eastAsia" w:ascii="宋体" w:hAnsi="宋体" w:cs="宋体"/>
          <w:sz w:val="24"/>
        </w:rPr>
        <w:t>2.除发生法律规定的不能预见、不能避免并不能克服的客观情况外，甲乙双方不得放弃或拒绝履行合同。</w:t>
      </w:r>
    </w:p>
    <w:p w14:paraId="595C5639">
      <w:pPr>
        <w:spacing w:line="360" w:lineRule="auto"/>
        <w:ind w:firstLine="482"/>
        <w:rPr>
          <w:rFonts w:ascii="宋体" w:hAnsi="宋体" w:cs="宋体"/>
          <w:b/>
          <w:sz w:val="24"/>
        </w:rPr>
      </w:pPr>
      <w:r>
        <w:rPr>
          <w:rFonts w:hint="eastAsia" w:ascii="宋体" w:hAnsi="宋体" w:cs="宋体"/>
          <w:b/>
          <w:sz w:val="24"/>
        </w:rPr>
        <w:t>第八条 合同的转让</w:t>
      </w:r>
    </w:p>
    <w:p w14:paraId="6D0BA47E">
      <w:pPr>
        <w:spacing w:line="360" w:lineRule="auto"/>
        <w:ind w:firstLine="480"/>
        <w:rPr>
          <w:rFonts w:ascii="宋体" w:hAnsi="宋体" w:cs="宋体"/>
          <w:sz w:val="24"/>
        </w:rPr>
      </w:pPr>
      <w:r>
        <w:rPr>
          <w:rFonts w:hint="eastAsia" w:ascii="宋体" w:hAnsi="宋体" w:cs="宋体"/>
          <w:sz w:val="24"/>
        </w:rPr>
        <w:t>乙方不得擅自部分或全部转让其应履行的合同义务。</w:t>
      </w:r>
    </w:p>
    <w:p w14:paraId="2ED550A2">
      <w:pPr>
        <w:spacing w:line="360" w:lineRule="auto"/>
        <w:ind w:firstLine="482"/>
        <w:rPr>
          <w:rFonts w:ascii="宋体" w:hAnsi="宋体" w:cs="宋体"/>
          <w:b/>
          <w:sz w:val="24"/>
        </w:rPr>
      </w:pPr>
      <w:r>
        <w:rPr>
          <w:rFonts w:hint="eastAsia" w:ascii="宋体" w:hAnsi="宋体" w:cs="宋体"/>
          <w:b/>
          <w:sz w:val="24"/>
        </w:rPr>
        <w:t>第九条 不可抗力</w:t>
      </w:r>
    </w:p>
    <w:p w14:paraId="75485DF3">
      <w:pPr>
        <w:spacing w:line="360" w:lineRule="auto"/>
        <w:ind w:firstLine="480"/>
        <w:rPr>
          <w:rFonts w:ascii="宋体" w:hAnsi="宋体" w:cs="宋体"/>
          <w:sz w:val="24"/>
        </w:rPr>
      </w:pPr>
      <w:r>
        <w:rPr>
          <w:rFonts w:hint="eastAsia" w:ascii="宋体" w:hAnsi="宋体" w:cs="宋体"/>
          <w:sz w:val="24"/>
        </w:rPr>
        <w:t>甲、乙方中任何一方，因不可抗力不能按时或完全履行合同的，应及时通知对方，并在5日工作日内提供相应证明。未履行完合同部分是否继续履行、如何履行等问题，可由双方初步协商，并向主管部门报告。确定为不可抗力原因造成的损失，免予承担责任。</w:t>
      </w:r>
    </w:p>
    <w:p w14:paraId="5EB6BD74">
      <w:pPr>
        <w:spacing w:line="360" w:lineRule="auto"/>
        <w:ind w:firstLine="482"/>
        <w:rPr>
          <w:rFonts w:ascii="宋体" w:hAnsi="宋体" w:cs="宋体"/>
          <w:b/>
          <w:sz w:val="24"/>
        </w:rPr>
      </w:pPr>
      <w:r>
        <w:rPr>
          <w:rFonts w:hint="eastAsia" w:ascii="宋体" w:hAnsi="宋体" w:cs="宋体"/>
          <w:b/>
          <w:sz w:val="24"/>
        </w:rPr>
        <w:t>第十条 争议的解决</w:t>
      </w:r>
    </w:p>
    <w:p w14:paraId="79E052D2">
      <w:pPr>
        <w:spacing w:line="360" w:lineRule="auto"/>
        <w:ind w:firstLine="480"/>
        <w:rPr>
          <w:rFonts w:ascii="宋体" w:hAnsi="宋体" w:cs="宋体"/>
          <w:sz w:val="24"/>
        </w:rPr>
      </w:pPr>
      <w:r>
        <w:rPr>
          <w:rFonts w:hint="eastAsia" w:ascii="宋体" w:hAnsi="宋体" w:cs="宋体"/>
          <w:sz w:val="24"/>
        </w:rPr>
        <w:t>1.因履行本合同引起的或与本合同有关的争议，甲、乙双方应首先通过友好协商解决，如果协商不能解决争议，则采取以下第（ ）种方式解决争议：</w:t>
      </w:r>
    </w:p>
    <w:p w14:paraId="0462FA3B">
      <w:pPr>
        <w:spacing w:line="360" w:lineRule="auto"/>
        <w:ind w:firstLine="480"/>
        <w:rPr>
          <w:rFonts w:ascii="宋体" w:hAnsi="宋体" w:cs="宋体"/>
          <w:sz w:val="24"/>
        </w:rPr>
      </w:pPr>
      <w:r>
        <w:rPr>
          <w:rFonts w:hint="eastAsia" w:ascii="宋体" w:hAnsi="宋体" w:cs="宋体"/>
          <w:sz w:val="24"/>
        </w:rPr>
        <w:t>（1）向甲方所在地人民法院提起诉讼；</w:t>
      </w:r>
    </w:p>
    <w:p w14:paraId="3BB6BEAA">
      <w:pPr>
        <w:spacing w:line="360" w:lineRule="auto"/>
        <w:ind w:firstLine="480"/>
        <w:rPr>
          <w:rFonts w:ascii="宋体" w:hAnsi="宋体" w:cs="宋体"/>
          <w:sz w:val="24"/>
        </w:rPr>
      </w:pPr>
      <w:r>
        <w:rPr>
          <w:rFonts w:hint="eastAsia" w:ascii="宋体" w:hAnsi="宋体" w:cs="宋体"/>
          <w:sz w:val="24"/>
        </w:rPr>
        <w:t>（2）向甲方所在地仲裁委员会按其仲裁规则申请仲裁。</w:t>
      </w:r>
    </w:p>
    <w:p w14:paraId="33EC3753">
      <w:pPr>
        <w:spacing w:line="360" w:lineRule="auto"/>
        <w:ind w:firstLine="480"/>
        <w:rPr>
          <w:rFonts w:ascii="宋体" w:hAnsi="宋体" w:cs="宋体"/>
          <w:sz w:val="24"/>
        </w:rPr>
      </w:pPr>
      <w:r>
        <w:rPr>
          <w:rFonts w:hint="eastAsia" w:ascii="宋体" w:hAnsi="宋体" w:cs="宋体"/>
          <w:sz w:val="24"/>
        </w:rPr>
        <w:t>如没有约定，默认采取第2种方式解决争议。</w:t>
      </w:r>
    </w:p>
    <w:p w14:paraId="0BA04074">
      <w:pPr>
        <w:spacing w:line="360" w:lineRule="auto"/>
        <w:ind w:firstLine="480"/>
        <w:rPr>
          <w:rFonts w:ascii="宋体" w:hAnsi="宋体" w:cs="宋体"/>
          <w:sz w:val="24"/>
        </w:rPr>
      </w:pPr>
      <w:r>
        <w:rPr>
          <w:rFonts w:hint="eastAsia" w:ascii="宋体" w:hAnsi="宋体" w:cs="宋体"/>
          <w:sz w:val="24"/>
        </w:rPr>
        <w:t>2.在法院审理和仲裁期间，除有争议部分外，本合同其他部分应继续履行。</w:t>
      </w:r>
    </w:p>
    <w:p w14:paraId="636BF582">
      <w:pPr>
        <w:spacing w:line="360" w:lineRule="auto"/>
        <w:ind w:firstLine="482"/>
        <w:rPr>
          <w:rFonts w:ascii="宋体" w:hAnsi="宋体" w:cs="宋体"/>
          <w:b/>
          <w:sz w:val="24"/>
        </w:rPr>
      </w:pPr>
      <w:r>
        <w:rPr>
          <w:rFonts w:hint="eastAsia" w:ascii="宋体" w:hAnsi="宋体" w:cs="宋体"/>
          <w:b/>
          <w:sz w:val="24"/>
        </w:rPr>
        <w:t xml:space="preserve">第十一条 诚实信用 </w:t>
      </w:r>
    </w:p>
    <w:p w14:paraId="68257864">
      <w:pPr>
        <w:spacing w:line="360" w:lineRule="auto"/>
        <w:ind w:firstLine="480"/>
        <w:rPr>
          <w:rFonts w:ascii="宋体" w:hAnsi="宋体" w:cs="宋体"/>
          <w:sz w:val="24"/>
        </w:rPr>
      </w:pPr>
      <w:r>
        <w:rPr>
          <w:rFonts w:hint="eastAsia" w:ascii="宋体" w:hAnsi="宋体" w:cs="宋体"/>
          <w:sz w:val="24"/>
        </w:rPr>
        <w:t>乙方应诚实信用，严格按照招标文件要求和投标承诺履行合同，不向甲方进行商业贿赂或者提供不正当利益。</w:t>
      </w:r>
    </w:p>
    <w:p w14:paraId="490B56CF">
      <w:pPr>
        <w:spacing w:line="360" w:lineRule="auto"/>
        <w:ind w:firstLine="482"/>
        <w:rPr>
          <w:rFonts w:ascii="宋体" w:hAnsi="宋体" w:cs="宋体"/>
          <w:b/>
          <w:sz w:val="24"/>
        </w:rPr>
      </w:pPr>
      <w:r>
        <w:rPr>
          <w:rFonts w:hint="eastAsia" w:ascii="宋体" w:hAnsi="宋体" w:cs="宋体"/>
          <w:b/>
          <w:sz w:val="24"/>
        </w:rPr>
        <w:t>第十二条 合同生效及其他</w:t>
      </w:r>
    </w:p>
    <w:p w14:paraId="46873579">
      <w:pPr>
        <w:spacing w:line="360" w:lineRule="auto"/>
        <w:ind w:firstLine="480"/>
        <w:rPr>
          <w:rFonts w:hint="eastAsia" w:ascii="宋体" w:hAnsi="宋体" w:cs="宋体"/>
          <w:sz w:val="24"/>
        </w:rPr>
      </w:pPr>
      <w:r>
        <w:rPr>
          <w:rFonts w:hint="eastAsia" w:ascii="宋体" w:hAnsi="宋体" w:cs="宋体"/>
          <w:sz w:val="24"/>
        </w:rPr>
        <w:t>1.本合同自经甲乙双方授权代表签订并加盖公章后，自签订之日起生效。</w:t>
      </w:r>
    </w:p>
    <w:p w14:paraId="5FA536E3">
      <w:pPr>
        <w:spacing w:line="360" w:lineRule="auto"/>
        <w:ind w:firstLine="480"/>
        <w:rPr>
          <w:rFonts w:ascii="宋体" w:hAnsi="宋体" w:cs="宋体"/>
          <w:sz w:val="24"/>
        </w:rPr>
      </w:pPr>
      <w:r>
        <w:rPr>
          <w:rFonts w:hint="eastAsia" w:ascii="宋体" w:hAnsi="宋体" w:cs="宋体"/>
          <w:sz w:val="24"/>
        </w:rPr>
        <w:t>2.本合同一式伍份，甲乙双方各执贰份，代理机构执壹份存档。</w:t>
      </w:r>
    </w:p>
    <w:p w14:paraId="371A62DE">
      <w:pPr>
        <w:spacing w:line="360" w:lineRule="auto"/>
        <w:ind w:firstLine="480"/>
        <w:rPr>
          <w:rFonts w:ascii="宋体" w:hAnsi="宋体" w:cs="宋体"/>
          <w:sz w:val="24"/>
        </w:rPr>
      </w:pPr>
      <w:r>
        <w:rPr>
          <w:rFonts w:hint="eastAsia" w:ascii="宋体" w:hAnsi="宋体" w:cs="宋体"/>
          <w:sz w:val="24"/>
        </w:rPr>
        <w:t>3.本合同应按照中华人民共和国的现行法律进行解释。</w:t>
      </w:r>
    </w:p>
    <w:p w14:paraId="3F8A7E5F">
      <w:pPr>
        <w:spacing w:line="360" w:lineRule="auto"/>
        <w:jc w:val="left"/>
        <w:rPr>
          <w:rFonts w:ascii="宋体" w:hAnsi="宋体" w:cs="宋体"/>
          <w:b/>
          <w:bCs/>
          <w:sz w:val="24"/>
        </w:rPr>
      </w:pPr>
    </w:p>
    <w:p w14:paraId="0C583276">
      <w:pPr>
        <w:spacing w:line="360" w:lineRule="auto"/>
        <w:jc w:val="left"/>
        <w:rPr>
          <w:rFonts w:ascii="宋体" w:hAnsi="宋体" w:cs="宋体"/>
          <w:b/>
          <w:bCs/>
          <w:sz w:val="24"/>
        </w:rPr>
      </w:pPr>
    </w:p>
    <w:p w14:paraId="7F2B5125">
      <w:pPr>
        <w:spacing w:line="360" w:lineRule="auto"/>
        <w:jc w:val="left"/>
        <w:rPr>
          <w:rFonts w:ascii="宋体" w:hAnsi="宋体" w:cs="宋体"/>
          <w:b/>
          <w:bCs/>
          <w:sz w:val="24"/>
        </w:rPr>
      </w:pPr>
    </w:p>
    <w:p w14:paraId="380FC47B">
      <w:pPr>
        <w:spacing w:line="360" w:lineRule="auto"/>
        <w:jc w:val="left"/>
        <w:rPr>
          <w:rFonts w:ascii="宋体" w:hAnsi="宋体" w:cs="宋体"/>
          <w:sz w:val="24"/>
        </w:rPr>
      </w:pPr>
      <w:r>
        <w:rPr>
          <w:rFonts w:hint="eastAsia" w:ascii="宋体" w:hAnsi="宋体" w:cs="宋体"/>
          <w:b/>
          <w:bCs/>
          <w:sz w:val="24"/>
        </w:rPr>
        <w:t>甲    方</w:t>
      </w:r>
      <w:r>
        <w:rPr>
          <w:rFonts w:hint="eastAsia" w:ascii="宋体" w:hAnsi="宋体" w:cs="宋体"/>
          <w:sz w:val="24"/>
        </w:rPr>
        <w:t xml:space="preserve">：                               </w:t>
      </w:r>
      <w:r>
        <w:rPr>
          <w:rFonts w:hint="eastAsia" w:ascii="宋体" w:hAnsi="宋体" w:cs="宋体"/>
          <w:b/>
          <w:bCs/>
          <w:sz w:val="24"/>
        </w:rPr>
        <w:t>乙    方</w:t>
      </w:r>
      <w:r>
        <w:rPr>
          <w:rFonts w:hint="eastAsia" w:ascii="宋体" w:hAnsi="宋体" w:cs="宋体"/>
          <w:sz w:val="24"/>
        </w:rPr>
        <w:t>：</w:t>
      </w:r>
    </w:p>
    <w:p w14:paraId="05C038DB">
      <w:pPr>
        <w:spacing w:line="360" w:lineRule="auto"/>
        <w:rPr>
          <w:rFonts w:ascii="宋体" w:hAnsi="宋体" w:cs="宋体"/>
          <w:sz w:val="24"/>
          <w:u w:val="single"/>
        </w:rPr>
      </w:pPr>
      <w:r>
        <w:rPr>
          <w:rFonts w:hint="eastAsia" w:ascii="宋体" w:hAnsi="宋体" w:cs="宋体"/>
          <w:sz w:val="24"/>
        </w:rPr>
        <w:t>单位名称（章）：                         单位名称（章）：</w:t>
      </w:r>
    </w:p>
    <w:p w14:paraId="41F924E7">
      <w:pPr>
        <w:spacing w:line="360" w:lineRule="auto"/>
        <w:rPr>
          <w:rFonts w:ascii="宋体" w:hAnsi="宋体" w:cs="宋体"/>
          <w:sz w:val="24"/>
          <w:u w:val="single"/>
        </w:rPr>
      </w:pPr>
      <w:r>
        <w:rPr>
          <w:rFonts w:hint="eastAsia" w:ascii="宋体" w:hAnsi="宋体" w:cs="宋体"/>
          <w:sz w:val="24"/>
        </w:rPr>
        <w:t>单位地址：                               单位地址：</w:t>
      </w:r>
    </w:p>
    <w:p w14:paraId="78D77A80">
      <w:pPr>
        <w:spacing w:line="360" w:lineRule="auto"/>
        <w:rPr>
          <w:rFonts w:hint="eastAsia" w:ascii="宋体" w:hAnsi="宋体" w:cs="宋体"/>
          <w:sz w:val="24"/>
        </w:rPr>
      </w:pPr>
      <w:r>
        <w:rPr>
          <w:rFonts w:hint="eastAsia" w:ascii="宋体" w:hAnsi="宋体" w:cs="宋体"/>
          <w:sz w:val="24"/>
        </w:rPr>
        <w:t>法定代表人</w:t>
      </w:r>
      <w:r>
        <w:rPr>
          <w:rFonts w:hint="eastAsia" w:ascii="宋体" w:hAnsi="宋体" w:cs="宋体"/>
          <w:sz w:val="24"/>
          <w:lang w:val="en-US" w:eastAsia="zh-CN"/>
        </w:rPr>
        <w:t xml:space="preserve">                               </w:t>
      </w:r>
      <w:r>
        <w:rPr>
          <w:rFonts w:hint="eastAsia" w:ascii="宋体" w:hAnsi="宋体" w:cs="宋体"/>
          <w:sz w:val="24"/>
        </w:rPr>
        <w:t>法定代表人</w:t>
      </w:r>
    </w:p>
    <w:p w14:paraId="24D0C2A0">
      <w:pPr>
        <w:spacing w:line="360" w:lineRule="auto"/>
        <w:rPr>
          <w:rFonts w:ascii="宋体" w:hAnsi="宋体" w:cs="宋体"/>
          <w:sz w:val="24"/>
        </w:rPr>
      </w:pPr>
      <w:r>
        <w:rPr>
          <w:rFonts w:hint="eastAsia" w:ascii="宋体" w:hAnsi="宋体" w:cs="宋体"/>
          <w:sz w:val="24"/>
          <w:lang w:val="en-US" w:eastAsia="zh-CN"/>
        </w:rPr>
        <w:t>或</w:t>
      </w:r>
      <w:r>
        <w:rPr>
          <w:rFonts w:hint="eastAsia" w:ascii="宋体" w:hAnsi="宋体" w:cs="宋体"/>
          <w:sz w:val="24"/>
        </w:rPr>
        <w:t>委托代理人</w:t>
      </w:r>
      <w:r>
        <w:rPr>
          <w:rFonts w:hint="eastAsia" w:ascii="宋体" w:hAnsi="宋体" w:cs="宋体"/>
          <w:sz w:val="24"/>
          <w:lang w:eastAsia="zh-CN"/>
        </w:rPr>
        <w:t>（</w:t>
      </w:r>
      <w:r>
        <w:rPr>
          <w:rFonts w:hint="eastAsia" w:ascii="宋体" w:hAnsi="宋体" w:cs="宋体"/>
          <w:sz w:val="24"/>
          <w:lang w:val="en-US" w:eastAsia="zh-CN"/>
        </w:rPr>
        <w:t>签字</w:t>
      </w:r>
      <w:r>
        <w:rPr>
          <w:rFonts w:hint="eastAsia" w:ascii="宋体" w:hAnsi="宋体" w:cs="宋体"/>
          <w:sz w:val="24"/>
          <w:lang w:eastAsia="zh-CN"/>
        </w:rPr>
        <w:t>）</w:t>
      </w:r>
      <w:r>
        <w:rPr>
          <w:rFonts w:hint="eastAsia" w:ascii="宋体" w:hAnsi="宋体" w:cs="宋体"/>
          <w:sz w:val="24"/>
        </w:rPr>
        <w:t xml:space="preserve">：                  </w:t>
      </w:r>
      <w:r>
        <w:rPr>
          <w:rFonts w:hint="eastAsia" w:ascii="宋体" w:hAnsi="宋体" w:cs="宋体"/>
          <w:sz w:val="24"/>
          <w:lang w:val="en-US" w:eastAsia="zh-CN"/>
        </w:rPr>
        <w:t xml:space="preserve"> 或</w:t>
      </w:r>
      <w:r>
        <w:rPr>
          <w:rFonts w:hint="eastAsia" w:ascii="宋体" w:hAnsi="宋体" w:cs="宋体"/>
          <w:sz w:val="24"/>
        </w:rPr>
        <w:t>委托代理人</w:t>
      </w:r>
      <w:r>
        <w:rPr>
          <w:rFonts w:hint="eastAsia" w:ascii="宋体" w:hAnsi="宋体" w:cs="宋体"/>
          <w:sz w:val="24"/>
          <w:lang w:eastAsia="zh-CN"/>
        </w:rPr>
        <w:t>（</w:t>
      </w:r>
      <w:r>
        <w:rPr>
          <w:rFonts w:hint="eastAsia" w:ascii="宋体" w:hAnsi="宋体" w:cs="宋体"/>
          <w:sz w:val="24"/>
          <w:lang w:val="en-US" w:eastAsia="zh-CN"/>
        </w:rPr>
        <w:t>签字</w:t>
      </w:r>
      <w:r>
        <w:rPr>
          <w:rFonts w:hint="eastAsia" w:ascii="宋体" w:hAnsi="宋体" w:cs="宋体"/>
          <w:sz w:val="24"/>
          <w:lang w:eastAsia="zh-CN"/>
        </w:rPr>
        <w:t>）</w:t>
      </w:r>
      <w:r>
        <w:rPr>
          <w:rFonts w:hint="eastAsia" w:ascii="宋体" w:hAnsi="宋体" w:cs="宋体"/>
          <w:sz w:val="24"/>
        </w:rPr>
        <w:t xml:space="preserve">： </w:t>
      </w:r>
    </w:p>
    <w:p w14:paraId="6229F25D">
      <w:pPr>
        <w:spacing w:line="360" w:lineRule="auto"/>
        <w:rPr>
          <w:rFonts w:ascii="宋体" w:hAnsi="宋体" w:cs="宋体"/>
          <w:sz w:val="24"/>
        </w:rPr>
      </w:pPr>
      <w:r>
        <w:rPr>
          <w:rFonts w:hint="eastAsia" w:ascii="宋体" w:hAnsi="宋体" w:cs="宋体"/>
          <w:sz w:val="24"/>
        </w:rPr>
        <w:t>电话：                                   电话：            传真：</w:t>
      </w:r>
    </w:p>
    <w:p w14:paraId="77E141D9">
      <w:pPr>
        <w:rPr>
          <w:rFonts w:hint="eastAsia" w:ascii="宋体" w:hAnsi="宋体" w:cs="宋体"/>
          <w:szCs w:val="21"/>
        </w:rPr>
      </w:pPr>
      <w:r>
        <w:rPr>
          <w:rFonts w:hint="eastAsia" w:ascii="宋体" w:hAnsi="宋体" w:cs="宋体"/>
          <w:sz w:val="24"/>
        </w:rPr>
        <w:t>传真：                                   开户银行：        账号</w:t>
      </w:r>
      <w:r>
        <w:rPr>
          <w:rFonts w:hint="eastAsia" w:ascii="宋体" w:hAnsi="宋体" w:cs="宋体"/>
          <w:szCs w:val="21"/>
        </w:rPr>
        <w:t xml:space="preserve">：   </w:t>
      </w:r>
    </w:p>
    <w:p w14:paraId="5DC58A7F">
      <w:pPr>
        <w:rPr>
          <w:rFonts w:hint="eastAsia" w:ascii="宋体" w:hAnsi="宋体" w:cs="宋体"/>
          <w:szCs w:val="21"/>
          <w:lang w:val="en-US" w:eastAsia="zh-CN"/>
        </w:rPr>
      </w:pPr>
      <w:r>
        <w:rPr>
          <w:rFonts w:hint="eastAsia" w:ascii="宋体" w:hAnsi="宋体" w:cs="宋体"/>
          <w:szCs w:val="21"/>
          <w:lang w:val="en-US" w:eastAsia="zh-CN"/>
        </w:rPr>
        <w:t xml:space="preserve"> </w:t>
      </w:r>
    </w:p>
    <w:p w14:paraId="5091F136">
      <w:pPr>
        <w:rPr>
          <w:rFonts w:ascii="宋体" w:hAnsi="宋体" w:eastAsia="宋体" w:cs="宋体"/>
          <w:sz w:val="24"/>
          <w:lang w:val="en-US" w:eastAsia="zh-CN"/>
        </w:rPr>
      </w:pPr>
      <w:r>
        <w:rPr>
          <w:rFonts w:hint="eastAsia" w:ascii="宋体" w:hAnsi="宋体" w:eastAsia="宋体" w:cs="宋体"/>
          <w:sz w:val="24"/>
          <w:lang w:val="en-US" w:eastAsia="zh-CN"/>
        </w:rPr>
        <w:t>日期：  年  月  日                       日期：  年  月  日</w:t>
      </w:r>
    </w:p>
    <w:p w14:paraId="2BA4966D">
      <w:pPr>
        <w:rPr>
          <w:rFonts w:ascii="宋体" w:hAnsi="宋体" w:eastAsia="宋体" w:cs="宋体"/>
          <w:sz w:val="24"/>
          <w:lang w:val="en-US" w:eastAsia="zh-CN"/>
        </w:rPr>
      </w:pPr>
    </w:p>
    <w:p w14:paraId="206AC680">
      <w:pPr>
        <w:rPr>
          <w:rFonts w:hint="eastAsia" w:ascii="宋体" w:hAnsi="宋体" w:cs="宋体"/>
          <w:szCs w:val="21"/>
        </w:rPr>
      </w:pPr>
    </w:p>
    <w:p w14:paraId="24B1B753">
      <w:pPr>
        <w:rPr>
          <w:rFonts w:hint="eastAsia" w:ascii="宋体" w:hAnsi="宋体" w:cs="宋体"/>
          <w:szCs w:val="21"/>
        </w:rPr>
      </w:pPr>
    </w:p>
    <w:p w14:paraId="4E34C687">
      <w:pPr>
        <w:rPr>
          <w:rFonts w:hint="eastAsia" w:ascii="宋体" w:hAnsi="宋体" w:cs="宋体"/>
          <w:szCs w:val="21"/>
        </w:rPr>
      </w:pPr>
    </w:p>
    <w:p w14:paraId="4184E9EA">
      <w:pPr>
        <w:rPr>
          <w:rFonts w:hint="eastAsia" w:ascii="宋体" w:hAnsi="宋体" w:cs="宋体"/>
          <w:szCs w:val="21"/>
        </w:rPr>
      </w:pPr>
    </w:p>
    <w:p w14:paraId="05C394B4">
      <w:pPr>
        <w:rPr>
          <w:rFonts w:hint="eastAsia" w:ascii="宋体" w:hAnsi="宋体" w:cs="宋体"/>
          <w:szCs w:val="21"/>
        </w:rPr>
      </w:pPr>
    </w:p>
    <w:p w14:paraId="024B812F">
      <w:pPr>
        <w:rPr>
          <w:rFonts w:hint="eastAsia" w:ascii="宋体" w:hAnsi="宋体" w:cs="宋体"/>
          <w:szCs w:val="21"/>
        </w:rPr>
      </w:pPr>
    </w:p>
    <w:p w14:paraId="668974DA">
      <w:pPr>
        <w:rPr>
          <w:rFonts w:hint="eastAsia" w:ascii="宋体" w:hAnsi="宋体" w:cs="宋体"/>
          <w:szCs w:val="21"/>
        </w:rPr>
      </w:pPr>
    </w:p>
    <w:p w14:paraId="34F49840">
      <w:pPr>
        <w:rPr>
          <w:rFonts w:hint="eastAsia" w:ascii="宋体" w:hAnsi="宋体" w:cs="宋体"/>
          <w:szCs w:val="21"/>
        </w:rPr>
      </w:pPr>
    </w:p>
    <w:p w14:paraId="468186FA">
      <w:pPr>
        <w:rPr>
          <w:rFonts w:hint="eastAsia" w:ascii="宋体" w:hAnsi="宋体" w:cs="宋体"/>
          <w:szCs w:val="21"/>
        </w:rPr>
      </w:pPr>
    </w:p>
    <w:p w14:paraId="18CE410B">
      <w:pPr>
        <w:rPr>
          <w:rFonts w:hint="eastAsia" w:ascii="宋体" w:hAnsi="宋体" w:cs="宋体"/>
          <w:szCs w:val="21"/>
        </w:rPr>
      </w:pPr>
    </w:p>
    <w:p w14:paraId="7E6E125C">
      <w:pPr>
        <w:rPr>
          <w:rFonts w:hint="eastAsia" w:ascii="宋体" w:hAnsi="宋体" w:cs="宋体"/>
          <w:szCs w:val="21"/>
        </w:rPr>
      </w:pPr>
    </w:p>
    <w:p w14:paraId="4BFDB147">
      <w:pPr>
        <w:rPr>
          <w:rFonts w:hint="eastAsia" w:ascii="宋体" w:hAnsi="宋体" w:cs="宋体"/>
          <w:szCs w:val="21"/>
        </w:rPr>
      </w:pPr>
    </w:p>
    <w:p w14:paraId="3B4D0DC2">
      <w:pPr>
        <w:rPr>
          <w:rFonts w:hint="eastAsia" w:ascii="宋体" w:hAnsi="宋体" w:cs="宋体"/>
          <w:szCs w:val="21"/>
        </w:rPr>
      </w:pPr>
    </w:p>
    <w:p w14:paraId="36CE7A0B">
      <w:pPr>
        <w:rPr>
          <w:rFonts w:hint="eastAsia" w:ascii="宋体" w:hAnsi="宋体" w:cs="宋体"/>
          <w:szCs w:val="21"/>
        </w:rPr>
      </w:pPr>
    </w:p>
    <w:p w14:paraId="0D6C0CD1">
      <w:pPr>
        <w:rPr>
          <w:rFonts w:hint="eastAsia" w:ascii="宋体" w:hAnsi="宋体" w:cs="宋体"/>
          <w:szCs w:val="21"/>
        </w:rPr>
      </w:pPr>
    </w:p>
    <w:p w14:paraId="65FEA4AA">
      <w:pPr>
        <w:spacing w:line="360" w:lineRule="auto"/>
        <w:ind w:firstLine="3132"/>
        <w:jc w:val="left"/>
        <w:outlineLvl w:val="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第</w:t>
      </w:r>
      <w:r>
        <w:rPr>
          <w:rFonts w:hint="eastAsia" w:ascii="宋体" w:hAnsi="宋体" w:eastAsia="宋体" w:cs="宋体"/>
          <w:b/>
          <w:color w:val="000000"/>
          <w:sz w:val="24"/>
          <w:szCs w:val="24"/>
          <w:highlight w:val="none"/>
          <w:lang w:val="en-US" w:eastAsia="zh-CN"/>
        </w:rPr>
        <w:t>七</w:t>
      </w:r>
      <w:r>
        <w:rPr>
          <w:rFonts w:hint="eastAsia" w:ascii="宋体" w:hAnsi="宋体" w:eastAsia="宋体" w:cs="宋体"/>
          <w:b/>
          <w:color w:val="000000"/>
          <w:sz w:val="24"/>
          <w:szCs w:val="24"/>
          <w:highlight w:val="none"/>
        </w:rPr>
        <w:t>章   响应文件格式</w:t>
      </w:r>
      <w:bookmarkEnd w:id="795"/>
    </w:p>
    <w:p w14:paraId="18704206">
      <w:pPr>
        <w:widowControl/>
        <w:spacing w:line="360" w:lineRule="auto"/>
        <w:jc w:val="left"/>
        <w:rPr>
          <w:rFonts w:hint="eastAsia" w:ascii="宋体" w:hAnsi="宋体" w:eastAsia="宋体" w:cs="宋体"/>
          <w:b/>
          <w:color w:val="000000"/>
          <w:sz w:val="24"/>
          <w:szCs w:val="24"/>
          <w:highlight w:val="none"/>
        </w:rPr>
      </w:pPr>
    </w:p>
    <w:p w14:paraId="441DF7DD">
      <w:pPr>
        <w:tabs>
          <w:tab w:val="left" w:pos="900"/>
          <w:tab w:val="left" w:pos="1980"/>
        </w:tabs>
        <w:spacing w:line="360" w:lineRule="auto"/>
        <w:ind w:left="142"/>
        <w:rPr>
          <w:sz w:val="24"/>
        </w:rPr>
      </w:pPr>
      <w:r>
        <w:rPr>
          <w:b/>
          <w:sz w:val="24"/>
        </w:rPr>
        <w:t>投标人编制文件须知</w:t>
      </w:r>
    </w:p>
    <w:p w14:paraId="5BAE1C18">
      <w:pPr>
        <w:tabs>
          <w:tab w:val="left" w:pos="900"/>
          <w:tab w:val="left" w:pos="1980"/>
        </w:tabs>
        <w:spacing w:line="360" w:lineRule="auto"/>
        <w:ind w:left="142"/>
        <w:rPr>
          <w:sz w:val="24"/>
        </w:rPr>
      </w:pPr>
      <w:r>
        <w:rPr>
          <w:sz w:val="24"/>
        </w:rPr>
        <w:t>1、投标人按照本部分的顺序编制投标文件（资格证明文件）、投标文件（商务技术文件），编制中涉及格式资料的，应按照本部分提供的内容和格式（所有表格的格式可扩展）填写提交。</w:t>
      </w:r>
    </w:p>
    <w:p w14:paraId="287311C7">
      <w:pPr>
        <w:tabs>
          <w:tab w:val="left" w:pos="900"/>
          <w:tab w:val="left" w:pos="1980"/>
        </w:tabs>
        <w:spacing w:line="360" w:lineRule="auto"/>
        <w:ind w:left="142"/>
        <w:rPr>
          <w:sz w:val="24"/>
        </w:rPr>
      </w:pPr>
      <w:r>
        <w:rPr>
          <w:sz w:val="24"/>
        </w:rPr>
        <w:t>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sz w:val="24"/>
        </w:rPr>
        <w:t>投标无效</w:t>
      </w:r>
      <w:r>
        <w:rPr>
          <w:sz w:val="24"/>
        </w:rPr>
        <w:t>。未标记“实质性格式”的文件和招标文件未提供格式的内容，可由投标人自行编写。</w:t>
      </w:r>
    </w:p>
    <w:p w14:paraId="1B1C25BC">
      <w:pPr>
        <w:tabs>
          <w:tab w:val="left" w:pos="900"/>
          <w:tab w:val="left" w:pos="1980"/>
        </w:tabs>
        <w:spacing w:line="360" w:lineRule="auto"/>
        <w:ind w:left="142"/>
        <w:rPr>
          <w:rFonts w:hint="eastAsia"/>
          <w:sz w:val="24"/>
        </w:rPr>
      </w:pPr>
      <w:r>
        <w:rPr>
          <w:sz w:val="24"/>
        </w:rPr>
        <w:t>3、全部声明和问题的回答及所附材料必须是真实的、准确的和完整的。</w:t>
      </w:r>
    </w:p>
    <w:p w14:paraId="58EF9B01">
      <w:pPr>
        <w:tabs>
          <w:tab w:val="left" w:pos="900"/>
          <w:tab w:val="left" w:pos="1980"/>
        </w:tabs>
        <w:spacing w:line="360" w:lineRule="auto"/>
        <w:ind w:left="142"/>
        <w:rPr>
          <w:sz w:val="24"/>
        </w:rPr>
      </w:pPr>
      <w:r>
        <w:rPr>
          <w:rFonts w:hint="eastAsia"/>
          <w:sz w:val="24"/>
        </w:rPr>
        <w:t>4、实行电子化不见面交易方式的，加盖公章、签名等均通过</w:t>
      </w:r>
      <w:r>
        <w:rPr>
          <w:sz w:val="24"/>
        </w:rPr>
        <w:t>投标文件编制工具</w:t>
      </w:r>
      <w:r>
        <w:rPr>
          <w:rFonts w:hint="eastAsia"/>
          <w:sz w:val="24"/>
        </w:rPr>
        <w:t>加盖电子公章、</w:t>
      </w:r>
      <w:r>
        <w:rPr>
          <w:rFonts w:ascii="宋体" w:hAnsi="宋体"/>
          <w:color w:val="000000"/>
          <w:sz w:val="24"/>
          <w:szCs w:val="20"/>
        </w:rPr>
        <w:t>签字</w:t>
      </w:r>
      <w:r>
        <w:rPr>
          <w:rFonts w:hint="eastAsia" w:ascii="宋体" w:hAnsi="宋体"/>
          <w:color w:val="000000"/>
          <w:sz w:val="24"/>
          <w:szCs w:val="20"/>
        </w:rPr>
        <w:t>、签章</w:t>
      </w:r>
      <w:r>
        <w:rPr>
          <w:rFonts w:ascii="宋体" w:hAnsi="宋体"/>
          <w:color w:val="000000"/>
          <w:sz w:val="24"/>
          <w:szCs w:val="20"/>
        </w:rPr>
        <w:t>或</w:t>
      </w:r>
      <w:r>
        <w:rPr>
          <w:rFonts w:hint="eastAsia" w:ascii="宋体" w:hAnsi="宋体"/>
          <w:color w:val="000000"/>
          <w:sz w:val="24"/>
          <w:szCs w:val="20"/>
        </w:rPr>
        <w:t>印鉴</w:t>
      </w:r>
      <w:r>
        <w:rPr>
          <w:rFonts w:hint="eastAsia"/>
          <w:sz w:val="24"/>
        </w:rPr>
        <w:t>。</w:t>
      </w:r>
    </w:p>
    <w:p w14:paraId="2B895B0B">
      <w:pPr>
        <w:tabs>
          <w:tab w:val="left" w:pos="900"/>
          <w:tab w:val="left" w:pos="1980"/>
        </w:tabs>
        <w:spacing w:line="360" w:lineRule="auto"/>
        <w:ind w:left="142"/>
        <w:rPr>
          <w:rFonts w:hint="eastAsia" w:ascii="宋体" w:hAnsi="宋体" w:eastAsia="宋体" w:cs="宋体"/>
          <w:color w:val="000000"/>
          <w:sz w:val="24"/>
          <w:szCs w:val="24"/>
          <w:highlight w:val="none"/>
        </w:rPr>
      </w:pPr>
    </w:p>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p w14:paraId="63B68028">
      <w:pPr>
        <w:widowControl/>
        <w:jc w:val="left"/>
        <w:rPr>
          <w:rFonts w:hint="eastAsia" w:ascii="宋体" w:hAnsi="宋体" w:eastAsia="宋体" w:cs="宋体"/>
          <w:b/>
          <w:color w:val="000000"/>
          <w:spacing w:val="20"/>
          <w:sz w:val="24"/>
          <w:szCs w:val="24"/>
          <w:highlight w:val="none"/>
        </w:rPr>
      </w:pPr>
    </w:p>
    <w:p w14:paraId="7228297A">
      <w:pPr>
        <w:pStyle w:val="185"/>
        <w:rPr>
          <w:rFonts w:hint="eastAsia" w:ascii="宋体" w:hAnsi="宋体" w:eastAsia="宋体" w:cs="宋体"/>
          <w:b w:val="0"/>
          <w:color w:val="000000"/>
          <w:spacing w:val="20"/>
          <w:sz w:val="24"/>
          <w:szCs w:val="24"/>
          <w:highlight w:val="none"/>
        </w:rPr>
      </w:pPr>
    </w:p>
    <w:p w14:paraId="4A302318">
      <w:pPr>
        <w:rPr>
          <w:rFonts w:hint="eastAsia" w:ascii="宋体" w:hAnsi="宋体" w:eastAsia="宋体" w:cs="宋体"/>
          <w:b/>
          <w:color w:val="000000"/>
          <w:spacing w:val="20"/>
          <w:sz w:val="24"/>
          <w:szCs w:val="24"/>
          <w:highlight w:val="none"/>
        </w:rPr>
      </w:pPr>
    </w:p>
    <w:p w14:paraId="3EB62D49">
      <w:pPr>
        <w:pStyle w:val="185"/>
        <w:rPr>
          <w:rFonts w:hint="eastAsia" w:ascii="宋体" w:hAnsi="宋体" w:eastAsia="宋体" w:cs="宋体"/>
          <w:b w:val="0"/>
          <w:color w:val="000000"/>
          <w:spacing w:val="20"/>
          <w:sz w:val="24"/>
          <w:szCs w:val="24"/>
          <w:highlight w:val="none"/>
        </w:rPr>
      </w:pPr>
    </w:p>
    <w:p w14:paraId="52FA7BD1">
      <w:pPr>
        <w:rPr>
          <w:rFonts w:hint="eastAsia" w:ascii="宋体" w:hAnsi="宋体" w:eastAsia="宋体" w:cs="宋体"/>
          <w:b/>
          <w:color w:val="000000"/>
          <w:spacing w:val="20"/>
          <w:sz w:val="24"/>
          <w:szCs w:val="24"/>
          <w:highlight w:val="none"/>
        </w:rPr>
      </w:pPr>
    </w:p>
    <w:p w14:paraId="34850B7B">
      <w:pPr>
        <w:pStyle w:val="185"/>
        <w:rPr>
          <w:rFonts w:hint="eastAsia" w:ascii="宋体" w:hAnsi="宋体" w:eastAsia="宋体" w:cs="宋体"/>
          <w:b w:val="0"/>
          <w:color w:val="000000"/>
          <w:spacing w:val="20"/>
          <w:sz w:val="24"/>
          <w:szCs w:val="24"/>
          <w:highlight w:val="none"/>
        </w:rPr>
      </w:pPr>
    </w:p>
    <w:p w14:paraId="73C49B04">
      <w:pPr>
        <w:rPr>
          <w:rFonts w:hint="eastAsia" w:ascii="宋体" w:hAnsi="宋体" w:eastAsia="宋体" w:cs="宋体"/>
          <w:b/>
          <w:color w:val="000000"/>
          <w:spacing w:val="20"/>
          <w:sz w:val="24"/>
          <w:szCs w:val="24"/>
          <w:highlight w:val="none"/>
        </w:rPr>
      </w:pPr>
    </w:p>
    <w:p w14:paraId="750B67BA">
      <w:pPr>
        <w:pStyle w:val="185"/>
        <w:rPr>
          <w:rFonts w:hint="eastAsia" w:ascii="宋体" w:hAnsi="宋体" w:eastAsia="宋体" w:cs="宋体"/>
          <w:b w:val="0"/>
          <w:color w:val="000000"/>
          <w:spacing w:val="20"/>
          <w:sz w:val="24"/>
          <w:szCs w:val="24"/>
          <w:highlight w:val="none"/>
        </w:rPr>
      </w:pPr>
    </w:p>
    <w:p w14:paraId="0020871B">
      <w:pPr>
        <w:rPr>
          <w:rFonts w:hint="eastAsia" w:ascii="宋体" w:hAnsi="宋体" w:eastAsia="宋体" w:cs="宋体"/>
          <w:b/>
          <w:color w:val="000000"/>
          <w:spacing w:val="20"/>
          <w:sz w:val="24"/>
          <w:szCs w:val="24"/>
          <w:highlight w:val="none"/>
        </w:rPr>
      </w:pPr>
    </w:p>
    <w:p w14:paraId="29C1EED0">
      <w:pPr>
        <w:pStyle w:val="185"/>
        <w:rPr>
          <w:rFonts w:hint="eastAsia" w:ascii="宋体" w:hAnsi="宋体" w:eastAsia="宋体" w:cs="宋体"/>
          <w:b w:val="0"/>
          <w:color w:val="000000"/>
          <w:spacing w:val="20"/>
          <w:sz w:val="24"/>
          <w:szCs w:val="24"/>
          <w:highlight w:val="none"/>
        </w:rPr>
      </w:pPr>
    </w:p>
    <w:p w14:paraId="6E2A3BCB">
      <w:pPr>
        <w:rPr>
          <w:rFonts w:hint="eastAsia" w:ascii="宋体" w:hAnsi="宋体" w:eastAsia="宋体" w:cs="宋体"/>
          <w:b/>
          <w:color w:val="000000"/>
          <w:spacing w:val="20"/>
          <w:sz w:val="24"/>
          <w:szCs w:val="24"/>
          <w:highlight w:val="none"/>
        </w:rPr>
      </w:pPr>
    </w:p>
    <w:p w14:paraId="493E5DC9">
      <w:pPr>
        <w:pStyle w:val="213"/>
        <w:rPr>
          <w:rFonts w:hint="eastAsia"/>
        </w:rPr>
      </w:pPr>
    </w:p>
    <w:p w14:paraId="64BB3B9B">
      <w:pPr>
        <w:rPr>
          <w:rFonts w:hint="eastAsia"/>
        </w:rPr>
      </w:pPr>
    </w:p>
    <w:p w14:paraId="7E8299AB">
      <w:pPr>
        <w:rPr>
          <w:rFonts w:hint="eastAsia"/>
        </w:rPr>
      </w:pPr>
    </w:p>
    <w:p w14:paraId="57684B27">
      <w:pPr>
        <w:rPr>
          <w:rFonts w:hint="eastAsia"/>
        </w:rPr>
      </w:pPr>
    </w:p>
    <w:p w14:paraId="25980AF6">
      <w:pPr>
        <w:rPr>
          <w:b/>
          <w:sz w:val="24"/>
        </w:rPr>
      </w:pPr>
      <w:r>
        <w:rPr>
          <w:b/>
          <w:spacing w:val="20"/>
          <w:sz w:val="24"/>
        </w:rPr>
        <w:t>投标文件</w:t>
      </w:r>
      <w:r>
        <w:rPr>
          <w:b/>
          <w:sz w:val="24"/>
        </w:rPr>
        <w:t>封面（非实质性格式）</w:t>
      </w:r>
    </w:p>
    <w:p w14:paraId="50D9C656">
      <w:pPr>
        <w:jc w:val="center"/>
        <w:rPr>
          <w:szCs w:val="21"/>
        </w:rPr>
      </w:pPr>
    </w:p>
    <w:p w14:paraId="7644AB9E">
      <w:pPr>
        <w:jc w:val="center"/>
        <w:rPr>
          <w:b/>
          <w:spacing w:val="60"/>
          <w:sz w:val="84"/>
          <w:szCs w:val="84"/>
        </w:rPr>
      </w:pPr>
    </w:p>
    <w:p w14:paraId="64E77894">
      <w:pPr>
        <w:jc w:val="center"/>
        <w:rPr>
          <w:b/>
          <w:spacing w:val="60"/>
          <w:sz w:val="84"/>
          <w:szCs w:val="84"/>
        </w:rPr>
      </w:pPr>
    </w:p>
    <w:p w14:paraId="5C95E752">
      <w:pPr>
        <w:jc w:val="both"/>
        <w:rPr>
          <w:b/>
          <w:spacing w:val="60"/>
          <w:sz w:val="84"/>
          <w:szCs w:val="84"/>
        </w:rPr>
      </w:pPr>
    </w:p>
    <w:p w14:paraId="5355A351">
      <w:pPr>
        <w:jc w:val="center"/>
        <w:rPr>
          <w:b/>
          <w:spacing w:val="60"/>
          <w:sz w:val="84"/>
          <w:szCs w:val="84"/>
        </w:rPr>
      </w:pPr>
      <w:r>
        <w:rPr>
          <w:b/>
          <w:spacing w:val="60"/>
          <w:sz w:val="84"/>
          <w:szCs w:val="84"/>
        </w:rPr>
        <w:t>投 标 文 件</w:t>
      </w:r>
    </w:p>
    <w:p w14:paraId="16DA86BA">
      <w:pPr>
        <w:ind w:firstLine="963"/>
        <w:rPr>
          <w:rFonts w:hint="eastAsia"/>
          <w:b/>
          <w:spacing w:val="60"/>
          <w:sz w:val="52"/>
          <w:szCs w:val="52"/>
        </w:rPr>
      </w:pPr>
    </w:p>
    <w:p w14:paraId="1AD4B681">
      <w:pPr>
        <w:rPr>
          <w:rFonts w:hint="eastAsia"/>
          <w:b/>
          <w:spacing w:val="60"/>
          <w:sz w:val="52"/>
          <w:szCs w:val="52"/>
        </w:rPr>
      </w:pPr>
    </w:p>
    <w:p w14:paraId="2D846A9C">
      <w:pPr>
        <w:ind w:firstLine="963"/>
        <w:rPr>
          <w:rFonts w:hint="eastAsia"/>
          <w:b/>
          <w:spacing w:val="60"/>
          <w:sz w:val="52"/>
          <w:szCs w:val="52"/>
        </w:rPr>
      </w:pPr>
    </w:p>
    <w:p w14:paraId="5E8A82BC">
      <w:pPr>
        <w:ind w:firstLine="542"/>
        <w:rPr>
          <w:b/>
          <w:spacing w:val="20"/>
          <w:sz w:val="32"/>
          <w:szCs w:val="32"/>
        </w:rPr>
      </w:pPr>
    </w:p>
    <w:p w14:paraId="25E0123A">
      <w:pPr>
        <w:ind w:firstLine="542"/>
        <w:rPr>
          <w:b/>
          <w:spacing w:val="20"/>
          <w:sz w:val="32"/>
          <w:szCs w:val="32"/>
        </w:rPr>
      </w:pPr>
    </w:p>
    <w:p w14:paraId="0A24B6A9">
      <w:pPr>
        <w:ind w:firstLine="1807"/>
        <w:rPr>
          <w:rFonts w:ascii="宋体" w:hAnsi="宋体"/>
          <w:b/>
          <w:sz w:val="36"/>
        </w:rPr>
      </w:pPr>
      <w:r>
        <w:rPr>
          <w:rFonts w:hint="eastAsia" w:ascii="宋体" w:hAnsi="宋体"/>
          <w:b/>
          <w:sz w:val="36"/>
        </w:rPr>
        <w:t>项 目 名 称：</w:t>
      </w:r>
      <w:r>
        <w:rPr>
          <w:rFonts w:hint="eastAsia" w:ascii="宋体" w:hAnsi="宋体"/>
          <w:b/>
          <w:sz w:val="36"/>
          <w:u w:val="single"/>
        </w:rPr>
        <w:t xml:space="preserve">               </w:t>
      </w:r>
    </w:p>
    <w:p w14:paraId="451D19CC">
      <w:pPr>
        <w:ind w:firstLine="1807"/>
        <w:rPr>
          <w:rFonts w:ascii="宋体" w:hAnsi="宋体"/>
          <w:b/>
          <w:sz w:val="36"/>
          <w:u w:val="single"/>
        </w:rPr>
      </w:pPr>
      <w:r>
        <w:rPr>
          <w:rFonts w:hint="eastAsia" w:ascii="宋体" w:hAnsi="宋体"/>
          <w:b/>
          <w:sz w:val="36"/>
        </w:rPr>
        <w:t>项 目 编 号：</w:t>
      </w:r>
      <w:r>
        <w:rPr>
          <w:rFonts w:hint="eastAsia" w:ascii="宋体" w:hAnsi="宋体"/>
          <w:b/>
          <w:sz w:val="36"/>
          <w:u w:val="single"/>
        </w:rPr>
        <w:t xml:space="preserve">               </w:t>
      </w:r>
    </w:p>
    <w:p w14:paraId="6A84C951">
      <w:pPr>
        <w:rPr>
          <w:rFonts w:ascii="宋体" w:hAnsi="宋体"/>
          <w:b/>
          <w:sz w:val="36"/>
          <w:u w:val="single"/>
        </w:rPr>
      </w:pPr>
      <w:r>
        <w:rPr>
          <w:rFonts w:hint="eastAsia" w:ascii="宋体" w:hAnsi="宋体"/>
          <w:b/>
          <w:sz w:val="36"/>
        </w:rPr>
        <w:t xml:space="preserve">      </w:t>
      </w:r>
      <w:r>
        <w:rPr>
          <w:rFonts w:hint="eastAsia" w:ascii="宋体" w:hAnsi="宋体"/>
          <w:b/>
          <w:sz w:val="36"/>
          <w:lang w:val="en-US" w:eastAsia="zh-CN"/>
        </w:rPr>
        <w:t xml:space="preserve">    </w:t>
      </w:r>
      <w:r>
        <w:rPr>
          <w:rFonts w:hint="eastAsia" w:ascii="宋体" w:hAnsi="宋体"/>
          <w:b/>
          <w:sz w:val="36"/>
        </w:rPr>
        <w:t>投标人名称 ：</w:t>
      </w:r>
      <w:r>
        <w:rPr>
          <w:rFonts w:hint="eastAsia" w:ascii="宋体" w:hAnsi="宋体"/>
          <w:b/>
          <w:sz w:val="36"/>
          <w:u w:val="single"/>
        </w:rPr>
        <w:t xml:space="preserve">               </w:t>
      </w:r>
    </w:p>
    <w:p w14:paraId="1937F380">
      <w:pPr>
        <w:rPr>
          <w:rFonts w:ascii="宋体" w:hAnsi="宋体"/>
          <w:b/>
          <w:sz w:val="36"/>
        </w:rPr>
      </w:pPr>
      <w:r>
        <w:rPr>
          <w:rFonts w:hint="eastAsia" w:ascii="宋体" w:hAnsi="宋体"/>
          <w:b/>
          <w:sz w:val="36"/>
        </w:rPr>
        <w:t xml:space="preserve">      </w:t>
      </w:r>
      <w:r>
        <w:rPr>
          <w:rFonts w:hint="eastAsia" w:ascii="宋体" w:hAnsi="宋体"/>
          <w:b/>
          <w:sz w:val="36"/>
          <w:lang w:val="en-US" w:eastAsia="zh-CN"/>
        </w:rPr>
        <w:t xml:space="preserve">    </w:t>
      </w:r>
      <w:r>
        <w:rPr>
          <w:rFonts w:hint="eastAsia" w:ascii="宋体" w:hAnsi="宋体"/>
          <w:b/>
          <w:sz w:val="36"/>
        </w:rPr>
        <w:t>日      期 ：</w:t>
      </w:r>
      <w:r>
        <w:rPr>
          <w:rFonts w:hint="eastAsia" w:ascii="宋体" w:hAnsi="宋体"/>
          <w:b/>
          <w:sz w:val="36"/>
          <w:u w:val="single"/>
        </w:rPr>
        <w:t xml:space="preserve">               </w:t>
      </w:r>
    </w:p>
    <w:p w14:paraId="2E826B3E">
      <w:pPr>
        <w:jc w:val="center"/>
        <w:rPr>
          <w:rFonts w:hint="eastAsia" w:ascii="宋体" w:hAnsi="宋体" w:eastAsia="宋体" w:cs="宋体"/>
          <w:b/>
          <w:color w:val="000000"/>
          <w:sz w:val="24"/>
          <w:szCs w:val="24"/>
          <w:highlight w:val="none"/>
        </w:rPr>
      </w:pPr>
    </w:p>
    <w:p w14:paraId="32F62596">
      <w:pPr>
        <w:jc w:val="center"/>
        <w:rPr>
          <w:rFonts w:ascii="宋体" w:hAnsi="宋体"/>
          <w:b/>
          <w:sz w:val="32"/>
          <w:szCs w:val="32"/>
        </w:rPr>
      </w:pPr>
      <w:r>
        <w:rPr>
          <w:rFonts w:hint="eastAsia" w:ascii="宋体" w:hAnsi="宋体" w:eastAsia="宋体" w:cs="宋体"/>
          <w:b/>
          <w:color w:val="000000"/>
          <w:spacing w:val="20"/>
          <w:sz w:val="24"/>
          <w:szCs w:val="24"/>
          <w:highlight w:val="none"/>
        </w:rPr>
        <w:br w:type="page" w:clear="all"/>
      </w:r>
      <w:r>
        <w:rPr>
          <w:rFonts w:hint="eastAsia" w:ascii="宋体" w:hAnsi="宋体"/>
          <w:b/>
          <w:sz w:val="32"/>
          <w:szCs w:val="32"/>
        </w:rPr>
        <w:t>一、资格证明文件</w:t>
      </w:r>
    </w:p>
    <w:p w14:paraId="428B53B8">
      <w:pPr>
        <w:rPr>
          <w:b/>
        </w:rPr>
      </w:pPr>
    </w:p>
    <w:p w14:paraId="067DDDD4">
      <w:pPr>
        <w:spacing w:line="360" w:lineRule="auto"/>
        <w:outlineLvl w:val="2"/>
        <w:rPr>
          <w:color w:val="000000"/>
          <w:sz w:val="24"/>
          <w:szCs w:val="20"/>
        </w:rPr>
      </w:pPr>
      <w:r>
        <w:rPr>
          <w:color w:val="000000"/>
          <w:sz w:val="24"/>
          <w:szCs w:val="20"/>
        </w:rPr>
        <w:t xml:space="preserve">1 </w:t>
      </w:r>
      <w:r>
        <w:rPr>
          <w:sz w:val="24"/>
        </w:rPr>
        <w:t>满足《中华人民共和国政府采购法》第二十二条规定及法律法规的其他规定</w:t>
      </w:r>
    </w:p>
    <w:p w14:paraId="5631A40E">
      <w:pPr>
        <w:pStyle w:val="185"/>
        <w:rPr>
          <w:rFonts w:ascii="Times New Roman"/>
          <w:b w:val="0"/>
          <w:bCs/>
          <w:color w:val="000000"/>
          <w:u w:val="none"/>
        </w:rPr>
      </w:pPr>
      <w:r>
        <w:rPr>
          <w:rFonts w:ascii="Times New Roman"/>
          <w:b w:val="0"/>
          <w:color w:val="000000"/>
          <w:u w:val="none"/>
        </w:rPr>
        <w:t>1-</w:t>
      </w:r>
      <w:r>
        <w:rPr>
          <w:rFonts w:hint="eastAsia" w:ascii="Times New Roman"/>
          <w:b w:val="0"/>
          <w:color w:val="000000"/>
          <w:u w:val="none"/>
        </w:rPr>
        <w:t>1</w:t>
      </w:r>
      <w:r>
        <w:rPr>
          <w:rFonts w:ascii="Times New Roman"/>
          <w:b w:val="0"/>
          <w:color w:val="000000"/>
          <w:u w:val="none"/>
        </w:rPr>
        <w:t xml:space="preserve"> 投标人资格声明</w:t>
      </w:r>
      <w:r>
        <w:rPr>
          <w:rFonts w:hint="eastAsia" w:ascii="Times New Roman"/>
          <w:b w:val="0"/>
          <w:color w:val="000000"/>
          <w:u w:val="none"/>
        </w:rPr>
        <w:t>函</w:t>
      </w:r>
      <w:r>
        <w:rPr>
          <w:rFonts w:ascii="Times New Roman"/>
          <w:b w:val="0"/>
          <w:color w:val="000000"/>
          <w:u w:val="none"/>
        </w:rPr>
        <w:t>（实质性格式）</w:t>
      </w:r>
    </w:p>
    <w:p w14:paraId="023D235A">
      <w:pPr>
        <w:pStyle w:val="185"/>
        <w:rPr>
          <w:rFonts w:hint="eastAsia" w:ascii="宋体" w:hAnsi="宋体" w:eastAsia="宋体" w:cs="宋体"/>
          <w:b w:val="0"/>
          <w:bCs/>
          <w:color w:val="000000"/>
          <w:sz w:val="24"/>
          <w:szCs w:val="24"/>
          <w:highlight w:val="none"/>
          <w:u w:val="none"/>
        </w:rPr>
      </w:pPr>
    </w:p>
    <w:p w14:paraId="4A880023">
      <w:pPr>
        <w:widowControl/>
        <w:spacing w:before="120" w:line="360" w:lineRule="auto"/>
        <w:jc w:val="center"/>
        <w:rPr>
          <w:rFonts w:hint="eastAsia" w:ascii="宋体" w:hAnsi="宋体" w:eastAsia="宋体" w:cs="宋体"/>
          <w:b/>
          <w:color w:val="000000"/>
          <w:sz w:val="24"/>
          <w:szCs w:val="24"/>
          <w:highlight w:val="none"/>
        </w:rPr>
      </w:pPr>
    </w:p>
    <w:p w14:paraId="248CE40F">
      <w:pPr>
        <w:widowControl/>
        <w:spacing w:before="120" w:line="360" w:lineRule="auto"/>
        <w:jc w:val="center"/>
        <w:rPr>
          <w:rFonts w:ascii="宋体" w:hAnsi="宋体" w:cs="宋体"/>
          <w:szCs w:val="21"/>
        </w:rPr>
      </w:pPr>
      <w:bookmarkStart w:id="796" w:name="_Toc305158825"/>
      <w:bookmarkStart w:id="797" w:name="_Toc142311059"/>
      <w:bookmarkStart w:id="798" w:name="_Toc305158899"/>
      <w:bookmarkStart w:id="799" w:name="_Toc264969247"/>
      <w:bookmarkStart w:id="800" w:name="_Toc226337253"/>
      <w:bookmarkStart w:id="801" w:name="_Toc480942350"/>
      <w:bookmarkStart w:id="802" w:name="_Toc127151557"/>
      <w:bookmarkStart w:id="803" w:name="_Toc226965830"/>
      <w:bookmarkStart w:id="804" w:name="_Toc150480795"/>
      <w:bookmarkStart w:id="805" w:name="_Toc265228395"/>
      <w:bookmarkStart w:id="806" w:name="_Ref467988705"/>
      <w:bookmarkStart w:id="807" w:name="_Toc150774762"/>
      <w:bookmarkStart w:id="808" w:name="_Toc520356218"/>
      <w:bookmarkStart w:id="809" w:name="_Toc195842922"/>
      <w:bookmarkStart w:id="810" w:name="_Toc226965747"/>
      <w:bookmarkStart w:id="811" w:name="_Toc226309801"/>
      <w:r>
        <w:rPr>
          <w:rFonts w:hint="eastAsia" w:ascii="宋体" w:hAnsi="宋体" w:cs="宋体"/>
          <w:b/>
          <w:sz w:val="28"/>
          <w:szCs w:val="28"/>
        </w:rPr>
        <w:t>投标人资格声明函</w:t>
      </w:r>
    </w:p>
    <w:p w14:paraId="270B9490">
      <w:pPr>
        <w:pStyle w:val="184"/>
        <w:spacing w:line="460" w:lineRule="exact"/>
        <w:ind w:firstLine="480"/>
      </w:pPr>
    </w:p>
    <w:p w14:paraId="3887AA09">
      <w:pPr>
        <w:pStyle w:val="184"/>
        <w:spacing w:line="460" w:lineRule="exact"/>
        <w:ind w:firstLine="480"/>
      </w:pPr>
      <w:r>
        <w:rPr>
          <w:rFonts w:hint="eastAsia"/>
        </w:rPr>
        <w:t>致：常州市政府采购中心</w:t>
      </w:r>
    </w:p>
    <w:p w14:paraId="4E9974C8">
      <w:pPr>
        <w:pStyle w:val="184"/>
        <w:spacing w:line="460" w:lineRule="exact"/>
        <w:ind w:firstLine="960"/>
        <w:rPr>
          <w:u w:val="single"/>
        </w:rPr>
      </w:pPr>
      <w:r>
        <w:rPr>
          <w:rFonts w:hint="eastAsia"/>
          <w:u w:val="single"/>
        </w:rPr>
        <w:t>（采购人名称）</w:t>
      </w:r>
    </w:p>
    <w:p w14:paraId="49238083">
      <w:pPr>
        <w:pStyle w:val="184"/>
        <w:spacing w:line="460" w:lineRule="exact"/>
        <w:ind w:firstLine="480"/>
      </w:pPr>
    </w:p>
    <w:p w14:paraId="2D22E699">
      <w:pPr>
        <w:pStyle w:val="184"/>
        <w:spacing w:line="460" w:lineRule="exact"/>
        <w:ind w:firstLine="480"/>
      </w:pPr>
      <w:r>
        <w:rPr>
          <w:rFonts w:hint="eastAsia"/>
        </w:rPr>
        <w:t>按照《中华人民共和国政府采购法》第二十二条和招标文件的规定，我单位郑重声明如下：</w:t>
      </w:r>
    </w:p>
    <w:p w14:paraId="19C3E4B3">
      <w:pPr>
        <w:pStyle w:val="184"/>
        <w:spacing w:line="460" w:lineRule="exact"/>
        <w:ind w:firstLine="480"/>
      </w:pPr>
      <w:r>
        <w:rPr>
          <w:rFonts w:hint="eastAsia"/>
        </w:rPr>
        <w:t>一、我单位是按照中华人民共和国法律规定登记注册的，注册地点为</w:t>
      </w:r>
      <w:r>
        <w:rPr>
          <w:rFonts w:hint="eastAsia"/>
          <w:u w:val="single"/>
        </w:rPr>
        <w:t xml:space="preserve">         </w:t>
      </w:r>
      <w:r>
        <w:rPr>
          <w:rFonts w:hint="eastAsia"/>
        </w:rPr>
        <w:t>，全称为</w:t>
      </w:r>
      <w:r>
        <w:rPr>
          <w:rFonts w:hint="eastAsia"/>
          <w:u w:val="single"/>
        </w:rPr>
        <w:t xml:space="preserve">        </w:t>
      </w:r>
      <w:r>
        <w:rPr>
          <w:rFonts w:hint="eastAsia"/>
        </w:rPr>
        <w:t>，统一社会信用代码为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，具有独立承担民事责任的能力</w:t>
      </w:r>
      <w:r>
        <w:rPr>
          <w:rFonts w:hint="eastAsia"/>
          <w:b/>
        </w:rPr>
        <w:t>（如属于分公司经总公司授权参与项目，由总公司承担民事责任的，需提供总公司项目授权书）</w:t>
      </w:r>
      <w:r>
        <w:rPr>
          <w:rFonts w:hint="eastAsia"/>
        </w:rPr>
        <w:t>。</w:t>
      </w:r>
    </w:p>
    <w:p w14:paraId="392143E8">
      <w:pPr>
        <w:pStyle w:val="184"/>
        <w:spacing w:line="460" w:lineRule="exact"/>
        <w:ind w:firstLine="480"/>
      </w:pPr>
      <w:r>
        <w:rPr>
          <w:rFonts w:hint="eastAsia"/>
        </w:rPr>
        <w:t>二、我单位具有良好的商业信誉（指投标人经营状况良好，无本资格声明第十条情形）和健全的财务会计制度。</w:t>
      </w:r>
    </w:p>
    <w:p w14:paraId="1B06B9A6">
      <w:pPr>
        <w:pStyle w:val="184"/>
        <w:spacing w:line="460" w:lineRule="exact"/>
        <w:ind w:firstLine="480"/>
      </w:pPr>
      <w:r>
        <w:rPr>
          <w:rFonts w:hint="eastAsia"/>
        </w:rPr>
        <w:t>三、我单位依法进行纳税和社会保险申报并实际履行了义务。</w:t>
      </w:r>
    </w:p>
    <w:p w14:paraId="4BDEFC49">
      <w:pPr>
        <w:pStyle w:val="184"/>
        <w:spacing w:line="460" w:lineRule="exact"/>
        <w:ind w:firstLine="480"/>
      </w:pPr>
      <w:r>
        <w:rPr>
          <w:rFonts w:hint="eastAsia"/>
        </w:rPr>
        <w:t>四、我单位具有履行本项目采购合同所必需的设备和专业技术能力，并具有履行合同的良好</w:t>
      </w:r>
      <w:r>
        <w:t>记录</w:t>
      </w:r>
      <w:r>
        <w:rPr>
          <w:rFonts w:hint="eastAsia"/>
        </w:rPr>
        <w:t>。为履行本项采购合同我单位具备如下主要设备和主要专业技术能力:</w:t>
      </w:r>
    </w:p>
    <w:p w14:paraId="5F149561">
      <w:pPr>
        <w:pStyle w:val="184"/>
        <w:spacing w:line="460" w:lineRule="exact"/>
        <w:ind w:firstLine="480"/>
      </w:pPr>
      <w:r>
        <w:rPr>
          <w:rFonts w:hint="eastAsia"/>
        </w:rPr>
        <w:t>主要设备有：</w:t>
      </w:r>
      <w:r>
        <w:rPr>
          <w:u w:val="single"/>
        </w:rPr>
        <w:t xml:space="preserve">            </w:t>
      </w:r>
    </w:p>
    <w:p w14:paraId="4BF13722">
      <w:pPr>
        <w:pStyle w:val="184"/>
        <w:spacing w:line="460" w:lineRule="exact"/>
        <w:ind w:firstLine="480"/>
      </w:pPr>
      <w:r>
        <w:rPr>
          <w:rFonts w:hint="eastAsia"/>
        </w:rPr>
        <w:t>主要专业技术能力有</w:t>
      </w:r>
      <w:r>
        <w:rPr>
          <w:rFonts w:hint="eastAsia"/>
          <w:u w:val="single"/>
        </w:rPr>
        <w:t xml:space="preserve">                 </w:t>
      </w:r>
    </w:p>
    <w:p w14:paraId="5E7716C4">
      <w:pPr>
        <w:pStyle w:val="184"/>
        <w:spacing w:line="460" w:lineRule="exact"/>
        <w:ind w:firstLine="480"/>
      </w:pPr>
      <w:r>
        <w:rPr>
          <w:rFonts w:hint="eastAsia"/>
        </w:rPr>
        <w:t>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p>
    <w:p w14:paraId="4B263951">
      <w:pPr>
        <w:pStyle w:val="184"/>
        <w:spacing w:line="460" w:lineRule="exact"/>
        <w:ind w:firstLine="480"/>
      </w:pPr>
      <w:r>
        <w:rPr>
          <w:rFonts w:hint="eastAsia"/>
        </w:rPr>
        <w:t>六、我单位具备法律、行政法规规定的其他条件。</w:t>
      </w:r>
    </w:p>
    <w:p w14:paraId="059A1D86">
      <w:pPr>
        <w:pStyle w:val="184"/>
        <w:spacing w:line="460" w:lineRule="exact"/>
        <w:ind w:firstLine="480"/>
      </w:pPr>
      <w:r>
        <w:rPr>
          <w:rFonts w:hint="eastAsia"/>
        </w:rPr>
        <w:t>七、与我单位存在“单位负责人为同一人或者存在直接控股、管理关系”的其他单位信息如下（如无此情形的，填写“无”）：</w:t>
      </w:r>
    </w:p>
    <w:p w14:paraId="001BB48D">
      <w:pPr>
        <w:pStyle w:val="184"/>
        <w:spacing w:line="460" w:lineRule="exact"/>
        <w:ind w:firstLine="480"/>
      </w:pPr>
      <w:r>
        <w:rPr>
          <w:rFonts w:hint="eastAsia"/>
        </w:rPr>
        <w:t>1、与我单位的法定代表人（单位负责人）为同一人的其他单位如下：</w:t>
      </w:r>
      <w:r>
        <w:rPr>
          <w:rFonts w:hint="eastAsia"/>
          <w:u w:val="single"/>
        </w:rPr>
        <w:t xml:space="preserve">     </w:t>
      </w:r>
      <w:r>
        <w:rPr>
          <w:rFonts w:hint="eastAsia"/>
        </w:rPr>
        <w:t xml:space="preserve">          </w:t>
      </w:r>
    </w:p>
    <w:p w14:paraId="19C07C86">
      <w:pPr>
        <w:pStyle w:val="184"/>
        <w:spacing w:line="460" w:lineRule="exact"/>
        <w:ind w:firstLine="480"/>
      </w:pPr>
      <w:r>
        <w:rPr>
          <w:rFonts w:hint="eastAsia"/>
        </w:rPr>
        <w:t>2、我单位直接控股的其他单位如下：</w:t>
      </w:r>
      <w:r>
        <w:rPr>
          <w:rFonts w:hint="eastAsia"/>
          <w:u w:val="single"/>
        </w:rPr>
        <w:t xml:space="preserve">                    </w:t>
      </w:r>
      <w:r>
        <w:rPr>
          <w:rFonts w:hint="eastAsia"/>
        </w:rPr>
        <w:t xml:space="preserve"> </w:t>
      </w:r>
    </w:p>
    <w:p w14:paraId="71B4DAFC">
      <w:pPr>
        <w:pStyle w:val="184"/>
        <w:spacing w:line="460" w:lineRule="exact"/>
        <w:ind w:firstLine="480"/>
      </w:pPr>
      <w:r>
        <w:rPr>
          <w:rFonts w:hint="eastAsia"/>
        </w:rPr>
        <w:t>3、与我单位存在管理关系的其他单位如下：</w:t>
      </w:r>
      <w:r>
        <w:rPr>
          <w:rFonts w:hint="eastAsia"/>
          <w:u w:val="single"/>
        </w:rPr>
        <w:t xml:space="preserve">              </w:t>
      </w:r>
      <w:r>
        <w:rPr>
          <w:rFonts w:hint="eastAsia"/>
        </w:rPr>
        <w:t xml:space="preserve"> </w:t>
      </w:r>
    </w:p>
    <w:p w14:paraId="4A23B2D5">
      <w:pPr>
        <w:pStyle w:val="184"/>
        <w:spacing w:line="460" w:lineRule="exact"/>
        <w:ind w:firstLine="480"/>
      </w:pPr>
      <w:r>
        <w:rPr>
          <w:rFonts w:hint="eastAsia"/>
        </w:rPr>
        <w:t>八、</w:t>
      </w:r>
      <w:r>
        <w:t>我</w:t>
      </w:r>
      <w:r>
        <w:rPr>
          <w:rFonts w:hint="eastAsia"/>
        </w:rPr>
        <w:t>单位</w:t>
      </w:r>
      <w:r>
        <w:t>不属于为本项目提供整体设计、规范编制或者项目管理、监理、检测等服务的投标人。</w:t>
      </w:r>
    </w:p>
    <w:p w14:paraId="7A6A6329">
      <w:pPr>
        <w:pStyle w:val="184"/>
        <w:spacing w:line="460" w:lineRule="exact"/>
        <w:ind w:firstLine="480"/>
      </w:pPr>
      <w:r>
        <w:rPr>
          <w:rFonts w:hint="eastAsia"/>
        </w:rPr>
        <w:t>九、</w:t>
      </w:r>
      <w:r>
        <w:t>我单位无以下不良信用记录情形：</w:t>
      </w:r>
    </w:p>
    <w:p w14:paraId="54C1295B">
      <w:pPr>
        <w:pStyle w:val="184"/>
        <w:spacing w:line="460" w:lineRule="exact"/>
        <w:ind w:firstLine="480"/>
      </w:pPr>
      <w:r>
        <w:t>1</w:t>
      </w:r>
      <w:r>
        <w:rPr>
          <w:rFonts w:hint="eastAsia"/>
        </w:rPr>
        <w:t>、在“信用中国”网站被列入失信被执行人和重大税收违法案件当事人名单；</w:t>
      </w:r>
    </w:p>
    <w:p w14:paraId="2E7F2E80">
      <w:pPr>
        <w:pStyle w:val="184"/>
        <w:spacing w:line="460" w:lineRule="exact"/>
        <w:ind w:firstLine="480"/>
      </w:pPr>
      <w:r>
        <w:t>2</w:t>
      </w:r>
      <w:r>
        <w:rPr>
          <w:rFonts w:hint="eastAsia"/>
        </w:rPr>
        <w:t>、在“中国政府采购网”网站被列入政府采购严重违法失信行为记录名单；</w:t>
      </w:r>
    </w:p>
    <w:p w14:paraId="3E96EE37">
      <w:pPr>
        <w:pStyle w:val="184"/>
        <w:spacing w:line="460" w:lineRule="exact"/>
        <w:ind w:firstLine="480"/>
      </w:pPr>
      <w:r>
        <w:t>3</w:t>
      </w:r>
      <w:r>
        <w:rPr>
          <w:rFonts w:hint="eastAsia"/>
        </w:rPr>
        <w:t>、</w:t>
      </w:r>
      <w:r>
        <w:t>不符合《政府采购法》第二十二条规定的条件。</w:t>
      </w:r>
    </w:p>
    <w:p w14:paraId="53F7D2DE">
      <w:pPr>
        <w:pStyle w:val="184"/>
        <w:spacing w:line="460" w:lineRule="exact"/>
        <w:ind w:firstLine="480"/>
      </w:pPr>
    </w:p>
    <w:p w14:paraId="4127A561">
      <w:pPr>
        <w:pStyle w:val="184"/>
        <w:spacing w:line="460" w:lineRule="exact"/>
        <w:ind w:firstLine="480"/>
      </w:pPr>
      <w:r>
        <w:rPr>
          <w:rFonts w:hint="eastAsia"/>
        </w:rPr>
        <w:t>我单位保证上述声明的事项都是真实的，如有虚假，我单位愿意承担相应的法律责任，并承担因此所造成的一切损失。</w:t>
      </w:r>
    </w:p>
    <w:p w14:paraId="0D469B0B">
      <w:pPr>
        <w:pStyle w:val="184"/>
        <w:spacing w:line="460" w:lineRule="exact"/>
        <w:ind w:firstLine="480"/>
      </w:pPr>
    </w:p>
    <w:p w14:paraId="1AF352B2">
      <w:pPr>
        <w:pStyle w:val="184"/>
        <w:spacing w:line="460" w:lineRule="exact"/>
        <w:ind w:firstLine="480"/>
      </w:pPr>
    </w:p>
    <w:p w14:paraId="412444B6">
      <w:pPr>
        <w:pStyle w:val="184"/>
        <w:spacing w:line="460" w:lineRule="exact"/>
        <w:ind w:firstLine="480"/>
      </w:pPr>
      <w:r>
        <w:rPr>
          <w:rFonts w:hint="eastAsia"/>
        </w:rPr>
        <w:t>                                            投标人：（加盖公章）</w:t>
      </w:r>
    </w:p>
    <w:p w14:paraId="1F9DE679">
      <w:pPr>
        <w:pStyle w:val="184"/>
        <w:spacing w:line="460" w:lineRule="exact"/>
        <w:ind w:firstLine="480"/>
      </w:pPr>
      <w:r>
        <w:rPr>
          <w:rFonts w:hint="eastAsia"/>
        </w:rPr>
        <w:t>                                           法定代表人（或单位负责人）签字或盖章：</w:t>
      </w:r>
    </w:p>
    <w:p w14:paraId="2ADCC06C">
      <w:pPr>
        <w:pStyle w:val="184"/>
        <w:spacing w:line="460" w:lineRule="exact"/>
        <w:ind w:firstLine="4920"/>
        <w:rPr>
          <w:rFonts w:hint="eastAsia"/>
        </w:rPr>
      </w:pPr>
      <w:r>
        <w:rPr>
          <w:rFonts w:hint="eastAsia"/>
        </w:rPr>
        <w:t>日期：    年    月    日</w:t>
      </w:r>
    </w:p>
    <w:p w14:paraId="56875386">
      <w:pPr>
        <w:spacing w:line="360" w:lineRule="auto"/>
        <w:rPr>
          <w:rFonts w:hint="eastAsia"/>
          <w:sz w:val="24"/>
        </w:rPr>
      </w:pPr>
    </w:p>
    <w:p w14:paraId="5FEF6A4F">
      <w:pPr>
        <w:spacing w:line="360" w:lineRule="auto"/>
        <w:rPr>
          <w:rFonts w:hint="eastAsia"/>
          <w:sz w:val="24"/>
        </w:rPr>
      </w:pPr>
    </w:p>
    <w:p w14:paraId="2BF40CF8">
      <w:pPr>
        <w:spacing w:line="360" w:lineRule="auto"/>
        <w:rPr>
          <w:rFonts w:hint="eastAsia"/>
          <w:sz w:val="24"/>
        </w:rPr>
      </w:pPr>
    </w:p>
    <w:p w14:paraId="450DA95C">
      <w:pPr>
        <w:spacing w:line="360" w:lineRule="auto"/>
        <w:rPr>
          <w:sz w:val="24"/>
        </w:rPr>
      </w:pPr>
      <w:r>
        <w:rPr>
          <w:sz w:val="24"/>
        </w:rPr>
        <w:t>说明：</w:t>
      </w:r>
      <w:r>
        <w:rPr>
          <w:rFonts w:hint="eastAsia"/>
          <w:sz w:val="24"/>
        </w:rPr>
        <w:t>供应商承诺不实的，依据《政府采购法》第七十七条“提供虚假材料谋取中标、成交的”有关规定予以处理</w:t>
      </w:r>
      <w:r>
        <w:rPr>
          <w:sz w:val="24"/>
        </w:rPr>
        <w:t>。</w:t>
      </w:r>
    </w:p>
    <w:p w14:paraId="50120E41">
      <w:pPr>
        <w:tabs>
          <w:tab w:val="left" w:pos="5580"/>
        </w:tabs>
        <w:spacing w:line="360" w:lineRule="auto"/>
        <w:rPr>
          <w:sz w:val="24"/>
        </w:rPr>
        <w:sectPr>
          <w:footerReference r:id="rId9" w:type="default"/>
          <w:pgSz w:w="11907" w:h="16840"/>
          <w:pgMar w:top="1418" w:right="1134" w:bottom="1418" w:left="1701" w:header="851" w:footer="851" w:gutter="0"/>
          <w:pgNumType w:fmt="decimal"/>
          <w:cols w:space="1701" w:num="1"/>
          <w:docGrid w:linePitch="360" w:charSpace="0"/>
        </w:sectPr>
      </w:pPr>
    </w:p>
    <w:p w14:paraId="7E0B5FD3">
      <w:pPr>
        <w:spacing w:line="360" w:lineRule="auto"/>
        <w:outlineLvl w:val="2"/>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2 落实政府采购政策需满足的资格要求（如有）</w:t>
      </w:r>
    </w:p>
    <w:p w14:paraId="10E4643E">
      <w:pPr>
        <w:spacing w:line="360" w:lineRule="auto"/>
        <w:outlineLvl w:val="2"/>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2-1中小企业声明函</w:t>
      </w:r>
    </w:p>
    <w:p w14:paraId="39CE8B39">
      <w:pPr>
        <w:widowControl/>
        <w:jc w:val="left"/>
        <w:rPr>
          <w:rFonts w:hint="eastAsia" w:ascii="宋体" w:hAnsi="宋体" w:eastAsia="宋体" w:cs="宋体"/>
          <w:color w:val="000000"/>
          <w:sz w:val="24"/>
          <w:highlight w:val="none"/>
        </w:rPr>
      </w:pPr>
    </w:p>
    <w:p w14:paraId="087F2797">
      <w:pPr>
        <w:spacing w:before="240" w:after="240" w:line="360" w:lineRule="auto"/>
        <w:jc w:val="center"/>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t>中小企业声明函（工程、服务）格式</w:t>
      </w:r>
    </w:p>
    <w:p w14:paraId="5A108030">
      <w:pPr>
        <w:spacing w:line="360" w:lineRule="auto"/>
        <w:ind w:firstLine="504"/>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53276B15">
      <w:pPr>
        <w:spacing w:line="360" w:lineRule="auto"/>
        <w:ind w:firstLine="504"/>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1.</w:t>
      </w:r>
      <w:r>
        <w:rPr>
          <w:rFonts w:hint="eastAsia" w:ascii="宋体" w:hAnsi="宋体" w:eastAsia="宋体" w:cs="宋体"/>
          <w:color w:val="000000"/>
          <w:spacing w:val="6"/>
          <w:sz w:val="24"/>
          <w:highlight w:val="none"/>
          <w:u w:val="single"/>
        </w:rPr>
        <w:t>（标的名称）</w:t>
      </w:r>
      <w:r>
        <w:rPr>
          <w:rFonts w:hint="eastAsia" w:ascii="宋体" w:hAnsi="宋体" w:eastAsia="宋体" w:cs="宋体"/>
          <w:color w:val="000000"/>
          <w:spacing w:val="6"/>
          <w:sz w:val="24"/>
          <w:highlight w:val="none"/>
        </w:rPr>
        <w:t>，属于</w:t>
      </w:r>
      <w:r>
        <w:rPr>
          <w:rFonts w:hint="eastAsia" w:ascii="宋体" w:hAnsi="宋体" w:eastAsia="宋体" w:cs="宋体"/>
          <w:color w:val="000000"/>
          <w:spacing w:val="6"/>
          <w:sz w:val="24"/>
          <w:highlight w:val="none"/>
          <w:u w:val="single"/>
        </w:rPr>
        <w:t>（采购文件中明确的所属行业）</w:t>
      </w:r>
      <w:r>
        <w:rPr>
          <w:rFonts w:hint="eastAsia" w:ascii="宋体" w:hAnsi="宋体" w:eastAsia="宋体" w:cs="宋体"/>
          <w:color w:val="000000"/>
          <w:spacing w:val="6"/>
          <w:sz w:val="24"/>
          <w:highlight w:val="none"/>
        </w:rPr>
        <w:t>行业；承建（承接）企业为</w:t>
      </w:r>
      <w:r>
        <w:rPr>
          <w:rFonts w:hint="eastAsia" w:ascii="宋体" w:hAnsi="宋体" w:eastAsia="宋体" w:cs="宋体"/>
          <w:color w:val="000000"/>
          <w:spacing w:val="6"/>
          <w:sz w:val="24"/>
          <w:highlight w:val="none"/>
          <w:u w:val="single"/>
        </w:rPr>
        <w:t>（企业名称）</w:t>
      </w:r>
      <w:r>
        <w:rPr>
          <w:rFonts w:hint="eastAsia" w:ascii="宋体" w:hAnsi="宋体" w:eastAsia="宋体" w:cs="宋体"/>
          <w:color w:val="000000"/>
          <w:spacing w:val="6"/>
          <w:sz w:val="24"/>
          <w:highlight w:val="none"/>
        </w:rPr>
        <w:t>，从业人员______人，营业收入为______万元，资产总额为______万元，属于（中型企业、小型企业、微型企业）；</w:t>
      </w:r>
    </w:p>
    <w:p w14:paraId="6EB48E2F">
      <w:pPr>
        <w:spacing w:line="360" w:lineRule="auto"/>
        <w:ind w:firstLine="504"/>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2.</w:t>
      </w:r>
      <w:r>
        <w:rPr>
          <w:rFonts w:hint="eastAsia" w:ascii="宋体" w:hAnsi="宋体" w:eastAsia="宋体" w:cs="宋体"/>
          <w:color w:val="000000"/>
          <w:spacing w:val="6"/>
          <w:sz w:val="24"/>
          <w:highlight w:val="none"/>
          <w:u w:val="single"/>
        </w:rPr>
        <w:t>（标的名称）</w:t>
      </w:r>
      <w:r>
        <w:rPr>
          <w:rFonts w:hint="eastAsia" w:ascii="宋体" w:hAnsi="宋体" w:eastAsia="宋体" w:cs="宋体"/>
          <w:color w:val="000000"/>
          <w:spacing w:val="6"/>
          <w:sz w:val="24"/>
          <w:highlight w:val="none"/>
        </w:rPr>
        <w:t>，属于</w:t>
      </w:r>
      <w:r>
        <w:rPr>
          <w:rFonts w:hint="eastAsia" w:ascii="宋体" w:hAnsi="宋体" w:eastAsia="宋体" w:cs="宋体"/>
          <w:color w:val="000000"/>
          <w:spacing w:val="6"/>
          <w:sz w:val="24"/>
          <w:highlight w:val="none"/>
          <w:u w:val="single"/>
        </w:rPr>
        <w:t>（采购文件中明确的所属行业）</w:t>
      </w:r>
      <w:r>
        <w:rPr>
          <w:rFonts w:hint="eastAsia" w:ascii="宋体" w:hAnsi="宋体" w:eastAsia="宋体" w:cs="宋体"/>
          <w:color w:val="000000"/>
          <w:spacing w:val="6"/>
          <w:sz w:val="24"/>
          <w:highlight w:val="none"/>
        </w:rPr>
        <w:t>行业；承建（承接）企业为</w:t>
      </w:r>
      <w:r>
        <w:rPr>
          <w:rFonts w:hint="eastAsia" w:ascii="宋体" w:hAnsi="宋体" w:eastAsia="宋体" w:cs="宋体"/>
          <w:color w:val="000000"/>
          <w:spacing w:val="6"/>
          <w:sz w:val="24"/>
          <w:highlight w:val="none"/>
          <w:u w:val="single"/>
        </w:rPr>
        <w:t>（企业名称）</w:t>
      </w:r>
      <w:r>
        <w:rPr>
          <w:rFonts w:hint="eastAsia" w:ascii="宋体" w:hAnsi="宋体" w:eastAsia="宋体" w:cs="宋体"/>
          <w:color w:val="000000"/>
          <w:spacing w:val="6"/>
          <w:sz w:val="24"/>
          <w:highlight w:val="none"/>
        </w:rPr>
        <w:t>，从业人员______人，营业收入为______万元，资产总额为______万元，属于</w:t>
      </w:r>
      <w:r>
        <w:rPr>
          <w:rFonts w:hint="eastAsia" w:ascii="宋体" w:hAnsi="宋体" w:eastAsia="宋体" w:cs="宋体"/>
          <w:color w:val="000000"/>
          <w:spacing w:val="6"/>
          <w:sz w:val="24"/>
          <w:highlight w:val="none"/>
          <w:u w:val="single"/>
        </w:rPr>
        <w:t>（中型企业、小型企业、微型企业）</w:t>
      </w:r>
      <w:r>
        <w:rPr>
          <w:rFonts w:hint="eastAsia" w:ascii="宋体" w:hAnsi="宋体" w:eastAsia="宋体" w:cs="宋体"/>
          <w:color w:val="000000"/>
          <w:spacing w:val="6"/>
          <w:sz w:val="24"/>
          <w:highlight w:val="none"/>
        </w:rPr>
        <w:t>；</w:t>
      </w:r>
    </w:p>
    <w:p w14:paraId="04E56DDC">
      <w:pPr>
        <w:spacing w:line="360" w:lineRule="auto"/>
        <w:ind w:firstLine="504"/>
        <w:rPr>
          <w:rFonts w:hint="eastAsia" w:ascii="宋体" w:hAnsi="宋体" w:eastAsia="宋体" w:cs="宋体"/>
          <w:color w:val="000000"/>
          <w:spacing w:val="6"/>
          <w:sz w:val="24"/>
          <w:highlight w:val="none"/>
        </w:rPr>
      </w:pPr>
    </w:p>
    <w:p w14:paraId="080716F4">
      <w:pPr>
        <w:spacing w:line="360" w:lineRule="auto"/>
        <w:ind w:firstLine="504"/>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w:t>
      </w:r>
    </w:p>
    <w:p w14:paraId="58302A93">
      <w:pPr>
        <w:spacing w:line="360" w:lineRule="auto"/>
        <w:ind w:firstLine="504"/>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以上企业，不属于大企业的分支机构，不存在控股股东为大企业的情形，也不存在与大企业的负责人为同一人的情形。</w:t>
      </w:r>
    </w:p>
    <w:p w14:paraId="31BA357F">
      <w:pPr>
        <w:spacing w:line="360" w:lineRule="auto"/>
        <w:ind w:firstLine="504"/>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本企业对上述声明内容的真实性负责。如有虚假，将依法承担相应责任。</w:t>
      </w:r>
    </w:p>
    <w:p w14:paraId="439038D5">
      <w:pPr>
        <w:spacing w:line="360" w:lineRule="auto"/>
        <w:ind w:right="360" w:firstLine="480"/>
        <w:jc w:val="right"/>
        <w:rPr>
          <w:rFonts w:hint="eastAsia" w:ascii="宋体" w:hAnsi="宋体" w:eastAsia="宋体" w:cs="宋体"/>
          <w:color w:val="000000"/>
          <w:sz w:val="24"/>
          <w:highlight w:val="none"/>
        </w:rPr>
      </w:pPr>
    </w:p>
    <w:p w14:paraId="18C33DA8">
      <w:pPr>
        <w:spacing w:line="360" w:lineRule="auto"/>
        <w:ind w:right="360" w:firstLine="480"/>
        <w:jc w:val="right"/>
        <w:rPr>
          <w:rFonts w:hint="eastAsia" w:ascii="宋体" w:hAnsi="宋体" w:eastAsia="宋体" w:cs="宋体"/>
          <w:color w:val="000000"/>
          <w:sz w:val="24"/>
          <w:highlight w:val="none"/>
        </w:rPr>
      </w:pPr>
      <w:r>
        <w:rPr>
          <w:rFonts w:hint="eastAsia" w:ascii="宋体" w:hAnsi="宋体" w:eastAsia="宋体" w:cs="宋体"/>
          <w:color w:val="000000"/>
          <w:sz w:val="24"/>
          <w:highlight w:val="none"/>
        </w:rPr>
        <w:t>企业名称（加盖公章）：________</w:t>
      </w:r>
    </w:p>
    <w:p w14:paraId="46CB1508">
      <w:pPr>
        <w:spacing w:line="360" w:lineRule="auto"/>
        <w:ind w:right="360" w:firstLine="480"/>
        <w:jc w:val="right"/>
        <w:rPr>
          <w:rFonts w:hint="eastAsia" w:ascii="宋体" w:hAnsi="宋体" w:eastAsia="宋体" w:cs="宋体"/>
          <w:color w:val="000000"/>
          <w:sz w:val="24"/>
          <w:highlight w:val="none"/>
        </w:rPr>
      </w:pPr>
      <w:r>
        <w:rPr>
          <w:rFonts w:hint="eastAsia" w:ascii="宋体" w:hAnsi="宋体" w:eastAsia="宋体" w:cs="宋体"/>
          <w:color w:val="000000"/>
          <w:sz w:val="24"/>
          <w:highlight w:val="none"/>
        </w:rPr>
        <w:t>日 期：________</w:t>
      </w:r>
    </w:p>
    <w:p w14:paraId="41ECB614">
      <w:pPr>
        <w:jc w:val="left"/>
        <w:rPr>
          <w:rFonts w:hint="eastAsia" w:ascii="宋体" w:hAnsi="宋体" w:eastAsia="宋体" w:cs="宋体"/>
          <w:color w:val="000000"/>
          <w:sz w:val="24"/>
          <w:szCs w:val="21"/>
          <w:highlight w:val="none"/>
        </w:rPr>
      </w:pPr>
    </w:p>
    <w:p w14:paraId="0043ADF1">
      <w:pPr>
        <w:jc w:val="left"/>
        <w:rPr>
          <w:rFonts w:hint="eastAsia" w:ascii="宋体" w:hAnsi="宋体" w:eastAsia="宋体" w:cs="宋体"/>
          <w:color w:val="000000"/>
          <w:sz w:val="24"/>
          <w:szCs w:val="21"/>
          <w:highlight w:val="none"/>
        </w:rPr>
      </w:pPr>
    </w:p>
    <w:tbl>
      <w:tblPr>
        <w:tblStyle w:val="28"/>
        <w:tblW w:w="0" w:type="auto"/>
        <w:tblInd w:w="-216"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top w:w="0" w:type="dxa"/>
          <w:left w:w="108" w:type="dxa"/>
          <w:bottom w:w="0" w:type="dxa"/>
          <w:right w:w="108" w:type="dxa"/>
        </w:tblCellMar>
      </w:tblPr>
      <w:tblGrid>
        <w:gridCol w:w="8946"/>
      </w:tblGrid>
      <w:tr w14:paraId="6659C0EC">
        <w:tblPrEx>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c>
          <w:tcPr>
            <w:tcW w:w="8946" w:type="dxa"/>
            <w:noWrap w:val="0"/>
            <w:vAlign w:val="top"/>
          </w:tcPr>
          <w:p w14:paraId="740EBA9F">
            <w:pPr>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从业人员、营业收入、资产总额填报上一年度数据，无上一年度数据的新成立企业可不填报。</w:t>
            </w:r>
          </w:p>
        </w:tc>
      </w:tr>
    </w:tbl>
    <w:p w14:paraId="30096A8C">
      <w:pPr>
        <w:jc w:val="left"/>
        <w:rPr>
          <w:rFonts w:hint="eastAsia" w:ascii="宋体" w:hAnsi="宋体" w:eastAsia="宋体" w:cs="宋体"/>
          <w:color w:val="000000"/>
          <w:szCs w:val="21"/>
          <w:highlight w:val="none"/>
          <w:vertAlign w:val="superscript"/>
        </w:rPr>
      </w:pPr>
    </w:p>
    <w:p w14:paraId="4D21D3DF">
      <w:pPr>
        <w:keepNext w:val="0"/>
        <w:keepLines w:val="0"/>
        <w:widowControl/>
        <w:suppressLineNumbers w:val="0"/>
        <w:spacing w:before="65" w:beforeAutospacing="0" w:after="0" w:afterAutospacing="0"/>
        <w:ind w:left="124" w:right="0"/>
        <w:jc w:val="left"/>
        <w:rPr>
          <w:rFonts w:hint="eastAsia" w:ascii="宋体" w:hAnsi="宋体" w:eastAsia="宋体" w:cs="宋体"/>
          <w:color w:val="000000"/>
          <w:sz w:val="20"/>
          <w:szCs w:val="20"/>
          <w:highlight w:val="none"/>
        </w:rPr>
      </w:pPr>
    </w:p>
    <w:p w14:paraId="6AE8195B">
      <w:pPr>
        <w:rPr>
          <w:rFonts w:ascii="Arial" w:hAnsi="Arial" w:cs="Arial"/>
          <w:color w:val="000000"/>
          <w:sz w:val="21"/>
          <w:szCs w:val="21"/>
          <w:highlight w:val="none"/>
        </w:rPr>
        <w:sectPr>
          <w:footerReference r:id="rId10" w:type="default"/>
          <w:pgSz w:w="11907" w:h="16840"/>
          <w:pgMar w:top="1118" w:right="1133" w:bottom="1014" w:left="1593" w:header="878" w:footer="854" w:gutter="0"/>
          <w:pgNumType w:fmt="decimal" w:start="1"/>
          <w:cols w:space="1701" w:num="1"/>
          <w:docGrid w:linePitch="360" w:charSpace="0"/>
        </w:sectPr>
      </w:pPr>
    </w:p>
    <w:p w14:paraId="6BA8A822">
      <w:pPr>
        <w:spacing w:before="240" w:after="240" w:line="360" w:lineRule="auto"/>
        <w:jc w:val="center"/>
        <w:rPr>
          <w:rFonts w:hint="eastAsia" w:ascii="宋体" w:hAnsi="宋体" w:eastAsia="宋体" w:cs="宋体"/>
          <w:b/>
          <w:color w:val="000000"/>
          <w:sz w:val="36"/>
          <w:szCs w:val="36"/>
          <w:highlight w:val="none"/>
        </w:rPr>
      </w:pPr>
      <w:r>
        <w:rPr>
          <w:rFonts w:hint="eastAsia" w:ascii="宋体" w:hAnsi="宋体" w:eastAsia="宋体" w:cs="宋体"/>
          <w:b/>
          <w:bCs/>
          <w:color w:val="000000"/>
          <w:sz w:val="36"/>
          <w:szCs w:val="36"/>
          <w:highlight w:val="none"/>
        </w:rPr>
        <w:t>残疾人福利性单位声明函格式</w:t>
      </w:r>
      <w:r>
        <w:rPr>
          <w:rFonts w:hint="eastAsia" w:ascii="宋体" w:hAnsi="宋体" w:eastAsia="宋体" w:cs="宋体"/>
          <w:b/>
          <w:color w:val="000000"/>
          <w:sz w:val="36"/>
          <w:szCs w:val="36"/>
          <w:highlight w:val="none"/>
        </w:rPr>
        <w:t xml:space="preserve">       </w:t>
      </w:r>
    </w:p>
    <w:p w14:paraId="4D5D4B5D">
      <w:pPr>
        <w:spacing w:line="588" w:lineRule="exact"/>
        <w:ind w:firstLine="504"/>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本单位郑重声明，根据《财政部 民政部 中国残疾人联合会关于促进残疾人就业政府采购政策的通知》（财库</w:t>
      </w:r>
      <w:r>
        <w:rPr>
          <w:rFonts w:hint="eastAsia" w:ascii="宋体" w:hAnsi="宋体" w:eastAsia="宋体" w:cs="宋体"/>
          <w:color w:val="000000"/>
          <w:sz w:val="24"/>
          <w:highlight w:val="none"/>
        </w:rPr>
        <w:t>〔2017〕 141</w:t>
      </w:r>
      <w:r>
        <w:rPr>
          <w:rFonts w:hint="eastAsia" w:ascii="宋体" w:hAnsi="宋体" w:eastAsia="宋体" w:cs="宋体"/>
          <w:color w:val="000000"/>
          <w:spacing w:val="6"/>
          <w:sz w:val="24"/>
          <w:highlight w:val="none"/>
        </w:rPr>
        <w:t>号）的规定，本单位</w:t>
      </w:r>
      <w:r>
        <w:rPr>
          <w:rFonts w:hint="eastAsia" w:ascii="宋体" w:hAnsi="宋体" w:eastAsia="宋体" w:cs="宋体"/>
          <w:b/>
          <w:color w:val="000000"/>
          <w:sz w:val="24"/>
          <w:highlight w:val="none"/>
        </w:rPr>
        <w:t>（请进行勾选）</w:t>
      </w:r>
      <w:r>
        <w:rPr>
          <w:rFonts w:hint="eastAsia" w:ascii="宋体" w:hAnsi="宋体" w:eastAsia="宋体" w:cs="宋体"/>
          <w:color w:val="000000"/>
          <w:spacing w:val="6"/>
          <w:sz w:val="24"/>
          <w:highlight w:val="none"/>
        </w:rPr>
        <w:t>：</w:t>
      </w:r>
    </w:p>
    <w:p w14:paraId="7DF51786">
      <w:pPr>
        <w:spacing w:line="588" w:lineRule="exact"/>
        <w:ind w:firstLine="482"/>
        <w:rPr>
          <w:rFonts w:hint="eastAsia" w:ascii="宋体" w:hAnsi="宋体" w:eastAsia="宋体" w:cs="宋体"/>
          <w:b/>
          <w:color w:val="000000"/>
          <w:spacing w:val="6"/>
          <w:sz w:val="24"/>
          <w:highlight w:val="none"/>
        </w:rPr>
      </w:pPr>
      <w:r>
        <w:rPr>
          <w:rFonts w:hint="eastAsia" w:ascii="宋体" w:hAnsi="宋体" w:eastAsia="宋体" w:cs="宋体"/>
          <w:b/>
          <w:color w:val="000000"/>
          <w:sz w:val="24"/>
          <w:highlight w:val="none"/>
        </w:rPr>
        <w:t>□</w:t>
      </w:r>
      <w:r>
        <w:rPr>
          <w:rFonts w:hint="eastAsia" w:ascii="宋体" w:hAnsi="宋体" w:eastAsia="宋体" w:cs="宋体"/>
          <w:b/>
          <w:color w:val="000000"/>
          <w:spacing w:val="6"/>
          <w:sz w:val="24"/>
          <w:highlight w:val="none"/>
        </w:rPr>
        <w:t>不属于符合条件的残疾人福利性单位。</w:t>
      </w:r>
    </w:p>
    <w:p w14:paraId="121D2746">
      <w:pPr>
        <w:spacing w:line="588" w:lineRule="exact"/>
        <w:ind w:firstLine="482"/>
        <w:rPr>
          <w:rFonts w:hint="eastAsia" w:ascii="宋体" w:hAnsi="宋体" w:eastAsia="宋体" w:cs="宋体"/>
          <w:color w:val="000000"/>
          <w:spacing w:val="6"/>
          <w:sz w:val="24"/>
          <w:highlight w:val="none"/>
        </w:rPr>
      </w:pPr>
      <w:r>
        <w:rPr>
          <w:rFonts w:hint="eastAsia" w:ascii="宋体" w:hAnsi="宋体" w:eastAsia="宋体" w:cs="宋体"/>
          <w:b/>
          <w:color w:val="000000"/>
          <w:sz w:val="24"/>
          <w:highlight w:val="none"/>
        </w:rPr>
        <w:t>□</w:t>
      </w:r>
      <w:r>
        <w:rPr>
          <w:rFonts w:hint="eastAsia" w:ascii="宋体" w:hAnsi="宋体" w:eastAsia="宋体" w:cs="宋体"/>
          <w:b/>
          <w:color w:val="000000"/>
          <w:spacing w:val="6"/>
          <w:sz w:val="24"/>
          <w:highlight w:val="none"/>
        </w:rPr>
        <w:t>属于符合条件的残疾人福利性单位，</w:t>
      </w:r>
      <w:r>
        <w:rPr>
          <w:rFonts w:hint="eastAsia" w:ascii="宋体" w:hAnsi="宋体" w:eastAsia="宋体" w:cs="宋体"/>
          <w:color w:val="000000"/>
          <w:spacing w:val="6"/>
          <w:sz w:val="24"/>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14:paraId="5A1DF73C">
      <w:pPr>
        <w:spacing w:line="588" w:lineRule="exact"/>
        <w:ind w:firstLine="506"/>
        <w:rPr>
          <w:rFonts w:hint="eastAsia" w:ascii="宋体" w:hAnsi="宋体" w:eastAsia="宋体" w:cs="宋体"/>
          <w:color w:val="000000"/>
          <w:spacing w:val="6"/>
          <w:sz w:val="24"/>
          <w:highlight w:val="none"/>
        </w:rPr>
      </w:pPr>
      <w:r>
        <w:rPr>
          <w:rFonts w:hint="eastAsia" w:ascii="宋体" w:hAnsi="宋体" w:eastAsia="宋体" w:cs="宋体"/>
          <w:b/>
          <w:color w:val="000000"/>
          <w:spacing w:val="6"/>
          <w:sz w:val="24"/>
          <w:highlight w:val="none"/>
        </w:rPr>
        <w:t>本单位对上述声明的真实性负责。如有虚假，将依法承担相应责任。</w:t>
      </w:r>
    </w:p>
    <w:p w14:paraId="0D7D3403">
      <w:pPr>
        <w:spacing w:line="588" w:lineRule="exact"/>
        <w:ind w:firstLine="504"/>
        <w:rPr>
          <w:rFonts w:hint="eastAsia" w:ascii="宋体" w:hAnsi="宋体" w:eastAsia="宋体" w:cs="宋体"/>
          <w:color w:val="000000"/>
          <w:spacing w:val="6"/>
          <w:sz w:val="24"/>
          <w:highlight w:val="none"/>
        </w:rPr>
      </w:pPr>
    </w:p>
    <w:p w14:paraId="637B4C6C">
      <w:pPr>
        <w:spacing w:line="588" w:lineRule="exact"/>
        <w:ind w:firstLine="504"/>
        <w:rPr>
          <w:rFonts w:hint="eastAsia" w:ascii="宋体" w:hAnsi="宋体" w:eastAsia="宋体" w:cs="宋体"/>
          <w:color w:val="000000"/>
          <w:spacing w:val="6"/>
          <w:sz w:val="24"/>
          <w:highlight w:val="none"/>
        </w:rPr>
      </w:pPr>
    </w:p>
    <w:p w14:paraId="6727E107">
      <w:pPr>
        <w:tabs>
          <w:tab w:val="left" w:pos="4860"/>
        </w:tabs>
        <w:spacing w:line="588" w:lineRule="exact"/>
        <w:ind w:right="1560" w:firstLine="504"/>
        <w:jc w:val="center"/>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               单位名称（加盖公章）：</w:t>
      </w:r>
    </w:p>
    <w:p w14:paraId="26C29D11">
      <w:pPr>
        <w:tabs>
          <w:tab w:val="left" w:pos="4860"/>
        </w:tabs>
        <w:spacing w:line="588" w:lineRule="exact"/>
        <w:ind w:right="1560" w:firstLine="504"/>
        <w:jc w:val="center"/>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       日  期：</w:t>
      </w:r>
    </w:p>
    <w:p w14:paraId="74168235">
      <w:pPr>
        <w:spacing w:line="360" w:lineRule="auto"/>
        <w:outlineLvl w:val="2"/>
        <w:rPr>
          <w:rFonts w:hint="eastAsia" w:ascii="宋体" w:hAnsi="宋体" w:eastAsia="宋体" w:cs="宋体"/>
          <w:b/>
          <w:color w:val="000000"/>
          <w:sz w:val="24"/>
          <w:szCs w:val="24"/>
          <w:highlight w:val="none"/>
          <w:lang w:val="en-US" w:eastAsia="zh-CN"/>
        </w:rPr>
      </w:pPr>
    </w:p>
    <w:p w14:paraId="75D22DBD">
      <w:pPr>
        <w:pStyle w:val="185"/>
        <w:rPr>
          <w:rFonts w:hint="eastAsia" w:ascii="宋体" w:hAnsi="宋体" w:eastAsia="宋体" w:cs="宋体"/>
          <w:b/>
          <w:color w:val="000000"/>
          <w:sz w:val="24"/>
          <w:szCs w:val="24"/>
          <w:highlight w:val="none"/>
          <w:lang w:val="en-US" w:eastAsia="zh-CN"/>
        </w:rPr>
      </w:pPr>
    </w:p>
    <w:p w14:paraId="4C407D34">
      <w:pPr>
        <w:rPr>
          <w:rFonts w:hint="eastAsia" w:ascii="宋体" w:hAnsi="宋体" w:eastAsia="宋体" w:cs="宋体"/>
          <w:b/>
          <w:color w:val="000000"/>
          <w:sz w:val="24"/>
          <w:szCs w:val="24"/>
          <w:highlight w:val="none"/>
          <w:lang w:val="en-US" w:eastAsia="zh-CN"/>
        </w:rPr>
      </w:pPr>
    </w:p>
    <w:p w14:paraId="6D8718CE">
      <w:pPr>
        <w:pStyle w:val="185"/>
        <w:rPr>
          <w:rFonts w:hint="eastAsia" w:ascii="宋体" w:hAnsi="宋体" w:eastAsia="宋体" w:cs="宋体"/>
          <w:b/>
          <w:color w:val="000000"/>
          <w:sz w:val="24"/>
          <w:szCs w:val="24"/>
          <w:highlight w:val="none"/>
          <w:lang w:val="en-US" w:eastAsia="zh-CN"/>
        </w:rPr>
      </w:pPr>
    </w:p>
    <w:p w14:paraId="56A78F10">
      <w:pPr>
        <w:rPr>
          <w:rFonts w:hint="eastAsia" w:ascii="宋体" w:hAnsi="宋体" w:eastAsia="宋体" w:cs="宋体"/>
          <w:b/>
          <w:color w:val="000000"/>
          <w:sz w:val="24"/>
          <w:szCs w:val="24"/>
          <w:highlight w:val="none"/>
          <w:lang w:val="en-US" w:eastAsia="zh-CN"/>
        </w:rPr>
      </w:pPr>
    </w:p>
    <w:p w14:paraId="26E4A442">
      <w:pPr>
        <w:pStyle w:val="185"/>
        <w:rPr>
          <w:rFonts w:hint="eastAsia" w:ascii="宋体" w:hAnsi="宋体" w:eastAsia="宋体" w:cs="宋体"/>
          <w:b/>
          <w:color w:val="000000"/>
          <w:sz w:val="24"/>
          <w:szCs w:val="24"/>
          <w:highlight w:val="none"/>
          <w:lang w:val="en-US" w:eastAsia="zh-CN"/>
        </w:rPr>
      </w:pPr>
    </w:p>
    <w:p w14:paraId="1B1B9A39">
      <w:pPr>
        <w:rPr>
          <w:rFonts w:hint="eastAsia" w:ascii="宋体" w:hAnsi="宋体" w:eastAsia="宋体" w:cs="宋体"/>
          <w:b/>
          <w:color w:val="000000"/>
          <w:sz w:val="24"/>
          <w:szCs w:val="24"/>
          <w:highlight w:val="none"/>
          <w:lang w:val="en-US" w:eastAsia="zh-CN"/>
        </w:rPr>
      </w:pPr>
    </w:p>
    <w:p w14:paraId="241C6011">
      <w:pPr>
        <w:pStyle w:val="185"/>
        <w:rPr>
          <w:rFonts w:hint="eastAsia" w:ascii="宋体" w:hAnsi="宋体" w:eastAsia="宋体" w:cs="宋体"/>
          <w:b/>
          <w:color w:val="000000"/>
          <w:sz w:val="24"/>
          <w:szCs w:val="24"/>
          <w:highlight w:val="none"/>
          <w:lang w:val="en-US" w:eastAsia="zh-CN"/>
        </w:rPr>
      </w:pPr>
    </w:p>
    <w:p w14:paraId="57DE8391">
      <w:pPr>
        <w:rPr>
          <w:rFonts w:hint="eastAsia"/>
          <w:color w:val="000000"/>
          <w:highlight w:val="none"/>
          <w:lang w:val="en-US" w:eastAsia="zh-CN"/>
        </w:rPr>
      </w:pPr>
    </w:p>
    <w:p w14:paraId="0612A6CD">
      <w:pPr>
        <w:spacing w:line="360" w:lineRule="auto"/>
        <w:outlineLvl w:val="2"/>
        <w:rPr>
          <w:rFonts w:hint="eastAsia" w:ascii="宋体" w:hAnsi="宋体" w:eastAsia="宋体" w:cs="宋体"/>
          <w:b/>
          <w:color w:val="000000"/>
          <w:sz w:val="24"/>
          <w:szCs w:val="24"/>
          <w:highlight w:val="none"/>
          <w:lang w:val="en-US" w:eastAsia="zh-CN"/>
        </w:rPr>
      </w:pPr>
    </w:p>
    <w:p w14:paraId="07817B82">
      <w:pPr>
        <w:spacing w:line="360" w:lineRule="auto"/>
        <w:outlineLvl w:val="2"/>
        <w:rPr>
          <w:rFonts w:hint="eastAsia" w:ascii="宋体" w:hAnsi="宋体" w:eastAsia="宋体" w:cs="宋体"/>
          <w:b/>
          <w:color w:val="000000"/>
          <w:sz w:val="24"/>
          <w:szCs w:val="24"/>
          <w:highlight w:val="none"/>
          <w:lang w:val="en-US" w:eastAsia="zh-CN"/>
        </w:rPr>
      </w:pPr>
    </w:p>
    <w:p w14:paraId="1950F98B">
      <w:pPr>
        <w:pStyle w:val="213"/>
        <w:rPr>
          <w:rFonts w:hint="eastAsia"/>
          <w:lang w:val="en-US" w:eastAsia="zh-CN"/>
        </w:rPr>
      </w:pPr>
    </w:p>
    <w:p w14:paraId="2C4687C5">
      <w:pPr>
        <w:spacing w:line="360" w:lineRule="auto"/>
        <w:outlineLvl w:val="2"/>
        <w:rPr>
          <w:color w:val="000000"/>
          <w:sz w:val="24"/>
          <w:szCs w:val="20"/>
        </w:rPr>
      </w:pPr>
      <w:r>
        <w:rPr>
          <w:color w:val="000000"/>
          <w:sz w:val="24"/>
          <w:szCs w:val="20"/>
        </w:rPr>
        <w:t>2-</w:t>
      </w:r>
      <w:r>
        <w:rPr>
          <w:rFonts w:hint="eastAsia"/>
          <w:color w:val="000000"/>
          <w:sz w:val="24"/>
          <w:szCs w:val="20"/>
          <w:lang w:val="en-US" w:eastAsia="zh-CN"/>
        </w:rPr>
        <w:t>2</w:t>
      </w:r>
      <w:r>
        <w:rPr>
          <w:color w:val="000000"/>
          <w:sz w:val="24"/>
          <w:szCs w:val="20"/>
        </w:rPr>
        <w:t xml:space="preserve"> </w:t>
      </w:r>
      <w:r>
        <w:rPr>
          <w:sz w:val="24"/>
        </w:rPr>
        <w:t>其它落实政府采购政策的资格要求</w:t>
      </w:r>
      <w:r>
        <w:rPr>
          <w:color w:val="000000"/>
          <w:sz w:val="24"/>
          <w:szCs w:val="20"/>
        </w:rPr>
        <w:t>（如有）</w:t>
      </w:r>
    </w:p>
    <w:p w14:paraId="35374A08">
      <w:pPr>
        <w:spacing w:line="360" w:lineRule="auto"/>
        <w:outlineLvl w:val="2"/>
        <w:rPr>
          <w:rFonts w:hint="eastAsia" w:ascii="宋体" w:hAnsi="宋体" w:eastAsia="宋体" w:cs="宋体"/>
          <w:b/>
          <w:color w:val="000000"/>
          <w:sz w:val="24"/>
          <w:szCs w:val="24"/>
          <w:highlight w:val="none"/>
          <w:lang w:val="en-US" w:eastAsia="zh-CN"/>
        </w:rPr>
      </w:pPr>
    </w:p>
    <w:p w14:paraId="59BB60E5">
      <w:pPr>
        <w:spacing w:line="360" w:lineRule="auto"/>
        <w:outlineLvl w:val="2"/>
        <w:rPr>
          <w:rFonts w:hint="eastAsia" w:ascii="宋体" w:hAnsi="宋体" w:eastAsia="宋体" w:cs="宋体"/>
          <w:b/>
          <w:color w:val="000000"/>
          <w:sz w:val="24"/>
          <w:szCs w:val="24"/>
          <w:highlight w:val="none"/>
          <w:lang w:val="en-US" w:eastAsia="zh-CN"/>
        </w:rPr>
      </w:pPr>
    </w:p>
    <w:p w14:paraId="4CC7B21A">
      <w:pPr>
        <w:spacing w:line="360" w:lineRule="auto"/>
        <w:outlineLvl w:val="2"/>
        <w:rPr>
          <w:rFonts w:hint="eastAsia" w:ascii="宋体" w:hAnsi="宋体" w:eastAsia="宋体" w:cs="宋体"/>
          <w:b/>
          <w:color w:val="000000"/>
          <w:sz w:val="24"/>
          <w:szCs w:val="24"/>
          <w:highlight w:val="none"/>
          <w:lang w:val="en-US" w:eastAsia="zh-CN"/>
        </w:rPr>
      </w:pPr>
    </w:p>
    <w:p w14:paraId="0FBC5FF2">
      <w:pPr>
        <w:spacing w:line="360" w:lineRule="auto"/>
        <w:outlineLvl w:val="2"/>
        <w:rPr>
          <w:rFonts w:hint="eastAsia" w:ascii="宋体" w:hAnsi="宋体" w:eastAsia="宋体" w:cs="宋体"/>
          <w:b/>
          <w:color w:val="000000"/>
          <w:sz w:val="24"/>
          <w:szCs w:val="24"/>
          <w:highlight w:val="none"/>
          <w:lang w:val="en-US" w:eastAsia="zh-CN"/>
        </w:rPr>
      </w:pPr>
    </w:p>
    <w:p w14:paraId="677DD83D">
      <w:pPr>
        <w:spacing w:line="360" w:lineRule="auto"/>
        <w:outlineLvl w:val="2"/>
        <w:rPr>
          <w:rFonts w:hint="eastAsia" w:ascii="宋体" w:hAnsi="宋体" w:eastAsia="宋体" w:cs="宋体"/>
          <w:b/>
          <w:color w:val="000000"/>
          <w:sz w:val="24"/>
          <w:szCs w:val="24"/>
          <w:highlight w:val="none"/>
          <w:lang w:val="en-US" w:eastAsia="zh-CN"/>
        </w:rPr>
      </w:pPr>
    </w:p>
    <w:p w14:paraId="1D458A87">
      <w:pPr>
        <w:spacing w:line="360" w:lineRule="auto"/>
        <w:outlineLvl w:val="2"/>
        <w:rPr>
          <w:rFonts w:hint="eastAsia" w:ascii="宋体" w:hAnsi="宋体" w:eastAsia="宋体" w:cs="宋体"/>
          <w:b/>
          <w:color w:val="000000"/>
          <w:sz w:val="24"/>
          <w:szCs w:val="24"/>
          <w:highlight w:val="none"/>
          <w:lang w:val="en-US" w:eastAsia="zh-CN"/>
        </w:rPr>
      </w:pPr>
    </w:p>
    <w:p w14:paraId="71C936F2">
      <w:pPr>
        <w:spacing w:line="360" w:lineRule="auto"/>
        <w:outlineLvl w:val="2"/>
        <w:rPr>
          <w:rFonts w:hint="eastAsia" w:ascii="宋体" w:hAnsi="宋体" w:eastAsia="宋体" w:cs="宋体"/>
          <w:b/>
          <w:color w:val="000000"/>
          <w:sz w:val="24"/>
          <w:szCs w:val="24"/>
          <w:highlight w:val="none"/>
          <w:lang w:val="en-US" w:eastAsia="zh-CN"/>
        </w:rPr>
      </w:pPr>
    </w:p>
    <w:p w14:paraId="06944E2B">
      <w:pPr>
        <w:spacing w:line="360" w:lineRule="auto"/>
        <w:outlineLvl w:val="2"/>
        <w:rPr>
          <w:rFonts w:hint="eastAsia" w:ascii="宋体" w:hAnsi="宋体" w:eastAsia="宋体" w:cs="宋体"/>
          <w:b/>
          <w:color w:val="000000"/>
          <w:sz w:val="24"/>
          <w:szCs w:val="24"/>
          <w:highlight w:val="none"/>
          <w:lang w:val="en-US" w:eastAsia="zh-CN"/>
        </w:rPr>
      </w:pPr>
    </w:p>
    <w:p w14:paraId="376959FF">
      <w:pPr>
        <w:spacing w:line="360" w:lineRule="auto"/>
        <w:outlineLvl w:val="2"/>
        <w:rPr>
          <w:rFonts w:hint="eastAsia" w:ascii="宋体" w:hAnsi="宋体" w:eastAsia="宋体" w:cs="宋体"/>
          <w:b/>
          <w:color w:val="000000"/>
          <w:sz w:val="24"/>
          <w:szCs w:val="24"/>
          <w:highlight w:val="none"/>
          <w:lang w:val="en-US" w:eastAsia="zh-CN"/>
        </w:rPr>
      </w:pPr>
    </w:p>
    <w:p w14:paraId="448F37CB">
      <w:pPr>
        <w:spacing w:line="360" w:lineRule="auto"/>
        <w:outlineLvl w:val="2"/>
        <w:rPr>
          <w:rFonts w:hint="eastAsia" w:ascii="宋体" w:hAnsi="宋体" w:eastAsia="宋体" w:cs="宋体"/>
          <w:b/>
          <w:color w:val="000000"/>
          <w:sz w:val="24"/>
          <w:szCs w:val="24"/>
          <w:highlight w:val="none"/>
          <w:lang w:val="en-US" w:eastAsia="zh-CN"/>
        </w:rPr>
      </w:pPr>
    </w:p>
    <w:p w14:paraId="0CC13C05">
      <w:pPr>
        <w:spacing w:line="360" w:lineRule="auto"/>
        <w:outlineLvl w:val="2"/>
        <w:rPr>
          <w:rFonts w:hint="eastAsia" w:ascii="宋体" w:hAnsi="宋体" w:eastAsia="宋体" w:cs="宋体"/>
          <w:b/>
          <w:color w:val="000000"/>
          <w:sz w:val="24"/>
          <w:szCs w:val="24"/>
          <w:highlight w:val="none"/>
          <w:lang w:val="en-US" w:eastAsia="zh-CN"/>
        </w:rPr>
      </w:pPr>
    </w:p>
    <w:p w14:paraId="0C795B5F">
      <w:pPr>
        <w:spacing w:line="360" w:lineRule="auto"/>
        <w:outlineLvl w:val="2"/>
        <w:rPr>
          <w:rFonts w:hint="eastAsia" w:ascii="宋体" w:hAnsi="宋体" w:eastAsia="宋体" w:cs="宋体"/>
          <w:b/>
          <w:color w:val="000000"/>
          <w:sz w:val="24"/>
          <w:szCs w:val="24"/>
          <w:highlight w:val="none"/>
          <w:lang w:val="en-US" w:eastAsia="zh-CN"/>
        </w:rPr>
      </w:pPr>
    </w:p>
    <w:p w14:paraId="4720B527">
      <w:pPr>
        <w:spacing w:line="360" w:lineRule="auto"/>
        <w:outlineLvl w:val="2"/>
        <w:rPr>
          <w:rFonts w:hint="eastAsia" w:ascii="宋体" w:hAnsi="宋体" w:eastAsia="宋体" w:cs="宋体"/>
          <w:b/>
          <w:color w:val="000000"/>
          <w:sz w:val="24"/>
          <w:szCs w:val="24"/>
          <w:highlight w:val="none"/>
          <w:lang w:val="en-US" w:eastAsia="zh-CN"/>
        </w:rPr>
      </w:pPr>
    </w:p>
    <w:p w14:paraId="09364C33">
      <w:pPr>
        <w:spacing w:line="360" w:lineRule="auto"/>
        <w:outlineLvl w:val="2"/>
        <w:rPr>
          <w:rFonts w:hint="eastAsia" w:ascii="宋体" w:hAnsi="宋体" w:eastAsia="宋体" w:cs="宋体"/>
          <w:b/>
          <w:color w:val="000000"/>
          <w:sz w:val="24"/>
          <w:szCs w:val="24"/>
          <w:highlight w:val="none"/>
          <w:lang w:val="en-US" w:eastAsia="zh-CN"/>
        </w:rPr>
      </w:pPr>
    </w:p>
    <w:p w14:paraId="057B7525">
      <w:pPr>
        <w:spacing w:line="360" w:lineRule="auto"/>
        <w:outlineLvl w:val="2"/>
        <w:rPr>
          <w:rFonts w:hint="eastAsia" w:ascii="宋体" w:hAnsi="宋体" w:eastAsia="宋体" w:cs="宋体"/>
          <w:b/>
          <w:color w:val="000000"/>
          <w:sz w:val="24"/>
          <w:szCs w:val="24"/>
          <w:highlight w:val="none"/>
          <w:lang w:val="en-US" w:eastAsia="zh-CN"/>
        </w:rPr>
      </w:pPr>
    </w:p>
    <w:p w14:paraId="713760A3">
      <w:pPr>
        <w:spacing w:line="360" w:lineRule="auto"/>
        <w:outlineLvl w:val="2"/>
        <w:rPr>
          <w:rFonts w:hint="eastAsia" w:ascii="宋体" w:hAnsi="宋体" w:eastAsia="宋体" w:cs="宋体"/>
          <w:b/>
          <w:color w:val="000000"/>
          <w:sz w:val="24"/>
          <w:szCs w:val="24"/>
          <w:highlight w:val="none"/>
          <w:lang w:val="en-US" w:eastAsia="zh-CN"/>
        </w:rPr>
      </w:pPr>
    </w:p>
    <w:p w14:paraId="60126186">
      <w:pPr>
        <w:spacing w:line="360" w:lineRule="auto"/>
        <w:outlineLvl w:val="2"/>
        <w:rPr>
          <w:rFonts w:hint="eastAsia" w:ascii="宋体" w:hAnsi="宋体" w:eastAsia="宋体" w:cs="宋体"/>
          <w:b/>
          <w:color w:val="000000"/>
          <w:sz w:val="24"/>
          <w:szCs w:val="24"/>
          <w:highlight w:val="none"/>
          <w:lang w:val="en-US" w:eastAsia="zh-CN"/>
        </w:rPr>
      </w:pPr>
    </w:p>
    <w:p w14:paraId="21B4485F">
      <w:pPr>
        <w:spacing w:line="360" w:lineRule="auto"/>
        <w:outlineLvl w:val="2"/>
        <w:rPr>
          <w:rFonts w:hint="eastAsia" w:ascii="宋体" w:hAnsi="宋体" w:eastAsia="宋体" w:cs="宋体"/>
          <w:b/>
          <w:color w:val="000000"/>
          <w:sz w:val="24"/>
          <w:szCs w:val="24"/>
          <w:highlight w:val="none"/>
          <w:lang w:val="en-US" w:eastAsia="zh-CN"/>
        </w:rPr>
      </w:pPr>
    </w:p>
    <w:p w14:paraId="06F3366B">
      <w:pPr>
        <w:spacing w:line="360" w:lineRule="auto"/>
        <w:outlineLvl w:val="2"/>
        <w:rPr>
          <w:rFonts w:hint="eastAsia" w:ascii="宋体" w:hAnsi="宋体" w:eastAsia="宋体" w:cs="宋体"/>
          <w:b/>
          <w:color w:val="000000"/>
          <w:sz w:val="24"/>
          <w:szCs w:val="24"/>
          <w:highlight w:val="none"/>
          <w:lang w:val="en-US" w:eastAsia="zh-CN"/>
        </w:rPr>
      </w:pPr>
    </w:p>
    <w:p w14:paraId="3E19A591">
      <w:pPr>
        <w:spacing w:line="360" w:lineRule="auto"/>
        <w:outlineLvl w:val="2"/>
        <w:rPr>
          <w:rFonts w:hint="eastAsia" w:ascii="宋体" w:hAnsi="宋体" w:eastAsia="宋体" w:cs="宋体"/>
          <w:b/>
          <w:color w:val="000000"/>
          <w:sz w:val="24"/>
          <w:szCs w:val="24"/>
          <w:highlight w:val="none"/>
          <w:lang w:val="en-US" w:eastAsia="zh-CN"/>
        </w:rPr>
      </w:pPr>
    </w:p>
    <w:p w14:paraId="79CE4619">
      <w:pPr>
        <w:spacing w:line="360" w:lineRule="auto"/>
        <w:outlineLvl w:val="2"/>
        <w:rPr>
          <w:rFonts w:hint="eastAsia" w:ascii="宋体" w:hAnsi="宋体" w:eastAsia="宋体" w:cs="宋体"/>
          <w:b/>
          <w:color w:val="000000"/>
          <w:sz w:val="24"/>
          <w:szCs w:val="24"/>
          <w:highlight w:val="none"/>
          <w:lang w:val="en-US" w:eastAsia="zh-CN"/>
        </w:rPr>
      </w:pPr>
    </w:p>
    <w:p w14:paraId="6E69485B">
      <w:pPr>
        <w:spacing w:line="360" w:lineRule="auto"/>
        <w:outlineLvl w:val="2"/>
        <w:rPr>
          <w:rFonts w:hint="eastAsia" w:ascii="宋体" w:hAnsi="宋体" w:eastAsia="宋体" w:cs="宋体"/>
          <w:b/>
          <w:color w:val="000000"/>
          <w:sz w:val="24"/>
          <w:szCs w:val="24"/>
          <w:highlight w:val="none"/>
          <w:lang w:val="en-US" w:eastAsia="zh-CN"/>
        </w:rPr>
      </w:pPr>
    </w:p>
    <w:p w14:paraId="43F69590">
      <w:pPr>
        <w:spacing w:line="360" w:lineRule="auto"/>
        <w:outlineLvl w:val="2"/>
        <w:rPr>
          <w:rFonts w:hint="eastAsia" w:ascii="宋体" w:hAnsi="宋体" w:eastAsia="宋体" w:cs="宋体"/>
          <w:b/>
          <w:color w:val="000000"/>
          <w:sz w:val="24"/>
          <w:szCs w:val="24"/>
          <w:highlight w:val="none"/>
          <w:lang w:val="en-US" w:eastAsia="zh-CN"/>
        </w:rPr>
      </w:pPr>
    </w:p>
    <w:p w14:paraId="08C92A3E">
      <w:pPr>
        <w:spacing w:line="360" w:lineRule="auto"/>
        <w:outlineLvl w:val="2"/>
        <w:rPr>
          <w:rFonts w:hint="eastAsia" w:ascii="宋体" w:hAnsi="宋体" w:eastAsia="宋体" w:cs="宋体"/>
          <w:b/>
          <w:color w:val="000000"/>
          <w:sz w:val="24"/>
          <w:szCs w:val="24"/>
          <w:highlight w:val="none"/>
          <w:lang w:val="en-US" w:eastAsia="zh-CN"/>
        </w:rPr>
      </w:pPr>
    </w:p>
    <w:p w14:paraId="28410BFE">
      <w:pPr>
        <w:spacing w:line="360" w:lineRule="auto"/>
        <w:outlineLvl w:val="2"/>
        <w:rPr>
          <w:rFonts w:hint="eastAsia" w:ascii="宋体" w:hAnsi="宋体" w:eastAsia="宋体" w:cs="宋体"/>
          <w:b/>
          <w:color w:val="000000"/>
          <w:sz w:val="24"/>
          <w:szCs w:val="24"/>
          <w:highlight w:val="none"/>
          <w:lang w:val="en-US" w:eastAsia="zh-CN"/>
        </w:rPr>
      </w:pPr>
    </w:p>
    <w:p w14:paraId="5DBC23A8">
      <w:pPr>
        <w:spacing w:line="360" w:lineRule="auto"/>
        <w:outlineLvl w:val="2"/>
        <w:rPr>
          <w:rFonts w:hint="eastAsia" w:ascii="宋体" w:hAnsi="宋体" w:eastAsia="宋体" w:cs="宋体"/>
          <w:b/>
          <w:color w:val="000000"/>
          <w:sz w:val="24"/>
          <w:szCs w:val="24"/>
          <w:highlight w:val="none"/>
          <w:lang w:val="en-US" w:eastAsia="zh-CN"/>
        </w:rPr>
      </w:pPr>
    </w:p>
    <w:p w14:paraId="24D39766">
      <w:pPr>
        <w:spacing w:line="360" w:lineRule="auto"/>
        <w:outlineLvl w:val="2"/>
        <w:rPr>
          <w:rFonts w:hint="eastAsia" w:ascii="宋体" w:hAnsi="宋体" w:eastAsia="宋体" w:cs="宋体"/>
          <w:b/>
          <w:color w:val="000000"/>
          <w:sz w:val="24"/>
          <w:szCs w:val="24"/>
          <w:highlight w:val="none"/>
          <w:lang w:val="en-US" w:eastAsia="zh-CN"/>
        </w:rPr>
      </w:pPr>
    </w:p>
    <w:p w14:paraId="7F25FE94">
      <w:pPr>
        <w:spacing w:line="360" w:lineRule="auto"/>
        <w:outlineLvl w:val="2"/>
        <w:rPr>
          <w:rFonts w:hint="eastAsia" w:ascii="宋体" w:hAnsi="宋体" w:eastAsia="宋体" w:cs="宋体"/>
          <w:b/>
          <w:color w:val="000000"/>
          <w:sz w:val="24"/>
          <w:szCs w:val="24"/>
          <w:highlight w:val="none"/>
          <w:lang w:val="en-US" w:eastAsia="zh-CN"/>
        </w:rPr>
      </w:pPr>
    </w:p>
    <w:p w14:paraId="7BDF732B">
      <w:pPr>
        <w:spacing w:line="360" w:lineRule="auto"/>
        <w:outlineLvl w:val="2"/>
        <w:rPr>
          <w:rFonts w:hint="eastAsia" w:ascii="宋体" w:hAnsi="宋体" w:eastAsia="宋体" w:cs="宋体"/>
          <w:b/>
          <w:color w:val="000000"/>
          <w:sz w:val="24"/>
          <w:szCs w:val="24"/>
          <w:highlight w:val="none"/>
          <w:lang w:val="en-US" w:eastAsia="zh-CN"/>
        </w:rPr>
      </w:pPr>
    </w:p>
    <w:p w14:paraId="7E2DA60F">
      <w:pPr>
        <w:widowControl/>
        <w:jc w:val="left"/>
        <w:rPr>
          <w:rFonts w:hint="eastAsia" w:ascii="宋体" w:hAnsi="宋体" w:eastAsia="宋体" w:cs="宋体"/>
          <w:color w:val="000000"/>
          <w:sz w:val="24"/>
          <w:highlight w:val="none"/>
        </w:rPr>
      </w:pPr>
      <w:r>
        <w:rPr>
          <w:rFonts w:hint="eastAsia" w:ascii="宋体" w:hAnsi="宋体" w:eastAsia="宋体" w:cs="宋体"/>
          <w:color w:val="000000"/>
          <w:sz w:val="24"/>
          <w:szCs w:val="20"/>
          <w:highlight w:val="none"/>
        </w:rPr>
        <w:t xml:space="preserve">3 </w:t>
      </w:r>
      <w:r>
        <w:rPr>
          <w:rFonts w:hint="eastAsia" w:ascii="宋体" w:hAnsi="宋体" w:eastAsia="宋体" w:cs="宋体"/>
          <w:color w:val="000000"/>
          <w:sz w:val="24"/>
          <w:highlight w:val="none"/>
        </w:rPr>
        <w:t>本项目的特定资格要求</w:t>
      </w:r>
      <w:r>
        <w:rPr>
          <w:rFonts w:hint="eastAsia" w:ascii="宋体" w:hAnsi="宋体" w:eastAsia="宋体" w:cs="宋体"/>
          <w:color w:val="000000"/>
          <w:sz w:val="24"/>
          <w:szCs w:val="20"/>
          <w:highlight w:val="none"/>
        </w:rPr>
        <w:t>（如有）</w:t>
      </w:r>
    </w:p>
    <w:p w14:paraId="03FC2543">
      <w:pPr>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3-2其他特定资格要求</w:t>
      </w:r>
    </w:p>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p w14:paraId="7E4EDAB9">
      <w:pPr>
        <w:widowControl/>
        <w:jc w:val="center"/>
        <w:rPr>
          <w:rFonts w:hint="eastAsia" w:ascii="宋体" w:hAnsi="宋体" w:eastAsia="宋体" w:cs="宋体"/>
          <w:b/>
          <w:color w:val="000000"/>
          <w:sz w:val="32"/>
          <w:szCs w:val="32"/>
          <w:highlight w:val="none"/>
        </w:rPr>
      </w:pPr>
      <w:bookmarkStart w:id="812" w:name="_Toc142311060"/>
      <w:bookmarkStart w:id="813" w:name="_Toc305158827"/>
      <w:bookmarkStart w:id="814" w:name="_Toc226965832"/>
      <w:bookmarkStart w:id="815" w:name="_Toc195842924"/>
      <w:bookmarkStart w:id="816" w:name="_Toc226337255"/>
      <w:bookmarkStart w:id="817" w:name="_Toc265228397"/>
      <w:bookmarkStart w:id="818" w:name="_Toc226309803"/>
      <w:bookmarkStart w:id="819" w:name="_Toc150774763"/>
      <w:bookmarkStart w:id="820" w:name="_Toc127151558"/>
      <w:bookmarkStart w:id="821" w:name="_Toc264969249"/>
      <w:bookmarkStart w:id="822" w:name="_Toc305158901"/>
      <w:bookmarkStart w:id="823" w:name="_Toc226965749"/>
      <w:bookmarkStart w:id="824" w:name="_Toc150480796"/>
    </w:p>
    <w:p w14:paraId="080DEC76">
      <w:pPr>
        <w:widowControl/>
        <w:jc w:val="center"/>
        <w:rPr>
          <w:rFonts w:hint="eastAsia" w:ascii="宋体" w:hAnsi="宋体" w:eastAsia="宋体" w:cs="宋体"/>
          <w:b/>
          <w:color w:val="000000"/>
          <w:sz w:val="32"/>
          <w:szCs w:val="32"/>
          <w:highlight w:val="none"/>
        </w:rPr>
      </w:pPr>
    </w:p>
    <w:p w14:paraId="066BE955">
      <w:pPr>
        <w:widowControl/>
        <w:jc w:val="center"/>
        <w:rPr>
          <w:rFonts w:hint="eastAsia" w:ascii="宋体" w:hAnsi="宋体" w:eastAsia="宋体" w:cs="宋体"/>
          <w:b/>
          <w:color w:val="000000"/>
          <w:sz w:val="32"/>
          <w:szCs w:val="32"/>
          <w:highlight w:val="none"/>
        </w:rPr>
      </w:pPr>
    </w:p>
    <w:p w14:paraId="2BD718EE">
      <w:pPr>
        <w:widowControl/>
        <w:jc w:val="center"/>
        <w:rPr>
          <w:rFonts w:hint="eastAsia" w:ascii="宋体" w:hAnsi="宋体" w:eastAsia="宋体" w:cs="宋体"/>
          <w:b/>
          <w:color w:val="000000"/>
          <w:sz w:val="32"/>
          <w:szCs w:val="32"/>
          <w:highlight w:val="none"/>
        </w:rPr>
      </w:pPr>
    </w:p>
    <w:p w14:paraId="374A4C64">
      <w:pPr>
        <w:widowControl/>
        <w:jc w:val="center"/>
        <w:rPr>
          <w:rFonts w:hint="eastAsia" w:ascii="宋体" w:hAnsi="宋体" w:eastAsia="宋体" w:cs="宋体"/>
          <w:b/>
          <w:color w:val="000000"/>
          <w:sz w:val="32"/>
          <w:szCs w:val="32"/>
          <w:highlight w:val="none"/>
        </w:rPr>
      </w:pPr>
    </w:p>
    <w:p w14:paraId="595C1452">
      <w:pPr>
        <w:widowControl/>
        <w:jc w:val="center"/>
        <w:rPr>
          <w:rFonts w:hint="eastAsia" w:ascii="宋体" w:hAnsi="宋体" w:eastAsia="宋体" w:cs="宋体"/>
          <w:b/>
          <w:color w:val="000000"/>
          <w:sz w:val="32"/>
          <w:szCs w:val="32"/>
          <w:highlight w:val="none"/>
        </w:rPr>
      </w:pPr>
    </w:p>
    <w:p w14:paraId="4964993C">
      <w:pPr>
        <w:widowControl/>
        <w:jc w:val="center"/>
        <w:rPr>
          <w:rFonts w:hint="eastAsia" w:ascii="宋体" w:hAnsi="宋体" w:eastAsia="宋体" w:cs="宋体"/>
          <w:b/>
          <w:color w:val="000000"/>
          <w:sz w:val="32"/>
          <w:szCs w:val="32"/>
          <w:highlight w:val="none"/>
        </w:rPr>
      </w:pPr>
    </w:p>
    <w:p w14:paraId="1FEDA90F">
      <w:pPr>
        <w:widowControl/>
        <w:jc w:val="center"/>
        <w:rPr>
          <w:rFonts w:hint="eastAsia" w:ascii="宋体" w:hAnsi="宋体" w:eastAsia="宋体" w:cs="宋体"/>
          <w:b/>
          <w:color w:val="000000"/>
          <w:sz w:val="32"/>
          <w:szCs w:val="32"/>
          <w:highlight w:val="none"/>
        </w:rPr>
      </w:pPr>
    </w:p>
    <w:p w14:paraId="3776925D">
      <w:pPr>
        <w:widowControl/>
        <w:jc w:val="center"/>
        <w:rPr>
          <w:rFonts w:hint="eastAsia" w:ascii="宋体" w:hAnsi="宋体" w:eastAsia="宋体" w:cs="宋体"/>
          <w:b/>
          <w:color w:val="000000"/>
          <w:sz w:val="32"/>
          <w:szCs w:val="32"/>
          <w:highlight w:val="none"/>
        </w:rPr>
      </w:pPr>
    </w:p>
    <w:p w14:paraId="00487FB9">
      <w:pPr>
        <w:widowControl/>
        <w:jc w:val="center"/>
        <w:rPr>
          <w:rFonts w:hint="eastAsia" w:ascii="宋体" w:hAnsi="宋体" w:eastAsia="宋体" w:cs="宋体"/>
          <w:b/>
          <w:color w:val="000000"/>
          <w:sz w:val="32"/>
          <w:szCs w:val="32"/>
          <w:highlight w:val="none"/>
        </w:rPr>
      </w:pPr>
    </w:p>
    <w:p w14:paraId="7D45C1E4">
      <w:pPr>
        <w:widowControl/>
        <w:jc w:val="center"/>
        <w:rPr>
          <w:rFonts w:hint="eastAsia" w:ascii="宋体" w:hAnsi="宋体" w:eastAsia="宋体" w:cs="宋体"/>
          <w:b/>
          <w:color w:val="000000"/>
          <w:sz w:val="32"/>
          <w:szCs w:val="32"/>
          <w:highlight w:val="none"/>
        </w:rPr>
      </w:pPr>
    </w:p>
    <w:p w14:paraId="62BE266E">
      <w:pPr>
        <w:widowControl/>
        <w:jc w:val="center"/>
        <w:rPr>
          <w:rFonts w:hint="eastAsia" w:ascii="宋体" w:hAnsi="宋体" w:eastAsia="宋体" w:cs="宋体"/>
          <w:b/>
          <w:color w:val="000000"/>
          <w:sz w:val="32"/>
          <w:szCs w:val="32"/>
          <w:highlight w:val="none"/>
        </w:rPr>
      </w:pPr>
    </w:p>
    <w:p w14:paraId="049BA031">
      <w:pPr>
        <w:widowControl/>
        <w:jc w:val="center"/>
        <w:rPr>
          <w:rFonts w:hint="eastAsia" w:ascii="宋体" w:hAnsi="宋体" w:eastAsia="宋体" w:cs="宋体"/>
          <w:b/>
          <w:color w:val="000000"/>
          <w:sz w:val="32"/>
          <w:szCs w:val="32"/>
          <w:highlight w:val="none"/>
        </w:rPr>
      </w:pPr>
    </w:p>
    <w:p w14:paraId="3AE6AB5F">
      <w:pPr>
        <w:widowControl/>
        <w:jc w:val="center"/>
        <w:rPr>
          <w:rFonts w:hint="eastAsia" w:ascii="宋体" w:hAnsi="宋体" w:eastAsia="宋体" w:cs="宋体"/>
          <w:b/>
          <w:color w:val="000000"/>
          <w:sz w:val="32"/>
          <w:szCs w:val="32"/>
          <w:highlight w:val="none"/>
        </w:rPr>
      </w:pPr>
    </w:p>
    <w:p w14:paraId="1DAA6583">
      <w:pPr>
        <w:widowControl/>
        <w:jc w:val="center"/>
        <w:rPr>
          <w:rFonts w:hint="eastAsia" w:ascii="宋体" w:hAnsi="宋体" w:eastAsia="宋体" w:cs="宋体"/>
          <w:b/>
          <w:color w:val="000000"/>
          <w:sz w:val="32"/>
          <w:szCs w:val="32"/>
          <w:highlight w:val="none"/>
        </w:rPr>
      </w:pPr>
    </w:p>
    <w:p w14:paraId="3CDE5798">
      <w:pPr>
        <w:widowControl/>
        <w:jc w:val="center"/>
        <w:rPr>
          <w:rFonts w:hint="eastAsia" w:ascii="宋体" w:hAnsi="宋体" w:eastAsia="宋体" w:cs="宋体"/>
          <w:b/>
          <w:color w:val="000000"/>
          <w:sz w:val="32"/>
          <w:szCs w:val="32"/>
          <w:highlight w:val="none"/>
        </w:rPr>
      </w:pPr>
    </w:p>
    <w:p w14:paraId="1646AEA5">
      <w:pPr>
        <w:widowControl/>
        <w:jc w:val="center"/>
        <w:rPr>
          <w:rFonts w:hint="eastAsia" w:ascii="宋体" w:hAnsi="宋体" w:eastAsia="宋体" w:cs="宋体"/>
          <w:b/>
          <w:color w:val="000000"/>
          <w:sz w:val="32"/>
          <w:szCs w:val="32"/>
          <w:highlight w:val="none"/>
        </w:rPr>
      </w:pPr>
    </w:p>
    <w:p w14:paraId="2E801E7F">
      <w:pPr>
        <w:widowControl/>
        <w:jc w:val="center"/>
        <w:rPr>
          <w:rFonts w:hint="eastAsia" w:ascii="宋体" w:hAnsi="宋体" w:eastAsia="宋体" w:cs="宋体"/>
          <w:b/>
          <w:color w:val="000000"/>
          <w:sz w:val="32"/>
          <w:szCs w:val="32"/>
          <w:highlight w:val="none"/>
        </w:rPr>
      </w:pPr>
    </w:p>
    <w:p w14:paraId="21EC28DE">
      <w:pPr>
        <w:widowControl/>
        <w:jc w:val="center"/>
        <w:rPr>
          <w:rFonts w:hint="eastAsia" w:ascii="宋体" w:hAnsi="宋体" w:eastAsia="宋体" w:cs="宋体"/>
          <w:b/>
          <w:color w:val="000000"/>
          <w:sz w:val="32"/>
          <w:szCs w:val="32"/>
          <w:highlight w:val="none"/>
        </w:rPr>
      </w:pPr>
    </w:p>
    <w:p w14:paraId="53E8B37C">
      <w:pPr>
        <w:widowControl/>
        <w:jc w:val="center"/>
        <w:rPr>
          <w:rFonts w:hint="eastAsia" w:ascii="宋体" w:hAnsi="宋体" w:eastAsia="宋体" w:cs="宋体"/>
          <w:b/>
          <w:color w:val="000000"/>
          <w:sz w:val="32"/>
          <w:szCs w:val="32"/>
          <w:highlight w:val="none"/>
        </w:rPr>
      </w:pPr>
    </w:p>
    <w:p w14:paraId="534BD0BA">
      <w:pPr>
        <w:widowControl/>
        <w:jc w:val="center"/>
        <w:rPr>
          <w:rFonts w:hint="eastAsia" w:ascii="宋体" w:hAnsi="宋体" w:eastAsia="宋体" w:cs="宋体"/>
          <w:b/>
          <w:color w:val="000000"/>
          <w:sz w:val="32"/>
          <w:szCs w:val="32"/>
          <w:highlight w:val="none"/>
        </w:rPr>
      </w:pPr>
    </w:p>
    <w:p w14:paraId="5B2587C0">
      <w:pPr>
        <w:widowControl/>
        <w:jc w:val="center"/>
        <w:rPr>
          <w:rFonts w:hint="eastAsia" w:ascii="宋体" w:hAnsi="宋体" w:eastAsia="宋体" w:cs="宋体"/>
          <w:b/>
          <w:color w:val="000000"/>
          <w:sz w:val="32"/>
          <w:szCs w:val="32"/>
          <w:highlight w:val="none"/>
        </w:rPr>
      </w:pPr>
    </w:p>
    <w:p w14:paraId="717B5051">
      <w:pPr>
        <w:widowControl/>
        <w:jc w:val="center"/>
        <w:rPr>
          <w:rFonts w:hint="eastAsia" w:ascii="宋体" w:hAnsi="宋体" w:eastAsia="宋体" w:cs="宋体"/>
          <w:b/>
          <w:color w:val="000000"/>
          <w:sz w:val="32"/>
          <w:szCs w:val="32"/>
          <w:highlight w:val="none"/>
        </w:rPr>
      </w:pPr>
    </w:p>
    <w:p w14:paraId="2342E833">
      <w:pPr>
        <w:widowControl/>
        <w:jc w:val="center"/>
        <w:rPr>
          <w:rFonts w:hint="eastAsia" w:ascii="宋体" w:hAnsi="宋体" w:eastAsia="宋体" w:cs="宋体"/>
          <w:b/>
          <w:color w:val="000000"/>
          <w:sz w:val="32"/>
          <w:szCs w:val="32"/>
          <w:highlight w:val="none"/>
        </w:rPr>
      </w:pPr>
    </w:p>
    <w:p w14:paraId="6CBC0A27">
      <w:pPr>
        <w:widowControl/>
        <w:jc w:val="center"/>
        <w:rPr>
          <w:rFonts w:hint="eastAsia" w:ascii="宋体" w:hAnsi="宋体" w:eastAsia="宋体" w:cs="宋体"/>
          <w:b/>
          <w:color w:val="000000"/>
          <w:sz w:val="32"/>
          <w:szCs w:val="32"/>
          <w:highlight w:val="none"/>
        </w:rPr>
      </w:pPr>
    </w:p>
    <w:p w14:paraId="40485260">
      <w:pPr>
        <w:widowControl/>
        <w:jc w:val="center"/>
        <w:rPr>
          <w:rFonts w:hint="eastAsia" w:ascii="宋体" w:hAnsi="宋体" w:eastAsia="宋体" w:cs="宋体"/>
          <w:b/>
          <w:color w:val="000000"/>
          <w:sz w:val="32"/>
          <w:szCs w:val="32"/>
          <w:highlight w:val="none"/>
        </w:rPr>
      </w:pPr>
    </w:p>
    <w:p w14:paraId="4C10C2AC">
      <w:pPr>
        <w:widowControl/>
        <w:jc w:val="center"/>
        <w:rPr>
          <w:rFonts w:hint="eastAsia" w:ascii="宋体" w:hAnsi="宋体" w:eastAsia="宋体" w:cs="宋体"/>
          <w:b/>
          <w:color w:val="000000"/>
          <w:sz w:val="32"/>
          <w:szCs w:val="32"/>
          <w:highlight w:val="none"/>
        </w:rPr>
      </w:pPr>
    </w:p>
    <w:p w14:paraId="6A3D4E1F">
      <w:pPr>
        <w:widowControl/>
        <w:jc w:val="center"/>
        <w:rPr>
          <w:rFonts w:hint="eastAsia" w:ascii="宋体" w:hAnsi="宋体" w:eastAsia="宋体" w:cs="宋体"/>
          <w:b/>
          <w:color w:val="000000"/>
          <w:sz w:val="32"/>
          <w:szCs w:val="32"/>
          <w:highlight w:val="none"/>
        </w:rPr>
      </w:pPr>
    </w:p>
    <w:p w14:paraId="03541AB8">
      <w:pPr>
        <w:widowControl/>
        <w:jc w:val="center"/>
        <w:rPr>
          <w:rFonts w:hint="eastAsia" w:ascii="宋体" w:hAnsi="宋体" w:eastAsia="宋体" w:cs="宋体"/>
          <w:b/>
          <w:color w:val="000000"/>
          <w:sz w:val="32"/>
          <w:szCs w:val="32"/>
          <w:highlight w:val="none"/>
        </w:rPr>
      </w:pPr>
    </w:p>
    <w:p w14:paraId="064E01D7">
      <w:pPr>
        <w:widowControl/>
        <w:jc w:val="center"/>
        <w:rPr>
          <w:rFonts w:hint="eastAsia" w:ascii="宋体" w:hAnsi="宋体" w:eastAsia="宋体" w:cs="宋体"/>
          <w:b/>
          <w:color w:val="000000"/>
          <w:sz w:val="32"/>
          <w:szCs w:val="32"/>
          <w:highlight w:val="none"/>
        </w:rPr>
      </w:pPr>
    </w:p>
    <w:p w14:paraId="5FB82A25">
      <w:pPr>
        <w:widowControl/>
        <w:jc w:val="center"/>
        <w:rPr>
          <w:rFonts w:hint="eastAsia" w:ascii="宋体" w:hAnsi="宋体" w:eastAsia="宋体" w:cs="宋体"/>
          <w:b/>
          <w:color w:val="000000"/>
          <w:sz w:val="32"/>
          <w:szCs w:val="32"/>
          <w:highlight w:val="none"/>
        </w:rPr>
      </w:pPr>
    </w:p>
    <w:p w14:paraId="70CE7991">
      <w:pPr>
        <w:widowControl/>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二、商务技术文件格式</w:t>
      </w:r>
      <w:bookmarkStart w:id="825" w:name="_Toc127151556"/>
      <w:bookmarkStart w:id="826" w:name="_Toc142311058"/>
      <w:bookmarkStart w:id="827" w:name="_Toc226309800"/>
      <w:bookmarkStart w:id="828" w:name="_Toc195842921"/>
      <w:bookmarkStart w:id="829" w:name="_Toc150480794"/>
      <w:bookmarkStart w:id="830" w:name="_Toc520356217"/>
      <w:bookmarkStart w:id="831" w:name="_Toc226337252"/>
      <w:bookmarkStart w:id="832" w:name="_Toc150774761"/>
      <w:bookmarkStart w:id="833" w:name="_Toc480942349"/>
      <w:bookmarkStart w:id="834" w:name="_Toc226965746"/>
      <w:bookmarkStart w:id="835" w:name="_Ref467988698"/>
      <w:bookmarkStart w:id="836" w:name="_Toc226965829"/>
    </w:p>
    <w:p w14:paraId="53692521">
      <w:pPr>
        <w:widowControl/>
        <w:jc w:val="center"/>
        <w:rPr>
          <w:rFonts w:hint="eastAsia" w:ascii="宋体" w:hAnsi="宋体" w:eastAsia="宋体" w:cs="宋体"/>
          <w:b/>
          <w:color w:val="000000"/>
          <w:sz w:val="32"/>
          <w:szCs w:val="32"/>
          <w:highlight w:val="none"/>
        </w:rPr>
      </w:pPr>
    </w:p>
    <w:p w14:paraId="4934FCF8">
      <w:pPr>
        <w:spacing w:line="360" w:lineRule="auto"/>
        <w:outlineLvl w:val="2"/>
        <w:rPr>
          <w:rFonts w:hint="eastAsia" w:ascii="宋体" w:hAnsi="宋体" w:eastAsia="宋体" w:cs="宋体"/>
          <w:color w:val="000000"/>
          <w:sz w:val="24"/>
          <w:szCs w:val="20"/>
          <w:highlight w:val="none"/>
        </w:rPr>
      </w:pPr>
      <w:r>
        <w:rPr>
          <w:rFonts w:hint="eastAsia" w:ascii="宋体" w:hAnsi="宋体" w:eastAsia="宋体" w:cs="宋体"/>
          <w:color w:val="000000"/>
          <w:sz w:val="24"/>
          <w:highlight w:val="none"/>
        </w:rPr>
        <w:t>1</w:t>
      </w:r>
      <w:r>
        <w:rPr>
          <w:rFonts w:hint="eastAsia" w:ascii="宋体" w:hAnsi="宋体" w:eastAsia="宋体" w:cs="宋体"/>
          <w:color w:val="000000"/>
          <w:sz w:val="24"/>
          <w:szCs w:val="20"/>
          <w:highlight w:val="none"/>
        </w:rPr>
        <w:t xml:space="preserve">  </w:t>
      </w:r>
      <w:r>
        <w:rPr>
          <w:rFonts w:hint="eastAsia" w:ascii="宋体" w:hAnsi="宋体" w:eastAsia="宋体" w:cs="宋体"/>
          <w:color w:val="000000"/>
          <w:sz w:val="24"/>
          <w:highlight w:val="none"/>
        </w:rPr>
        <w:t>投标</w:t>
      </w:r>
      <w:bookmarkEnd w:id="825"/>
      <w:bookmarkEnd w:id="826"/>
      <w:bookmarkEnd w:id="827"/>
      <w:bookmarkEnd w:id="828"/>
      <w:bookmarkEnd w:id="829"/>
      <w:bookmarkEnd w:id="830"/>
      <w:bookmarkEnd w:id="831"/>
      <w:bookmarkEnd w:id="832"/>
      <w:bookmarkEnd w:id="833"/>
      <w:bookmarkEnd w:id="834"/>
      <w:bookmarkEnd w:id="835"/>
      <w:bookmarkEnd w:id="836"/>
      <w:r>
        <w:rPr>
          <w:rFonts w:hint="eastAsia" w:ascii="宋体" w:hAnsi="宋体" w:eastAsia="宋体" w:cs="宋体"/>
          <w:color w:val="000000"/>
          <w:sz w:val="24"/>
          <w:highlight w:val="none"/>
        </w:rPr>
        <w:t>函</w:t>
      </w:r>
    </w:p>
    <w:p w14:paraId="1F7CA6A0">
      <w:pPr>
        <w:tabs>
          <w:tab w:val="left" w:pos="5580"/>
        </w:tabs>
        <w:spacing w:line="360" w:lineRule="auto"/>
        <w:rPr>
          <w:rFonts w:hint="eastAsia" w:ascii="宋体" w:hAnsi="宋体" w:eastAsia="宋体" w:cs="宋体"/>
          <w:color w:val="000000"/>
          <w:sz w:val="24"/>
          <w:highlight w:val="none"/>
        </w:rPr>
      </w:pPr>
    </w:p>
    <w:p w14:paraId="455434FC">
      <w:pPr>
        <w:spacing w:line="360" w:lineRule="auto"/>
        <w:jc w:val="center"/>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投标函</w:t>
      </w:r>
    </w:p>
    <w:p w14:paraId="495C0123">
      <w:pPr>
        <w:tabs>
          <w:tab w:val="left" w:pos="5580"/>
        </w:tabs>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致：</w:t>
      </w:r>
      <w:r>
        <w:rPr>
          <w:rFonts w:hint="eastAsia" w:ascii="宋体" w:hAnsi="宋体" w:eastAsia="宋体" w:cs="宋体"/>
          <w:color w:val="000000"/>
          <w:sz w:val="24"/>
          <w:highlight w:val="none"/>
          <w:u w:val="single"/>
        </w:rPr>
        <w:t>（采购人或采购代理机构）</w:t>
      </w:r>
    </w:p>
    <w:p w14:paraId="6CCC77CC">
      <w:pPr>
        <w:tabs>
          <w:tab w:val="left" w:pos="5580"/>
        </w:tabs>
        <w:spacing w:line="360" w:lineRule="auto"/>
        <w:rPr>
          <w:rFonts w:hint="eastAsia" w:ascii="宋体" w:hAnsi="宋体" w:eastAsia="宋体" w:cs="宋体"/>
          <w:color w:val="000000"/>
          <w:sz w:val="24"/>
          <w:szCs w:val="20"/>
          <w:highlight w:val="none"/>
        </w:rPr>
      </w:pPr>
    </w:p>
    <w:p w14:paraId="19635F19">
      <w:pPr>
        <w:tabs>
          <w:tab w:val="left" w:pos="5580"/>
        </w:tabs>
        <w:spacing w:line="360" w:lineRule="auto"/>
        <w:ind w:firstLine="408"/>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我方参加你方就___________（项目名称，项目编号/包号）组织的招标活动，并对此项目进行投标。</w:t>
      </w:r>
    </w:p>
    <w:p w14:paraId="0E7645D2">
      <w:pPr>
        <w:tabs>
          <w:tab w:val="left" w:pos="5580"/>
        </w:tabs>
        <w:spacing w:line="360" w:lineRule="auto"/>
        <w:ind w:firstLine="408"/>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1. 我方</w:t>
      </w:r>
      <w:r>
        <w:rPr>
          <w:rFonts w:hint="eastAsia" w:ascii="宋体" w:hAnsi="宋体" w:eastAsia="宋体" w:cs="宋体"/>
          <w:color w:val="000000"/>
          <w:sz w:val="24"/>
          <w:highlight w:val="none"/>
        </w:rPr>
        <w:t>已详细审查全部招标文件</w:t>
      </w:r>
      <w:r>
        <w:rPr>
          <w:rFonts w:hint="eastAsia" w:ascii="宋体" w:hAnsi="宋体" w:eastAsia="宋体" w:cs="宋体"/>
          <w:color w:val="000000"/>
          <w:sz w:val="24"/>
          <w:szCs w:val="20"/>
          <w:highlight w:val="none"/>
        </w:rPr>
        <w:t>，自愿参与投标并承诺如下：</w:t>
      </w:r>
    </w:p>
    <w:p w14:paraId="6D8D402B">
      <w:pPr>
        <w:tabs>
          <w:tab w:val="left" w:pos="720"/>
          <w:tab w:val="left" w:pos="900"/>
        </w:tabs>
        <w:spacing w:line="360" w:lineRule="auto"/>
        <w:ind w:left="360" w:firstLine="72"/>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（1）本投标有效期为自提交投标文件的截止之日起</w:t>
      </w:r>
      <w:r>
        <w:rPr>
          <w:rFonts w:hint="eastAsia" w:ascii="宋体" w:hAnsi="宋体" w:eastAsia="宋体" w:cs="宋体"/>
          <w:color w:val="000000"/>
          <w:sz w:val="24"/>
          <w:highlight w:val="none"/>
        </w:rPr>
        <w:t>60</w:t>
      </w:r>
      <w:r>
        <w:rPr>
          <w:rFonts w:hint="eastAsia" w:ascii="宋体" w:hAnsi="宋体" w:eastAsia="宋体" w:cs="宋体"/>
          <w:color w:val="000000"/>
          <w:sz w:val="24"/>
          <w:szCs w:val="20"/>
          <w:highlight w:val="none"/>
        </w:rPr>
        <w:t>个日历日。</w:t>
      </w:r>
    </w:p>
    <w:p w14:paraId="7413CEB8">
      <w:pPr>
        <w:tabs>
          <w:tab w:val="left" w:pos="720"/>
          <w:tab w:val="left" w:pos="900"/>
        </w:tabs>
        <w:spacing w:line="360" w:lineRule="auto"/>
        <w:ind w:left="360" w:firstLine="72"/>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（2）除合同条款及采购需求偏离表列出的偏离外，我方响应招标文件的全部要求。</w:t>
      </w:r>
    </w:p>
    <w:p w14:paraId="2C76E37B">
      <w:pPr>
        <w:tabs>
          <w:tab w:val="left" w:pos="5580"/>
        </w:tabs>
        <w:spacing w:line="360" w:lineRule="auto"/>
        <w:ind w:firstLine="420"/>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（3）我方已提供的全部文件资料是真实、准确的，并对此承担一切法律后果。</w:t>
      </w:r>
    </w:p>
    <w:p w14:paraId="6915E1F6">
      <w:pPr>
        <w:tabs>
          <w:tab w:val="left" w:pos="5580"/>
        </w:tabs>
        <w:spacing w:line="360" w:lineRule="auto"/>
        <w:ind w:firstLine="420"/>
        <w:rPr>
          <w:rFonts w:hint="eastAsia" w:ascii="宋体" w:hAnsi="宋体" w:eastAsia="宋体" w:cs="宋体"/>
          <w:color w:val="000000"/>
          <w:sz w:val="24"/>
          <w:highlight w:val="none"/>
        </w:rPr>
      </w:pPr>
      <w:r>
        <w:rPr>
          <w:rFonts w:hint="eastAsia" w:ascii="宋体" w:hAnsi="宋体" w:eastAsia="宋体" w:cs="宋体"/>
          <w:color w:val="000000"/>
          <w:sz w:val="24"/>
          <w:szCs w:val="20"/>
          <w:highlight w:val="none"/>
        </w:rPr>
        <w:t>（4）如我方中标，我方将在法律规定的期限内与你方签订合同，按照招标文件要求提交履约保证金，并在合同约定的期限内完成合同规定的全部义务。</w:t>
      </w:r>
    </w:p>
    <w:p w14:paraId="52C2417F">
      <w:pPr>
        <w:spacing w:line="360" w:lineRule="auto"/>
        <w:ind w:left="420"/>
        <w:rPr>
          <w:rFonts w:hint="eastAsia" w:ascii="宋体" w:hAnsi="宋体" w:eastAsia="宋体" w:cs="宋体"/>
          <w:color w:val="000000"/>
          <w:sz w:val="24"/>
          <w:highlight w:val="none"/>
        </w:rPr>
      </w:pPr>
      <w:r>
        <w:rPr>
          <w:rFonts w:hint="eastAsia" w:ascii="宋体" w:hAnsi="宋体" w:eastAsia="宋体" w:cs="宋体"/>
          <w:color w:val="000000"/>
          <w:sz w:val="24"/>
          <w:highlight w:val="none"/>
        </w:rPr>
        <w:t>2. 其他补充条款（如有）：</w:t>
      </w:r>
      <w:r>
        <w:rPr>
          <w:rFonts w:hint="eastAsia" w:ascii="宋体" w:hAnsi="宋体" w:eastAsia="宋体" w:cs="宋体"/>
          <w:color w:val="000000"/>
          <w:sz w:val="24"/>
          <w:szCs w:val="20"/>
          <w:highlight w:val="none"/>
        </w:rPr>
        <w:t>___________</w:t>
      </w:r>
      <w:r>
        <w:rPr>
          <w:rFonts w:hint="eastAsia" w:ascii="宋体" w:hAnsi="宋体" w:eastAsia="宋体" w:cs="宋体"/>
          <w:color w:val="000000"/>
          <w:sz w:val="24"/>
          <w:highlight w:val="none"/>
        </w:rPr>
        <w:t>。</w:t>
      </w:r>
    </w:p>
    <w:p w14:paraId="4FF49DE7">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与本投标有关的一切正式往来信函请寄：</w:t>
      </w:r>
    </w:p>
    <w:p w14:paraId="1F3A87BF">
      <w:pPr>
        <w:tabs>
          <w:tab w:val="left" w:pos="5580"/>
        </w:tabs>
        <w:spacing w:line="360" w:lineRule="auto"/>
        <w:ind w:left="420"/>
        <w:rPr>
          <w:rFonts w:hint="eastAsia" w:ascii="宋体" w:hAnsi="宋体" w:eastAsia="宋体" w:cs="宋体"/>
          <w:color w:val="000000"/>
          <w:sz w:val="24"/>
          <w:szCs w:val="20"/>
          <w:highlight w:val="none"/>
        </w:rPr>
      </w:pPr>
    </w:p>
    <w:p w14:paraId="20600BA7">
      <w:pPr>
        <w:tabs>
          <w:tab w:val="left" w:pos="5580"/>
        </w:tabs>
        <w:spacing w:line="360" w:lineRule="auto"/>
        <w:ind w:left="420"/>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地址_________________________     传真____________________________</w:t>
      </w:r>
    </w:p>
    <w:p w14:paraId="7032ED0D">
      <w:pPr>
        <w:tabs>
          <w:tab w:val="left" w:pos="5580"/>
        </w:tabs>
        <w:spacing w:line="360" w:lineRule="auto"/>
        <w:ind w:left="420"/>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电话_________________________     电子函件________________________</w:t>
      </w:r>
    </w:p>
    <w:p w14:paraId="3F923E24">
      <w:pPr>
        <w:tabs>
          <w:tab w:val="left" w:pos="5580"/>
        </w:tabs>
        <w:spacing w:line="360" w:lineRule="auto"/>
        <w:ind w:left="420"/>
        <w:rPr>
          <w:rFonts w:hint="eastAsia" w:ascii="宋体" w:hAnsi="宋体" w:eastAsia="宋体" w:cs="宋体"/>
          <w:color w:val="000000"/>
          <w:sz w:val="24"/>
          <w:szCs w:val="20"/>
          <w:highlight w:val="none"/>
        </w:rPr>
      </w:pPr>
    </w:p>
    <w:p w14:paraId="1297D600">
      <w:pPr>
        <w:tabs>
          <w:tab w:val="left" w:pos="5580"/>
        </w:tabs>
        <w:spacing w:line="360" w:lineRule="auto"/>
        <w:ind w:left="420"/>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投标人名称（加盖公章） ___________</w:t>
      </w:r>
    </w:p>
    <w:p w14:paraId="17C2294E">
      <w:pPr>
        <w:tabs>
          <w:tab w:val="left" w:pos="5580"/>
        </w:tabs>
        <w:spacing w:line="360" w:lineRule="auto"/>
        <w:ind w:left="420"/>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日期：_____年______月______日    </w:t>
      </w:r>
    </w:p>
    <w:p w14:paraId="4C0CC087">
      <w:pPr>
        <w:tabs>
          <w:tab w:val="left" w:pos="5580"/>
        </w:tabs>
        <w:spacing w:line="360" w:lineRule="auto"/>
        <w:ind w:left="420"/>
        <w:rPr>
          <w:rFonts w:hint="eastAsia" w:ascii="宋体" w:hAnsi="宋体" w:eastAsia="宋体" w:cs="宋体"/>
          <w:color w:val="000000"/>
          <w:sz w:val="24"/>
          <w:szCs w:val="20"/>
          <w:highlight w:val="none"/>
          <w:u w:val="single"/>
        </w:rPr>
      </w:pPr>
    </w:p>
    <w:p w14:paraId="3A567DAC">
      <w:pPr>
        <w:widowControl/>
        <w:jc w:val="left"/>
        <w:rPr>
          <w:rFonts w:hint="eastAsia" w:ascii="宋体" w:hAnsi="宋体" w:eastAsia="宋体" w:cs="宋体"/>
          <w:color w:val="000000"/>
          <w:sz w:val="24"/>
          <w:highlight w:val="none"/>
        </w:rPr>
      </w:pPr>
      <w:bookmarkStart w:id="837" w:name="_Hlt520355938"/>
      <w:bookmarkEnd w:id="837"/>
      <w:bookmarkStart w:id="838" w:name="_Hlt520356243"/>
      <w:bookmarkEnd w:id="838"/>
    </w:p>
    <w:p w14:paraId="4AA3F8AC">
      <w:pPr>
        <w:widowControl/>
        <w:jc w:val="left"/>
        <w:rPr>
          <w:rFonts w:hint="eastAsia" w:ascii="宋体" w:hAnsi="宋体" w:eastAsia="宋体" w:cs="宋体"/>
          <w:color w:val="000000"/>
          <w:sz w:val="24"/>
          <w:highlight w:val="none"/>
        </w:rPr>
      </w:pPr>
    </w:p>
    <w:p w14:paraId="00EF885D">
      <w:pPr>
        <w:widowControl/>
        <w:jc w:val="left"/>
        <w:rPr>
          <w:rFonts w:hint="eastAsia" w:ascii="宋体" w:hAnsi="宋体" w:eastAsia="宋体" w:cs="宋体"/>
          <w:color w:val="000000"/>
          <w:sz w:val="24"/>
          <w:highlight w:val="none"/>
        </w:rPr>
      </w:pPr>
    </w:p>
    <w:p w14:paraId="58B252F2">
      <w:pPr>
        <w:widowControl/>
        <w:jc w:val="left"/>
        <w:rPr>
          <w:rFonts w:hint="eastAsia" w:ascii="宋体" w:hAnsi="宋体" w:eastAsia="宋体" w:cs="宋体"/>
          <w:color w:val="000000"/>
          <w:sz w:val="24"/>
          <w:highlight w:val="none"/>
        </w:rPr>
      </w:pPr>
    </w:p>
    <w:p w14:paraId="06B710D2">
      <w:pPr>
        <w:widowControl/>
        <w:jc w:val="left"/>
        <w:rPr>
          <w:rFonts w:hint="eastAsia" w:ascii="宋体" w:hAnsi="宋体" w:eastAsia="宋体" w:cs="宋体"/>
          <w:color w:val="000000"/>
          <w:sz w:val="24"/>
          <w:highlight w:val="none"/>
        </w:rPr>
      </w:pPr>
    </w:p>
    <w:p w14:paraId="31F1F467">
      <w:pPr>
        <w:widowControl/>
        <w:jc w:val="left"/>
        <w:rPr>
          <w:rFonts w:hint="eastAsia" w:ascii="宋体" w:hAnsi="宋体" w:eastAsia="宋体" w:cs="宋体"/>
          <w:color w:val="000000"/>
          <w:sz w:val="24"/>
          <w:highlight w:val="none"/>
        </w:rPr>
      </w:pPr>
    </w:p>
    <w:p w14:paraId="770619D5">
      <w:pPr>
        <w:widowControl/>
        <w:jc w:val="left"/>
        <w:rPr>
          <w:rFonts w:hint="eastAsia" w:ascii="宋体" w:hAnsi="宋体" w:eastAsia="宋体" w:cs="宋体"/>
          <w:color w:val="000000"/>
          <w:sz w:val="24"/>
          <w:highlight w:val="none"/>
        </w:rPr>
      </w:pPr>
    </w:p>
    <w:p w14:paraId="338A593D">
      <w:pPr>
        <w:widowControl/>
        <w:jc w:val="left"/>
        <w:rPr>
          <w:rFonts w:hint="eastAsia" w:ascii="宋体" w:hAnsi="宋体" w:eastAsia="宋体" w:cs="宋体"/>
          <w:color w:val="000000"/>
          <w:sz w:val="24"/>
          <w:highlight w:val="none"/>
        </w:rPr>
      </w:pPr>
    </w:p>
    <w:p w14:paraId="3BDD3F9B">
      <w:pPr>
        <w:widowControl/>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2  法定代表人资格证明书</w:t>
      </w:r>
      <w:r>
        <w:rPr>
          <w:rFonts w:hint="eastAsia" w:ascii="宋体" w:hAnsi="宋体" w:eastAsia="宋体" w:cs="宋体"/>
          <w:color w:val="000000"/>
          <w:sz w:val="24"/>
          <w:szCs w:val="20"/>
          <w:highlight w:val="none"/>
        </w:rPr>
        <w:t>（实质性格式）</w:t>
      </w:r>
    </w:p>
    <w:p w14:paraId="7B2FA8B3">
      <w:pPr>
        <w:spacing w:line="360" w:lineRule="auto"/>
        <w:jc w:val="center"/>
        <w:rPr>
          <w:rFonts w:hint="eastAsia" w:ascii="宋体" w:hAnsi="宋体" w:eastAsia="宋体" w:cs="宋体"/>
          <w:b/>
          <w:color w:val="000000"/>
          <w:sz w:val="32"/>
          <w:szCs w:val="32"/>
          <w:highlight w:val="none"/>
        </w:rPr>
      </w:pPr>
    </w:p>
    <w:p w14:paraId="09CE620D">
      <w:pPr>
        <w:spacing w:line="360" w:lineRule="auto"/>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法定代表人资格证明书</w:t>
      </w:r>
    </w:p>
    <w:p w14:paraId="247586B7">
      <w:pPr>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单位名称:</w:t>
      </w:r>
    </w:p>
    <w:p w14:paraId="4A051A59">
      <w:pPr>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地址:</w:t>
      </w:r>
    </w:p>
    <w:p w14:paraId="31ABB142">
      <w:pPr>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姓名:     性别:       年龄:      职务:</w:t>
      </w:r>
    </w:p>
    <w:p w14:paraId="64968A4F">
      <w:pPr>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系</w:t>
      </w:r>
      <w:r>
        <w:rPr>
          <w:rFonts w:hint="eastAsia" w:ascii="宋体" w:hAnsi="宋体" w:eastAsia="宋体" w:cs="宋体"/>
          <w:color w:val="000000"/>
          <w:sz w:val="24"/>
          <w:highlight w:val="none"/>
          <w:u w:val="single"/>
        </w:rPr>
        <w:t>（投标单位名称）</w:t>
      </w:r>
      <w:r>
        <w:rPr>
          <w:rFonts w:hint="eastAsia" w:ascii="宋体" w:hAnsi="宋体" w:eastAsia="宋体" w:cs="宋体"/>
          <w:color w:val="000000"/>
          <w:sz w:val="24"/>
          <w:highlight w:val="none"/>
        </w:rPr>
        <w:t>的法定代表人。为参与</w:t>
      </w:r>
      <w:r>
        <w:rPr>
          <w:rFonts w:hint="eastAsia" w:ascii="宋体" w:hAnsi="宋体" w:eastAsia="宋体" w:cs="宋体"/>
          <w:color w:val="000000"/>
          <w:sz w:val="24"/>
          <w:highlight w:val="none"/>
          <w:u w:val="single"/>
        </w:rPr>
        <w:t>（项目名称）</w:t>
      </w:r>
      <w:r>
        <w:rPr>
          <w:rFonts w:hint="eastAsia" w:ascii="宋体" w:hAnsi="宋体" w:eastAsia="宋体" w:cs="宋体"/>
          <w:color w:val="000000"/>
          <w:sz w:val="24"/>
          <w:highlight w:val="none"/>
        </w:rPr>
        <w:t>的政府采购活动，</w:t>
      </w:r>
      <w:r>
        <w:rPr>
          <w:rFonts w:hint="eastAsia" w:ascii="宋体" w:hAnsi="宋体" w:eastAsia="宋体" w:cs="宋体"/>
          <w:color w:val="000000"/>
          <w:sz w:val="24"/>
          <w:szCs w:val="20"/>
          <w:highlight w:val="none"/>
        </w:rPr>
        <w:t>签署、澄清确认、递交、撤回、修改</w:t>
      </w:r>
      <w:r>
        <w:rPr>
          <w:rFonts w:hint="eastAsia" w:ascii="宋体" w:hAnsi="宋体" w:eastAsia="宋体" w:cs="宋体"/>
          <w:color w:val="000000"/>
          <w:sz w:val="24"/>
          <w:highlight w:val="none"/>
        </w:rPr>
        <w:t>上述项目的投标文件、进行合同谈判、签署合同和处理与之有关的一切事务。</w:t>
      </w:r>
    </w:p>
    <w:p w14:paraId="316C734E">
      <w:pPr>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特此证明。</w:t>
      </w:r>
    </w:p>
    <w:p w14:paraId="3908071A">
      <w:pPr>
        <w:spacing w:line="560" w:lineRule="exact"/>
        <w:rPr>
          <w:rFonts w:hint="eastAsia" w:ascii="宋体" w:hAnsi="宋体" w:eastAsia="宋体" w:cs="宋体"/>
          <w:color w:val="000000"/>
          <w:sz w:val="24"/>
          <w:highlight w:val="none"/>
        </w:rPr>
      </w:pPr>
    </w:p>
    <w:p w14:paraId="34334B42">
      <w:pPr>
        <w:pStyle w:val="213"/>
        <w:spacing w:line="583" w:lineRule="auto"/>
        <w:ind w:right="-46"/>
        <w:rPr>
          <w:rFonts w:hint="eastAsia" w:ascii="宋体" w:hAnsi="宋体" w:eastAsia="宋体" w:cs="宋体"/>
          <w:color w:val="000000"/>
          <w:spacing w:val="-3"/>
          <w:highlight w:val="none"/>
        </w:rPr>
      </w:pPr>
      <w:r>
        <w:rPr>
          <w:rFonts w:hint="eastAsia" w:ascii="宋体" w:hAnsi="宋体" w:eastAsia="宋体" w:cs="宋体"/>
          <w:color w:val="000000"/>
          <w:highlight w:val="none"/>
        </w:rPr>
        <w:t>附：</w:t>
      </w:r>
      <w:r>
        <w:rPr>
          <w:rFonts w:hint="eastAsia" w:ascii="宋体" w:hAnsi="宋体" w:eastAsia="宋体" w:cs="宋体"/>
          <w:color w:val="000000"/>
          <w:spacing w:val="-3"/>
          <w:highlight w:val="none"/>
        </w:rPr>
        <w:t>法</w:t>
      </w:r>
      <w:r>
        <w:rPr>
          <w:rFonts w:hint="eastAsia" w:ascii="宋体" w:hAnsi="宋体" w:eastAsia="宋体" w:cs="宋体"/>
          <w:color w:val="000000"/>
          <w:highlight w:val="none"/>
        </w:rPr>
        <w:t>定</w:t>
      </w:r>
      <w:r>
        <w:rPr>
          <w:rFonts w:hint="eastAsia" w:ascii="宋体" w:hAnsi="宋体" w:eastAsia="宋体" w:cs="宋体"/>
          <w:color w:val="000000"/>
          <w:spacing w:val="-3"/>
          <w:highlight w:val="none"/>
        </w:rPr>
        <w:t>代</w:t>
      </w:r>
      <w:r>
        <w:rPr>
          <w:rFonts w:hint="eastAsia" w:ascii="宋体" w:hAnsi="宋体" w:eastAsia="宋体" w:cs="宋体"/>
          <w:color w:val="000000"/>
          <w:highlight w:val="none"/>
        </w:rPr>
        <w:t>表</w:t>
      </w:r>
      <w:r>
        <w:rPr>
          <w:rFonts w:hint="eastAsia" w:ascii="宋体" w:hAnsi="宋体" w:eastAsia="宋体" w:cs="宋体"/>
          <w:color w:val="000000"/>
          <w:spacing w:val="-3"/>
          <w:highlight w:val="none"/>
        </w:rPr>
        <w:t>人</w:t>
      </w:r>
      <w:r>
        <w:rPr>
          <w:rFonts w:hint="eastAsia" w:ascii="宋体" w:hAnsi="宋体" w:eastAsia="宋体" w:cs="宋体"/>
          <w:color w:val="000000"/>
          <w:highlight w:val="none"/>
        </w:rPr>
        <w:t>（</w:t>
      </w:r>
      <w:r>
        <w:rPr>
          <w:rFonts w:hint="eastAsia" w:ascii="宋体" w:hAnsi="宋体" w:eastAsia="宋体" w:cs="宋体"/>
          <w:color w:val="000000"/>
          <w:spacing w:val="-3"/>
          <w:highlight w:val="none"/>
        </w:rPr>
        <w:t>单</w:t>
      </w:r>
      <w:r>
        <w:rPr>
          <w:rFonts w:hint="eastAsia" w:ascii="宋体" w:hAnsi="宋体" w:eastAsia="宋体" w:cs="宋体"/>
          <w:color w:val="000000"/>
          <w:highlight w:val="none"/>
        </w:rPr>
        <w:t>位</w:t>
      </w:r>
      <w:r>
        <w:rPr>
          <w:rFonts w:hint="eastAsia" w:ascii="宋体" w:hAnsi="宋体" w:eastAsia="宋体" w:cs="宋体"/>
          <w:color w:val="000000"/>
          <w:spacing w:val="-3"/>
          <w:highlight w:val="none"/>
        </w:rPr>
        <w:t>负</w:t>
      </w:r>
      <w:r>
        <w:rPr>
          <w:rFonts w:hint="eastAsia" w:ascii="宋体" w:hAnsi="宋体" w:eastAsia="宋体" w:cs="宋体"/>
          <w:color w:val="000000"/>
          <w:highlight w:val="none"/>
        </w:rPr>
        <w:t>责人</w:t>
      </w:r>
      <w:r>
        <w:rPr>
          <w:rFonts w:hint="eastAsia" w:ascii="宋体" w:hAnsi="宋体" w:eastAsia="宋体" w:cs="宋体"/>
          <w:color w:val="000000"/>
          <w:spacing w:val="-3"/>
          <w:highlight w:val="none"/>
        </w:rPr>
        <w:t>）有效期内的身份证正反面电子件。</w:t>
      </w:r>
    </w:p>
    <w:tbl>
      <w:tblPr>
        <w:tblStyle w:val="28"/>
        <w:tblW w:w="920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045895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6E33CF8A">
            <w:pPr>
              <w:tabs>
                <w:tab w:val="left" w:pos="5580"/>
              </w:tabs>
              <w:spacing w:line="360" w:lineRule="auto"/>
              <w:jc w:val="left"/>
              <w:rPr>
                <w:rFonts w:hint="eastAsia" w:ascii="宋体" w:hAnsi="宋体" w:eastAsia="宋体" w:cs="宋体"/>
                <w:color w:val="000000"/>
                <w:sz w:val="24"/>
                <w:szCs w:val="20"/>
                <w:highlight w:val="none"/>
              </w:rPr>
            </w:pPr>
          </w:p>
          <w:p w14:paraId="3D6F5F04">
            <w:pPr>
              <w:tabs>
                <w:tab w:val="left" w:pos="5580"/>
              </w:tabs>
              <w:spacing w:line="360" w:lineRule="auto"/>
              <w:jc w:val="left"/>
              <w:rPr>
                <w:rFonts w:hint="eastAsia" w:ascii="宋体" w:hAnsi="宋体" w:eastAsia="宋体" w:cs="宋体"/>
                <w:color w:val="000000"/>
                <w:sz w:val="24"/>
                <w:szCs w:val="20"/>
                <w:highlight w:val="none"/>
              </w:rPr>
            </w:pPr>
          </w:p>
          <w:p w14:paraId="29980B0A">
            <w:pPr>
              <w:tabs>
                <w:tab w:val="left" w:pos="5580"/>
              </w:tabs>
              <w:spacing w:line="360" w:lineRule="auto"/>
              <w:jc w:val="left"/>
              <w:rPr>
                <w:rFonts w:hint="eastAsia" w:ascii="宋体" w:hAnsi="宋体" w:eastAsia="宋体" w:cs="宋体"/>
                <w:color w:val="000000"/>
                <w:sz w:val="24"/>
                <w:szCs w:val="20"/>
                <w:highlight w:val="none"/>
              </w:rPr>
            </w:pPr>
          </w:p>
        </w:tc>
        <w:tc>
          <w:tcPr>
            <w:tcW w:w="4536" w:type="dxa"/>
            <w:noWrap w:val="0"/>
            <w:vAlign w:val="top"/>
          </w:tcPr>
          <w:p w14:paraId="275168F9">
            <w:pPr>
              <w:tabs>
                <w:tab w:val="left" w:pos="5580"/>
              </w:tabs>
              <w:spacing w:line="360" w:lineRule="auto"/>
              <w:jc w:val="left"/>
              <w:rPr>
                <w:rFonts w:hint="eastAsia" w:ascii="宋体" w:hAnsi="宋体" w:eastAsia="宋体" w:cs="宋体"/>
                <w:color w:val="000000"/>
                <w:sz w:val="24"/>
                <w:szCs w:val="20"/>
                <w:highlight w:val="none"/>
              </w:rPr>
            </w:pPr>
          </w:p>
          <w:p w14:paraId="153AF075">
            <w:pPr>
              <w:tabs>
                <w:tab w:val="left" w:pos="5580"/>
              </w:tabs>
              <w:spacing w:line="360" w:lineRule="auto"/>
              <w:jc w:val="left"/>
              <w:rPr>
                <w:rFonts w:hint="eastAsia" w:ascii="宋体" w:hAnsi="宋体" w:eastAsia="宋体" w:cs="宋体"/>
                <w:color w:val="000000"/>
                <w:sz w:val="24"/>
                <w:szCs w:val="20"/>
                <w:highlight w:val="none"/>
              </w:rPr>
            </w:pPr>
          </w:p>
          <w:p w14:paraId="0C6F2DB8">
            <w:pPr>
              <w:tabs>
                <w:tab w:val="left" w:pos="5580"/>
              </w:tabs>
              <w:spacing w:line="360" w:lineRule="auto"/>
              <w:jc w:val="left"/>
              <w:rPr>
                <w:rFonts w:hint="eastAsia" w:ascii="宋体" w:hAnsi="宋体" w:eastAsia="宋体" w:cs="宋体"/>
                <w:color w:val="000000"/>
                <w:sz w:val="24"/>
                <w:szCs w:val="20"/>
                <w:highlight w:val="none"/>
              </w:rPr>
            </w:pPr>
          </w:p>
        </w:tc>
      </w:tr>
    </w:tbl>
    <w:p w14:paraId="3945586A">
      <w:pPr>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投标人：（加盖公章）</w:t>
      </w:r>
    </w:p>
    <w:p w14:paraId="5B3A3AA8">
      <w:pPr>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法定代表人</w:t>
      </w:r>
      <w:r>
        <w:rPr>
          <w:rFonts w:hint="eastAsia" w:ascii="宋体" w:hAnsi="宋体" w:eastAsia="宋体" w:cs="宋体"/>
          <w:color w:val="000000"/>
          <w:sz w:val="24"/>
          <w:szCs w:val="20"/>
          <w:highlight w:val="none"/>
        </w:rPr>
        <w:t>签字、签章或印鉴</w:t>
      </w:r>
      <w:r>
        <w:rPr>
          <w:rFonts w:hint="eastAsia" w:ascii="宋体" w:hAnsi="宋体" w:eastAsia="宋体" w:cs="宋体"/>
          <w:color w:val="000000"/>
          <w:sz w:val="24"/>
          <w:highlight w:val="none"/>
        </w:rPr>
        <w:t>：</w:t>
      </w:r>
    </w:p>
    <w:p w14:paraId="50A91A37">
      <w:pPr>
        <w:spacing w:line="560" w:lineRule="exact"/>
        <w:ind w:firstLine="4320"/>
        <w:rPr>
          <w:rFonts w:hint="eastAsia" w:ascii="宋体" w:hAnsi="宋体" w:eastAsia="宋体" w:cs="宋体"/>
          <w:color w:val="000000"/>
          <w:sz w:val="24"/>
          <w:highlight w:val="none"/>
        </w:rPr>
      </w:pPr>
      <w:r>
        <w:rPr>
          <w:rFonts w:hint="eastAsia" w:ascii="宋体" w:hAnsi="宋体" w:eastAsia="宋体" w:cs="宋体"/>
          <w:color w:val="000000"/>
          <w:sz w:val="24"/>
          <w:highlight w:val="none"/>
        </w:rPr>
        <w:t>日期：    年    月    日</w:t>
      </w:r>
    </w:p>
    <w:p w14:paraId="52D448B0">
      <w:pPr>
        <w:widowControl/>
        <w:jc w:val="left"/>
        <w:rPr>
          <w:rFonts w:hint="eastAsia" w:ascii="宋体" w:hAnsi="宋体" w:eastAsia="宋体" w:cs="宋体"/>
          <w:color w:val="000000"/>
          <w:sz w:val="24"/>
          <w:highlight w:val="none"/>
        </w:rPr>
      </w:pPr>
    </w:p>
    <w:p w14:paraId="1AA279C6">
      <w:pPr>
        <w:widowControl/>
        <w:jc w:val="left"/>
        <w:rPr>
          <w:rFonts w:hint="eastAsia" w:ascii="宋体" w:hAnsi="宋体" w:eastAsia="宋体" w:cs="宋体"/>
          <w:color w:val="000000"/>
          <w:sz w:val="24"/>
          <w:highlight w:val="none"/>
        </w:rPr>
      </w:pPr>
    </w:p>
    <w:p w14:paraId="5FEA99D9">
      <w:pPr>
        <w:widowControl/>
        <w:jc w:val="left"/>
        <w:rPr>
          <w:rFonts w:hint="eastAsia" w:ascii="宋体" w:hAnsi="宋体" w:eastAsia="宋体" w:cs="宋体"/>
          <w:color w:val="000000"/>
          <w:sz w:val="24"/>
          <w:highlight w:val="none"/>
        </w:rPr>
      </w:pPr>
    </w:p>
    <w:p w14:paraId="6D3AF665">
      <w:pPr>
        <w:tabs>
          <w:tab w:val="left" w:pos="5580"/>
        </w:tabs>
        <w:spacing w:line="360" w:lineRule="auto"/>
        <w:jc w:val="left"/>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说明：</w:t>
      </w:r>
    </w:p>
    <w:p w14:paraId="3997652C">
      <w:pPr>
        <w:tabs>
          <w:tab w:val="left" w:pos="5580"/>
        </w:tabs>
        <w:spacing w:line="360" w:lineRule="auto"/>
        <w:jc w:val="left"/>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1.若供应商为事业单位或其他组织或分支机构（仅当招标文件注明允许分支机构投标的），则法定代表人（单位负责人）处的签署人可为单位负责人。</w:t>
      </w:r>
    </w:p>
    <w:p w14:paraId="7F354EB2">
      <w:pPr>
        <w:tabs>
          <w:tab w:val="left" w:pos="5580"/>
        </w:tabs>
        <w:spacing w:line="360" w:lineRule="auto"/>
        <w:jc w:val="left"/>
        <w:rPr>
          <w:rFonts w:hint="eastAsia" w:ascii="宋体" w:hAnsi="宋体" w:eastAsia="宋体" w:cs="宋体"/>
          <w:i/>
          <w:color w:val="000000"/>
          <w:sz w:val="24"/>
          <w:szCs w:val="20"/>
          <w:highlight w:val="none"/>
          <w:u w:val="single"/>
        </w:rPr>
      </w:pPr>
      <w:r>
        <w:rPr>
          <w:rFonts w:hint="eastAsia" w:ascii="宋体" w:hAnsi="宋体" w:eastAsia="宋体" w:cs="宋体"/>
          <w:color w:val="000000"/>
          <w:sz w:val="24"/>
          <w:szCs w:val="20"/>
          <w:highlight w:val="none"/>
        </w:rPr>
        <w:t>3.供应商为自然人的情形，可不提供本《授权委托书》。</w:t>
      </w:r>
    </w:p>
    <w:p w14:paraId="43C154B7">
      <w:pPr>
        <w:widowControl/>
        <w:jc w:val="left"/>
        <w:rPr>
          <w:rFonts w:hint="eastAsia" w:ascii="宋体" w:hAnsi="宋体" w:eastAsia="宋体" w:cs="宋体"/>
          <w:color w:val="000000"/>
          <w:sz w:val="24"/>
          <w:highlight w:val="none"/>
        </w:rPr>
      </w:pPr>
    </w:p>
    <w:p w14:paraId="7159253C">
      <w:pPr>
        <w:widowControl/>
        <w:jc w:val="left"/>
        <w:rPr>
          <w:rFonts w:hint="eastAsia" w:ascii="宋体" w:hAnsi="宋体" w:eastAsia="宋体" w:cs="宋体"/>
          <w:color w:val="000000"/>
          <w:sz w:val="24"/>
          <w:highlight w:val="none"/>
        </w:rPr>
      </w:pPr>
    </w:p>
    <w:p w14:paraId="678887C8">
      <w:pPr>
        <w:widowControl/>
        <w:jc w:val="left"/>
        <w:rPr>
          <w:rFonts w:hint="eastAsia" w:ascii="宋体" w:hAnsi="宋体" w:eastAsia="宋体" w:cs="宋体"/>
          <w:color w:val="000000"/>
          <w:sz w:val="24"/>
          <w:highlight w:val="none"/>
        </w:rPr>
      </w:pPr>
    </w:p>
    <w:p w14:paraId="30C6C2DE">
      <w:pPr>
        <w:widowControl/>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3  政府采购供应商信用承诺书</w:t>
      </w:r>
      <w:r>
        <w:rPr>
          <w:rFonts w:hint="eastAsia" w:ascii="宋体" w:hAnsi="宋体" w:eastAsia="宋体" w:cs="宋体"/>
          <w:color w:val="000000"/>
          <w:sz w:val="24"/>
          <w:szCs w:val="20"/>
          <w:highlight w:val="none"/>
        </w:rPr>
        <w:t>（实质性格式）</w:t>
      </w:r>
    </w:p>
    <w:p w14:paraId="65CB2BC4">
      <w:pPr>
        <w:spacing w:line="560" w:lineRule="exact"/>
        <w:ind w:firstLine="321"/>
        <w:jc w:val="center"/>
        <w:rPr>
          <w:rFonts w:hint="eastAsia" w:ascii="宋体" w:hAnsi="宋体" w:eastAsia="宋体" w:cs="宋体"/>
          <w:b/>
          <w:color w:val="000000"/>
          <w:sz w:val="32"/>
          <w:szCs w:val="32"/>
          <w:highlight w:val="none"/>
        </w:rPr>
      </w:pPr>
    </w:p>
    <w:p w14:paraId="32C40FEB">
      <w:pPr>
        <w:spacing w:line="560" w:lineRule="exact"/>
        <w:ind w:firstLine="321"/>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政府采购供应商信用承诺书</w:t>
      </w:r>
    </w:p>
    <w:p w14:paraId="55734816">
      <w:pPr>
        <w:ind w:firstLine="640"/>
        <w:rPr>
          <w:rFonts w:hint="eastAsia" w:ascii="宋体" w:hAnsi="宋体" w:eastAsia="宋体" w:cs="宋体"/>
          <w:color w:val="000000"/>
          <w:highlight w:val="none"/>
        </w:rPr>
      </w:pPr>
    </w:p>
    <w:p w14:paraId="45E78500">
      <w:pPr>
        <w:spacing w:line="276"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为维护公开、公平、公正的政府采购市场秩序，树立诚实守信的供应商形象，本单位在参与政府采购活动中,自愿作出以下承诺：</w:t>
      </w:r>
    </w:p>
    <w:p w14:paraId="0F6FB247">
      <w:pPr>
        <w:spacing w:line="276"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一、严格遵守国家法律、法规和规章，全面履行应尽的责任和义务，全面做到履约守信，具备《政府采购法》第二十二条第一款规定的条件。</w:t>
      </w:r>
    </w:p>
    <w:p w14:paraId="002D8773">
      <w:pPr>
        <w:spacing w:line="276"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二、本单位已经阅读并充分理解《常州市政府采购供应商信用管理暂行办法》，自愿按照《常州市政府采购供应商信用管理暂行办法》规定，发生失信行为将记录并公开到“信用常州”、常州市政府采购网。</w:t>
      </w:r>
    </w:p>
    <w:p w14:paraId="707ECCCB">
      <w:pPr>
        <w:spacing w:line="276"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三、本单位提供给注册登记部门、行业管理部门、司法部门、行业组织以及在政府采购活动中提交的所有资料均合法、真实、有效，无任何伪造、修改、虚假成份，并对所提供资料的真实性负责。</w:t>
      </w:r>
    </w:p>
    <w:p w14:paraId="0C86E24E">
      <w:pPr>
        <w:spacing w:line="276"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四、严格依法开展生产经营活动，主动接受行业监管，自愿接受依法开展的日常检查；违法失信经营后将自愿接受约束和惩戒，并依法承担相应责任。</w:t>
      </w:r>
    </w:p>
    <w:p w14:paraId="66D9BE6B">
      <w:pPr>
        <w:spacing w:line="276"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五、承诺本单位自觉接受行政管理部门、行业组织、社会公众、新闻舆论的监督。 </w:t>
      </w:r>
    </w:p>
    <w:p w14:paraId="7B05CFA2">
      <w:pPr>
        <w:spacing w:line="276"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p>
    <w:p w14:paraId="03486691">
      <w:pPr>
        <w:spacing w:line="276"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七、承诺本单位在信用中国（江苏）网站中无违法违规、较重或严重失信记录。 </w:t>
      </w:r>
    </w:p>
    <w:p w14:paraId="6C818608">
      <w:pPr>
        <w:spacing w:line="276"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八、承诺本单位提出政府采购质疑和投诉坚持依法依规、诚实信用原则。</w:t>
      </w:r>
    </w:p>
    <w:p w14:paraId="35EDD093">
      <w:pPr>
        <w:spacing w:line="276"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九、根据政府采购相关法律法规的规定需要作出的其他承诺。 </w:t>
      </w:r>
    </w:p>
    <w:p w14:paraId="58CEA963">
      <w:pPr>
        <w:spacing w:line="276"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十、承诺本单位若违背承诺约定，经查实，愿意接受行业主管部门和信用管理部门相应的规定处罚，承担违约责任，并依法承担相应的法律责任。</w:t>
      </w:r>
    </w:p>
    <w:p w14:paraId="7D3786F2">
      <w:pPr>
        <w:spacing w:line="276"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十一、承诺本单位同意将以上承诺事项上网公示，违背承诺约定行为将作为失信信息，记录到常州市公共信用信息系统，并予以公开。</w:t>
      </w:r>
    </w:p>
    <w:p w14:paraId="2157FBB7">
      <w:pPr>
        <w:pStyle w:val="432"/>
        <w:spacing w:line="276" w:lineRule="auto"/>
        <w:ind w:right="1050" w:firstLine="2880"/>
        <w:jc w:val="both"/>
        <w:rPr>
          <w:rFonts w:hint="eastAsia" w:ascii="宋体" w:hAnsi="宋体" w:eastAsia="宋体" w:cs="宋体"/>
          <w:color w:val="000000"/>
          <w:sz w:val="24"/>
          <w:szCs w:val="22"/>
          <w:highlight w:val="none"/>
        </w:rPr>
      </w:pPr>
    </w:p>
    <w:p w14:paraId="713596C4">
      <w:pPr>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投标人名称（加盖公章）</w:t>
      </w:r>
      <w:r>
        <w:rPr>
          <w:rFonts w:hint="eastAsia" w:ascii="宋体" w:hAnsi="宋体" w:eastAsia="宋体" w:cs="宋体"/>
          <w:color w:val="000000"/>
          <w:sz w:val="24"/>
          <w:highlight w:val="none"/>
          <w:lang w:val="zh-CN"/>
        </w:rPr>
        <w:t>：____________</w:t>
      </w:r>
    </w:p>
    <w:p w14:paraId="26935228">
      <w:pPr>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szCs w:val="20"/>
          <w:highlight w:val="none"/>
        </w:rPr>
        <w:t xml:space="preserve">日期：_____年______月______日   </w:t>
      </w:r>
    </w:p>
    <w:p w14:paraId="0A4D9576">
      <w:pPr>
        <w:widowControl/>
        <w:jc w:val="left"/>
        <w:rPr>
          <w:rFonts w:hint="eastAsia" w:ascii="宋体" w:hAnsi="宋体" w:eastAsia="宋体" w:cs="宋体"/>
          <w:color w:val="000000"/>
          <w:sz w:val="24"/>
          <w:szCs w:val="20"/>
          <w:highlight w:val="none"/>
        </w:rPr>
      </w:pPr>
      <w:bookmarkStart w:id="839" w:name="_Hlt520274065"/>
      <w:bookmarkEnd w:id="839"/>
      <w:bookmarkStart w:id="840" w:name="_Hlt520350918"/>
      <w:bookmarkEnd w:id="840"/>
      <w:bookmarkStart w:id="841" w:name="_Hlt520274121"/>
      <w:bookmarkEnd w:id="841"/>
      <w:bookmarkStart w:id="842" w:name="_Hlt520343000"/>
      <w:bookmarkEnd w:id="842"/>
      <w:bookmarkStart w:id="843" w:name="_Hlt520343392"/>
      <w:bookmarkEnd w:id="843"/>
      <w:bookmarkStart w:id="844" w:name="_Hlt520274407"/>
      <w:bookmarkEnd w:id="844"/>
      <w:bookmarkStart w:id="845" w:name="_Hlt520271212"/>
      <w:bookmarkEnd w:id="845"/>
      <w:bookmarkStart w:id="846" w:name="_Hlt520274393"/>
      <w:bookmarkEnd w:id="846"/>
      <w:bookmarkStart w:id="847" w:name="_Hlt520273711"/>
      <w:bookmarkEnd w:id="847"/>
      <w:bookmarkStart w:id="848" w:name="_Hlt520355504"/>
      <w:bookmarkEnd w:id="848"/>
    </w:p>
    <w:p w14:paraId="3A4E5111">
      <w:pPr>
        <w:widowControl/>
        <w:jc w:val="left"/>
        <w:rPr>
          <w:rFonts w:hint="eastAsia" w:ascii="宋体" w:hAnsi="宋体" w:eastAsia="宋体" w:cs="宋体"/>
          <w:color w:val="000000"/>
          <w:sz w:val="24"/>
          <w:szCs w:val="20"/>
          <w:highlight w:val="none"/>
        </w:rPr>
      </w:pPr>
    </w:p>
    <w:p w14:paraId="2E01D378">
      <w:pPr>
        <w:widowControl/>
        <w:jc w:val="left"/>
        <w:rPr>
          <w:rFonts w:hint="eastAsia" w:ascii="宋体" w:hAnsi="宋体" w:eastAsia="宋体" w:cs="宋体"/>
          <w:color w:val="000000"/>
          <w:sz w:val="24"/>
          <w:szCs w:val="20"/>
          <w:highlight w:val="none"/>
        </w:rPr>
      </w:pPr>
    </w:p>
    <w:p w14:paraId="52D277AE">
      <w:pPr>
        <w:widowControl/>
        <w:jc w:val="left"/>
        <w:rPr>
          <w:rFonts w:hint="eastAsia" w:ascii="宋体" w:hAnsi="宋体" w:eastAsia="宋体" w:cs="宋体"/>
          <w:color w:val="000000"/>
          <w:sz w:val="24"/>
          <w:szCs w:val="20"/>
          <w:highlight w:val="none"/>
        </w:rPr>
      </w:pPr>
    </w:p>
    <w:p w14:paraId="09AA85DB">
      <w:pPr>
        <w:widowControl/>
        <w:jc w:val="left"/>
        <w:rPr>
          <w:rFonts w:hint="eastAsia" w:ascii="宋体" w:hAnsi="宋体" w:eastAsia="宋体" w:cs="宋体"/>
          <w:color w:val="000000"/>
          <w:sz w:val="24"/>
          <w:szCs w:val="20"/>
          <w:highlight w:val="none"/>
        </w:rPr>
      </w:pPr>
    </w:p>
    <w:p w14:paraId="0ACCCC36">
      <w:pPr>
        <w:widowControl/>
        <w:jc w:val="left"/>
        <w:rPr>
          <w:rFonts w:hint="eastAsia" w:ascii="宋体" w:hAnsi="宋体" w:eastAsia="宋体" w:cs="宋体"/>
          <w:color w:val="000000"/>
          <w:sz w:val="24"/>
          <w:szCs w:val="20"/>
          <w:highlight w:val="none"/>
        </w:rPr>
      </w:pPr>
    </w:p>
    <w:p w14:paraId="54FB1592">
      <w:pPr>
        <w:widowControl/>
        <w:jc w:val="left"/>
        <w:rPr>
          <w:rFonts w:hint="eastAsia" w:ascii="宋体" w:hAnsi="宋体" w:eastAsia="宋体" w:cs="宋体"/>
          <w:color w:val="000000"/>
          <w:sz w:val="24"/>
          <w:szCs w:val="20"/>
          <w:highlight w:val="none"/>
        </w:rPr>
      </w:pPr>
    </w:p>
    <w:p w14:paraId="47415424">
      <w:pPr>
        <w:widowControl/>
        <w:jc w:val="left"/>
        <w:rPr>
          <w:rFonts w:hint="eastAsia" w:ascii="宋体" w:hAnsi="宋体" w:eastAsia="宋体" w:cs="宋体"/>
          <w:color w:val="000000"/>
          <w:sz w:val="24"/>
          <w:szCs w:val="20"/>
          <w:highlight w:val="none"/>
        </w:rPr>
      </w:pPr>
    </w:p>
    <w:p w14:paraId="118787CA">
      <w:pPr>
        <w:spacing w:line="360" w:lineRule="auto"/>
        <w:outlineLvl w:val="2"/>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4  开标一览表（实质性格式）</w:t>
      </w:r>
    </w:p>
    <w:p w14:paraId="72715144">
      <w:pPr>
        <w:spacing w:line="360" w:lineRule="exact"/>
        <w:jc w:val="center"/>
        <w:rPr>
          <w:rFonts w:hint="eastAsia" w:ascii="宋体" w:hAnsi="宋体" w:eastAsia="宋体" w:cs="宋体"/>
          <w:b/>
          <w:color w:val="000000"/>
          <w:sz w:val="36"/>
          <w:szCs w:val="36"/>
          <w:highlight w:val="none"/>
        </w:rPr>
      </w:pPr>
      <w:bookmarkStart w:id="849" w:name="_Toc264969248"/>
      <w:bookmarkStart w:id="850" w:name="_Toc305158900"/>
      <w:bookmarkStart w:id="851" w:name="_Toc305158826"/>
      <w:bookmarkStart w:id="852" w:name="_Toc164608827"/>
      <w:bookmarkStart w:id="853" w:name="_Toc164608672"/>
      <w:bookmarkStart w:id="854" w:name="_Toc265228396"/>
      <w:bookmarkStart w:id="855" w:name="_Toc226309802"/>
      <w:bookmarkStart w:id="856" w:name="_Toc226337254"/>
      <w:bookmarkStart w:id="857" w:name="_Toc226965831"/>
      <w:bookmarkStart w:id="858" w:name="_Toc195842923"/>
      <w:bookmarkStart w:id="859" w:name="_Toc226965748"/>
      <w:r>
        <w:rPr>
          <w:rFonts w:hint="eastAsia" w:ascii="宋体" w:hAnsi="宋体" w:eastAsia="宋体" w:cs="宋体"/>
          <w:b/>
          <w:color w:val="000000"/>
          <w:sz w:val="36"/>
          <w:szCs w:val="36"/>
          <w:highlight w:val="none"/>
        </w:rPr>
        <w:t>开标一览表</w:t>
      </w:r>
      <w:bookmarkEnd w:id="849"/>
      <w:bookmarkEnd w:id="850"/>
      <w:bookmarkEnd w:id="851"/>
      <w:bookmarkEnd w:id="852"/>
      <w:bookmarkEnd w:id="853"/>
      <w:bookmarkEnd w:id="854"/>
      <w:bookmarkEnd w:id="855"/>
      <w:bookmarkEnd w:id="856"/>
      <w:bookmarkEnd w:id="857"/>
      <w:bookmarkEnd w:id="858"/>
      <w:bookmarkEnd w:id="859"/>
    </w:p>
    <w:p w14:paraId="2F1D700C">
      <w:pPr>
        <w:tabs>
          <w:tab w:val="left" w:pos="1800"/>
          <w:tab w:val="left" w:pos="5580"/>
        </w:tabs>
        <w:spacing w:line="360" w:lineRule="auto"/>
        <w:jc w:val="left"/>
        <w:rPr>
          <w:rFonts w:hint="eastAsia" w:ascii="宋体" w:hAnsi="宋体" w:eastAsia="宋体" w:cs="宋体"/>
          <w:i/>
          <w:color w:val="000000"/>
          <w:sz w:val="24"/>
          <w:highlight w:val="none"/>
        </w:rPr>
      </w:pPr>
    </w:p>
    <w:p w14:paraId="3CB1DD57">
      <w:pPr>
        <w:tabs>
          <w:tab w:val="left" w:pos="1800"/>
          <w:tab w:val="left" w:pos="5580"/>
        </w:tabs>
        <w:spacing w:line="360" w:lineRule="auto"/>
        <w:ind w:firstLine="240"/>
        <w:jc w:val="left"/>
        <w:rPr>
          <w:rFonts w:hint="eastAsia" w:ascii="宋体" w:hAnsi="宋体" w:eastAsia="宋体" w:cs="宋体"/>
          <w:color w:val="000000"/>
          <w:sz w:val="24"/>
          <w:highlight w:val="none"/>
        </w:rPr>
      </w:pPr>
    </w:p>
    <w:p w14:paraId="146DCF77">
      <w:pPr>
        <w:tabs>
          <w:tab w:val="left" w:pos="1800"/>
          <w:tab w:val="left" w:pos="5580"/>
        </w:tabs>
        <w:spacing w:line="360" w:lineRule="auto"/>
        <w:ind w:firstLine="240"/>
        <w:jc w:val="lef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项目编号/包号：_____________________     项目名称：____________</w:t>
      </w:r>
    </w:p>
    <w:tbl>
      <w:tblPr>
        <w:tblStyle w:val="28"/>
        <w:tblW w:w="474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655"/>
        <w:gridCol w:w="2851"/>
        <w:gridCol w:w="5111"/>
      </w:tblGrid>
      <w:tr w14:paraId="38C918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64" w:hRule="atLeast"/>
          <w:jc w:val="center"/>
        </w:trPr>
        <w:tc>
          <w:tcPr>
            <w:tcW w:w="654" w:type="dxa"/>
            <w:noWrap w:val="0"/>
            <w:vAlign w:val="center"/>
          </w:tcPr>
          <w:p w14:paraId="46A22C82">
            <w:pPr>
              <w:tabs>
                <w:tab w:val="left" w:pos="5580"/>
              </w:tabs>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序号</w:t>
            </w:r>
          </w:p>
        </w:tc>
        <w:tc>
          <w:tcPr>
            <w:tcW w:w="2848" w:type="dxa"/>
            <w:noWrap w:val="0"/>
            <w:vAlign w:val="center"/>
          </w:tcPr>
          <w:p w14:paraId="1CC276F3">
            <w:pPr>
              <w:tabs>
                <w:tab w:val="left" w:pos="5580"/>
              </w:tabs>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投标人名称</w:t>
            </w:r>
          </w:p>
        </w:tc>
        <w:tc>
          <w:tcPr>
            <w:tcW w:w="5106" w:type="dxa"/>
            <w:noWrap w:val="0"/>
            <w:vAlign w:val="center"/>
          </w:tcPr>
          <w:p w14:paraId="5DF6F457">
            <w:pPr>
              <w:tabs>
                <w:tab w:val="left" w:pos="5580"/>
              </w:tabs>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投标报价</w:t>
            </w:r>
          </w:p>
        </w:tc>
      </w:tr>
      <w:tr w14:paraId="35D5AE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38" w:hRule="atLeast"/>
          <w:jc w:val="center"/>
        </w:trPr>
        <w:tc>
          <w:tcPr>
            <w:tcW w:w="654" w:type="dxa"/>
            <w:noWrap w:val="0"/>
            <w:vAlign w:val="center"/>
          </w:tcPr>
          <w:p w14:paraId="6C8BA654">
            <w:pPr>
              <w:tabs>
                <w:tab w:val="left" w:pos="5580"/>
              </w:tabs>
              <w:jc w:val="center"/>
              <w:rPr>
                <w:rFonts w:hint="eastAsia" w:ascii="宋体" w:hAnsi="宋体" w:eastAsia="宋体" w:cs="宋体"/>
                <w:color w:val="000000"/>
                <w:sz w:val="24"/>
                <w:highlight w:val="none"/>
              </w:rPr>
            </w:pPr>
          </w:p>
        </w:tc>
        <w:tc>
          <w:tcPr>
            <w:tcW w:w="2848" w:type="dxa"/>
            <w:noWrap w:val="0"/>
            <w:vAlign w:val="center"/>
          </w:tcPr>
          <w:p w14:paraId="69610D18">
            <w:pPr>
              <w:tabs>
                <w:tab w:val="left" w:pos="5580"/>
              </w:tabs>
              <w:jc w:val="center"/>
              <w:rPr>
                <w:rFonts w:hint="eastAsia" w:ascii="宋体" w:hAnsi="宋体" w:eastAsia="宋体" w:cs="宋体"/>
                <w:color w:val="000000"/>
                <w:sz w:val="24"/>
                <w:highlight w:val="none"/>
              </w:rPr>
            </w:pPr>
          </w:p>
        </w:tc>
        <w:tc>
          <w:tcPr>
            <w:tcW w:w="5106" w:type="dxa"/>
            <w:noWrap w:val="0"/>
            <w:vAlign w:val="center"/>
          </w:tcPr>
          <w:p w14:paraId="193BB3C4">
            <w:pPr>
              <w:tabs>
                <w:tab w:val="left" w:pos="5580"/>
              </w:tabs>
              <w:ind w:firstLine="240"/>
              <w:jc w:val="both"/>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总价（2年）：</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none"/>
                <w:lang w:val="en-US" w:eastAsia="zh-CN"/>
              </w:rPr>
              <w:t>元</w:t>
            </w:r>
          </w:p>
        </w:tc>
      </w:tr>
    </w:tbl>
    <w:p w14:paraId="0A3791B6">
      <w:pPr>
        <w:jc w:val="left"/>
        <w:rPr>
          <w:rFonts w:hint="eastAsia" w:ascii="宋体" w:hAnsi="宋体" w:eastAsia="宋体" w:cs="宋体"/>
          <w:color w:val="000000"/>
          <w:sz w:val="24"/>
          <w:highlight w:val="none"/>
        </w:rPr>
      </w:pPr>
    </w:p>
    <w:p w14:paraId="591493D8">
      <w:pPr>
        <w:jc w:val="left"/>
        <w:rPr>
          <w:rFonts w:hint="eastAsia" w:ascii="宋体" w:hAnsi="宋体" w:eastAsia="宋体" w:cs="宋体"/>
          <w:color w:val="000000"/>
          <w:sz w:val="24"/>
          <w:szCs w:val="20"/>
          <w:highlight w:val="none"/>
        </w:rPr>
      </w:pPr>
      <w:r>
        <w:rPr>
          <w:rFonts w:hint="eastAsia" w:ascii="宋体" w:hAnsi="宋体" w:eastAsia="宋体" w:cs="宋体"/>
          <w:color w:val="000000"/>
          <w:sz w:val="24"/>
          <w:highlight w:val="none"/>
        </w:rPr>
        <w:t>注：1</w:t>
      </w:r>
      <w:r>
        <w:rPr>
          <w:rFonts w:hint="eastAsia" w:ascii="宋体" w:hAnsi="宋体" w:eastAsia="宋体" w:cs="宋体"/>
          <w:color w:val="000000"/>
          <w:sz w:val="24"/>
          <w:szCs w:val="20"/>
          <w:highlight w:val="none"/>
        </w:rPr>
        <w:t>.此表中，每包的投标报价应和《投标分项报价表》中的总价相一致。</w:t>
      </w:r>
    </w:p>
    <w:p w14:paraId="2C174401">
      <w:pPr>
        <w:tabs>
          <w:tab w:val="left" w:pos="5580"/>
        </w:tabs>
        <w:ind w:firstLine="480"/>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2.本表必须按包分别填写。</w:t>
      </w:r>
    </w:p>
    <w:p w14:paraId="51BCB4A9">
      <w:pPr>
        <w:spacing w:before="25" w:after="25" w:line="360" w:lineRule="auto"/>
        <w:rPr>
          <w:rFonts w:hint="eastAsia" w:ascii="宋体" w:hAnsi="宋体" w:eastAsia="宋体" w:cs="宋体"/>
          <w:color w:val="000000"/>
          <w:sz w:val="24"/>
          <w:highlight w:val="none"/>
          <w:lang w:val="zh-CN"/>
        </w:rPr>
      </w:pPr>
    </w:p>
    <w:p w14:paraId="0BFEAC13">
      <w:pPr>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                         </w:t>
      </w:r>
    </w:p>
    <w:p w14:paraId="27175339">
      <w:pPr>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投标人名称（加盖公章）</w:t>
      </w:r>
      <w:r>
        <w:rPr>
          <w:rFonts w:hint="eastAsia" w:ascii="宋体" w:hAnsi="宋体" w:eastAsia="宋体" w:cs="宋体"/>
          <w:color w:val="000000"/>
          <w:sz w:val="24"/>
          <w:highlight w:val="none"/>
          <w:lang w:val="zh-CN"/>
        </w:rPr>
        <w:t>：____________</w:t>
      </w:r>
    </w:p>
    <w:p w14:paraId="218704B3">
      <w:pPr>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szCs w:val="20"/>
          <w:highlight w:val="none"/>
        </w:rPr>
        <w:t xml:space="preserve">日期：_____年______月______日   </w:t>
      </w:r>
    </w:p>
    <w:p w14:paraId="450496A8">
      <w:pPr>
        <w:widowControl/>
        <w:jc w:val="left"/>
        <w:rPr>
          <w:color w:val="000000"/>
          <w:sz w:val="24"/>
          <w:szCs w:val="20"/>
        </w:rPr>
      </w:pPr>
      <w:r>
        <w:rPr>
          <w:rFonts w:hint="eastAsia" w:ascii="宋体" w:hAnsi="宋体" w:eastAsia="宋体" w:cs="宋体"/>
          <w:color w:val="000000"/>
          <w:sz w:val="24"/>
          <w:szCs w:val="20"/>
          <w:highlight w:val="none"/>
        </w:rPr>
        <w:br w:type="page" w:clear="all"/>
      </w:r>
      <w:r>
        <w:rPr>
          <w:rFonts w:hint="eastAsia"/>
          <w:color w:val="000000"/>
          <w:sz w:val="24"/>
          <w:szCs w:val="20"/>
          <w:lang w:val="en-US" w:eastAsia="zh-CN"/>
        </w:rPr>
        <w:t>5</w:t>
      </w:r>
      <w:r>
        <w:rPr>
          <w:color w:val="000000"/>
          <w:sz w:val="24"/>
          <w:szCs w:val="20"/>
        </w:rPr>
        <w:t xml:space="preserve">  投标分项报价表（实质性格式）</w:t>
      </w:r>
    </w:p>
    <w:p w14:paraId="2C6800E5">
      <w:pPr>
        <w:spacing w:line="360" w:lineRule="exact"/>
        <w:jc w:val="center"/>
        <w:rPr>
          <w:color w:val="000000"/>
          <w:sz w:val="36"/>
          <w:szCs w:val="36"/>
        </w:rPr>
      </w:pPr>
    </w:p>
    <w:p w14:paraId="7AD4292C">
      <w:pPr>
        <w:spacing w:line="360" w:lineRule="exact"/>
        <w:jc w:val="center"/>
        <w:rPr>
          <w:b/>
          <w:color w:val="000000"/>
          <w:sz w:val="36"/>
          <w:szCs w:val="36"/>
        </w:rPr>
      </w:pPr>
      <w:r>
        <w:rPr>
          <w:rFonts w:hint="eastAsia"/>
          <w:b/>
          <w:color w:val="000000"/>
          <w:sz w:val="36"/>
          <w:szCs w:val="36"/>
        </w:rPr>
        <w:t>投标分项报价表</w:t>
      </w:r>
    </w:p>
    <w:p w14:paraId="1F04FB07">
      <w:pPr>
        <w:spacing w:line="260" w:lineRule="exact"/>
        <w:jc w:val="center"/>
        <w:rPr>
          <w:color w:val="000000"/>
          <w:sz w:val="36"/>
          <w:szCs w:val="36"/>
        </w:rPr>
      </w:pPr>
    </w:p>
    <w:p w14:paraId="78546128">
      <w:pPr>
        <w:spacing w:line="260" w:lineRule="exact"/>
        <w:jc w:val="center"/>
        <w:rPr>
          <w:color w:val="000000"/>
          <w:sz w:val="36"/>
          <w:szCs w:val="36"/>
        </w:rPr>
      </w:pPr>
    </w:p>
    <w:p w14:paraId="629985FB">
      <w:pPr>
        <w:tabs>
          <w:tab w:val="left" w:pos="1800"/>
          <w:tab w:val="left" w:pos="5580"/>
        </w:tabs>
        <w:rPr>
          <w:color w:val="000000"/>
          <w:sz w:val="24"/>
        </w:rPr>
      </w:pPr>
      <w:r>
        <w:rPr>
          <w:color w:val="000000"/>
          <w:sz w:val="24"/>
        </w:rPr>
        <w:t>项目编号/包号：___________ 项目名称：__________报价单位：人民币元</w:t>
      </w:r>
    </w:p>
    <w:tbl>
      <w:tblPr>
        <w:tblStyle w:val="28"/>
        <w:tblW w:w="76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3"/>
        <w:gridCol w:w="1432"/>
        <w:gridCol w:w="2550"/>
        <w:gridCol w:w="998"/>
        <w:gridCol w:w="2004"/>
      </w:tblGrid>
      <w:tr w14:paraId="1AD3FB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1073" w:hRule="atLeast"/>
          <w:jc w:val="center"/>
        </w:trPr>
        <w:tc>
          <w:tcPr>
            <w:tcW w:w="673" w:type="dxa"/>
            <w:noWrap w:val="0"/>
            <w:vAlign w:val="center"/>
          </w:tcPr>
          <w:p w14:paraId="2A0B429F">
            <w:pPr>
              <w:widowControl/>
              <w:spacing w:line="360" w:lineRule="auto"/>
              <w:jc w:val="center"/>
              <w:rPr>
                <w:rFonts w:ascii="宋体" w:hAnsi="宋体" w:cs="Arial"/>
                <w:sz w:val="24"/>
              </w:rPr>
            </w:pPr>
            <w:r>
              <w:rPr>
                <w:rFonts w:hint="eastAsia" w:ascii="宋体" w:hAnsi="宋体" w:cs="Arial"/>
                <w:sz w:val="24"/>
              </w:rPr>
              <w:t>序号</w:t>
            </w:r>
          </w:p>
        </w:tc>
        <w:tc>
          <w:tcPr>
            <w:tcW w:w="1432" w:type="dxa"/>
            <w:noWrap w:val="0"/>
            <w:vAlign w:val="center"/>
          </w:tcPr>
          <w:p w14:paraId="30A1C22F">
            <w:pPr>
              <w:widowControl/>
              <w:spacing w:line="360" w:lineRule="auto"/>
              <w:jc w:val="center"/>
              <w:rPr>
                <w:rFonts w:ascii="宋体" w:hAnsi="宋体" w:cs="Arial"/>
                <w:sz w:val="24"/>
              </w:rPr>
            </w:pPr>
            <w:r>
              <w:rPr>
                <w:rFonts w:hint="eastAsia" w:ascii="宋体" w:hAnsi="宋体" w:cs="Arial"/>
                <w:sz w:val="24"/>
              </w:rPr>
              <w:t>分项名称</w:t>
            </w:r>
          </w:p>
        </w:tc>
        <w:tc>
          <w:tcPr>
            <w:tcW w:w="2550" w:type="dxa"/>
            <w:noWrap w:val="0"/>
            <w:vAlign w:val="center"/>
          </w:tcPr>
          <w:p w14:paraId="47CDB751">
            <w:pPr>
              <w:widowControl/>
              <w:spacing w:line="360" w:lineRule="auto"/>
              <w:jc w:val="center"/>
              <w:rPr>
                <w:rFonts w:ascii="宋体" w:hAnsi="宋体" w:cs="Arial"/>
                <w:sz w:val="24"/>
              </w:rPr>
            </w:pPr>
            <w:r>
              <w:rPr>
                <w:rFonts w:hint="eastAsia" w:ascii="宋体" w:hAnsi="宋体" w:cs="Arial"/>
                <w:sz w:val="24"/>
              </w:rPr>
              <w:t>服务内容</w:t>
            </w:r>
          </w:p>
        </w:tc>
        <w:tc>
          <w:tcPr>
            <w:tcW w:w="998" w:type="dxa"/>
            <w:noWrap w:val="0"/>
            <w:vAlign w:val="center"/>
          </w:tcPr>
          <w:p w14:paraId="316740F1">
            <w:pPr>
              <w:widowControl/>
              <w:spacing w:line="360" w:lineRule="auto"/>
              <w:jc w:val="center"/>
              <w:rPr>
                <w:rFonts w:hint="eastAsia" w:ascii="宋体" w:hAnsi="宋体" w:eastAsia="宋体" w:cs="Arial"/>
                <w:sz w:val="24"/>
                <w:lang w:eastAsia="zh-CN"/>
              </w:rPr>
            </w:pPr>
            <w:r>
              <w:rPr>
                <w:rFonts w:hint="eastAsia" w:ascii="宋体" w:hAnsi="宋体" w:cs="Arial"/>
                <w:sz w:val="24"/>
                <w:lang w:val="en-US" w:eastAsia="zh-CN"/>
              </w:rPr>
              <w:t>保障</w:t>
            </w:r>
          </w:p>
        </w:tc>
        <w:tc>
          <w:tcPr>
            <w:tcW w:w="2004" w:type="dxa"/>
            <w:noWrap w:val="0"/>
            <w:vAlign w:val="center"/>
          </w:tcPr>
          <w:p w14:paraId="4BAAF396">
            <w:pPr>
              <w:widowControl/>
              <w:spacing w:line="360" w:lineRule="auto"/>
              <w:jc w:val="center"/>
              <w:rPr>
                <w:rFonts w:hint="eastAsia" w:ascii="宋体" w:hAnsi="宋体" w:eastAsia="宋体" w:cs="Arial"/>
                <w:sz w:val="24"/>
                <w:lang w:eastAsia="zh-CN"/>
              </w:rPr>
            </w:pPr>
            <w:r>
              <w:rPr>
                <w:rFonts w:hint="eastAsia" w:ascii="宋体" w:hAnsi="宋体" w:cs="Arial"/>
                <w:sz w:val="24"/>
                <w:lang w:val="en-US" w:eastAsia="zh-CN"/>
              </w:rPr>
              <w:t>人均保费</w:t>
            </w:r>
            <w:r>
              <w:rPr>
                <w:rFonts w:hint="eastAsia" w:ascii="宋体" w:hAnsi="宋体" w:cs="Arial"/>
                <w:sz w:val="24"/>
                <w:lang w:eastAsia="zh-CN"/>
              </w:rPr>
              <w:t>（</w:t>
            </w:r>
            <w:r>
              <w:rPr>
                <w:rFonts w:hint="eastAsia" w:ascii="宋体" w:hAnsi="宋体" w:cs="Arial"/>
                <w:sz w:val="24"/>
                <w:lang w:val="en-US" w:eastAsia="zh-CN"/>
              </w:rPr>
              <w:t>元</w:t>
            </w:r>
            <w:r>
              <w:rPr>
                <w:rFonts w:hint="eastAsia" w:ascii="宋体" w:hAnsi="宋体" w:cs="Arial"/>
                <w:sz w:val="24"/>
                <w:lang w:eastAsia="zh-CN"/>
              </w:rPr>
              <w:t>）</w:t>
            </w:r>
          </w:p>
        </w:tc>
      </w:tr>
      <w:tr w14:paraId="2D4402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7" w:hRule="atLeast"/>
          <w:jc w:val="center"/>
        </w:trPr>
        <w:tc>
          <w:tcPr>
            <w:tcW w:w="673" w:type="dxa"/>
            <w:noWrap w:val="0"/>
            <w:vAlign w:val="center"/>
          </w:tcPr>
          <w:p w14:paraId="7DD2E511">
            <w:pPr>
              <w:widowControl/>
              <w:spacing w:line="360" w:lineRule="auto"/>
              <w:jc w:val="center"/>
              <w:rPr>
                <w:rFonts w:ascii="宋体" w:hAnsi="宋体" w:cs="Arial"/>
                <w:sz w:val="24"/>
              </w:rPr>
            </w:pPr>
            <w:r>
              <w:rPr>
                <w:rFonts w:hint="eastAsia" w:ascii="宋体" w:hAnsi="宋体" w:cs="Arial"/>
                <w:sz w:val="24"/>
              </w:rPr>
              <w:t>1</w:t>
            </w:r>
          </w:p>
        </w:tc>
        <w:tc>
          <w:tcPr>
            <w:tcW w:w="1432" w:type="dxa"/>
            <w:noWrap w:val="0"/>
            <w:vAlign w:val="center"/>
          </w:tcPr>
          <w:p w14:paraId="4182E0F0">
            <w:pPr>
              <w:widowControl/>
              <w:spacing w:line="360" w:lineRule="auto"/>
              <w:jc w:val="center"/>
              <w:rPr>
                <w:rFonts w:ascii="宋体" w:hAnsi="宋体" w:cs="Arial"/>
                <w:b/>
                <w:bCs/>
                <w:sz w:val="24"/>
              </w:rPr>
            </w:pPr>
          </w:p>
        </w:tc>
        <w:tc>
          <w:tcPr>
            <w:tcW w:w="2550" w:type="dxa"/>
            <w:noWrap w:val="0"/>
            <w:vAlign w:val="center"/>
          </w:tcPr>
          <w:p w14:paraId="6B0B52BA">
            <w:pPr>
              <w:widowControl/>
              <w:spacing w:line="360" w:lineRule="auto"/>
              <w:jc w:val="center"/>
              <w:rPr>
                <w:rFonts w:ascii="宋体" w:hAnsi="宋体" w:cs="Arial"/>
                <w:sz w:val="24"/>
              </w:rPr>
            </w:pPr>
          </w:p>
        </w:tc>
        <w:tc>
          <w:tcPr>
            <w:tcW w:w="998" w:type="dxa"/>
            <w:noWrap w:val="0"/>
            <w:vAlign w:val="center"/>
          </w:tcPr>
          <w:p w14:paraId="161E0F4B">
            <w:pPr>
              <w:widowControl/>
              <w:spacing w:line="360" w:lineRule="auto"/>
              <w:jc w:val="center"/>
              <w:rPr>
                <w:rFonts w:ascii="宋体" w:hAnsi="宋体" w:cs="Arial"/>
                <w:sz w:val="24"/>
              </w:rPr>
            </w:pPr>
          </w:p>
        </w:tc>
        <w:tc>
          <w:tcPr>
            <w:tcW w:w="2004" w:type="dxa"/>
            <w:noWrap w:val="0"/>
            <w:vAlign w:val="center"/>
          </w:tcPr>
          <w:p w14:paraId="108D4C84">
            <w:pPr>
              <w:widowControl/>
              <w:spacing w:line="360" w:lineRule="auto"/>
              <w:jc w:val="center"/>
              <w:rPr>
                <w:rFonts w:ascii="宋体" w:hAnsi="宋体" w:cs="Arial"/>
                <w:sz w:val="24"/>
              </w:rPr>
            </w:pPr>
          </w:p>
        </w:tc>
      </w:tr>
      <w:tr w14:paraId="01B090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7" w:hRule="atLeast"/>
          <w:jc w:val="center"/>
        </w:trPr>
        <w:tc>
          <w:tcPr>
            <w:tcW w:w="673" w:type="dxa"/>
            <w:noWrap w:val="0"/>
            <w:vAlign w:val="center"/>
          </w:tcPr>
          <w:p w14:paraId="28D8B04C">
            <w:pPr>
              <w:widowControl/>
              <w:spacing w:line="360" w:lineRule="auto"/>
              <w:jc w:val="center"/>
              <w:rPr>
                <w:rFonts w:ascii="宋体" w:hAnsi="宋体" w:cs="Arial"/>
                <w:sz w:val="24"/>
              </w:rPr>
            </w:pPr>
            <w:r>
              <w:rPr>
                <w:rFonts w:hint="eastAsia" w:ascii="宋体" w:hAnsi="宋体" w:cs="Arial"/>
                <w:sz w:val="24"/>
              </w:rPr>
              <w:t>2</w:t>
            </w:r>
          </w:p>
        </w:tc>
        <w:tc>
          <w:tcPr>
            <w:tcW w:w="1432" w:type="dxa"/>
            <w:noWrap w:val="0"/>
            <w:vAlign w:val="center"/>
          </w:tcPr>
          <w:p w14:paraId="386A63F8">
            <w:pPr>
              <w:widowControl/>
              <w:spacing w:line="360" w:lineRule="auto"/>
              <w:jc w:val="center"/>
              <w:rPr>
                <w:rFonts w:ascii="宋体" w:hAnsi="宋体" w:cs="Arial"/>
                <w:b/>
                <w:bCs/>
                <w:sz w:val="24"/>
              </w:rPr>
            </w:pPr>
          </w:p>
        </w:tc>
        <w:tc>
          <w:tcPr>
            <w:tcW w:w="2550" w:type="dxa"/>
            <w:noWrap w:val="0"/>
            <w:vAlign w:val="center"/>
          </w:tcPr>
          <w:p w14:paraId="46C660E8">
            <w:pPr>
              <w:widowControl/>
              <w:spacing w:line="360" w:lineRule="auto"/>
              <w:jc w:val="center"/>
              <w:rPr>
                <w:rFonts w:ascii="宋体" w:hAnsi="宋体" w:cs="Arial"/>
                <w:sz w:val="24"/>
              </w:rPr>
            </w:pPr>
          </w:p>
        </w:tc>
        <w:tc>
          <w:tcPr>
            <w:tcW w:w="998" w:type="dxa"/>
            <w:noWrap w:val="0"/>
            <w:vAlign w:val="center"/>
          </w:tcPr>
          <w:p w14:paraId="3CB8C79E">
            <w:pPr>
              <w:widowControl/>
              <w:spacing w:line="360" w:lineRule="auto"/>
              <w:jc w:val="center"/>
              <w:rPr>
                <w:rFonts w:ascii="宋体" w:hAnsi="宋体" w:cs="Arial"/>
                <w:sz w:val="24"/>
              </w:rPr>
            </w:pPr>
          </w:p>
        </w:tc>
        <w:tc>
          <w:tcPr>
            <w:tcW w:w="2004" w:type="dxa"/>
            <w:noWrap w:val="0"/>
            <w:vAlign w:val="center"/>
          </w:tcPr>
          <w:p w14:paraId="4458897B">
            <w:pPr>
              <w:widowControl/>
              <w:spacing w:line="360" w:lineRule="auto"/>
              <w:jc w:val="center"/>
              <w:rPr>
                <w:rFonts w:ascii="宋体" w:hAnsi="宋体" w:cs="Arial"/>
                <w:sz w:val="24"/>
              </w:rPr>
            </w:pPr>
          </w:p>
        </w:tc>
      </w:tr>
      <w:tr w14:paraId="28D5E2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7" w:hRule="atLeast"/>
          <w:jc w:val="center"/>
        </w:trPr>
        <w:tc>
          <w:tcPr>
            <w:tcW w:w="673" w:type="dxa"/>
            <w:noWrap w:val="0"/>
            <w:vAlign w:val="center"/>
          </w:tcPr>
          <w:p w14:paraId="62CD49B2">
            <w:pPr>
              <w:widowControl/>
              <w:spacing w:line="360" w:lineRule="auto"/>
              <w:jc w:val="center"/>
              <w:rPr>
                <w:rFonts w:ascii="宋体" w:hAnsi="宋体" w:cs="Arial"/>
                <w:sz w:val="24"/>
              </w:rPr>
            </w:pPr>
            <w:r>
              <w:rPr>
                <w:rFonts w:hint="eastAsia" w:ascii="宋体" w:hAnsi="宋体" w:cs="Arial"/>
                <w:sz w:val="24"/>
              </w:rPr>
              <w:t>3</w:t>
            </w:r>
          </w:p>
        </w:tc>
        <w:tc>
          <w:tcPr>
            <w:tcW w:w="1432" w:type="dxa"/>
            <w:noWrap w:val="0"/>
            <w:vAlign w:val="center"/>
          </w:tcPr>
          <w:p w14:paraId="36909C59">
            <w:pPr>
              <w:widowControl/>
              <w:spacing w:line="360" w:lineRule="auto"/>
              <w:jc w:val="center"/>
              <w:rPr>
                <w:rFonts w:ascii="宋体" w:hAnsi="宋体" w:cs="Arial"/>
                <w:b/>
                <w:bCs/>
                <w:sz w:val="24"/>
              </w:rPr>
            </w:pPr>
          </w:p>
        </w:tc>
        <w:tc>
          <w:tcPr>
            <w:tcW w:w="2550" w:type="dxa"/>
            <w:noWrap w:val="0"/>
            <w:vAlign w:val="center"/>
          </w:tcPr>
          <w:p w14:paraId="05D3D5AD">
            <w:pPr>
              <w:widowControl/>
              <w:spacing w:line="360" w:lineRule="auto"/>
              <w:jc w:val="center"/>
              <w:rPr>
                <w:rFonts w:ascii="宋体" w:hAnsi="宋体" w:cs="Arial"/>
                <w:sz w:val="24"/>
              </w:rPr>
            </w:pPr>
          </w:p>
        </w:tc>
        <w:tc>
          <w:tcPr>
            <w:tcW w:w="998" w:type="dxa"/>
            <w:noWrap w:val="0"/>
            <w:vAlign w:val="center"/>
          </w:tcPr>
          <w:p w14:paraId="250FD86D">
            <w:pPr>
              <w:widowControl/>
              <w:spacing w:line="360" w:lineRule="auto"/>
              <w:jc w:val="center"/>
              <w:rPr>
                <w:rFonts w:ascii="宋体" w:hAnsi="宋体" w:cs="Arial"/>
                <w:sz w:val="24"/>
              </w:rPr>
            </w:pPr>
          </w:p>
        </w:tc>
        <w:tc>
          <w:tcPr>
            <w:tcW w:w="2004" w:type="dxa"/>
            <w:noWrap w:val="0"/>
            <w:vAlign w:val="center"/>
          </w:tcPr>
          <w:p w14:paraId="21D3BB83">
            <w:pPr>
              <w:widowControl/>
              <w:spacing w:line="360" w:lineRule="auto"/>
              <w:jc w:val="center"/>
              <w:rPr>
                <w:rFonts w:ascii="宋体" w:hAnsi="宋体" w:cs="Arial"/>
                <w:sz w:val="24"/>
              </w:rPr>
            </w:pPr>
          </w:p>
        </w:tc>
      </w:tr>
      <w:tr w14:paraId="7D05D4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7" w:hRule="atLeast"/>
          <w:jc w:val="center"/>
        </w:trPr>
        <w:tc>
          <w:tcPr>
            <w:tcW w:w="673" w:type="dxa"/>
            <w:noWrap w:val="0"/>
            <w:vAlign w:val="center"/>
          </w:tcPr>
          <w:p w14:paraId="46B52A48">
            <w:pPr>
              <w:widowControl/>
              <w:spacing w:line="360" w:lineRule="auto"/>
              <w:jc w:val="center"/>
              <w:rPr>
                <w:rFonts w:ascii="宋体" w:hAnsi="宋体" w:cs="Arial"/>
                <w:sz w:val="24"/>
              </w:rPr>
            </w:pPr>
            <w:r>
              <w:rPr>
                <w:rFonts w:hint="eastAsia" w:ascii="宋体" w:hAnsi="宋体" w:cs="Arial"/>
                <w:sz w:val="24"/>
              </w:rPr>
              <w:t>4</w:t>
            </w:r>
          </w:p>
        </w:tc>
        <w:tc>
          <w:tcPr>
            <w:tcW w:w="1432" w:type="dxa"/>
            <w:noWrap w:val="0"/>
            <w:vAlign w:val="center"/>
          </w:tcPr>
          <w:p w14:paraId="6E76858A">
            <w:pPr>
              <w:widowControl/>
              <w:spacing w:line="360" w:lineRule="auto"/>
              <w:jc w:val="center"/>
              <w:rPr>
                <w:rFonts w:ascii="宋体" w:hAnsi="宋体" w:cs="Arial"/>
                <w:b/>
                <w:bCs/>
                <w:sz w:val="24"/>
              </w:rPr>
            </w:pPr>
          </w:p>
        </w:tc>
        <w:tc>
          <w:tcPr>
            <w:tcW w:w="2550" w:type="dxa"/>
            <w:noWrap w:val="0"/>
            <w:vAlign w:val="center"/>
          </w:tcPr>
          <w:p w14:paraId="0297E8C8">
            <w:pPr>
              <w:widowControl/>
              <w:spacing w:line="360" w:lineRule="auto"/>
              <w:jc w:val="center"/>
              <w:rPr>
                <w:rFonts w:ascii="宋体" w:hAnsi="宋体" w:cs="Arial"/>
                <w:sz w:val="24"/>
              </w:rPr>
            </w:pPr>
          </w:p>
        </w:tc>
        <w:tc>
          <w:tcPr>
            <w:tcW w:w="998" w:type="dxa"/>
            <w:noWrap w:val="0"/>
            <w:vAlign w:val="center"/>
          </w:tcPr>
          <w:p w14:paraId="31398B2B">
            <w:pPr>
              <w:widowControl/>
              <w:spacing w:line="360" w:lineRule="auto"/>
              <w:jc w:val="center"/>
              <w:rPr>
                <w:rFonts w:ascii="宋体" w:hAnsi="宋体" w:cs="Arial"/>
                <w:sz w:val="24"/>
              </w:rPr>
            </w:pPr>
          </w:p>
        </w:tc>
        <w:tc>
          <w:tcPr>
            <w:tcW w:w="2004" w:type="dxa"/>
            <w:noWrap w:val="0"/>
            <w:vAlign w:val="center"/>
          </w:tcPr>
          <w:p w14:paraId="017E196B">
            <w:pPr>
              <w:widowControl/>
              <w:spacing w:line="360" w:lineRule="auto"/>
              <w:jc w:val="center"/>
              <w:rPr>
                <w:rFonts w:ascii="宋体" w:hAnsi="宋体" w:cs="Arial"/>
                <w:sz w:val="24"/>
              </w:rPr>
            </w:pPr>
          </w:p>
        </w:tc>
      </w:tr>
      <w:tr w14:paraId="39528C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7" w:hRule="atLeast"/>
          <w:jc w:val="center"/>
        </w:trPr>
        <w:tc>
          <w:tcPr>
            <w:tcW w:w="673" w:type="dxa"/>
            <w:noWrap w:val="0"/>
            <w:vAlign w:val="center"/>
          </w:tcPr>
          <w:p w14:paraId="04161EF1">
            <w:pPr>
              <w:widowControl/>
              <w:spacing w:line="360" w:lineRule="auto"/>
              <w:jc w:val="center"/>
              <w:rPr>
                <w:rFonts w:ascii="宋体" w:hAnsi="宋体" w:cs="Arial"/>
                <w:sz w:val="24"/>
              </w:rPr>
            </w:pPr>
            <w:r>
              <w:rPr>
                <w:rFonts w:hint="eastAsia" w:ascii="宋体" w:hAnsi="宋体" w:cs="Arial"/>
                <w:sz w:val="24"/>
              </w:rPr>
              <w:t>5</w:t>
            </w:r>
          </w:p>
        </w:tc>
        <w:tc>
          <w:tcPr>
            <w:tcW w:w="1432" w:type="dxa"/>
            <w:noWrap w:val="0"/>
            <w:vAlign w:val="center"/>
          </w:tcPr>
          <w:p w14:paraId="28C64023">
            <w:pPr>
              <w:widowControl/>
              <w:spacing w:line="360" w:lineRule="auto"/>
              <w:jc w:val="center"/>
              <w:rPr>
                <w:rFonts w:ascii="宋体" w:hAnsi="宋体" w:cs="Arial"/>
                <w:b/>
                <w:bCs/>
                <w:sz w:val="24"/>
              </w:rPr>
            </w:pPr>
          </w:p>
        </w:tc>
        <w:tc>
          <w:tcPr>
            <w:tcW w:w="2550" w:type="dxa"/>
            <w:noWrap w:val="0"/>
            <w:vAlign w:val="center"/>
          </w:tcPr>
          <w:p w14:paraId="7BE5F1B0">
            <w:pPr>
              <w:widowControl/>
              <w:spacing w:line="360" w:lineRule="auto"/>
              <w:jc w:val="center"/>
              <w:rPr>
                <w:rFonts w:ascii="宋体" w:hAnsi="宋体" w:cs="Arial"/>
                <w:sz w:val="24"/>
              </w:rPr>
            </w:pPr>
          </w:p>
        </w:tc>
        <w:tc>
          <w:tcPr>
            <w:tcW w:w="998" w:type="dxa"/>
            <w:noWrap w:val="0"/>
            <w:vAlign w:val="center"/>
          </w:tcPr>
          <w:p w14:paraId="311B1FAA">
            <w:pPr>
              <w:widowControl/>
              <w:spacing w:line="360" w:lineRule="auto"/>
              <w:jc w:val="center"/>
              <w:rPr>
                <w:rFonts w:ascii="宋体" w:hAnsi="宋体" w:cs="Arial"/>
                <w:sz w:val="24"/>
              </w:rPr>
            </w:pPr>
          </w:p>
        </w:tc>
        <w:tc>
          <w:tcPr>
            <w:tcW w:w="2004" w:type="dxa"/>
            <w:noWrap w:val="0"/>
            <w:vAlign w:val="center"/>
          </w:tcPr>
          <w:p w14:paraId="3E86E06C">
            <w:pPr>
              <w:widowControl/>
              <w:spacing w:line="360" w:lineRule="auto"/>
              <w:jc w:val="center"/>
              <w:rPr>
                <w:rFonts w:ascii="宋体" w:hAnsi="宋体" w:cs="Arial"/>
                <w:sz w:val="24"/>
              </w:rPr>
            </w:pPr>
          </w:p>
        </w:tc>
      </w:tr>
      <w:tr w14:paraId="5D4AE2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73" w:hRule="atLeast"/>
          <w:jc w:val="center"/>
        </w:trPr>
        <w:tc>
          <w:tcPr>
            <w:tcW w:w="673" w:type="dxa"/>
            <w:noWrap w:val="0"/>
            <w:vAlign w:val="center"/>
          </w:tcPr>
          <w:p w14:paraId="65C05501">
            <w:pPr>
              <w:widowControl/>
              <w:spacing w:line="360" w:lineRule="auto"/>
              <w:jc w:val="center"/>
              <w:rPr>
                <w:rFonts w:ascii="宋体" w:hAnsi="宋体" w:cs="Arial"/>
                <w:sz w:val="24"/>
              </w:rPr>
            </w:pPr>
            <w:r>
              <w:rPr>
                <w:rFonts w:hint="eastAsia" w:ascii="宋体" w:hAnsi="宋体" w:cs="Arial"/>
                <w:sz w:val="24"/>
              </w:rPr>
              <w:t>……</w:t>
            </w:r>
          </w:p>
        </w:tc>
        <w:tc>
          <w:tcPr>
            <w:tcW w:w="1432" w:type="dxa"/>
            <w:noWrap w:val="0"/>
            <w:vAlign w:val="center"/>
          </w:tcPr>
          <w:p w14:paraId="7685F990">
            <w:pPr>
              <w:widowControl/>
              <w:spacing w:line="360" w:lineRule="auto"/>
              <w:jc w:val="center"/>
              <w:rPr>
                <w:rFonts w:ascii="宋体" w:hAnsi="宋体" w:cs="Arial"/>
                <w:b/>
                <w:bCs/>
                <w:sz w:val="24"/>
              </w:rPr>
            </w:pPr>
          </w:p>
        </w:tc>
        <w:tc>
          <w:tcPr>
            <w:tcW w:w="2550" w:type="dxa"/>
            <w:noWrap w:val="0"/>
            <w:vAlign w:val="center"/>
          </w:tcPr>
          <w:p w14:paraId="36BE5E10">
            <w:pPr>
              <w:widowControl/>
              <w:spacing w:line="360" w:lineRule="auto"/>
              <w:jc w:val="center"/>
              <w:rPr>
                <w:rFonts w:ascii="宋体" w:hAnsi="宋体" w:cs="Arial"/>
                <w:sz w:val="24"/>
              </w:rPr>
            </w:pPr>
          </w:p>
        </w:tc>
        <w:tc>
          <w:tcPr>
            <w:tcW w:w="998" w:type="dxa"/>
            <w:noWrap w:val="0"/>
            <w:vAlign w:val="center"/>
          </w:tcPr>
          <w:p w14:paraId="3C706963">
            <w:pPr>
              <w:widowControl/>
              <w:spacing w:line="360" w:lineRule="auto"/>
              <w:jc w:val="center"/>
              <w:rPr>
                <w:rFonts w:ascii="宋体" w:hAnsi="宋体" w:cs="Arial"/>
                <w:sz w:val="24"/>
              </w:rPr>
            </w:pPr>
          </w:p>
        </w:tc>
        <w:tc>
          <w:tcPr>
            <w:tcW w:w="2004" w:type="dxa"/>
            <w:noWrap w:val="0"/>
            <w:vAlign w:val="center"/>
          </w:tcPr>
          <w:p w14:paraId="4A2299BA">
            <w:pPr>
              <w:widowControl/>
              <w:spacing w:line="360" w:lineRule="auto"/>
              <w:jc w:val="center"/>
              <w:rPr>
                <w:rFonts w:ascii="宋体" w:hAnsi="宋体" w:cs="Arial"/>
                <w:sz w:val="24"/>
              </w:rPr>
            </w:pPr>
          </w:p>
        </w:tc>
      </w:tr>
      <w:tr w14:paraId="18C17A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7" w:hRule="atLeast"/>
          <w:jc w:val="center"/>
        </w:trPr>
        <w:tc>
          <w:tcPr>
            <w:tcW w:w="5653" w:type="dxa"/>
            <w:gridSpan w:val="4"/>
            <w:noWrap w:val="0"/>
            <w:vAlign w:val="center"/>
          </w:tcPr>
          <w:p w14:paraId="1297DC68">
            <w:pPr>
              <w:widowControl/>
              <w:spacing w:line="360" w:lineRule="auto"/>
              <w:jc w:val="both"/>
              <w:rPr>
                <w:rFonts w:ascii="宋体" w:hAnsi="宋体" w:cs="Arial"/>
                <w:sz w:val="24"/>
              </w:rPr>
            </w:pPr>
            <w:r>
              <w:rPr>
                <w:rFonts w:hint="eastAsia" w:ascii="宋体" w:hAnsi="宋体" w:cs="Arial"/>
                <w:sz w:val="24"/>
                <w:lang w:val="en-US" w:eastAsia="zh-CN"/>
              </w:rPr>
              <w:t>单年人均保费合计（元）</w:t>
            </w:r>
          </w:p>
        </w:tc>
        <w:tc>
          <w:tcPr>
            <w:tcW w:w="2004" w:type="dxa"/>
            <w:noWrap w:val="0"/>
            <w:vAlign w:val="center"/>
          </w:tcPr>
          <w:p w14:paraId="3E325939">
            <w:pPr>
              <w:widowControl/>
              <w:spacing w:line="360" w:lineRule="auto"/>
              <w:jc w:val="both"/>
              <w:rPr>
                <w:rFonts w:ascii="宋体" w:hAnsi="宋体" w:cs="Arial"/>
                <w:sz w:val="24"/>
              </w:rPr>
            </w:pPr>
          </w:p>
        </w:tc>
      </w:tr>
      <w:tr w14:paraId="51FD02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9" w:hRule="atLeast"/>
          <w:jc w:val="center"/>
        </w:trPr>
        <w:tc>
          <w:tcPr>
            <w:tcW w:w="5653" w:type="dxa"/>
            <w:gridSpan w:val="4"/>
            <w:noWrap w:val="0"/>
            <w:vAlign w:val="center"/>
          </w:tcPr>
          <w:p w14:paraId="0A4A8FE4">
            <w:pPr>
              <w:widowControl/>
              <w:spacing w:line="360" w:lineRule="auto"/>
              <w:jc w:val="both"/>
              <w:rPr>
                <w:rFonts w:ascii="宋体" w:hAnsi="宋体" w:cs="Arial"/>
                <w:sz w:val="24"/>
              </w:rPr>
            </w:pPr>
            <w:r>
              <w:rPr>
                <w:rFonts w:hint="eastAsia" w:ascii="宋体" w:hAnsi="宋体" w:cs="Arial"/>
                <w:sz w:val="24"/>
                <w:lang w:val="en-US" w:eastAsia="zh-CN"/>
              </w:rPr>
              <w:t>总计（2年，按暂定人数2万人计数）</w:t>
            </w:r>
          </w:p>
        </w:tc>
        <w:tc>
          <w:tcPr>
            <w:tcW w:w="2004" w:type="dxa"/>
            <w:noWrap w:val="0"/>
            <w:vAlign w:val="center"/>
          </w:tcPr>
          <w:p w14:paraId="7C9A8060">
            <w:pPr>
              <w:widowControl/>
              <w:spacing w:line="360" w:lineRule="auto"/>
              <w:jc w:val="both"/>
              <w:rPr>
                <w:rFonts w:ascii="宋体" w:hAnsi="宋体" w:cs="Arial"/>
                <w:sz w:val="24"/>
              </w:rPr>
            </w:pPr>
          </w:p>
        </w:tc>
      </w:tr>
    </w:tbl>
    <w:p w14:paraId="102C7BB8">
      <w:pPr>
        <w:tabs>
          <w:tab w:val="left" w:pos="1800"/>
          <w:tab w:val="left" w:pos="5580"/>
        </w:tabs>
        <w:jc w:val="left"/>
        <w:rPr>
          <w:rFonts w:hint="eastAsia"/>
          <w:color w:val="000000"/>
          <w:sz w:val="24"/>
        </w:rPr>
      </w:pPr>
    </w:p>
    <w:p w14:paraId="078E078B">
      <w:pPr>
        <w:tabs>
          <w:tab w:val="left" w:pos="1800"/>
          <w:tab w:val="left" w:pos="5580"/>
        </w:tabs>
        <w:jc w:val="left"/>
        <w:rPr>
          <w:rFonts w:hint="eastAsia"/>
          <w:color w:val="000000"/>
          <w:sz w:val="24"/>
        </w:rPr>
      </w:pPr>
    </w:p>
    <w:p w14:paraId="0A4FB1DF">
      <w:pPr>
        <w:tabs>
          <w:tab w:val="left" w:pos="1800"/>
          <w:tab w:val="left" w:pos="5580"/>
        </w:tabs>
        <w:jc w:val="left"/>
        <w:rPr>
          <w:color w:val="000000"/>
          <w:sz w:val="24"/>
        </w:rPr>
      </w:pPr>
      <w:r>
        <w:rPr>
          <w:color w:val="000000"/>
          <w:sz w:val="24"/>
        </w:rPr>
        <w:t>注：1.本表应按包分别填写。</w:t>
      </w:r>
    </w:p>
    <w:p w14:paraId="6C3692D3">
      <w:pPr>
        <w:tabs>
          <w:tab w:val="left" w:pos="1800"/>
          <w:tab w:val="left" w:pos="5580"/>
        </w:tabs>
        <w:ind w:firstLine="480"/>
        <w:jc w:val="left"/>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2.</w:t>
      </w:r>
      <w:r>
        <w:rPr>
          <w:rFonts w:hint="eastAsia" w:ascii="Times New Roman" w:hAnsi="Times New Roman" w:eastAsia="宋体" w:cs="Times New Roman"/>
          <w:color w:val="000000"/>
          <w:sz w:val="24"/>
          <w:lang w:val="en-US" w:eastAsia="zh-CN"/>
        </w:rPr>
        <w:t>如有分项报价则自行填写，若无此项可不填。</w:t>
      </w:r>
    </w:p>
    <w:p w14:paraId="1612C7C1">
      <w:pPr>
        <w:tabs>
          <w:tab w:val="left" w:pos="1800"/>
          <w:tab w:val="left" w:pos="5580"/>
        </w:tabs>
        <w:ind w:firstLine="480"/>
        <w:jc w:val="left"/>
        <w:rPr>
          <w:rFonts w:hint="eastAsia"/>
          <w:color w:val="000000"/>
          <w:sz w:val="24"/>
        </w:rPr>
      </w:pPr>
      <w:r>
        <w:rPr>
          <w:color w:val="000000"/>
          <w:sz w:val="24"/>
        </w:rPr>
        <w:t>3.</w:t>
      </w:r>
      <w:r>
        <w:rPr>
          <w:rFonts w:hint="eastAsia"/>
          <w:color w:val="000000"/>
          <w:sz w:val="24"/>
        </w:rPr>
        <w:t>本表行数可以按照项目分项情况增加。</w:t>
      </w:r>
    </w:p>
    <w:p w14:paraId="1798F46E">
      <w:pPr>
        <w:tabs>
          <w:tab w:val="left" w:pos="1800"/>
          <w:tab w:val="left" w:pos="5580"/>
        </w:tabs>
        <w:ind w:firstLine="480"/>
        <w:jc w:val="left"/>
        <w:rPr>
          <w:color w:val="000000"/>
          <w:sz w:val="24"/>
        </w:rPr>
      </w:pPr>
      <w:r>
        <w:rPr>
          <w:rFonts w:hint="eastAsia"/>
          <w:color w:val="000000"/>
          <w:sz w:val="24"/>
        </w:rPr>
        <w:t>4.</w:t>
      </w:r>
      <w:r>
        <w:rPr>
          <w:color w:val="000000"/>
          <w:sz w:val="24"/>
        </w:rPr>
        <w:t>上述各项的</w:t>
      </w:r>
      <w:r>
        <w:rPr>
          <w:rFonts w:hint="eastAsia"/>
          <w:color w:val="000000"/>
          <w:sz w:val="24"/>
        </w:rPr>
        <w:t>服务内容如表格中填写不下的</w:t>
      </w:r>
      <w:r>
        <w:rPr>
          <w:color w:val="000000"/>
          <w:sz w:val="24"/>
        </w:rPr>
        <w:t>，可</w:t>
      </w:r>
      <w:r>
        <w:rPr>
          <w:rFonts w:hint="eastAsia"/>
          <w:color w:val="000000"/>
          <w:sz w:val="24"/>
        </w:rPr>
        <w:t>以逐项</w:t>
      </w:r>
      <w:r>
        <w:rPr>
          <w:color w:val="000000"/>
          <w:sz w:val="24"/>
        </w:rPr>
        <w:t>另页描述。</w:t>
      </w:r>
    </w:p>
    <w:p w14:paraId="10E4802E">
      <w:pPr>
        <w:spacing w:before="25" w:after="25" w:line="360" w:lineRule="auto"/>
        <w:rPr>
          <w:color w:val="000000"/>
          <w:sz w:val="24"/>
          <w:lang w:val="zh-CN"/>
        </w:rPr>
      </w:pPr>
      <w:r>
        <w:rPr>
          <w:color w:val="000000"/>
          <w:sz w:val="24"/>
          <w:lang w:val="zh-CN"/>
        </w:rPr>
        <w:t xml:space="preserve">    </w:t>
      </w:r>
      <w:r>
        <w:rPr>
          <w:rFonts w:hint="eastAsia"/>
          <w:color w:val="000000"/>
          <w:sz w:val="24"/>
          <w:lang w:val="en-US" w:eastAsia="zh-CN"/>
        </w:rPr>
        <w:t>5.上述表中人数是暂定，最终以实际参保人数为准。</w:t>
      </w:r>
      <w:r>
        <w:rPr>
          <w:color w:val="000000"/>
          <w:sz w:val="24"/>
          <w:lang w:val="zh-CN"/>
        </w:rPr>
        <w:t xml:space="preserve">          </w:t>
      </w:r>
    </w:p>
    <w:p w14:paraId="1CF0EA80">
      <w:pPr>
        <w:spacing w:before="25" w:after="25" w:line="360" w:lineRule="auto"/>
        <w:rPr>
          <w:color w:val="000000"/>
          <w:sz w:val="24"/>
        </w:rPr>
      </w:pPr>
    </w:p>
    <w:p w14:paraId="64B7F4C6">
      <w:pPr>
        <w:spacing w:before="25" w:after="25" w:line="360" w:lineRule="auto"/>
        <w:rPr>
          <w:color w:val="000000"/>
          <w:sz w:val="24"/>
        </w:rPr>
      </w:pPr>
    </w:p>
    <w:p w14:paraId="45100330">
      <w:pPr>
        <w:spacing w:before="25" w:after="25" w:line="360" w:lineRule="auto"/>
        <w:ind w:firstLine="480"/>
        <w:rPr>
          <w:color w:val="000000"/>
          <w:sz w:val="24"/>
          <w:lang w:val="zh-CN"/>
        </w:rPr>
      </w:pPr>
      <w:r>
        <w:rPr>
          <w:color w:val="000000"/>
          <w:sz w:val="24"/>
        </w:rPr>
        <w:t>投标人名称（加盖公章）</w:t>
      </w:r>
      <w:r>
        <w:rPr>
          <w:color w:val="000000"/>
          <w:sz w:val="24"/>
          <w:lang w:val="zh-CN"/>
        </w:rPr>
        <w:t>：____________</w:t>
      </w:r>
    </w:p>
    <w:p w14:paraId="35FFFBBF">
      <w:pPr>
        <w:spacing w:before="25" w:after="25" w:line="360" w:lineRule="auto"/>
        <w:ind w:firstLine="480"/>
        <w:rPr>
          <w:color w:val="000000"/>
          <w:sz w:val="24"/>
          <w:lang w:val="zh-CN"/>
        </w:rPr>
      </w:pPr>
      <w:r>
        <w:rPr>
          <w:color w:val="000000"/>
          <w:sz w:val="24"/>
          <w:szCs w:val="20"/>
        </w:rPr>
        <w:t xml:space="preserve">日期：_____年______月______日   </w:t>
      </w:r>
    </w:p>
    <w:p w14:paraId="01170EC6">
      <w:pPr>
        <w:widowControl/>
        <w:jc w:val="left"/>
        <w:rPr>
          <w:rFonts w:hint="eastAsia" w:ascii="宋体" w:hAnsi="宋体" w:eastAsia="宋体" w:cs="宋体"/>
          <w:color w:val="000000"/>
          <w:sz w:val="24"/>
          <w:szCs w:val="20"/>
          <w:highlight w:val="none"/>
        </w:rPr>
      </w:pPr>
    </w:p>
    <w:p w14:paraId="19217923">
      <w:pPr>
        <w:widowControl/>
        <w:jc w:val="left"/>
        <w:rPr>
          <w:rFonts w:hint="eastAsia" w:ascii="宋体" w:hAnsi="宋体" w:eastAsia="宋体" w:cs="宋体"/>
          <w:color w:val="000000"/>
          <w:sz w:val="24"/>
          <w:szCs w:val="24"/>
          <w:highlight w:val="none"/>
        </w:rPr>
      </w:pPr>
    </w:p>
    <w:p w14:paraId="51604FFD">
      <w:pPr>
        <w:widowControl/>
        <w:jc w:val="left"/>
        <w:rPr>
          <w:rFonts w:hint="eastAsia" w:ascii="宋体" w:hAnsi="宋体" w:eastAsia="宋体" w:cs="宋体"/>
          <w:color w:val="000000"/>
          <w:sz w:val="24"/>
          <w:szCs w:val="24"/>
          <w:highlight w:val="none"/>
        </w:rPr>
      </w:pPr>
    </w:p>
    <w:bookmarkEnd w:id="812"/>
    <w:bookmarkEnd w:id="813"/>
    <w:bookmarkEnd w:id="814"/>
    <w:bookmarkEnd w:id="815"/>
    <w:bookmarkEnd w:id="816"/>
    <w:bookmarkEnd w:id="817"/>
    <w:bookmarkEnd w:id="818"/>
    <w:bookmarkEnd w:id="819"/>
    <w:bookmarkEnd w:id="820"/>
    <w:bookmarkEnd w:id="821"/>
    <w:bookmarkEnd w:id="822"/>
    <w:bookmarkEnd w:id="823"/>
    <w:bookmarkEnd w:id="824"/>
    <w:p w14:paraId="5AE12CB8">
      <w:pPr>
        <w:spacing w:before="25" w:after="25" w:line="360" w:lineRule="auto"/>
        <w:rPr>
          <w:rFonts w:hint="eastAsia" w:ascii="宋体" w:hAnsi="宋体" w:eastAsia="宋体" w:cs="宋体"/>
          <w:color w:val="000000"/>
          <w:sz w:val="24"/>
          <w:szCs w:val="24"/>
          <w:highlight w:val="none"/>
          <w:lang w:val="en-US" w:eastAsia="zh-CN"/>
        </w:rPr>
      </w:pPr>
      <w:bookmarkStart w:id="860" w:name="_Toc127151562"/>
      <w:bookmarkStart w:id="861" w:name="_Toc305158903"/>
      <w:bookmarkStart w:id="862" w:name="_Toc150480798"/>
      <w:bookmarkStart w:id="863" w:name="_Toc127151561"/>
      <w:bookmarkStart w:id="864" w:name="_Toc305158830"/>
      <w:bookmarkStart w:id="865" w:name="_Toc226337258"/>
      <w:bookmarkStart w:id="866" w:name="_Toc264969251"/>
      <w:bookmarkStart w:id="867" w:name="_Toc305158829"/>
      <w:bookmarkStart w:id="868" w:name="_Toc142311061"/>
      <w:bookmarkStart w:id="869" w:name="_Toc226309805"/>
      <w:bookmarkStart w:id="870" w:name="_Toc226965834"/>
      <w:bookmarkStart w:id="871" w:name="_Toc265228399"/>
      <w:bookmarkStart w:id="872" w:name="_Toc150774765"/>
      <w:bookmarkStart w:id="873" w:name="_Toc150480797"/>
      <w:bookmarkStart w:id="874" w:name="_Toc305158904"/>
      <w:bookmarkStart w:id="875" w:name="_Toc226337257"/>
      <w:bookmarkStart w:id="876" w:name="_Toc195842926"/>
      <w:bookmarkStart w:id="877" w:name="_Toc150774764"/>
      <w:bookmarkStart w:id="878" w:name="_Toc226965751"/>
      <w:bookmarkStart w:id="879" w:name="_Toc142311062"/>
      <w:bookmarkStart w:id="880" w:name="_Toc265228400"/>
      <w:bookmarkStart w:id="881" w:name="_Toc264969252"/>
      <w:bookmarkStart w:id="882" w:name="_Toc226965752"/>
      <w:bookmarkStart w:id="883" w:name="_Toc195842927"/>
      <w:bookmarkStart w:id="884" w:name="_Toc226309806"/>
      <w:bookmarkStart w:id="885" w:name="_Toc226965835"/>
    </w:p>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p w14:paraId="26C601D3">
      <w:pPr>
        <w:rPr>
          <w:rFonts w:hint="eastAsia"/>
          <w:lang w:val="en-US" w:eastAsia="zh-CN"/>
        </w:rPr>
      </w:pPr>
    </w:p>
    <w:p w14:paraId="2172BAB4">
      <w:pPr>
        <w:spacing w:line="360" w:lineRule="auto"/>
        <w:outlineLvl w:val="2"/>
        <w:rPr>
          <w:color w:val="000000"/>
          <w:sz w:val="24"/>
          <w:szCs w:val="20"/>
        </w:rPr>
      </w:pPr>
      <w:r>
        <w:rPr>
          <w:rFonts w:hint="eastAsia"/>
          <w:color w:val="000000"/>
          <w:sz w:val="24"/>
          <w:szCs w:val="20"/>
        </w:rPr>
        <w:t>6</w:t>
      </w:r>
      <w:r>
        <w:rPr>
          <w:color w:val="000000"/>
          <w:sz w:val="24"/>
          <w:szCs w:val="20"/>
        </w:rPr>
        <w:t xml:space="preserve">  合同条款偏离表（实质性格式）</w:t>
      </w:r>
    </w:p>
    <w:p w14:paraId="44428C3C">
      <w:pPr>
        <w:spacing w:line="360" w:lineRule="auto"/>
        <w:rPr>
          <w:color w:val="000000"/>
          <w:sz w:val="24"/>
          <w:szCs w:val="20"/>
        </w:rPr>
      </w:pPr>
    </w:p>
    <w:p w14:paraId="2127D53F">
      <w:pPr>
        <w:tabs>
          <w:tab w:val="left" w:pos="2775"/>
          <w:tab w:val="center" w:pos="4153"/>
        </w:tabs>
        <w:spacing w:line="360" w:lineRule="auto"/>
        <w:jc w:val="center"/>
        <w:rPr>
          <w:b/>
          <w:color w:val="000000"/>
          <w:sz w:val="36"/>
          <w:szCs w:val="36"/>
        </w:rPr>
      </w:pPr>
      <w:r>
        <w:rPr>
          <w:rFonts w:hint="eastAsia"/>
          <w:b/>
          <w:color w:val="000000"/>
          <w:sz w:val="36"/>
          <w:szCs w:val="36"/>
        </w:rPr>
        <w:t>合同条款偏离表</w:t>
      </w:r>
    </w:p>
    <w:p w14:paraId="62F9B4B9">
      <w:pPr>
        <w:spacing w:line="360" w:lineRule="auto"/>
        <w:rPr>
          <w:color w:val="000000"/>
          <w:sz w:val="24"/>
          <w:szCs w:val="20"/>
        </w:rPr>
      </w:pPr>
    </w:p>
    <w:p w14:paraId="712854D6">
      <w:pPr>
        <w:tabs>
          <w:tab w:val="left" w:pos="1800"/>
          <w:tab w:val="left" w:pos="5580"/>
        </w:tabs>
        <w:spacing w:line="360" w:lineRule="auto"/>
        <w:ind w:firstLine="360"/>
        <w:jc w:val="left"/>
        <w:rPr>
          <w:color w:val="000000"/>
          <w:sz w:val="24"/>
        </w:rPr>
      </w:pPr>
      <w:r>
        <w:rPr>
          <w:color w:val="000000"/>
          <w:sz w:val="24"/>
        </w:rPr>
        <w:t>项目编号/包号：_____________________     项目名称：_____________</w:t>
      </w:r>
    </w:p>
    <w:tbl>
      <w:tblPr>
        <w:tblStyle w:val="2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32"/>
        <w:gridCol w:w="1290"/>
        <w:gridCol w:w="1980"/>
        <w:gridCol w:w="1981"/>
        <w:gridCol w:w="2423"/>
        <w:gridCol w:w="782"/>
      </w:tblGrid>
      <w:tr w14:paraId="431F4B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30" w:hRule="atLeast"/>
          <w:jc w:val="center"/>
        </w:trPr>
        <w:tc>
          <w:tcPr>
            <w:tcW w:w="9288" w:type="dxa"/>
            <w:gridSpan w:val="6"/>
            <w:noWrap w:val="0"/>
            <w:vAlign w:val="center"/>
          </w:tcPr>
          <w:p w14:paraId="244B0E94">
            <w:pPr>
              <w:jc w:val="left"/>
              <w:rPr>
                <w:b/>
                <w:color w:val="000000"/>
                <w:sz w:val="24"/>
              </w:rPr>
            </w:pPr>
            <w:r>
              <w:rPr>
                <w:b/>
                <w:color w:val="000000"/>
                <w:sz w:val="24"/>
              </w:rPr>
              <w:t>对本</w:t>
            </w:r>
            <w:r>
              <w:rPr>
                <w:rFonts w:hint="eastAsia"/>
                <w:b/>
                <w:color w:val="000000"/>
                <w:sz w:val="24"/>
              </w:rPr>
              <w:t>项目</w:t>
            </w:r>
            <w:r>
              <w:rPr>
                <w:b/>
                <w:color w:val="000000"/>
                <w:sz w:val="24"/>
              </w:rPr>
              <w:t>合同条款的偏离情况（请进行勾选）：</w:t>
            </w:r>
          </w:p>
          <w:p w14:paraId="5A3DFF12">
            <w:pPr>
              <w:jc w:val="left"/>
              <w:rPr>
                <w:b/>
                <w:color w:val="000000"/>
                <w:sz w:val="24"/>
              </w:rPr>
            </w:pPr>
            <w:r>
              <w:rPr>
                <w:b/>
                <w:color w:val="000000"/>
                <w:sz w:val="24"/>
              </w:rPr>
              <w:t>□无偏离</w:t>
            </w:r>
            <w:r>
              <w:rPr>
                <w:color w:val="000000"/>
                <w:sz w:val="24"/>
              </w:rPr>
              <w:t>（</w:t>
            </w:r>
            <w:r>
              <w:rPr>
                <w:color w:val="000000"/>
                <w:sz w:val="24"/>
                <w:szCs w:val="21"/>
              </w:rPr>
              <w:t>如无偏离，仅勾选无偏离即可</w:t>
            </w:r>
            <w:r>
              <w:rPr>
                <w:color w:val="000000"/>
                <w:sz w:val="24"/>
              </w:rPr>
              <w:t>）</w:t>
            </w:r>
          </w:p>
          <w:p w14:paraId="2E770623">
            <w:pPr>
              <w:jc w:val="left"/>
              <w:rPr>
                <w:color w:val="000000"/>
                <w:sz w:val="24"/>
              </w:rPr>
            </w:pPr>
            <w:r>
              <w:rPr>
                <w:b/>
                <w:color w:val="000000"/>
                <w:sz w:val="24"/>
              </w:rPr>
              <w:t>□有偏离</w:t>
            </w:r>
            <w:r>
              <w:rPr>
                <w:color w:val="000000"/>
                <w:sz w:val="24"/>
              </w:rPr>
              <w:t>（</w:t>
            </w:r>
            <w:r>
              <w:rPr>
                <w:color w:val="000000"/>
                <w:sz w:val="24"/>
                <w:szCs w:val="21"/>
              </w:rPr>
              <w:t>如有偏离，</w:t>
            </w:r>
            <w:r>
              <w:rPr>
                <w:color w:val="000000"/>
                <w:sz w:val="24"/>
              </w:rPr>
              <w:t>则</w:t>
            </w:r>
            <w:r>
              <w:rPr>
                <w:rFonts w:hint="eastAsia"/>
                <w:color w:val="000000"/>
                <w:sz w:val="24"/>
              </w:rPr>
              <w:t>应</w:t>
            </w:r>
            <w:r>
              <w:rPr>
                <w:color w:val="000000"/>
                <w:sz w:val="24"/>
              </w:rPr>
              <w:t>在本表中对偏离项逐一列明）</w:t>
            </w:r>
          </w:p>
        </w:tc>
      </w:tr>
      <w:tr w14:paraId="1881BB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716BBB92">
            <w:pPr>
              <w:jc w:val="center"/>
              <w:rPr>
                <w:color w:val="000000"/>
                <w:sz w:val="24"/>
              </w:rPr>
            </w:pPr>
            <w:r>
              <w:rPr>
                <w:color w:val="000000"/>
                <w:sz w:val="24"/>
              </w:rPr>
              <w:t>序号</w:t>
            </w:r>
          </w:p>
        </w:tc>
        <w:tc>
          <w:tcPr>
            <w:tcW w:w="1301" w:type="dxa"/>
            <w:noWrap w:val="0"/>
            <w:vAlign w:val="center"/>
          </w:tcPr>
          <w:p w14:paraId="47AB5C9A">
            <w:pPr>
              <w:jc w:val="center"/>
              <w:rPr>
                <w:color w:val="000000"/>
                <w:sz w:val="24"/>
              </w:rPr>
            </w:pPr>
            <w:r>
              <w:rPr>
                <w:color w:val="000000"/>
                <w:sz w:val="24"/>
                <w:szCs w:val="21"/>
              </w:rPr>
              <w:t>招标文件</w:t>
            </w:r>
            <w:r>
              <w:rPr>
                <w:color w:val="000000"/>
                <w:sz w:val="24"/>
              </w:rPr>
              <w:t>条目号（页码）</w:t>
            </w:r>
          </w:p>
        </w:tc>
        <w:tc>
          <w:tcPr>
            <w:tcW w:w="2007" w:type="dxa"/>
            <w:noWrap w:val="0"/>
            <w:vAlign w:val="center"/>
          </w:tcPr>
          <w:p w14:paraId="5535CF75">
            <w:pPr>
              <w:jc w:val="center"/>
              <w:rPr>
                <w:color w:val="000000"/>
                <w:sz w:val="24"/>
              </w:rPr>
            </w:pPr>
            <w:r>
              <w:rPr>
                <w:color w:val="000000"/>
                <w:sz w:val="24"/>
                <w:szCs w:val="21"/>
              </w:rPr>
              <w:t>招标文件</w:t>
            </w:r>
            <w:r>
              <w:rPr>
                <w:color w:val="000000"/>
                <w:sz w:val="24"/>
              </w:rPr>
              <w:t>要求</w:t>
            </w:r>
          </w:p>
        </w:tc>
        <w:tc>
          <w:tcPr>
            <w:tcW w:w="2008" w:type="dxa"/>
            <w:noWrap w:val="0"/>
            <w:vAlign w:val="center"/>
          </w:tcPr>
          <w:p w14:paraId="731F7B14">
            <w:pPr>
              <w:jc w:val="center"/>
              <w:rPr>
                <w:color w:val="000000"/>
                <w:sz w:val="24"/>
              </w:rPr>
            </w:pPr>
            <w:r>
              <w:rPr>
                <w:color w:val="000000"/>
                <w:sz w:val="24"/>
              </w:rPr>
              <w:t>投标文件内容</w:t>
            </w:r>
          </w:p>
        </w:tc>
        <w:tc>
          <w:tcPr>
            <w:tcW w:w="2458" w:type="dxa"/>
            <w:noWrap w:val="0"/>
            <w:vAlign w:val="center"/>
          </w:tcPr>
          <w:p w14:paraId="2D0EB647">
            <w:pPr>
              <w:jc w:val="center"/>
              <w:rPr>
                <w:color w:val="000000"/>
                <w:sz w:val="24"/>
              </w:rPr>
            </w:pPr>
            <w:r>
              <w:rPr>
                <w:color w:val="000000"/>
                <w:sz w:val="24"/>
              </w:rPr>
              <w:t>偏离情况</w:t>
            </w:r>
          </w:p>
        </w:tc>
        <w:tc>
          <w:tcPr>
            <w:tcW w:w="788" w:type="dxa"/>
            <w:noWrap w:val="0"/>
            <w:vAlign w:val="center"/>
          </w:tcPr>
          <w:p w14:paraId="116ADA15">
            <w:pPr>
              <w:jc w:val="center"/>
              <w:rPr>
                <w:color w:val="000000"/>
                <w:sz w:val="24"/>
              </w:rPr>
            </w:pPr>
            <w:r>
              <w:rPr>
                <w:color w:val="000000"/>
                <w:sz w:val="24"/>
              </w:rPr>
              <w:t>说明</w:t>
            </w:r>
          </w:p>
        </w:tc>
      </w:tr>
      <w:tr w14:paraId="61CAD5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0775166C">
            <w:pPr>
              <w:jc w:val="center"/>
              <w:rPr>
                <w:color w:val="000000"/>
                <w:sz w:val="24"/>
              </w:rPr>
            </w:pPr>
          </w:p>
        </w:tc>
        <w:tc>
          <w:tcPr>
            <w:tcW w:w="1301" w:type="dxa"/>
            <w:noWrap w:val="0"/>
            <w:vAlign w:val="center"/>
          </w:tcPr>
          <w:p w14:paraId="5AFAF826">
            <w:pPr>
              <w:jc w:val="center"/>
              <w:rPr>
                <w:color w:val="000000"/>
                <w:sz w:val="24"/>
              </w:rPr>
            </w:pPr>
          </w:p>
        </w:tc>
        <w:tc>
          <w:tcPr>
            <w:tcW w:w="2007" w:type="dxa"/>
            <w:noWrap w:val="0"/>
            <w:vAlign w:val="center"/>
          </w:tcPr>
          <w:p w14:paraId="34C50081">
            <w:pPr>
              <w:jc w:val="center"/>
              <w:rPr>
                <w:color w:val="000000"/>
                <w:sz w:val="24"/>
              </w:rPr>
            </w:pPr>
          </w:p>
        </w:tc>
        <w:tc>
          <w:tcPr>
            <w:tcW w:w="2008" w:type="dxa"/>
            <w:noWrap w:val="0"/>
            <w:vAlign w:val="center"/>
          </w:tcPr>
          <w:p w14:paraId="676B8F01">
            <w:pPr>
              <w:jc w:val="center"/>
              <w:rPr>
                <w:color w:val="000000"/>
                <w:sz w:val="24"/>
              </w:rPr>
            </w:pPr>
          </w:p>
        </w:tc>
        <w:tc>
          <w:tcPr>
            <w:tcW w:w="2458" w:type="dxa"/>
            <w:noWrap w:val="0"/>
            <w:vAlign w:val="center"/>
          </w:tcPr>
          <w:p w14:paraId="6B25E1F2">
            <w:pPr>
              <w:jc w:val="center"/>
              <w:rPr>
                <w:color w:val="000000"/>
                <w:sz w:val="24"/>
              </w:rPr>
            </w:pPr>
          </w:p>
        </w:tc>
        <w:tc>
          <w:tcPr>
            <w:tcW w:w="788" w:type="dxa"/>
            <w:noWrap w:val="0"/>
            <w:vAlign w:val="center"/>
          </w:tcPr>
          <w:p w14:paraId="4DFCC7BD">
            <w:pPr>
              <w:jc w:val="center"/>
              <w:rPr>
                <w:color w:val="000000"/>
                <w:sz w:val="24"/>
              </w:rPr>
            </w:pPr>
          </w:p>
        </w:tc>
      </w:tr>
      <w:tr w14:paraId="391DD1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740C47BE">
            <w:pPr>
              <w:jc w:val="center"/>
              <w:rPr>
                <w:color w:val="000000"/>
                <w:sz w:val="24"/>
              </w:rPr>
            </w:pPr>
          </w:p>
        </w:tc>
        <w:tc>
          <w:tcPr>
            <w:tcW w:w="1301" w:type="dxa"/>
            <w:noWrap w:val="0"/>
            <w:vAlign w:val="center"/>
          </w:tcPr>
          <w:p w14:paraId="4E66EA02">
            <w:pPr>
              <w:jc w:val="center"/>
              <w:rPr>
                <w:color w:val="000000"/>
                <w:sz w:val="24"/>
              </w:rPr>
            </w:pPr>
          </w:p>
        </w:tc>
        <w:tc>
          <w:tcPr>
            <w:tcW w:w="2007" w:type="dxa"/>
            <w:noWrap w:val="0"/>
            <w:vAlign w:val="center"/>
          </w:tcPr>
          <w:p w14:paraId="41E97041">
            <w:pPr>
              <w:jc w:val="center"/>
              <w:rPr>
                <w:color w:val="000000"/>
                <w:sz w:val="24"/>
              </w:rPr>
            </w:pPr>
          </w:p>
        </w:tc>
        <w:tc>
          <w:tcPr>
            <w:tcW w:w="2008" w:type="dxa"/>
            <w:noWrap w:val="0"/>
            <w:vAlign w:val="center"/>
          </w:tcPr>
          <w:p w14:paraId="7066D335">
            <w:pPr>
              <w:jc w:val="center"/>
              <w:rPr>
                <w:color w:val="000000"/>
                <w:sz w:val="24"/>
              </w:rPr>
            </w:pPr>
          </w:p>
        </w:tc>
        <w:tc>
          <w:tcPr>
            <w:tcW w:w="2458" w:type="dxa"/>
            <w:noWrap w:val="0"/>
            <w:vAlign w:val="center"/>
          </w:tcPr>
          <w:p w14:paraId="625C4F74">
            <w:pPr>
              <w:jc w:val="center"/>
              <w:rPr>
                <w:color w:val="000000"/>
                <w:sz w:val="24"/>
              </w:rPr>
            </w:pPr>
          </w:p>
        </w:tc>
        <w:tc>
          <w:tcPr>
            <w:tcW w:w="788" w:type="dxa"/>
            <w:noWrap w:val="0"/>
            <w:vAlign w:val="center"/>
          </w:tcPr>
          <w:p w14:paraId="56A94ED2">
            <w:pPr>
              <w:jc w:val="center"/>
              <w:rPr>
                <w:color w:val="000000"/>
                <w:sz w:val="24"/>
              </w:rPr>
            </w:pPr>
          </w:p>
        </w:tc>
      </w:tr>
      <w:tr w14:paraId="3BBC1B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2AF2732B">
            <w:pPr>
              <w:jc w:val="center"/>
              <w:rPr>
                <w:color w:val="000000"/>
                <w:sz w:val="24"/>
              </w:rPr>
            </w:pPr>
          </w:p>
        </w:tc>
        <w:tc>
          <w:tcPr>
            <w:tcW w:w="1301" w:type="dxa"/>
            <w:noWrap w:val="0"/>
            <w:vAlign w:val="center"/>
          </w:tcPr>
          <w:p w14:paraId="29F33E7E">
            <w:pPr>
              <w:jc w:val="center"/>
              <w:rPr>
                <w:color w:val="000000"/>
                <w:sz w:val="24"/>
              </w:rPr>
            </w:pPr>
          </w:p>
        </w:tc>
        <w:tc>
          <w:tcPr>
            <w:tcW w:w="2007" w:type="dxa"/>
            <w:noWrap w:val="0"/>
            <w:vAlign w:val="center"/>
          </w:tcPr>
          <w:p w14:paraId="32FDE807">
            <w:pPr>
              <w:jc w:val="center"/>
              <w:rPr>
                <w:color w:val="000000"/>
                <w:sz w:val="24"/>
              </w:rPr>
            </w:pPr>
          </w:p>
        </w:tc>
        <w:tc>
          <w:tcPr>
            <w:tcW w:w="2008" w:type="dxa"/>
            <w:noWrap w:val="0"/>
            <w:vAlign w:val="center"/>
          </w:tcPr>
          <w:p w14:paraId="1493F271">
            <w:pPr>
              <w:jc w:val="center"/>
              <w:rPr>
                <w:color w:val="000000"/>
                <w:sz w:val="24"/>
              </w:rPr>
            </w:pPr>
          </w:p>
        </w:tc>
        <w:tc>
          <w:tcPr>
            <w:tcW w:w="2458" w:type="dxa"/>
            <w:noWrap w:val="0"/>
            <w:vAlign w:val="center"/>
          </w:tcPr>
          <w:p w14:paraId="5AF7DBE2">
            <w:pPr>
              <w:jc w:val="center"/>
              <w:rPr>
                <w:color w:val="000000"/>
                <w:sz w:val="24"/>
              </w:rPr>
            </w:pPr>
          </w:p>
        </w:tc>
        <w:tc>
          <w:tcPr>
            <w:tcW w:w="788" w:type="dxa"/>
            <w:noWrap w:val="0"/>
            <w:vAlign w:val="center"/>
          </w:tcPr>
          <w:p w14:paraId="79E3875C">
            <w:pPr>
              <w:jc w:val="center"/>
              <w:rPr>
                <w:color w:val="000000"/>
                <w:sz w:val="24"/>
              </w:rPr>
            </w:pPr>
          </w:p>
        </w:tc>
      </w:tr>
      <w:tr w14:paraId="30C3EC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5DCB3CD6">
            <w:pPr>
              <w:jc w:val="center"/>
              <w:rPr>
                <w:color w:val="000000"/>
                <w:sz w:val="24"/>
              </w:rPr>
            </w:pPr>
            <w:r>
              <w:rPr>
                <w:color w:val="000000"/>
                <w:sz w:val="24"/>
              </w:rPr>
              <w:t>……</w:t>
            </w:r>
          </w:p>
        </w:tc>
        <w:tc>
          <w:tcPr>
            <w:tcW w:w="1301" w:type="dxa"/>
            <w:noWrap w:val="0"/>
            <w:vAlign w:val="center"/>
          </w:tcPr>
          <w:p w14:paraId="0002F029">
            <w:pPr>
              <w:jc w:val="center"/>
              <w:rPr>
                <w:color w:val="000000"/>
                <w:sz w:val="24"/>
              </w:rPr>
            </w:pPr>
          </w:p>
        </w:tc>
        <w:tc>
          <w:tcPr>
            <w:tcW w:w="2007" w:type="dxa"/>
            <w:noWrap w:val="0"/>
            <w:vAlign w:val="center"/>
          </w:tcPr>
          <w:p w14:paraId="768EDBA7">
            <w:pPr>
              <w:jc w:val="center"/>
              <w:rPr>
                <w:color w:val="000000"/>
                <w:sz w:val="24"/>
              </w:rPr>
            </w:pPr>
          </w:p>
        </w:tc>
        <w:tc>
          <w:tcPr>
            <w:tcW w:w="2008" w:type="dxa"/>
            <w:noWrap w:val="0"/>
            <w:vAlign w:val="center"/>
          </w:tcPr>
          <w:p w14:paraId="4982A151">
            <w:pPr>
              <w:jc w:val="center"/>
              <w:rPr>
                <w:color w:val="000000"/>
                <w:sz w:val="24"/>
              </w:rPr>
            </w:pPr>
          </w:p>
        </w:tc>
        <w:tc>
          <w:tcPr>
            <w:tcW w:w="2458" w:type="dxa"/>
            <w:noWrap w:val="0"/>
            <w:vAlign w:val="center"/>
          </w:tcPr>
          <w:p w14:paraId="2EB85CFE">
            <w:pPr>
              <w:jc w:val="center"/>
              <w:rPr>
                <w:color w:val="000000"/>
                <w:sz w:val="24"/>
              </w:rPr>
            </w:pPr>
          </w:p>
        </w:tc>
        <w:tc>
          <w:tcPr>
            <w:tcW w:w="788" w:type="dxa"/>
            <w:noWrap w:val="0"/>
            <w:vAlign w:val="center"/>
          </w:tcPr>
          <w:p w14:paraId="475DFBD6">
            <w:pPr>
              <w:jc w:val="center"/>
              <w:rPr>
                <w:color w:val="000000"/>
                <w:sz w:val="24"/>
              </w:rPr>
            </w:pPr>
          </w:p>
        </w:tc>
      </w:tr>
    </w:tbl>
    <w:p w14:paraId="426F61D9">
      <w:pPr>
        <w:tabs>
          <w:tab w:val="left" w:pos="1800"/>
          <w:tab w:val="left" w:pos="5580"/>
        </w:tabs>
        <w:jc w:val="left"/>
        <w:rPr>
          <w:color w:val="000000"/>
          <w:sz w:val="24"/>
        </w:rPr>
      </w:pPr>
    </w:p>
    <w:p w14:paraId="11C3A099">
      <w:pPr>
        <w:tabs>
          <w:tab w:val="left" w:pos="1800"/>
          <w:tab w:val="left" w:pos="5580"/>
        </w:tabs>
        <w:jc w:val="left"/>
        <w:rPr>
          <w:color w:val="000000"/>
          <w:sz w:val="24"/>
        </w:rPr>
      </w:pPr>
      <w:r>
        <w:rPr>
          <w:color w:val="000000"/>
          <w:sz w:val="24"/>
        </w:rPr>
        <w:t>注：</w:t>
      </w:r>
    </w:p>
    <w:p w14:paraId="726F95F5">
      <w:pPr>
        <w:tabs>
          <w:tab w:val="left" w:pos="1800"/>
          <w:tab w:val="left" w:pos="5580"/>
        </w:tabs>
        <w:jc w:val="left"/>
        <w:rPr>
          <w:sz w:val="24"/>
        </w:rPr>
      </w:pPr>
      <w:r>
        <w:rPr>
          <w:rFonts w:hint="eastAsia"/>
          <w:color w:val="000000"/>
          <w:sz w:val="24"/>
        </w:rPr>
        <w:t>1</w:t>
      </w:r>
      <w:r>
        <w:rPr>
          <w:color w:val="000000"/>
          <w:sz w:val="24"/>
        </w:rPr>
        <w:t xml:space="preserve">. </w:t>
      </w:r>
      <w:r>
        <w:rPr>
          <w:sz w:val="24"/>
        </w:rPr>
        <w:t>对合同条款中的所有要求，除本表所列明的所有偏离外，均视作供应商已对之理解和</w:t>
      </w:r>
      <w:r>
        <w:rPr>
          <w:rFonts w:hint="eastAsia"/>
          <w:sz w:val="24"/>
        </w:rPr>
        <w:t>响应</w:t>
      </w:r>
      <w:r>
        <w:rPr>
          <w:sz w:val="24"/>
        </w:rPr>
        <w:t>。</w:t>
      </w:r>
    </w:p>
    <w:p w14:paraId="24666287">
      <w:pPr>
        <w:tabs>
          <w:tab w:val="left" w:pos="1800"/>
          <w:tab w:val="left" w:pos="5580"/>
        </w:tabs>
        <w:jc w:val="left"/>
        <w:rPr>
          <w:color w:val="000000"/>
          <w:sz w:val="24"/>
        </w:rPr>
      </w:pPr>
      <w:r>
        <w:rPr>
          <w:rFonts w:hint="eastAsia"/>
          <w:sz w:val="24"/>
        </w:rPr>
        <w:t>2</w:t>
      </w:r>
      <w:r>
        <w:rPr>
          <w:sz w:val="24"/>
        </w:rPr>
        <w:t xml:space="preserve">. </w:t>
      </w:r>
      <w:r>
        <w:rPr>
          <w:rFonts w:hint="eastAsia"/>
          <w:sz w:val="24"/>
        </w:rPr>
        <w:t>“偏离情况”列应</w:t>
      </w:r>
      <w:r>
        <w:rPr>
          <w:color w:val="000000"/>
          <w:sz w:val="24"/>
        </w:rPr>
        <w:t>据实</w:t>
      </w:r>
      <w:r>
        <w:rPr>
          <w:rFonts w:hint="eastAsia"/>
          <w:sz w:val="24"/>
        </w:rPr>
        <w:t>填写“正偏离”或“负偏离”。</w:t>
      </w:r>
    </w:p>
    <w:p w14:paraId="5AEE58CB">
      <w:pPr>
        <w:spacing w:line="360" w:lineRule="auto"/>
        <w:rPr>
          <w:color w:val="000000"/>
          <w:sz w:val="24"/>
          <w:szCs w:val="20"/>
        </w:rPr>
      </w:pPr>
    </w:p>
    <w:p w14:paraId="35BC5871">
      <w:pPr>
        <w:spacing w:before="25" w:after="25" w:line="360" w:lineRule="auto"/>
        <w:rPr>
          <w:color w:val="000000"/>
          <w:sz w:val="24"/>
          <w:lang w:val="zh-CN"/>
        </w:rPr>
      </w:pPr>
      <w:r>
        <w:rPr>
          <w:color w:val="000000"/>
          <w:sz w:val="24"/>
          <w:lang w:val="zh-CN"/>
        </w:rPr>
        <w:t xml:space="preserve">                      </w:t>
      </w:r>
    </w:p>
    <w:p w14:paraId="6B28D35A">
      <w:pPr>
        <w:spacing w:before="25" w:after="25" w:line="360" w:lineRule="auto"/>
        <w:rPr>
          <w:color w:val="000000"/>
          <w:sz w:val="24"/>
          <w:lang w:val="zh-CN"/>
        </w:rPr>
      </w:pPr>
      <w:r>
        <w:rPr>
          <w:color w:val="000000"/>
          <w:sz w:val="24"/>
        </w:rPr>
        <w:t>投标人名称（加盖公章）</w:t>
      </w:r>
      <w:r>
        <w:rPr>
          <w:color w:val="000000"/>
          <w:sz w:val="24"/>
          <w:lang w:val="zh-CN"/>
        </w:rPr>
        <w:t>：    ____________</w:t>
      </w:r>
    </w:p>
    <w:p w14:paraId="6389EEDE">
      <w:pPr>
        <w:spacing w:before="25" w:after="25" w:line="360" w:lineRule="auto"/>
        <w:rPr>
          <w:color w:val="000000"/>
          <w:sz w:val="24"/>
          <w:lang w:val="zh-CN"/>
        </w:rPr>
      </w:pPr>
      <w:r>
        <w:rPr>
          <w:color w:val="000000"/>
          <w:sz w:val="24"/>
          <w:szCs w:val="20"/>
        </w:rPr>
        <w:t xml:space="preserve">日期：_____年______月______日   </w:t>
      </w:r>
    </w:p>
    <w:p w14:paraId="576E32B1">
      <w:pPr>
        <w:spacing w:before="25" w:after="25" w:line="360" w:lineRule="auto"/>
        <w:rPr>
          <w:rFonts w:hint="eastAsia" w:ascii="宋体" w:hAnsi="宋体" w:eastAsia="宋体" w:cs="宋体"/>
          <w:color w:val="000000"/>
          <w:sz w:val="24"/>
          <w:szCs w:val="24"/>
          <w:highlight w:val="none"/>
          <w:lang w:val="en-US" w:eastAsia="zh-CN"/>
        </w:rPr>
      </w:pPr>
    </w:p>
    <w:p w14:paraId="44CF2BF2">
      <w:pPr>
        <w:spacing w:before="25" w:after="25" w:line="360" w:lineRule="auto"/>
        <w:rPr>
          <w:rFonts w:hint="eastAsia" w:ascii="宋体" w:hAnsi="宋体" w:eastAsia="宋体" w:cs="宋体"/>
          <w:color w:val="000000"/>
          <w:sz w:val="24"/>
          <w:szCs w:val="24"/>
          <w:highlight w:val="none"/>
          <w:lang w:val="en-US" w:eastAsia="zh-CN"/>
        </w:rPr>
      </w:pPr>
    </w:p>
    <w:p w14:paraId="2B28C1A0">
      <w:pPr>
        <w:spacing w:before="25" w:after="25" w:line="360" w:lineRule="auto"/>
        <w:rPr>
          <w:rFonts w:hint="eastAsia" w:ascii="宋体" w:hAnsi="宋体" w:eastAsia="宋体" w:cs="宋体"/>
          <w:color w:val="000000"/>
          <w:sz w:val="24"/>
          <w:szCs w:val="24"/>
          <w:highlight w:val="none"/>
          <w:lang w:val="en-US" w:eastAsia="zh-CN"/>
        </w:rPr>
      </w:pPr>
    </w:p>
    <w:p w14:paraId="3522A0F7">
      <w:pPr>
        <w:spacing w:before="25" w:after="25" w:line="360" w:lineRule="auto"/>
        <w:rPr>
          <w:rFonts w:hint="eastAsia" w:ascii="宋体" w:hAnsi="宋体" w:eastAsia="宋体" w:cs="宋体"/>
          <w:color w:val="000000"/>
          <w:sz w:val="24"/>
          <w:szCs w:val="24"/>
          <w:highlight w:val="none"/>
          <w:lang w:val="en-US" w:eastAsia="zh-CN"/>
        </w:rPr>
      </w:pPr>
    </w:p>
    <w:p w14:paraId="18AC8B5F">
      <w:pPr>
        <w:spacing w:before="25" w:after="25" w:line="360" w:lineRule="auto"/>
        <w:rPr>
          <w:rFonts w:hint="eastAsia" w:ascii="宋体" w:hAnsi="宋体" w:eastAsia="宋体" w:cs="宋体"/>
          <w:color w:val="000000"/>
          <w:sz w:val="24"/>
          <w:szCs w:val="24"/>
          <w:highlight w:val="none"/>
          <w:lang w:val="en-US" w:eastAsia="zh-CN"/>
        </w:rPr>
      </w:pPr>
    </w:p>
    <w:p w14:paraId="62E68DAB">
      <w:pPr>
        <w:spacing w:line="360" w:lineRule="auto"/>
        <w:outlineLvl w:val="2"/>
        <w:rPr>
          <w:color w:val="000000"/>
          <w:sz w:val="24"/>
          <w:szCs w:val="20"/>
        </w:rPr>
      </w:pPr>
      <w:r>
        <w:rPr>
          <w:rFonts w:hint="eastAsia"/>
          <w:color w:val="000000"/>
          <w:sz w:val="24"/>
          <w:szCs w:val="20"/>
        </w:rPr>
        <w:t>7</w:t>
      </w:r>
      <w:r>
        <w:rPr>
          <w:color w:val="000000"/>
          <w:sz w:val="24"/>
          <w:szCs w:val="20"/>
        </w:rPr>
        <w:t xml:space="preserve">  采购需求偏离表（实质性格式）</w:t>
      </w:r>
    </w:p>
    <w:p w14:paraId="58D6976A">
      <w:pPr>
        <w:spacing w:line="360" w:lineRule="auto"/>
        <w:jc w:val="center"/>
        <w:rPr>
          <w:rFonts w:hint="eastAsia"/>
          <w:b/>
          <w:color w:val="000000"/>
          <w:sz w:val="36"/>
          <w:szCs w:val="36"/>
        </w:rPr>
      </w:pPr>
    </w:p>
    <w:p w14:paraId="25414839">
      <w:pPr>
        <w:spacing w:line="360" w:lineRule="auto"/>
        <w:jc w:val="center"/>
        <w:rPr>
          <w:b/>
          <w:color w:val="000000"/>
          <w:sz w:val="36"/>
          <w:szCs w:val="36"/>
        </w:rPr>
      </w:pPr>
      <w:r>
        <w:rPr>
          <w:rFonts w:hint="eastAsia"/>
          <w:b/>
          <w:color w:val="000000"/>
          <w:sz w:val="36"/>
          <w:szCs w:val="36"/>
        </w:rPr>
        <w:t>采购需求偏离表</w:t>
      </w:r>
    </w:p>
    <w:p w14:paraId="068001F8">
      <w:pPr>
        <w:tabs>
          <w:tab w:val="left" w:pos="1800"/>
          <w:tab w:val="left" w:pos="5580"/>
        </w:tabs>
        <w:spacing w:line="360" w:lineRule="auto"/>
        <w:jc w:val="left"/>
        <w:rPr>
          <w:color w:val="000000"/>
          <w:sz w:val="24"/>
          <w:u w:val="single"/>
        </w:rPr>
      </w:pPr>
      <w:r>
        <w:rPr>
          <w:color w:val="000000"/>
          <w:sz w:val="24"/>
        </w:rPr>
        <w:t>项目编号/包号：_____________________     项目名称：____________</w:t>
      </w:r>
    </w:p>
    <w:tbl>
      <w:tblPr>
        <w:tblStyle w:val="28"/>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65ED04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3" w:hRule="atLeast"/>
          <w:jc w:val="center"/>
        </w:trPr>
        <w:tc>
          <w:tcPr>
            <w:tcW w:w="775" w:type="dxa"/>
            <w:noWrap w:val="0"/>
            <w:vAlign w:val="center"/>
          </w:tcPr>
          <w:p w14:paraId="15A6D113">
            <w:pPr>
              <w:jc w:val="center"/>
              <w:rPr>
                <w:color w:val="000000"/>
                <w:sz w:val="24"/>
              </w:rPr>
            </w:pPr>
            <w:r>
              <w:rPr>
                <w:color w:val="000000"/>
                <w:sz w:val="24"/>
              </w:rPr>
              <w:t>序号</w:t>
            </w:r>
          </w:p>
        </w:tc>
        <w:tc>
          <w:tcPr>
            <w:tcW w:w="1482" w:type="dxa"/>
            <w:noWrap w:val="0"/>
            <w:vAlign w:val="center"/>
          </w:tcPr>
          <w:p w14:paraId="3CA37568">
            <w:pPr>
              <w:jc w:val="center"/>
              <w:rPr>
                <w:color w:val="000000"/>
                <w:sz w:val="24"/>
              </w:rPr>
            </w:pPr>
            <w:r>
              <w:rPr>
                <w:color w:val="000000"/>
                <w:sz w:val="24"/>
              </w:rPr>
              <w:t>招标文件条目号(页码)</w:t>
            </w:r>
          </w:p>
        </w:tc>
        <w:tc>
          <w:tcPr>
            <w:tcW w:w="2384" w:type="dxa"/>
            <w:noWrap w:val="0"/>
            <w:vAlign w:val="center"/>
          </w:tcPr>
          <w:p w14:paraId="4EFDD84C">
            <w:pPr>
              <w:jc w:val="center"/>
              <w:rPr>
                <w:color w:val="000000"/>
                <w:sz w:val="24"/>
              </w:rPr>
            </w:pPr>
            <w:r>
              <w:rPr>
                <w:color w:val="000000"/>
                <w:sz w:val="24"/>
              </w:rPr>
              <w:t>招标文件要求</w:t>
            </w:r>
          </w:p>
        </w:tc>
        <w:tc>
          <w:tcPr>
            <w:tcW w:w="2126" w:type="dxa"/>
            <w:noWrap w:val="0"/>
            <w:vAlign w:val="center"/>
          </w:tcPr>
          <w:p w14:paraId="63FDA211">
            <w:pPr>
              <w:jc w:val="center"/>
              <w:rPr>
                <w:color w:val="000000"/>
                <w:sz w:val="24"/>
              </w:rPr>
            </w:pPr>
            <w:r>
              <w:rPr>
                <w:color w:val="000000"/>
                <w:sz w:val="24"/>
              </w:rPr>
              <w:t>投标响应内容</w:t>
            </w:r>
          </w:p>
        </w:tc>
        <w:tc>
          <w:tcPr>
            <w:tcW w:w="1875" w:type="dxa"/>
            <w:noWrap w:val="0"/>
            <w:vAlign w:val="center"/>
          </w:tcPr>
          <w:p w14:paraId="0A7F71FE">
            <w:pPr>
              <w:jc w:val="center"/>
              <w:rPr>
                <w:color w:val="000000"/>
                <w:sz w:val="24"/>
              </w:rPr>
            </w:pPr>
            <w:r>
              <w:rPr>
                <w:color w:val="000000"/>
                <w:sz w:val="24"/>
              </w:rPr>
              <w:t>偏离情况</w:t>
            </w:r>
          </w:p>
        </w:tc>
        <w:tc>
          <w:tcPr>
            <w:tcW w:w="1009" w:type="dxa"/>
            <w:noWrap w:val="0"/>
            <w:vAlign w:val="center"/>
          </w:tcPr>
          <w:p w14:paraId="11786180">
            <w:pPr>
              <w:jc w:val="center"/>
              <w:rPr>
                <w:color w:val="000000"/>
                <w:sz w:val="24"/>
              </w:rPr>
            </w:pPr>
            <w:r>
              <w:rPr>
                <w:color w:val="000000"/>
                <w:sz w:val="24"/>
              </w:rPr>
              <w:t>说明</w:t>
            </w:r>
          </w:p>
        </w:tc>
      </w:tr>
      <w:tr w14:paraId="58534A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6B8B843E">
            <w:pPr>
              <w:jc w:val="center"/>
              <w:rPr>
                <w:color w:val="000000"/>
                <w:sz w:val="24"/>
              </w:rPr>
            </w:pPr>
          </w:p>
        </w:tc>
        <w:tc>
          <w:tcPr>
            <w:tcW w:w="1482" w:type="dxa"/>
            <w:noWrap w:val="0"/>
            <w:vAlign w:val="center"/>
          </w:tcPr>
          <w:p w14:paraId="1B2DE7A9">
            <w:pPr>
              <w:jc w:val="center"/>
              <w:rPr>
                <w:color w:val="000000"/>
                <w:sz w:val="24"/>
              </w:rPr>
            </w:pPr>
          </w:p>
        </w:tc>
        <w:tc>
          <w:tcPr>
            <w:tcW w:w="2384" w:type="dxa"/>
            <w:noWrap w:val="0"/>
            <w:vAlign w:val="center"/>
          </w:tcPr>
          <w:p w14:paraId="161EBFB3">
            <w:pPr>
              <w:jc w:val="center"/>
              <w:rPr>
                <w:color w:val="000000"/>
                <w:sz w:val="24"/>
              </w:rPr>
            </w:pPr>
          </w:p>
        </w:tc>
        <w:tc>
          <w:tcPr>
            <w:tcW w:w="2126" w:type="dxa"/>
            <w:noWrap w:val="0"/>
            <w:vAlign w:val="center"/>
          </w:tcPr>
          <w:p w14:paraId="134991B7">
            <w:pPr>
              <w:jc w:val="center"/>
              <w:rPr>
                <w:color w:val="000000"/>
                <w:sz w:val="24"/>
              </w:rPr>
            </w:pPr>
          </w:p>
        </w:tc>
        <w:tc>
          <w:tcPr>
            <w:tcW w:w="1875" w:type="dxa"/>
            <w:noWrap w:val="0"/>
            <w:vAlign w:val="center"/>
          </w:tcPr>
          <w:p w14:paraId="6F97D6B5">
            <w:pPr>
              <w:jc w:val="center"/>
              <w:rPr>
                <w:color w:val="000000"/>
                <w:sz w:val="24"/>
              </w:rPr>
            </w:pPr>
          </w:p>
        </w:tc>
        <w:tc>
          <w:tcPr>
            <w:tcW w:w="1009" w:type="dxa"/>
            <w:noWrap w:val="0"/>
            <w:vAlign w:val="center"/>
          </w:tcPr>
          <w:p w14:paraId="5AEAE2ED">
            <w:pPr>
              <w:jc w:val="center"/>
              <w:rPr>
                <w:color w:val="000000"/>
                <w:sz w:val="24"/>
              </w:rPr>
            </w:pPr>
          </w:p>
        </w:tc>
      </w:tr>
      <w:tr w14:paraId="2C348B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61A7AC08">
            <w:pPr>
              <w:jc w:val="center"/>
              <w:rPr>
                <w:color w:val="000000"/>
                <w:sz w:val="24"/>
              </w:rPr>
            </w:pPr>
          </w:p>
        </w:tc>
        <w:tc>
          <w:tcPr>
            <w:tcW w:w="1482" w:type="dxa"/>
            <w:noWrap w:val="0"/>
            <w:vAlign w:val="center"/>
          </w:tcPr>
          <w:p w14:paraId="369C197A">
            <w:pPr>
              <w:jc w:val="center"/>
              <w:rPr>
                <w:color w:val="000000"/>
                <w:sz w:val="24"/>
              </w:rPr>
            </w:pPr>
          </w:p>
        </w:tc>
        <w:tc>
          <w:tcPr>
            <w:tcW w:w="2384" w:type="dxa"/>
            <w:noWrap w:val="0"/>
            <w:vAlign w:val="center"/>
          </w:tcPr>
          <w:p w14:paraId="71BE5772">
            <w:pPr>
              <w:jc w:val="center"/>
              <w:rPr>
                <w:color w:val="000000"/>
                <w:sz w:val="24"/>
              </w:rPr>
            </w:pPr>
          </w:p>
        </w:tc>
        <w:tc>
          <w:tcPr>
            <w:tcW w:w="2126" w:type="dxa"/>
            <w:noWrap w:val="0"/>
            <w:vAlign w:val="center"/>
          </w:tcPr>
          <w:p w14:paraId="3453B63A">
            <w:pPr>
              <w:jc w:val="center"/>
              <w:rPr>
                <w:color w:val="000000"/>
                <w:sz w:val="24"/>
              </w:rPr>
            </w:pPr>
          </w:p>
        </w:tc>
        <w:tc>
          <w:tcPr>
            <w:tcW w:w="1875" w:type="dxa"/>
            <w:noWrap w:val="0"/>
            <w:vAlign w:val="center"/>
          </w:tcPr>
          <w:p w14:paraId="04EE89C6">
            <w:pPr>
              <w:jc w:val="center"/>
              <w:rPr>
                <w:color w:val="000000"/>
                <w:sz w:val="24"/>
              </w:rPr>
            </w:pPr>
          </w:p>
        </w:tc>
        <w:tc>
          <w:tcPr>
            <w:tcW w:w="1009" w:type="dxa"/>
            <w:noWrap w:val="0"/>
            <w:vAlign w:val="center"/>
          </w:tcPr>
          <w:p w14:paraId="79740609">
            <w:pPr>
              <w:jc w:val="center"/>
              <w:rPr>
                <w:color w:val="000000"/>
                <w:sz w:val="24"/>
              </w:rPr>
            </w:pPr>
          </w:p>
        </w:tc>
      </w:tr>
      <w:tr w14:paraId="726A8E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413E2403">
            <w:pPr>
              <w:jc w:val="center"/>
              <w:rPr>
                <w:color w:val="000000"/>
                <w:sz w:val="24"/>
              </w:rPr>
            </w:pPr>
          </w:p>
        </w:tc>
        <w:tc>
          <w:tcPr>
            <w:tcW w:w="1482" w:type="dxa"/>
            <w:noWrap w:val="0"/>
            <w:vAlign w:val="center"/>
          </w:tcPr>
          <w:p w14:paraId="316EC75F">
            <w:pPr>
              <w:jc w:val="center"/>
              <w:rPr>
                <w:color w:val="000000"/>
                <w:sz w:val="24"/>
              </w:rPr>
            </w:pPr>
          </w:p>
        </w:tc>
        <w:tc>
          <w:tcPr>
            <w:tcW w:w="2384" w:type="dxa"/>
            <w:noWrap w:val="0"/>
            <w:vAlign w:val="center"/>
          </w:tcPr>
          <w:p w14:paraId="47DDBCE7">
            <w:pPr>
              <w:jc w:val="center"/>
              <w:rPr>
                <w:color w:val="000000"/>
                <w:sz w:val="24"/>
              </w:rPr>
            </w:pPr>
          </w:p>
        </w:tc>
        <w:tc>
          <w:tcPr>
            <w:tcW w:w="2126" w:type="dxa"/>
            <w:noWrap w:val="0"/>
            <w:vAlign w:val="center"/>
          </w:tcPr>
          <w:p w14:paraId="4FCD7AFC">
            <w:pPr>
              <w:jc w:val="center"/>
              <w:rPr>
                <w:color w:val="000000"/>
                <w:sz w:val="24"/>
              </w:rPr>
            </w:pPr>
          </w:p>
        </w:tc>
        <w:tc>
          <w:tcPr>
            <w:tcW w:w="1875" w:type="dxa"/>
            <w:noWrap w:val="0"/>
            <w:vAlign w:val="center"/>
          </w:tcPr>
          <w:p w14:paraId="164CBFC5">
            <w:pPr>
              <w:jc w:val="center"/>
              <w:rPr>
                <w:color w:val="000000"/>
                <w:sz w:val="24"/>
              </w:rPr>
            </w:pPr>
          </w:p>
        </w:tc>
        <w:tc>
          <w:tcPr>
            <w:tcW w:w="1009" w:type="dxa"/>
            <w:noWrap w:val="0"/>
            <w:vAlign w:val="center"/>
          </w:tcPr>
          <w:p w14:paraId="23F03878">
            <w:pPr>
              <w:jc w:val="center"/>
              <w:rPr>
                <w:color w:val="000000"/>
                <w:sz w:val="24"/>
              </w:rPr>
            </w:pPr>
          </w:p>
        </w:tc>
      </w:tr>
      <w:tr w14:paraId="41201F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6366B873">
            <w:pPr>
              <w:jc w:val="center"/>
              <w:rPr>
                <w:color w:val="000000"/>
                <w:sz w:val="24"/>
              </w:rPr>
            </w:pPr>
          </w:p>
        </w:tc>
        <w:tc>
          <w:tcPr>
            <w:tcW w:w="1482" w:type="dxa"/>
            <w:noWrap w:val="0"/>
            <w:vAlign w:val="center"/>
          </w:tcPr>
          <w:p w14:paraId="38865C21">
            <w:pPr>
              <w:jc w:val="center"/>
              <w:rPr>
                <w:color w:val="000000"/>
                <w:sz w:val="24"/>
              </w:rPr>
            </w:pPr>
          </w:p>
        </w:tc>
        <w:tc>
          <w:tcPr>
            <w:tcW w:w="2384" w:type="dxa"/>
            <w:noWrap w:val="0"/>
            <w:vAlign w:val="center"/>
          </w:tcPr>
          <w:p w14:paraId="75B35A9A">
            <w:pPr>
              <w:jc w:val="center"/>
              <w:rPr>
                <w:color w:val="000000"/>
                <w:sz w:val="24"/>
              </w:rPr>
            </w:pPr>
          </w:p>
        </w:tc>
        <w:tc>
          <w:tcPr>
            <w:tcW w:w="2126" w:type="dxa"/>
            <w:noWrap w:val="0"/>
            <w:vAlign w:val="center"/>
          </w:tcPr>
          <w:p w14:paraId="29B9388F">
            <w:pPr>
              <w:jc w:val="center"/>
              <w:rPr>
                <w:color w:val="000000"/>
                <w:sz w:val="24"/>
              </w:rPr>
            </w:pPr>
          </w:p>
        </w:tc>
        <w:tc>
          <w:tcPr>
            <w:tcW w:w="1875" w:type="dxa"/>
            <w:noWrap w:val="0"/>
            <w:vAlign w:val="center"/>
          </w:tcPr>
          <w:p w14:paraId="30B3008A">
            <w:pPr>
              <w:jc w:val="center"/>
              <w:rPr>
                <w:color w:val="000000"/>
                <w:sz w:val="24"/>
              </w:rPr>
            </w:pPr>
          </w:p>
        </w:tc>
        <w:tc>
          <w:tcPr>
            <w:tcW w:w="1009" w:type="dxa"/>
            <w:noWrap w:val="0"/>
            <w:vAlign w:val="center"/>
          </w:tcPr>
          <w:p w14:paraId="1B3EA59F">
            <w:pPr>
              <w:jc w:val="center"/>
              <w:rPr>
                <w:color w:val="000000"/>
                <w:sz w:val="24"/>
              </w:rPr>
            </w:pPr>
          </w:p>
        </w:tc>
      </w:tr>
      <w:tr w14:paraId="4EC61A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74A5BB02">
            <w:pPr>
              <w:jc w:val="center"/>
              <w:rPr>
                <w:color w:val="000000"/>
                <w:sz w:val="24"/>
              </w:rPr>
            </w:pPr>
          </w:p>
        </w:tc>
        <w:tc>
          <w:tcPr>
            <w:tcW w:w="1482" w:type="dxa"/>
            <w:noWrap w:val="0"/>
            <w:vAlign w:val="center"/>
          </w:tcPr>
          <w:p w14:paraId="23E7E891">
            <w:pPr>
              <w:jc w:val="center"/>
              <w:rPr>
                <w:color w:val="000000"/>
                <w:sz w:val="24"/>
              </w:rPr>
            </w:pPr>
          </w:p>
        </w:tc>
        <w:tc>
          <w:tcPr>
            <w:tcW w:w="2384" w:type="dxa"/>
            <w:noWrap w:val="0"/>
            <w:vAlign w:val="center"/>
          </w:tcPr>
          <w:p w14:paraId="0CE02A75">
            <w:pPr>
              <w:jc w:val="center"/>
              <w:rPr>
                <w:color w:val="000000"/>
                <w:sz w:val="24"/>
              </w:rPr>
            </w:pPr>
          </w:p>
        </w:tc>
        <w:tc>
          <w:tcPr>
            <w:tcW w:w="2126" w:type="dxa"/>
            <w:noWrap w:val="0"/>
            <w:vAlign w:val="center"/>
          </w:tcPr>
          <w:p w14:paraId="4648DB08">
            <w:pPr>
              <w:jc w:val="center"/>
              <w:rPr>
                <w:color w:val="000000"/>
                <w:sz w:val="24"/>
              </w:rPr>
            </w:pPr>
          </w:p>
        </w:tc>
        <w:tc>
          <w:tcPr>
            <w:tcW w:w="1875" w:type="dxa"/>
            <w:noWrap w:val="0"/>
            <w:vAlign w:val="center"/>
          </w:tcPr>
          <w:p w14:paraId="4FDA2D3D">
            <w:pPr>
              <w:jc w:val="center"/>
              <w:rPr>
                <w:color w:val="000000"/>
                <w:sz w:val="24"/>
              </w:rPr>
            </w:pPr>
          </w:p>
        </w:tc>
        <w:tc>
          <w:tcPr>
            <w:tcW w:w="1009" w:type="dxa"/>
            <w:noWrap w:val="0"/>
            <w:vAlign w:val="center"/>
          </w:tcPr>
          <w:p w14:paraId="623AD81E">
            <w:pPr>
              <w:jc w:val="center"/>
              <w:rPr>
                <w:color w:val="000000"/>
                <w:sz w:val="24"/>
              </w:rPr>
            </w:pPr>
          </w:p>
        </w:tc>
      </w:tr>
      <w:tr w14:paraId="63EDE1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2C9F5585">
            <w:pPr>
              <w:jc w:val="center"/>
              <w:rPr>
                <w:color w:val="000000"/>
                <w:sz w:val="24"/>
              </w:rPr>
            </w:pPr>
            <w:r>
              <w:rPr>
                <w:color w:val="000000"/>
                <w:sz w:val="24"/>
              </w:rPr>
              <w:t>……</w:t>
            </w:r>
          </w:p>
        </w:tc>
        <w:tc>
          <w:tcPr>
            <w:tcW w:w="1482" w:type="dxa"/>
            <w:noWrap w:val="0"/>
            <w:vAlign w:val="center"/>
          </w:tcPr>
          <w:p w14:paraId="3AD1914A">
            <w:pPr>
              <w:jc w:val="center"/>
              <w:rPr>
                <w:color w:val="000000"/>
                <w:sz w:val="24"/>
              </w:rPr>
            </w:pPr>
          </w:p>
        </w:tc>
        <w:tc>
          <w:tcPr>
            <w:tcW w:w="2384" w:type="dxa"/>
            <w:noWrap w:val="0"/>
            <w:vAlign w:val="center"/>
          </w:tcPr>
          <w:p w14:paraId="0A31FC28">
            <w:pPr>
              <w:jc w:val="center"/>
              <w:rPr>
                <w:color w:val="000000"/>
                <w:sz w:val="24"/>
              </w:rPr>
            </w:pPr>
          </w:p>
        </w:tc>
        <w:tc>
          <w:tcPr>
            <w:tcW w:w="2126" w:type="dxa"/>
            <w:noWrap w:val="0"/>
            <w:vAlign w:val="center"/>
          </w:tcPr>
          <w:p w14:paraId="6CAEF6B8">
            <w:pPr>
              <w:jc w:val="center"/>
              <w:rPr>
                <w:color w:val="000000"/>
                <w:sz w:val="24"/>
              </w:rPr>
            </w:pPr>
          </w:p>
        </w:tc>
        <w:tc>
          <w:tcPr>
            <w:tcW w:w="1875" w:type="dxa"/>
            <w:noWrap w:val="0"/>
            <w:vAlign w:val="center"/>
          </w:tcPr>
          <w:p w14:paraId="15D08A68">
            <w:pPr>
              <w:jc w:val="center"/>
              <w:rPr>
                <w:color w:val="000000"/>
                <w:sz w:val="24"/>
              </w:rPr>
            </w:pPr>
          </w:p>
        </w:tc>
        <w:tc>
          <w:tcPr>
            <w:tcW w:w="1009" w:type="dxa"/>
            <w:noWrap w:val="0"/>
            <w:vAlign w:val="center"/>
          </w:tcPr>
          <w:p w14:paraId="74487C06">
            <w:pPr>
              <w:jc w:val="center"/>
              <w:rPr>
                <w:color w:val="000000"/>
                <w:sz w:val="24"/>
              </w:rPr>
            </w:pPr>
          </w:p>
        </w:tc>
      </w:tr>
    </w:tbl>
    <w:p w14:paraId="47693E4E">
      <w:pPr>
        <w:tabs>
          <w:tab w:val="left" w:pos="1800"/>
          <w:tab w:val="left" w:pos="5580"/>
        </w:tabs>
        <w:spacing w:line="360" w:lineRule="auto"/>
        <w:ind w:firstLine="360"/>
        <w:jc w:val="left"/>
        <w:rPr>
          <w:color w:val="000000"/>
          <w:sz w:val="24"/>
          <w:u w:val="single"/>
        </w:rPr>
      </w:pPr>
    </w:p>
    <w:p w14:paraId="7248925E">
      <w:pPr>
        <w:tabs>
          <w:tab w:val="left" w:pos="1800"/>
          <w:tab w:val="left" w:pos="5580"/>
        </w:tabs>
        <w:jc w:val="left"/>
        <w:rPr>
          <w:color w:val="000000"/>
          <w:sz w:val="24"/>
        </w:rPr>
      </w:pPr>
      <w:r>
        <w:rPr>
          <w:color w:val="000000"/>
          <w:sz w:val="24"/>
        </w:rPr>
        <w:t>注：</w:t>
      </w:r>
    </w:p>
    <w:p w14:paraId="5BC8737C">
      <w:pPr>
        <w:numPr>
          <w:ilvl w:val="0"/>
          <w:numId w:val="15"/>
        </w:numPr>
        <w:tabs>
          <w:tab w:val="left" w:pos="1800"/>
          <w:tab w:val="left" w:pos="5580"/>
        </w:tabs>
        <w:jc w:val="left"/>
        <w:rPr>
          <w:sz w:val="24"/>
        </w:rPr>
      </w:pPr>
      <w:r>
        <w:rPr>
          <w:sz w:val="24"/>
        </w:rPr>
        <w:t>对招标文件中的所有商务、技术要求，除本表所列明的所有偏离外，均视作供应商已对之理解和</w:t>
      </w:r>
      <w:r>
        <w:rPr>
          <w:rFonts w:hint="eastAsia"/>
          <w:sz w:val="24"/>
        </w:rPr>
        <w:t>响应</w:t>
      </w:r>
      <w:r>
        <w:rPr>
          <w:sz w:val="24"/>
        </w:rPr>
        <w:t>。</w:t>
      </w:r>
    </w:p>
    <w:p w14:paraId="5AA40A4C">
      <w:pPr>
        <w:numPr>
          <w:ilvl w:val="0"/>
          <w:numId w:val="0"/>
        </w:numPr>
        <w:tabs>
          <w:tab w:val="left" w:pos="1800"/>
          <w:tab w:val="left" w:pos="5580"/>
        </w:tabs>
        <w:jc w:val="left"/>
        <w:rPr>
          <w:color w:val="000000"/>
          <w:sz w:val="24"/>
        </w:rPr>
      </w:pPr>
      <w:r>
        <w:rPr>
          <w:sz w:val="24"/>
        </w:rPr>
        <w:t>2.</w:t>
      </w:r>
      <w:r>
        <w:rPr>
          <w:rFonts w:hint="eastAsia"/>
          <w:sz w:val="24"/>
        </w:rPr>
        <w:t>“偏离情况”列应</w:t>
      </w:r>
      <w:r>
        <w:rPr>
          <w:color w:val="000000"/>
          <w:sz w:val="24"/>
        </w:rPr>
        <w:t>据实</w:t>
      </w:r>
      <w:r>
        <w:rPr>
          <w:rFonts w:hint="eastAsia"/>
          <w:sz w:val="24"/>
        </w:rPr>
        <w:t>填写“正偏离”或“负偏离”。</w:t>
      </w:r>
    </w:p>
    <w:p w14:paraId="40F0FC8E">
      <w:pPr>
        <w:tabs>
          <w:tab w:val="left" w:pos="1800"/>
          <w:tab w:val="left" w:pos="5580"/>
        </w:tabs>
        <w:jc w:val="left"/>
        <w:rPr>
          <w:sz w:val="24"/>
        </w:rPr>
      </w:pPr>
    </w:p>
    <w:p w14:paraId="442B1D1D">
      <w:pPr>
        <w:tabs>
          <w:tab w:val="left" w:pos="1800"/>
          <w:tab w:val="left" w:pos="5580"/>
        </w:tabs>
        <w:jc w:val="left"/>
        <w:rPr>
          <w:color w:val="000000"/>
          <w:sz w:val="24"/>
        </w:rPr>
      </w:pPr>
    </w:p>
    <w:p w14:paraId="6072D1D9">
      <w:pPr>
        <w:rPr>
          <w:color w:val="000000"/>
          <w:sz w:val="24"/>
          <w:szCs w:val="20"/>
        </w:rPr>
      </w:pPr>
    </w:p>
    <w:p w14:paraId="3839818B">
      <w:pPr>
        <w:spacing w:before="25" w:after="25" w:line="360" w:lineRule="auto"/>
        <w:rPr>
          <w:color w:val="000000"/>
          <w:sz w:val="24"/>
          <w:lang w:val="zh-CN"/>
        </w:rPr>
      </w:pPr>
      <w:r>
        <w:rPr>
          <w:color w:val="000000"/>
          <w:sz w:val="24"/>
          <w:lang w:val="zh-CN"/>
        </w:rPr>
        <w:t xml:space="preserve">                  </w:t>
      </w:r>
    </w:p>
    <w:p w14:paraId="4ABDCE07">
      <w:pPr>
        <w:spacing w:before="25" w:after="25" w:line="360" w:lineRule="auto"/>
        <w:rPr>
          <w:color w:val="000000"/>
          <w:sz w:val="24"/>
          <w:lang w:val="zh-CN"/>
        </w:rPr>
      </w:pPr>
      <w:r>
        <w:rPr>
          <w:color w:val="000000"/>
          <w:sz w:val="24"/>
        </w:rPr>
        <w:t>投标人名称（加盖公章）</w:t>
      </w:r>
      <w:r>
        <w:rPr>
          <w:color w:val="000000"/>
          <w:sz w:val="24"/>
          <w:lang w:val="zh-CN"/>
        </w:rPr>
        <w:t>：    ____________</w:t>
      </w:r>
    </w:p>
    <w:p w14:paraId="4400A274">
      <w:pPr>
        <w:spacing w:before="25" w:after="25" w:line="360" w:lineRule="auto"/>
        <w:rPr>
          <w:color w:val="000000"/>
          <w:sz w:val="24"/>
          <w:lang w:val="zh-CN"/>
        </w:rPr>
      </w:pPr>
      <w:r>
        <w:rPr>
          <w:color w:val="000000"/>
          <w:sz w:val="24"/>
          <w:szCs w:val="20"/>
        </w:rPr>
        <w:t xml:space="preserve">日期：_____年______月______日   </w:t>
      </w:r>
    </w:p>
    <w:p w14:paraId="78DF0929">
      <w:pPr>
        <w:spacing w:before="25" w:after="25" w:line="360" w:lineRule="auto"/>
        <w:rPr>
          <w:rFonts w:hint="eastAsia" w:ascii="宋体" w:hAnsi="宋体" w:eastAsia="宋体" w:cs="宋体"/>
          <w:color w:val="000000"/>
          <w:sz w:val="24"/>
          <w:szCs w:val="24"/>
          <w:highlight w:val="none"/>
          <w:lang w:val="en-US" w:eastAsia="zh-CN"/>
        </w:rPr>
      </w:pPr>
    </w:p>
    <w:p w14:paraId="565C3D8F">
      <w:pPr>
        <w:spacing w:before="25" w:after="25"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0"/>
          <w:highlight w:val="none"/>
        </w:rPr>
        <w:t>8  项目实施方案</w:t>
      </w:r>
    </w:p>
    <w:p w14:paraId="7FF477EE">
      <w:pPr>
        <w:spacing w:before="25" w:after="25" w:line="360" w:lineRule="auto"/>
        <w:rPr>
          <w:rFonts w:hint="eastAsia" w:ascii="宋体" w:hAnsi="宋体" w:eastAsia="宋体" w:cs="宋体"/>
          <w:color w:val="000000"/>
          <w:sz w:val="24"/>
          <w:szCs w:val="24"/>
          <w:highlight w:val="none"/>
          <w:lang w:val="en-US" w:eastAsia="zh-CN"/>
        </w:rPr>
      </w:pPr>
    </w:p>
    <w:p w14:paraId="09F84B38">
      <w:pPr>
        <w:spacing w:before="25" w:after="25" w:line="360" w:lineRule="auto"/>
        <w:rPr>
          <w:rFonts w:hint="eastAsia" w:ascii="宋体" w:hAnsi="宋体" w:eastAsia="宋体" w:cs="宋体"/>
          <w:color w:val="000000"/>
          <w:sz w:val="24"/>
          <w:szCs w:val="24"/>
          <w:highlight w:val="none"/>
          <w:lang w:val="en-US" w:eastAsia="zh-CN"/>
        </w:rPr>
      </w:pPr>
    </w:p>
    <w:p w14:paraId="0C88DB58">
      <w:pPr>
        <w:spacing w:before="25" w:after="25" w:line="360" w:lineRule="auto"/>
        <w:rPr>
          <w:rFonts w:hint="eastAsia" w:ascii="宋体" w:hAnsi="宋体" w:eastAsia="宋体" w:cs="宋体"/>
          <w:color w:val="000000"/>
          <w:sz w:val="24"/>
          <w:szCs w:val="24"/>
          <w:highlight w:val="none"/>
          <w:lang w:val="en-US" w:eastAsia="zh-CN"/>
        </w:rPr>
      </w:pPr>
    </w:p>
    <w:p w14:paraId="6046AE07">
      <w:pPr>
        <w:spacing w:before="25" w:after="25" w:line="360" w:lineRule="auto"/>
        <w:rPr>
          <w:rFonts w:hint="eastAsia" w:ascii="宋体" w:hAnsi="宋体" w:eastAsia="宋体" w:cs="宋体"/>
          <w:color w:val="000000"/>
          <w:sz w:val="24"/>
          <w:szCs w:val="24"/>
          <w:highlight w:val="none"/>
          <w:lang w:val="en-US" w:eastAsia="zh-CN"/>
        </w:rPr>
      </w:pPr>
    </w:p>
    <w:p w14:paraId="0CA5A95B">
      <w:pPr>
        <w:spacing w:before="25" w:after="25" w:line="360" w:lineRule="auto"/>
        <w:rPr>
          <w:rFonts w:hint="eastAsia" w:ascii="宋体" w:hAnsi="宋体" w:eastAsia="宋体" w:cs="宋体"/>
          <w:color w:val="000000"/>
          <w:sz w:val="24"/>
          <w:szCs w:val="24"/>
          <w:highlight w:val="none"/>
          <w:lang w:val="en-US" w:eastAsia="zh-CN"/>
        </w:rPr>
      </w:pPr>
    </w:p>
    <w:p w14:paraId="61F6E92B">
      <w:pPr>
        <w:spacing w:before="25" w:after="25" w:line="360" w:lineRule="auto"/>
        <w:rPr>
          <w:rFonts w:hint="eastAsia" w:ascii="宋体" w:hAnsi="宋体" w:eastAsia="宋体" w:cs="宋体"/>
          <w:color w:val="000000"/>
          <w:sz w:val="24"/>
          <w:szCs w:val="24"/>
          <w:highlight w:val="none"/>
          <w:lang w:val="en-US" w:eastAsia="zh-CN"/>
        </w:rPr>
      </w:pPr>
    </w:p>
    <w:p w14:paraId="7E6F05B1">
      <w:pPr>
        <w:spacing w:before="25" w:after="25" w:line="360" w:lineRule="auto"/>
        <w:rPr>
          <w:rFonts w:hint="eastAsia" w:ascii="宋体" w:hAnsi="宋体" w:eastAsia="宋体" w:cs="宋体"/>
          <w:color w:val="000000"/>
          <w:sz w:val="24"/>
          <w:szCs w:val="24"/>
          <w:highlight w:val="none"/>
          <w:lang w:val="en-US" w:eastAsia="zh-CN"/>
        </w:rPr>
      </w:pPr>
    </w:p>
    <w:p w14:paraId="7DE9C6CF">
      <w:pPr>
        <w:spacing w:before="25" w:after="25" w:line="360" w:lineRule="auto"/>
        <w:rPr>
          <w:rFonts w:hint="eastAsia" w:ascii="宋体" w:hAnsi="宋体" w:eastAsia="宋体" w:cs="宋体"/>
          <w:color w:val="000000"/>
          <w:sz w:val="24"/>
          <w:szCs w:val="24"/>
          <w:highlight w:val="none"/>
          <w:lang w:val="en-US" w:eastAsia="zh-CN"/>
        </w:rPr>
      </w:pPr>
    </w:p>
    <w:p w14:paraId="5797D3A2">
      <w:pPr>
        <w:spacing w:before="25" w:after="25" w:line="360" w:lineRule="auto"/>
        <w:rPr>
          <w:rFonts w:hint="eastAsia" w:ascii="宋体" w:hAnsi="宋体" w:eastAsia="宋体" w:cs="宋体"/>
          <w:color w:val="000000"/>
          <w:sz w:val="24"/>
          <w:szCs w:val="24"/>
          <w:highlight w:val="none"/>
          <w:lang w:val="en-US" w:eastAsia="zh-CN"/>
        </w:rPr>
      </w:pPr>
    </w:p>
    <w:p w14:paraId="0BCD7B72">
      <w:pPr>
        <w:spacing w:before="25" w:after="25" w:line="360" w:lineRule="auto"/>
        <w:rPr>
          <w:rFonts w:hint="eastAsia" w:ascii="宋体" w:hAnsi="宋体" w:eastAsia="宋体" w:cs="宋体"/>
          <w:color w:val="000000"/>
          <w:sz w:val="24"/>
          <w:szCs w:val="24"/>
          <w:highlight w:val="none"/>
          <w:lang w:val="en-US" w:eastAsia="zh-CN"/>
        </w:rPr>
      </w:pPr>
    </w:p>
    <w:p w14:paraId="4A3D6D8E">
      <w:pPr>
        <w:spacing w:before="25" w:after="25" w:line="360" w:lineRule="auto"/>
        <w:rPr>
          <w:rFonts w:hint="eastAsia" w:ascii="宋体" w:hAnsi="宋体" w:eastAsia="宋体" w:cs="宋体"/>
          <w:color w:val="000000"/>
          <w:sz w:val="24"/>
          <w:szCs w:val="24"/>
          <w:highlight w:val="none"/>
          <w:lang w:val="en-US" w:eastAsia="zh-CN"/>
        </w:rPr>
      </w:pPr>
    </w:p>
    <w:p w14:paraId="768924B8">
      <w:pPr>
        <w:spacing w:before="25" w:after="25" w:line="360" w:lineRule="auto"/>
        <w:rPr>
          <w:rFonts w:hint="eastAsia" w:ascii="宋体" w:hAnsi="宋体" w:eastAsia="宋体" w:cs="宋体"/>
          <w:color w:val="000000"/>
          <w:sz w:val="24"/>
          <w:szCs w:val="24"/>
          <w:highlight w:val="none"/>
          <w:lang w:val="en-US" w:eastAsia="zh-CN"/>
        </w:rPr>
      </w:pPr>
    </w:p>
    <w:p w14:paraId="1F06EAEE">
      <w:pPr>
        <w:spacing w:before="25" w:after="25" w:line="360" w:lineRule="auto"/>
        <w:rPr>
          <w:rFonts w:hint="eastAsia" w:ascii="宋体" w:hAnsi="宋体" w:eastAsia="宋体" w:cs="宋体"/>
          <w:color w:val="000000"/>
          <w:sz w:val="24"/>
          <w:szCs w:val="24"/>
          <w:highlight w:val="none"/>
          <w:lang w:val="en-US" w:eastAsia="zh-CN"/>
        </w:rPr>
      </w:pPr>
    </w:p>
    <w:p w14:paraId="60C0C092">
      <w:pPr>
        <w:spacing w:before="25" w:after="25" w:line="360" w:lineRule="auto"/>
        <w:rPr>
          <w:rFonts w:hint="eastAsia" w:ascii="宋体" w:hAnsi="宋体" w:eastAsia="宋体" w:cs="宋体"/>
          <w:color w:val="000000"/>
          <w:sz w:val="24"/>
          <w:szCs w:val="24"/>
          <w:highlight w:val="none"/>
          <w:lang w:val="en-US" w:eastAsia="zh-CN"/>
        </w:rPr>
      </w:pPr>
    </w:p>
    <w:p w14:paraId="5850CB0A">
      <w:pPr>
        <w:spacing w:before="25" w:after="25" w:line="360" w:lineRule="auto"/>
        <w:rPr>
          <w:rFonts w:hint="eastAsia" w:ascii="宋体" w:hAnsi="宋体" w:eastAsia="宋体" w:cs="宋体"/>
          <w:color w:val="000000"/>
          <w:sz w:val="24"/>
          <w:szCs w:val="24"/>
          <w:highlight w:val="none"/>
          <w:lang w:val="en-US" w:eastAsia="zh-CN"/>
        </w:rPr>
      </w:pPr>
    </w:p>
    <w:p w14:paraId="12BF205D">
      <w:pPr>
        <w:spacing w:before="25" w:after="25" w:line="360" w:lineRule="auto"/>
        <w:rPr>
          <w:rFonts w:hint="eastAsia" w:ascii="宋体" w:hAnsi="宋体" w:eastAsia="宋体" w:cs="宋体"/>
          <w:color w:val="000000"/>
          <w:sz w:val="24"/>
          <w:szCs w:val="24"/>
          <w:highlight w:val="none"/>
          <w:lang w:val="en-US" w:eastAsia="zh-CN"/>
        </w:rPr>
      </w:pPr>
    </w:p>
    <w:p w14:paraId="47A63E8E">
      <w:pPr>
        <w:rPr>
          <w:rFonts w:hint="eastAsia" w:ascii="宋体" w:hAnsi="宋体" w:eastAsia="宋体" w:cs="宋体"/>
          <w:color w:val="000000"/>
          <w:sz w:val="24"/>
          <w:szCs w:val="24"/>
          <w:highlight w:val="none"/>
          <w:lang w:val="en-US" w:eastAsia="zh-CN"/>
        </w:rPr>
      </w:pPr>
    </w:p>
    <w:p w14:paraId="3F946E12">
      <w:pPr>
        <w:pStyle w:val="213"/>
        <w:rPr>
          <w:rFonts w:hint="eastAsia" w:ascii="宋体" w:hAnsi="宋体" w:eastAsia="宋体" w:cs="宋体"/>
          <w:color w:val="000000"/>
          <w:sz w:val="24"/>
          <w:szCs w:val="24"/>
          <w:highlight w:val="none"/>
          <w:lang w:val="en-US" w:eastAsia="zh-CN"/>
        </w:rPr>
      </w:pPr>
    </w:p>
    <w:p w14:paraId="263A458C">
      <w:pPr>
        <w:rPr>
          <w:rFonts w:hint="eastAsia" w:ascii="宋体" w:hAnsi="宋体" w:eastAsia="宋体" w:cs="宋体"/>
          <w:color w:val="000000"/>
          <w:sz w:val="24"/>
          <w:szCs w:val="24"/>
          <w:highlight w:val="none"/>
          <w:lang w:val="en-US" w:eastAsia="zh-CN"/>
        </w:rPr>
      </w:pPr>
    </w:p>
    <w:p w14:paraId="4132A80D">
      <w:pPr>
        <w:pStyle w:val="213"/>
        <w:rPr>
          <w:rFonts w:hint="eastAsia" w:ascii="宋体" w:hAnsi="宋体" w:eastAsia="宋体" w:cs="宋体"/>
          <w:color w:val="000000"/>
          <w:sz w:val="24"/>
          <w:szCs w:val="24"/>
          <w:highlight w:val="none"/>
          <w:lang w:val="en-US" w:eastAsia="zh-CN"/>
        </w:rPr>
      </w:pPr>
    </w:p>
    <w:p w14:paraId="165B59DF">
      <w:pPr>
        <w:rPr>
          <w:rFonts w:hint="eastAsia" w:ascii="宋体" w:hAnsi="宋体" w:eastAsia="宋体" w:cs="宋体"/>
          <w:color w:val="000000"/>
          <w:sz w:val="24"/>
          <w:szCs w:val="24"/>
          <w:highlight w:val="none"/>
          <w:lang w:val="en-US" w:eastAsia="zh-CN"/>
        </w:rPr>
      </w:pPr>
    </w:p>
    <w:p w14:paraId="2E0D509C">
      <w:pPr>
        <w:pStyle w:val="213"/>
        <w:rPr>
          <w:rFonts w:hint="eastAsia" w:ascii="宋体" w:hAnsi="宋体" w:eastAsia="宋体" w:cs="宋体"/>
          <w:color w:val="000000"/>
          <w:sz w:val="24"/>
          <w:szCs w:val="24"/>
          <w:highlight w:val="none"/>
          <w:lang w:val="en-US" w:eastAsia="zh-CN"/>
        </w:rPr>
      </w:pPr>
    </w:p>
    <w:p w14:paraId="387194EB">
      <w:pPr>
        <w:rPr>
          <w:rFonts w:hint="eastAsia" w:ascii="宋体" w:hAnsi="宋体" w:eastAsia="宋体" w:cs="宋体"/>
          <w:color w:val="000000"/>
          <w:sz w:val="24"/>
          <w:szCs w:val="24"/>
          <w:highlight w:val="none"/>
          <w:lang w:val="en-US" w:eastAsia="zh-CN"/>
        </w:rPr>
      </w:pPr>
    </w:p>
    <w:p w14:paraId="05246E5F">
      <w:pPr>
        <w:pStyle w:val="213"/>
        <w:rPr>
          <w:rFonts w:hint="eastAsia" w:ascii="宋体" w:hAnsi="宋体" w:eastAsia="宋体" w:cs="宋体"/>
          <w:color w:val="000000"/>
          <w:sz w:val="24"/>
          <w:szCs w:val="24"/>
          <w:highlight w:val="none"/>
          <w:lang w:val="en-US" w:eastAsia="zh-CN"/>
        </w:rPr>
      </w:pPr>
    </w:p>
    <w:p w14:paraId="760B6094">
      <w:pPr>
        <w:rPr>
          <w:rFonts w:hint="eastAsia" w:ascii="宋体" w:hAnsi="宋体" w:eastAsia="宋体" w:cs="宋体"/>
          <w:color w:val="000000"/>
          <w:sz w:val="24"/>
          <w:szCs w:val="24"/>
          <w:highlight w:val="none"/>
          <w:lang w:val="en-US" w:eastAsia="zh-CN"/>
        </w:rPr>
      </w:pPr>
    </w:p>
    <w:p w14:paraId="5F135AA7">
      <w:pPr>
        <w:pStyle w:val="213"/>
        <w:rPr>
          <w:rFonts w:hint="eastAsia" w:ascii="宋体" w:hAnsi="宋体" w:eastAsia="宋体" w:cs="宋体"/>
          <w:color w:val="000000"/>
          <w:sz w:val="24"/>
          <w:szCs w:val="24"/>
          <w:highlight w:val="none"/>
          <w:lang w:val="en-US" w:eastAsia="zh-CN"/>
        </w:rPr>
      </w:pPr>
    </w:p>
    <w:p w14:paraId="1AB72FE8">
      <w:pPr>
        <w:rPr>
          <w:rFonts w:hint="eastAsia" w:ascii="宋体" w:hAnsi="宋体" w:eastAsia="宋体" w:cs="宋体"/>
          <w:color w:val="000000"/>
          <w:sz w:val="24"/>
          <w:szCs w:val="24"/>
          <w:highlight w:val="none"/>
          <w:lang w:val="en-US" w:eastAsia="zh-CN"/>
        </w:rPr>
      </w:pPr>
    </w:p>
    <w:p w14:paraId="784B067D">
      <w:pPr>
        <w:pStyle w:val="213"/>
        <w:rPr>
          <w:rFonts w:hint="eastAsia" w:ascii="宋体" w:hAnsi="宋体" w:eastAsia="宋体" w:cs="宋体"/>
          <w:color w:val="000000"/>
          <w:sz w:val="24"/>
          <w:szCs w:val="24"/>
          <w:highlight w:val="none"/>
          <w:lang w:val="en-US" w:eastAsia="zh-CN"/>
        </w:rPr>
      </w:pPr>
    </w:p>
    <w:p w14:paraId="1E3B0FCA">
      <w:pPr>
        <w:rPr>
          <w:rFonts w:hint="eastAsia" w:ascii="宋体" w:hAnsi="宋体" w:eastAsia="宋体" w:cs="宋体"/>
          <w:color w:val="000000"/>
          <w:sz w:val="24"/>
          <w:szCs w:val="24"/>
          <w:highlight w:val="none"/>
          <w:lang w:val="en-US" w:eastAsia="zh-CN"/>
        </w:rPr>
      </w:pPr>
    </w:p>
    <w:p w14:paraId="71D28AFF">
      <w:pPr>
        <w:rPr>
          <w:rFonts w:hint="eastAsia" w:ascii="宋体" w:hAnsi="宋体" w:eastAsia="宋体" w:cs="宋体"/>
          <w:color w:val="000000"/>
          <w:sz w:val="24"/>
          <w:szCs w:val="24"/>
          <w:highlight w:val="none"/>
          <w:lang w:val="en-US" w:eastAsia="zh-CN"/>
        </w:rPr>
      </w:pPr>
    </w:p>
    <w:p w14:paraId="6D234EF6">
      <w:pPr>
        <w:rPr>
          <w:rFonts w:hint="eastAsia" w:ascii="宋体" w:hAnsi="宋体" w:eastAsia="宋体" w:cs="宋体"/>
          <w:color w:val="000000"/>
          <w:sz w:val="24"/>
          <w:szCs w:val="24"/>
          <w:highlight w:val="none"/>
          <w:lang w:val="en-US" w:eastAsia="zh-CN"/>
        </w:rPr>
      </w:pPr>
    </w:p>
    <w:p w14:paraId="30DD6CFE">
      <w:pPr>
        <w:pStyle w:val="213"/>
        <w:rPr>
          <w:rFonts w:hint="eastAsia" w:ascii="宋体" w:hAnsi="宋体" w:eastAsia="宋体" w:cs="宋体"/>
          <w:color w:val="000000"/>
          <w:sz w:val="24"/>
          <w:szCs w:val="24"/>
          <w:highlight w:val="none"/>
          <w:lang w:val="en-US" w:eastAsia="zh-CN"/>
        </w:rPr>
      </w:pPr>
    </w:p>
    <w:p w14:paraId="71284DB8">
      <w:pPr>
        <w:rPr>
          <w:rFonts w:hint="eastAsia" w:ascii="宋体" w:hAnsi="宋体" w:eastAsia="宋体" w:cs="宋体"/>
          <w:color w:val="000000"/>
          <w:sz w:val="24"/>
          <w:szCs w:val="24"/>
          <w:highlight w:val="none"/>
          <w:lang w:val="en-US" w:eastAsia="zh-CN"/>
        </w:rPr>
      </w:pPr>
    </w:p>
    <w:p w14:paraId="2E75E9E8">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9</w:t>
      </w:r>
      <w:r>
        <w:rPr>
          <w:rFonts w:hint="eastAsia" w:ascii="宋体" w:hAnsi="宋体" w:eastAsia="宋体" w:cs="宋体"/>
          <w:color w:val="000000"/>
          <w:sz w:val="24"/>
          <w:szCs w:val="24"/>
          <w:highlight w:val="none"/>
        </w:rPr>
        <w:t xml:space="preserve">  参加本项目人员一览表</w:t>
      </w:r>
    </w:p>
    <w:p w14:paraId="553BC1ED">
      <w:pPr>
        <w:spacing w:line="360" w:lineRule="auto"/>
        <w:jc w:val="center"/>
        <w:rPr>
          <w:rFonts w:hint="eastAsia" w:ascii="宋体" w:hAnsi="宋体" w:eastAsia="宋体" w:cs="宋体"/>
          <w:b/>
          <w:color w:val="000000"/>
          <w:sz w:val="24"/>
          <w:szCs w:val="24"/>
          <w:highlight w:val="none"/>
        </w:rPr>
      </w:pPr>
    </w:p>
    <w:p w14:paraId="611842E5">
      <w:pPr>
        <w:spacing w:line="360" w:lineRule="auto"/>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参加本项目人员一览表</w:t>
      </w:r>
    </w:p>
    <w:p w14:paraId="204BE553">
      <w:pPr>
        <w:spacing w:line="360" w:lineRule="auto"/>
        <w:rPr>
          <w:rFonts w:hint="eastAsia" w:ascii="宋体" w:hAnsi="宋体" w:eastAsia="宋体" w:cs="宋体"/>
          <w:color w:val="000000"/>
          <w:sz w:val="24"/>
          <w:szCs w:val="24"/>
          <w:highlight w:val="none"/>
        </w:rPr>
      </w:pPr>
    </w:p>
    <w:p w14:paraId="0A69432D">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项目编号：</w:t>
      </w:r>
      <w:r>
        <w:rPr>
          <w:rFonts w:hint="eastAsia" w:ascii="宋体" w:hAnsi="宋体" w:eastAsia="宋体" w:cs="宋体"/>
          <w:color w:val="000000"/>
          <w:sz w:val="24"/>
          <w:szCs w:val="24"/>
          <w:highlight w:val="none"/>
          <w:u w:val="single"/>
        </w:rPr>
        <w:t xml:space="preserve">                     </w:t>
      </w:r>
    </w:p>
    <w:tbl>
      <w:tblPr>
        <w:tblStyle w:val="28"/>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
      <w:tblGrid>
        <w:gridCol w:w="945"/>
        <w:gridCol w:w="945"/>
        <w:gridCol w:w="945"/>
        <w:gridCol w:w="945"/>
        <w:gridCol w:w="945"/>
        <w:gridCol w:w="945"/>
        <w:gridCol w:w="945"/>
        <w:gridCol w:w="945"/>
        <w:gridCol w:w="945"/>
        <w:gridCol w:w="945"/>
      </w:tblGrid>
      <w:tr w14:paraId="3053E0BE">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noWrap w:val="0"/>
            <w:vAlign w:val="center"/>
          </w:tcPr>
          <w:p w14:paraId="637DAED9">
            <w:pPr>
              <w:tabs>
                <w:tab w:val="left" w:pos="9765"/>
              </w:tabs>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序号</w:t>
            </w:r>
          </w:p>
        </w:tc>
        <w:tc>
          <w:tcPr>
            <w:tcW w:w="945" w:type="dxa"/>
            <w:noWrap w:val="0"/>
            <w:vAlign w:val="center"/>
          </w:tcPr>
          <w:p w14:paraId="70949D25">
            <w:pPr>
              <w:tabs>
                <w:tab w:val="left" w:pos="9765"/>
              </w:tabs>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姓名</w:t>
            </w:r>
          </w:p>
        </w:tc>
        <w:tc>
          <w:tcPr>
            <w:tcW w:w="945" w:type="dxa"/>
            <w:noWrap w:val="0"/>
            <w:vAlign w:val="center"/>
          </w:tcPr>
          <w:p w14:paraId="391E6E97">
            <w:pPr>
              <w:tabs>
                <w:tab w:val="left" w:pos="9765"/>
              </w:tabs>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性别</w:t>
            </w:r>
          </w:p>
        </w:tc>
        <w:tc>
          <w:tcPr>
            <w:tcW w:w="945" w:type="dxa"/>
            <w:noWrap w:val="0"/>
            <w:vAlign w:val="center"/>
          </w:tcPr>
          <w:p w14:paraId="7E647B67">
            <w:pPr>
              <w:tabs>
                <w:tab w:val="left" w:pos="9765"/>
              </w:tabs>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年龄</w:t>
            </w:r>
          </w:p>
        </w:tc>
        <w:tc>
          <w:tcPr>
            <w:tcW w:w="945" w:type="dxa"/>
            <w:noWrap w:val="0"/>
            <w:vAlign w:val="center"/>
          </w:tcPr>
          <w:p w14:paraId="362C5719">
            <w:pPr>
              <w:tabs>
                <w:tab w:val="left" w:pos="9765"/>
              </w:tabs>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毕业学校和学历</w:t>
            </w:r>
          </w:p>
        </w:tc>
        <w:tc>
          <w:tcPr>
            <w:tcW w:w="945" w:type="dxa"/>
            <w:noWrap w:val="0"/>
            <w:vAlign w:val="center"/>
          </w:tcPr>
          <w:p w14:paraId="1745840B">
            <w:pPr>
              <w:tabs>
                <w:tab w:val="left" w:pos="9765"/>
              </w:tabs>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专业</w:t>
            </w:r>
          </w:p>
        </w:tc>
        <w:tc>
          <w:tcPr>
            <w:tcW w:w="945" w:type="dxa"/>
            <w:noWrap w:val="0"/>
            <w:vAlign w:val="center"/>
          </w:tcPr>
          <w:p w14:paraId="6A3CABCD">
            <w:pPr>
              <w:tabs>
                <w:tab w:val="left" w:pos="9765"/>
              </w:tabs>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职称</w:t>
            </w:r>
          </w:p>
        </w:tc>
        <w:tc>
          <w:tcPr>
            <w:tcW w:w="945" w:type="dxa"/>
            <w:noWrap w:val="0"/>
            <w:vAlign w:val="center"/>
          </w:tcPr>
          <w:p w14:paraId="34028292">
            <w:pPr>
              <w:tabs>
                <w:tab w:val="left" w:pos="9765"/>
              </w:tabs>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专业培训及证书</w:t>
            </w:r>
          </w:p>
        </w:tc>
        <w:tc>
          <w:tcPr>
            <w:tcW w:w="945" w:type="dxa"/>
            <w:noWrap w:val="0"/>
            <w:vAlign w:val="center"/>
          </w:tcPr>
          <w:p w14:paraId="6C02D48B">
            <w:pPr>
              <w:tabs>
                <w:tab w:val="left" w:pos="9765"/>
              </w:tabs>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责任</w:t>
            </w:r>
          </w:p>
          <w:p w14:paraId="113E4CB3">
            <w:pPr>
              <w:tabs>
                <w:tab w:val="left" w:pos="9765"/>
              </w:tabs>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或分工</w:t>
            </w:r>
          </w:p>
        </w:tc>
        <w:tc>
          <w:tcPr>
            <w:tcW w:w="945" w:type="dxa"/>
            <w:noWrap w:val="0"/>
            <w:vAlign w:val="center"/>
          </w:tcPr>
          <w:p w14:paraId="4E04DA42">
            <w:pPr>
              <w:tabs>
                <w:tab w:val="left" w:pos="9765"/>
              </w:tabs>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项目经历或主要工作</w:t>
            </w:r>
          </w:p>
          <w:p w14:paraId="6849F607">
            <w:pPr>
              <w:tabs>
                <w:tab w:val="left" w:pos="9765"/>
              </w:tabs>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业绩</w:t>
            </w:r>
          </w:p>
        </w:tc>
      </w:tr>
      <w:tr w14:paraId="37D7BF21">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noWrap w:val="0"/>
            <w:vAlign w:val="top"/>
          </w:tcPr>
          <w:p w14:paraId="7E78A59C">
            <w:pPr>
              <w:tabs>
                <w:tab w:val="left" w:pos="9765"/>
              </w:tabs>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w:t>
            </w:r>
          </w:p>
        </w:tc>
        <w:tc>
          <w:tcPr>
            <w:tcW w:w="945" w:type="dxa"/>
            <w:noWrap w:val="0"/>
            <w:vAlign w:val="top"/>
          </w:tcPr>
          <w:p w14:paraId="5976E491">
            <w:pPr>
              <w:tabs>
                <w:tab w:val="left" w:pos="9765"/>
              </w:tabs>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w:t>
            </w:r>
          </w:p>
        </w:tc>
        <w:tc>
          <w:tcPr>
            <w:tcW w:w="945" w:type="dxa"/>
            <w:noWrap w:val="0"/>
            <w:vAlign w:val="top"/>
          </w:tcPr>
          <w:p w14:paraId="21B2C9BF">
            <w:pPr>
              <w:tabs>
                <w:tab w:val="left" w:pos="9765"/>
              </w:tabs>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w:t>
            </w:r>
          </w:p>
        </w:tc>
        <w:tc>
          <w:tcPr>
            <w:tcW w:w="945" w:type="dxa"/>
            <w:noWrap w:val="0"/>
            <w:vAlign w:val="top"/>
          </w:tcPr>
          <w:p w14:paraId="2FA03CD2">
            <w:pPr>
              <w:tabs>
                <w:tab w:val="left" w:pos="9765"/>
              </w:tabs>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w:t>
            </w:r>
          </w:p>
        </w:tc>
        <w:tc>
          <w:tcPr>
            <w:tcW w:w="945" w:type="dxa"/>
            <w:noWrap w:val="0"/>
            <w:vAlign w:val="top"/>
          </w:tcPr>
          <w:p w14:paraId="005E8797">
            <w:pPr>
              <w:tabs>
                <w:tab w:val="left" w:pos="9765"/>
              </w:tabs>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w:t>
            </w:r>
          </w:p>
        </w:tc>
        <w:tc>
          <w:tcPr>
            <w:tcW w:w="945" w:type="dxa"/>
            <w:noWrap w:val="0"/>
            <w:vAlign w:val="top"/>
          </w:tcPr>
          <w:p w14:paraId="13A34AFC">
            <w:pPr>
              <w:tabs>
                <w:tab w:val="left" w:pos="9765"/>
              </w:tabs>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w:t>
            </w:r>
          </w:p>
        </w:tc>
        <w:tc>
          <w:tcPr>
            <w:tcW w:w="945" w:type="dxa"/>
            <w:noWrap w:val="0"/>
            <w:vAlign w:val="top"/>
          </w:tcPr>
          <w:p w14:paraId="0E2C48E0">
            <w:pPr>
              <w:tabs>
                <w:tab w:val="left" w:pos="9765"/>
              </w:tabs>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w:t>
            </w:r>
          </w:p>
        </w:tc>
        <w:tc>
          <w:tcPr>
            <w:tcW w:w="945" w:type="dxa"/>
            <w:noWrap w:val="0"/>
            <w:vAlign w:val="top"/>
          </w:tcPr>
          <w:p w14:paraId="4BCF163D">
            <w:pPr>
              <w:tabs>
                <w:tab w:val="left" w:pos="9765"/>
              </w:tabs>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w:t>
            </w:r>
          </w:p>
        </w:tc>
        <w:tc>
          <w:tcPr>
            <w:tcW w:w="945" w:type="dxa"/>
            <w:noWrap w:val="0"/>
            <w:vAlign w:val="top"/>
          </w:tcPr>
          <w:p w14:paraId="49852C5D">
            <w:pPr>
              <w:tabs>
                <w:tab w:val="left" w:pos="9765"/>
              </w:tabs>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w:t>
            </w:r>
          </w:p>
        </w:tc>
        <w:tc>
          <w:tcPr>
            <w:tcW w:w="945" w:type="dxa"/>
            <w:noWrap w:val="0"/>
            <w:vAlign w:val="top"/>
          </w:tcPr>
          <w:p w14:paraId="5A3AA048">
            <w:pPr>
              <w:tabs>
                <w:tab w:val="left" w:pos="9765"/>
              </w:tabs>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w:t>
            </w:r>
          </w:p>
        </w:tc>
      </w:tr>
      <w:tr w14:paraId="19BFFF34">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noWrap w:val="0"/>
            <w:vAlign w:val="top"/>
          </w:tcPr>
          <w:p w14:paraId="5CD58C53">
            <w:pPr>
              <w:tabs>
                <w:tab w:val="left" w:pos="9765"/>
              </w:tabs>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w:t>
            </w:r>
          </w:p>
        </w:tc>
        <w:tc>
          <w:tcPr>
            <w:tcW w:w="945" w:type="dxa"/>
            <w:noWrap w:val="0"/>
            <w:vAlign w:val="top"/>
          </w:tcPr>
          <w:p w14:paraId="5032357B">
            <w:pPr>
              <w:tabs>
                <w:tab w:val="left" w:pos="9765"/>
              </w:tabs>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w:t>
            </w:r>
          </w:p>
        </w:tc>
        <w:tc>
          <w:tcPr>
            <w:tcW w:w="945" w:type="dxa"/>
            <w:noWrap w:val="0"/>
            <w:vAlign w:val="top"/>
          </w:tcPr>
          <w:p w14:paraId="598893C5">
            <w:pPr>
              <w:tabs>
                <w:tab w:val="left" w:pos="9765"/>
              </w:tabs>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w:t>
            </w:r>
          </w:p>
        </w:tc>
        <w:tc>
          <w:tcPr>
            <w:tcW w:w="945" w:type="dxa"/>
            <w:noWrap w:val="0"/>
            <w:vAlign w:val="top"/>
          </w:tcPr>
          <w:p w14:paraId="31E156E6">
            <w:pPr>
              <w:tabs>
                <w:tab w:val="left" w:pos="9765"/>
              </w:tabs>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w:t>
            </w:r>
          </w:p>
        </w:tc>
        <w:tc>
          <w:tcPr>
            <w:tcW w:w="945" w:type="dxa"/>
            <w:noWrap w:val="0"/>
            <w:vAlign w:val="top"/>
          </w:tcPr>
          <w:p w14:paraId="4D6D86B6">
            <w:pPr>
              <w:tabs>
                <w:tab w:val="left" w:pos="9765"/>
              </w:tabs>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w:t>
            </w:r>
          </w:p>
        </w:tc>
        <w:tc>
          <w:tcPr>
            <w:tcW w:w="945" w:type="dxa"/>
            <w:noWrap w:val="0"/>
            <w:vAlign w:val="top"/>
          </w:tcPr>
          <w:p w14:paraId="7F46F005">
            <w:pPr>
              <w:tabs>
                <w:tab w:val="left" w:pos="9765"/>
              </w:tabs>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w:t>
            </w:r>
          </w:p>
        </w:tc>
        <w:tc>
          <w:tcPr>
            <w:tcW w:w="945" w:type="dxa"/>
            <w:noWrap w:val="0"/>
            <w:vAlign w:val="top"/>
          </w:tcPr>
          <w:p w14:paraId="5EC29A60">
            <w:pPr>
              <w:tabs>
                <w:tab w:val="left" w:pos="9765"/>
              </w:tabs>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w:t>
            </w:r>
          </w:p>
        </w:tc>
        <w:tc>
          <w:tcPr>
            <w:tcW w:w="945" w:type="dxa"/>
            <w:noWrap w:val="0"/>
            <w:vAlign w:val="top"/>
          </w:tcPr>
          <w:p w14:paraId="2B53D34D">
            <w:pPr>
              <w:tabs>
                <w:tab w:val="left" w:pos="9765"/>
              </w:tabs>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w:t>
            </w:r>
          </w:p>
        </w:tc>
        <w:tc>
          <w:tcPr>
            <w:tcW w:w="945" w:type="dxa"/>
            <w:noWrap w:val="0"/>
            <w:vAlign w:val="top"/>
          </w:tcPr>
          <w:p w14:paraId="4FD3CD95">
            <w:pPr>
              <w:tabs>
                <w:tab w:val="left" w:pos="9765"/>
              </w:tabs>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w:t>
            </w:r>
          </w:p>
        </w:tc>
        <w:tc>
          <w:tcPr>
            <w:tcW w:w="945" w:type="dxa"/>
            <w:noWrap w:val="0"/>
            <w:vAlign w:val="top"/>
          </w:tcPr>
          <w:p w14:paraId="7AEFCF9D">
            <w:pPr>
              <w:tabs>
                <w:tab w:val="left" w:pos="9765"/>
              </w:tabs>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w:t>
            </w:r>
          </w:p>
        </w:tc>
      </w:tr>
      <w:tr w14:paraId="35CEC8DD">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noWrap w:val="0"/>
            <w:vAlign w:val="top"/>
          </w:tcPr>
          <w:p w14:paraId="42CC5E21">
            <w:pPr>
              <w:tabs>
                <w:tab w:val="left" w:pos="9765"/>
              </w:tabs>
              <w:spacing w:line="360" w:lineRule="auto"/>
              <w:rPr>
                <w:rFonts w:hint="eastAsia" w:ascii="宋体" w:hAnsi="宋体" w:eastAsia="宋体" w:cs="宋体"/>
                <w:color w:val="000000"/>
                <w:sz w:val="24"/>
                <w:szCs w:val="24"/>
                <w:highlight w:val="none"/>
              </w:rPr>
            </w:pPr>
          </w:p>
        </w:tc>
        <w:tc>
          <w:tcPr>
            <w:tcW w:w="945" w:type="dxa"/>
            <w:noWrap w:val="0"/>
            <w:vAlign w:val="top"/>
          </w:tcPr>
          <w:p w14:paraId="6896A2BE">
            <w:pPr>
              <w:tabs>
                <w:tab w:val="left" w:pos="9765"/>
              </w:tabs>
              <w:spacing w:line="360" w:lineRule="auto"/>
              <w:rPr>
                <w:rFonts w:hint="eastAsia" w:ascii="宋体" w:hAnsi="宋体" w:eastAsia="宋体" w:cs="宋体"/>
                <w:color w:val="000000"/>
                <w:sz w:val="24"/>
                <w:szCs w:val="24"/>
                <w:highlight w:val="none"/>
              </w:rPr>
            </w:pPr>
          </w:p>
        </w:tc>
        <w:tc>
          <w:tcPr>
            <w:tcW w:w="945" w:type="dxa"/>
            <w:noWrap w:val="0"/>
            <w:vAlign w:val="top"/>
          </w:tcPr>
          <w:p w14:paraId="28B6F1B1">
            <w:pPr>
              <w:tabs>
                <w:tab w:val="left" w:pos="9765"/>
              </w:tabs>
              <w:spacing w:line="360" w:lineRule="auto"/>
              <w:rPr>
                <w:rFonts w:hint="eastAsia" w:ascii="宋体" w:hAnsi="宋体" w:eastAsia="宋体" w:cs="宋体"/>
                <w:color w:val="000000"/>
                <w:sz w:val="24"/>
                <w:szCs w:val="24"/>
                <w:highlight w:val="none"/>
              </w:rPr>
            </w:pPr>
          </w:p>
        </w:tc>
        <w:tc>
          <w:tcPr>
            <w:tcW w:w="945" w:type="dxa"/>
            <w:noWrap w:val="0"/>
            <w:vAlign w:val="top"/>
          </w:tcPr>
          <w:p w14:paraId="6113717F">
            <w:pPr>
              <w:tabs>
                <w:tab w:val="left" w:pos="9765"/>
              </w:tabs>
              <w:spacing w:line="360" w:lineRule="auto"/>
              <w:rPr>
                <w:rFonts w:hint="eastAsia" w:ascii="宋体" w:hAnsi="宋体" w:eastAsia="宋体" w:cs="宋体"/>
                <w:color w:val="000000"/>
                <w:sz w:val="24"/>
                <w:szCs w:val="24"/>
                <w:highlight w:val="none"/>
              </w:rPr>
            </w:pPr>
          </w:p>
        </w:tc>
        <w:tc>
          <w:tcPr>
            <w:tcW w:w="945" w:type="dxa"/>
            <w:noWrap w:val="0"/>
            <w:vAlign w:val="top"/>
          </w:tcPr>
          <w:p w14:paraId="56B87357">
            <w:pPr>
              <w:tabs>
                <w:tab w:val="left" w:pos="9765"/>
              </w:tabs>
              <w:spacing w:line="360" w:lineRule="auto"/>
              <w:rPr>
                <w:rFonts w:hint="eastAsia" w:ascii="宋体" w:hAnsi="宋体" w:eastAsia="宋体" w:cs="宋体"/>
                <w:color w:val="000000"/>
                <w:sz w:val="24"/>
                <w:szCs w:val="24"/>
                <w:highlight w:val="none"/>
              </w:rPr>
            </w:pPr>
          </w:p>
        </w:tc>
        <w:tc>
          <w:tcPr>
            <w:tcW w:w="945" w:type="dxa"/>
            <w:noWrap w:val="0"/>
            <w:vAlign w:val="top"/>
          </w:tcPr>
          <w:p w14:paraId="3B54ECFA">
            <w:pPr>
              <w:tabs>
                <w:tab w:val="left" w:pos="9765"/>
              </w:tabs>
              <w:spacing w:line="360" w:lineRule="auto"/>
              <w:rPr>
                <w:rFonts w:hint="eastAsia" w:ascii="宋体" w:hAnsi="宋体" w:eastAsia="宋体" w:cs="宋体"/>
                <w:color w:val="000000"/>
                <w:sz w:val="24"/>
                <w:szCs w:val="24"/>
                <w:highlight w:val="none"/>
              </w:rPr>
            </w:pPr>
          </w:p>
        </w:tc>
        <w:tc>
          <w:tcPr>
            <w:tcW w:w="945" w:type="dxa"/>
            <w:noWrap w:val="0"/>
            <w:vAlign w:val="top"/>
          </w:tcPr>
          <w:p w14:paraId="1C28558F">
            <w:pPr>
              <w:tabs>
                <w:tab w:val="left" w:pos="9765"/>
              </w:tabs>
              <w:spacing w:line="360" w:lineRule="auto"/>
              <w:rPr>
                <w:rFonts w:hint="eastAsia" w:ascii="宋体" w:hAnsi="宋体" w:eastAsia="宋体" w:cs="宋体"/>
                <w:color w:val="000000"/>
                <w:sz w:val="24"/>
                <w:szCs w:val="24"/>
                <w:highlight w:val="none"/>
              </w:rPr>
            </w:pPr>
          </w:p>
        </w:tc>
        <w:tc>
          <w:tcPr>
            <w:tcW w:w="945" w:type="dxa"/>
            <w:noWrap w:val="0"/>
            <w:vAlign w:val="top"/>
          </w:tcPr>
          <w:p w14:paraId="07385C1A">
            <w:pPr>
              <w:tabs>
                <w:tab w:val="left" w:pos="9765"/>
              </w:tabs>
              <w:spacing w:line="360" w:lineRule="auto"/>
              <w:rPr>
                <w:rFonts w:hint="eastAsia" w:ascii="宋体" w:hAnsi="宋体" w:eastAsia="宋体" w:cs="宋体"/>
                <w:color w:val="000000"/>
                <w:sz w:val="24"/>
                <w:szCs w:val="24"/>
                <w:highlight w:val="none"/>
              </w:rPr>
            </w:pPr>
          </w:p>
        </w:tc>
        <w:tc>
          <w:tcPr>
            <w:tcW w:w="945" w:type="dxa"/>
            <w:noWrap w:val="0"/>
            <w:vAlign w:val="top"/>
          </w:tcPr>
          <w:p w14:paraId="756F1F33">
            <w:pPr>
              <w:tabs>
                <w:tab w:val="left" w:pos="9765"/>
              </w:tabs>
              <w:spacing w:line="360" w:lineRule="auto"/>
              <w:rPr>
                <w:rFonts w:hint="eastAsia" w:ascii="宋体" w:hAnsi="宋体" w:eastAsia="宋体" w:cs="宋体"/>
                <w:color w:val="000000"/>
                <w:sz w:val="24"/>
                <w:szCs w:val="24"/>
                <w:highlight w:val="none"/>
              </w:rPr>
            </w:pPr>
          </w:p>
        </w:tc>
        <w:tc>
          <w:tcPr>
            <w:tcW w:w="945" w:type="dxa"/>
            <w:noWrap w:val="0"/>
            <w:vAlign w:val="top"/>
          </w:tcPr>
          <w:p w14:paraId="4DFE8117">
            <w:pPr>
              <w:tabs>
                <w:tab w:val="left" w:pos="9765"/>
              </w:tabs>
              <w:spacing w:line="360" w:lineRule="auto"/>
              <w:rPr>
                <w:rFonts w:hint="eastAsia" w:ascii="宋体" w:hAnsi="宋体" w:eastAsia="宋体" w:cs="宋体"/>
                <w:color w:val="000000"/>
                <w:sz w:val="24"/>
                <w:szCs w:val="24"/>
                <w:highlight w:val="none"/>
              </w:rPr>
            </w:pPr>
          </w:p>
        </w:tc>
      </w:tr>
      <w:tr w14:paraId="34976F27">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noWrap w:val="0"/>
            <w:vAlign w:val="top"/>
          </w:tcPr>
          <w:p w14:paraId="1FEC41A1">
            <w:pPr>
              <w:tabs>
                <w:tab w:val="left" w:pos="9765"/>
              </w:tabs>
              <w:spacing w:line="360" w:lineRule="auto"/>
              <w:rPr>
                <w:rFonts w:hint="eastAsia" w:ascii="宋体" w:hAnsi="宋体" w:eastAsia="宋体" w:cs="宋体"/>
                <w:color w:val="000000"/>
                <w:sz w:val="24"/>
                <w:szCs w:val="24"/>
                <w:highlight w:val="none"/>
              </w:rPr>
            </w:pPr>
          </w:p>
        </w:tc>
        <w:tc>
          <w:tcPr>
            <w:tcW w:w="945" w:type="dxa"/>
            <w:noWrap w:val="0"/>
            <w:vAlign w:val="top"/>
          </w:tcPr>
          <w:p w14:paraId="300A41A4">
            <w:pPr>
              <w:tabs>
                <w:tab w:val="left" w:pos="9765"/>
              </w:tabs>
              <w:spacing w:line="360" w:lineRule="auto"/>
              <w:rPr>
                <w:rFonts w:hint="eastAsia" w:ascii="宋体" w:hAnsi="宋体" w:eastAsia="宋体" w:cs="宋体"/>
                <w:color w:val="000000"/>
                <w:sz w:val="24"/>
                <w:szCs w:val="24"/>
                <w:highlight w:val="none"/>
              </w:rPr>
            </w:pPr>
          </w:p>
        </w:tc>
        <w:tc>
          <w:tcPr>
            <w:tcW w:w="945" w:type="dxa"/>
            <w:noWrap w:val="0"/>
            <w:vAlign w:val="top"/>
          </w:tcPr>
          <w:p w14:paraId="6445E982">
            <w:pPr>
              <w:tabs>
                <w:tab w:val="left" w:pos="9765"/>
              </w:tabs>
              <w:spacing w:line="360" w:lineRule="auto"/>
              <w:rPr>
                <w:rFonts w:hint="eastAsia" w:ascii="宋体" w:hAnsi="宋体" w:eastAsia="宋体" w:cs="宋体"/>
                <w:color w:val="000000"/>
                <w:sz w:val="24"/>
                <w:szCs w:val="24"/>
                <w:highlight w:val="none"/>
              </w:rPr>
            </w:pPr>
          </w:p>
        </w:tc>
        <w:tc>
          <w:tcPr>
            <w:tcW w:w="945" w:type="dxa"/>
            <w:noWrap w:val="0"/>
            <w:vAlign w:val="top"/>
          </w:tcPr>
          <w:p w14:paraId="495EA100">
            <w:pPr>
              <w:tabs>
                <w:tab w:val="left" w:pos="9765"/>
              </w:tabs>
              <w:spacing w:line="360" w:lineRule="auto"/>
              <w:rPr>
                <w:rFonts w:hint="eastAsia" w:ascii="宋体" w:hAnsi="宋体" w:eastAsia="宋体" w:cs="宋体"/>
                <w:color w:val="000000"/>
                <w:sz w:val="24"/>
                <w:szCs w:val="24"/>
                <w:highlight w:val="none"/>
              </w:rPr>
            </w:pPr>
          </w:p>
        </w:tc>
        <w:tc>
          <w:tcPr>
            <w:tcW w:w="945" w:type="dxa"/>
            <w:noWrap w:val="0"/>
            <w:vAlign w:val="top"/>
          </w:tcPr>
          <w:p w14:paraId="2C804204">
            <w:pPr>
              <w:tabs>
                <w:tab w:val="left" w:pos="9765"/>
              </w:tabs>
              <w:spacing w:line="360" w:lineRule="auto"/>
              <w:rPr>
                <w:rFonts w:hint="eastAsia" w:ascii="宋体" w:hAnsi="宋体" w:eastAsia="宋体" w:cs="宋体"/>
                <w:color w:val="000000"/>
                <w:sz w:val="24"/>
                <w:szCs w:val="24"/>
                <w:highlight w:val="none"/>
              </w:rPr>
            </w:pPr>
          </w:p>
        </w:tc>
        <w:tc>
          <w:tcPr>
            <w:tcW w:w="945" w:type="dxa"/>
            <w:noWrap w:val="0"/>
            <w:vAlign w:val="top"/>
          </w:tcPr>
          <w:p w14:paraId="438D4699">
            <w:pPr>
              <w:tabs>
                <w:tab w:val="left" w:pos="9765"/>
              </w:tabs>
              <w:spacing w:line="360" w:lineRule="auto"/>
              <w:rPr>
                <w:rFonts w:hint="eastAsia" w:ascii="宋体" w:hAnsi="宋体" w:eastAsia="宋体" w:cs="宋体"/>
                <w:color w:val="000000"/>
                <w:sz w:val="24"/>
                <w:szCs w:val="24"/>
                <w:highlight w:val="none"/>
              </w:rPr>
            </w:pPr>
          </w:p>
        </w:tc>
        <w:tc>
          <w:tcPr>
            <w:tcW w:w="945" w:type="dxa"/>
            <w:noWrap w:val="0"/>
            <w:vAlign w:val="top"/>
          </w:tcPr>
          <w:p w14:paraId="0CEDCB3B">
            <w:pPr>
              <w:tabs>
                <w:tab w:val="left" w:pos="9765"/>
              </w:tabs>
              <w:spacing w:line="360" w:lineRule="auto"/>
              <w:rPr>
                <w:rFonts w:hint="eastAsia" w:ascii="宋体" w:hAnsi="宋体" w:eastAsia="宋体" w:cs="宋体"/>
                <w:color w:val="000000"/>
                <w:sz w:val="24"/>
                <w:szCs w:val="24"/>
                <w:highlight w:val="none"/>
              </w:rPr>
            </w:pPr>
          </w:p>
        </w:tc>
        <w:tc>
          <w:tcPr>
            <w:tcW w:w="945" w:type="dxa"/>
            <w:noWrap w:val="0"/>
            <w:vAlign w:val="top"/>
          </w:tcPr>
          <w:p w14:paraId="5E50877A">
            <w:pPr>
              <w:tabs>
                <w:tab w:val="left" w:pos="9765"/>
              </w:tabs>
              <w:spacing w:line="360" w:lineRule="auto"/>
              <w:rPr>
                <w:rFonts w:hint="eastAsia" w:ascii="宋体" w:hAnsi="宋体" w:eastAsia="宋体" w:cs="宋体"/>
                <w:color w:val="000000"/>
                <w:sz w:val="24"/>
                <w:szCs w:val="24"/>
                <w:highlight w:val="none"/>
              </w:rPr>
            </w:pPr>
          </w:p>
        </w:tc>
        <w:tc>
          <w:tcPr>
            <w:tcW w:w="945" w:type="dxa"/>
            <w:noWrap w:val="0"/>
            <w:vAlign w:val="top"/>
          </w:tcPr>
          <w:p w14:paraId="7FFA4A88">
            <w:pPr>
              <w:tabs>
                <w:tab w:val="left" w:pos="9765"/>
              </w:tabs>
              <w:spacing w:line="360" w:lineRule="auto"/>
              <w:rPr>
                <w:rFonts w:hint="eastAsia" w:ascii="宋体" w:hAnsi="宋体" w:eastAsia="宋体" w:cs="宋体"/>
                <w:color w:val="000000"/>
                <w:sz w:val="24"/>
                <w:szCs w:val="24"/>
                <w:highlight w:val="none"/>
              </w:rPr>
            </w:pPr>
          </w:p>
        </w:tc>
        <w:tc>
          <w:tcPr>
            <w:tcW w:w="945" w:type="dxa"/>
            <w:noWrap w:val="0"/>
            <w:vAlign w:val="top"/>
          </w:tcPr>
          <w:p w14:paraId="16B62C99">
            <w:pPr>
              <w:tabs>
                <w:tab w:val="left" w:pos="9765"/>
              </w:tabs>
              <w:spacing w:line="360" w:lineRule="auto"/>
              <w:rPr>
                <w:rFonts w:hint="eastAsia" w:ascii="宋体" w:hAnsi="宋体" w:eastAsia="宋体" w:cs="宋体"/>
                <w:color w:val="000000"/>
                <w:sz w:val="24"/>
                <w:szCs w:val="24"/>
                <w:highlight w:val="none"/>
              </w:rPr>
            </w:pPr>
          </w:p>
        </w:tc>
      </w:tr>
      <w:tr w14:paraId="589F02AE">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noWrap w:val="0"/>
            <w:vAlign w:val="top"/>
          </w:tcPr>
          <w:p w14:paraId="09E0C361">
            <w:pPr>
              <w:tabs>
                <w:tab w:val="left" w:pos="9765"/>
              </w:tabs>
              <w:spacing w:line="360" w:lineRule="auto"/>
              <w:rPr>
                <w:rFonts w:hint="eastAsia" w:ascii="宋体" w:hAnsi="宋体" w:eastAsia="宋体" w:cs="宋体"/>
                <w:color w:val="000000"/>
                <w:sz w:val="24"/>
                <w:szCs w:val="24"/>
                <w:highlight w:val="none"/>
              </w:rPr>
            </w:pPr>
          </w:p>
        </w:tc>
        <w:tc>
          <w:tcPr>
            <w:tcW w:w="945" w:type="dxa"/>
            <w:noWrap w:val="0"/>
            <w:vAlign w:val="top"/>
          </w:tcPr>
          <w:p w14:paraId="2AD28C2E">
            <w:pPr>
              <w:tabs>
                <w:tab w:val="left" w:pos="9765"/>
              </w:tabs>
              <w:spacing w:line="360" w:lineRule="auto"/>
              <w:rPr>
                <w:rFonts w:hint="eastAsia" w:ascii="宋体" w:hAnsi="宋体" w:eastAsia="宋体" w:cs="宋体"/>
                <w:color w:val="000000"/>
                <w:sz w:val="24"/>
                <w:szCs w:val="24"/>
                <w:highlight w:val="none"/>
              </w:rPr>
            </w:pPr>
          </w:p>
        </w:tc>
        <w:tc>
          <w:tcPr>
            <w:tcW w:w="945" w:type="dxa"/>
            <w:noWrap w:val="0"/>
            <w:vAlign w:val="top"/>
          </w:tcPr>
          <w:p w14:paraId="65BD5B3C">
            <w:pPr>
              <w:tabs>
                <w:tab w:val="left" w:pos="9765"/>
              </w:tabs>
              <w:spacing w:line="360" w:lineRule="auto"/>
              <w:rPr>
                <w:rFonts w:hint="eastAsia" w:ascii="宋体" w:hAnsi="宋体" w:eastAsia="宋体" w:cs="宋体"/>
                <w:color w:val="000000"/>
                <w:sz w:val="24"/>
                <w:szCs w:val="24"/>
                <w:highlight w:val="none"/>
              </w:rPr>
            </w:pPr>
          </w:p>
        </w:tc>
        <w:tc>
          <w:tcPr>
            <w:tcW w:w="945" w:type="dxa"/>
            <w:noWrap w:val="0"/>
            <w:vAlign w:val="top"/>
          </w:tcPr>
          <w:p w14:paraId="2659636D">
            <w:pPr>
              <w:tabs>
                <w:tab w:val="left" w:pos="9765"/>
              </w:tabs>
              <w:spacing w:line="360" w:lineRule="auto"/>
              <w:rPr>
                <w:rFonts w:hint="eastAsia" w:ascii="宋体" w:hAnsi="宋体" w:eastAsia="宋体" w:cs="宋体"/>
                <w:color w:val="000000"/>
                <w:sz w:val="24"/>
                <w:szCs w:val="24"/>
                <w:highlight w:val="none"/>
              </w:rPr>
            </w:pPr>
          </w:p>
        </w:tc>
        <w:tc>
          <w:tcPr>
            <w:tcW w:w="945" w:type="dxa"/>
            <w:noWrap w:val="0"/>
            <w:vAlign w:val="top"/>
          </w:tcPr>
          <w:p w14:paraId="36E75F36">
            <w:pPr>
              <w:tabs>
                <w:tab w:val="left" w:pos="9765"/>
              </w:tabs>
              <w:spacing w:line="360" w:lineRule="auto"/>
              <w:rPr>
                <w:rFonts w:hint="eastAsia" w:ascii="宋体" w:hAnsi="宋体" w:eastAsia="宋体" w:cs="宋体"/>
                <w:color w:val="000000"/>
                <w:sz w:val="24"/>
                <w:szCs w:val="24"/>
                <w:highlight w:val="none"/>
              </w:rPr>
            </w:pPr>
          </w:p>
        </w:tc>
        <w:tc>
          <w:tcPr>
            <w:tcW w:w="945" w:type="dxa"/>
            <w:noWrap w:val="0"/>
            <w:vAlign w:val="top"/>
          </w:tcPr>
          <w:p w14:paraId="7B18EFDD">
            <w:pPr>
              <w:tabs>
                <w:tab w:val="left" w:pos="9765"/>
              </w:tabs>
              <w:spacing w:line="360" w:lineRule="auto"/>
              <w:rPr>
                <w:rFonts w:hint="eastAsia" w:ascii="宋体" w:hAnsi="宋体" w:eastAsia="宋体" w:cs="宋体"/>
                <w:color w:val="000000"/>
                <w:sz w:val="24"/>
                <w:szCs w:val="24"/>
                <w:highlight w:val="none"/>
              </w:rPr>
            </w:pPr>
          </w:p>
        </w:tc>
        <w:tc>
          <w:tcPr>
            <w:tcW w:w="945" w:type="dxa"/>
            <w:noWrap w:val="0"/>
            <w:vAlign w:val="top"/>
          </w:tcPr>
          <w:p w14:paraId="518F9239">
            <w:pPr>
              <w:tabs>
                <w:tab w:val="left" w:pos="9765"/>
              </w:tabs>
              <w:spacing w:line="360" w:lineRule="auto"/>
              <w:rPr>
                <w:rFonts w:hint="eastAsia" w:ascii="宋体" w:hAnsi="宋体" w:eastAsia="宋体" w:cs="宋体"/>
                <w:color w:val="000000"/>
                <w:sz w:val="24"/>
                <w:szCs w:val="24"/>
                <w:highlight w:val="none"/>
              </w:rPr>
            </w:pPr>
          </w:p>
        </w:tc>
        <w:tc>
          <w:tcPr>
            <w:tcW w:w="945" w:type="dxa"/>
            <w:noWrap w:val="0"/>
            <w:vAlign w:val="top"/>
          </w:tcPr>
          <w:p w14:paraId="4D01BA58">
            <w:pPr>
              <w:tabs>
                <w:tab w:val="left" w:pos="9765"/>
              </w:tabs>
              <w:spacing w:line="360" w:lineRule="auto"/>
              <w:rPr>
                <w:rFonts w:hint="eastAsia" w:ascii="宋体" w:hAnsi="宋体" w:eastAsia="宋体" w:cs="宋体"/>
                <w:color w:val="000000"/>
                <w:sz w:val="24"/>
                <w:szCs w:val="24"/>
                <w:highlight w:val="none"/>
              </w:rPr>
            </w:pPr>
          </w:p>
        </w:tc>
        <w:tc>
          <w:tcPr>
            <w:tcW w:w="945" w:type="dxa"/>
            <w:noWrap w:val="0"/>
            <w:vAlign w:val="top"/>
          </w:tcPr>
          <w:p w14:paraId="45986F8E">
            <w:pPr>
              <w:tabs>
                <w:tab w:val="left" w:pos="9765"/>
              </w:tabs>
              <w:spacing w:line="360" w:lineRule="auto"/>
              <w:rPr>
                <w:rFonts w:hint="eastAsia" w:ascii="宋体" w:hAnsi="宋体" w:eastAsia="宋体" w:cs="宋体"/>
                <w:color w:val="000000"/>
                <w:sz w:val="24"/>
                <w:szCs w:val="24"/>
                <w:highlight w:val="none"/>
              </w:rPr>
            </w:pPr>
          </w:p>
        </w:tc>
        <w:tc>
          <w:tcPr>
            <w:tcW w:w="945" w:type="dxa"/>
            <w:noWrap w:val="0"/>
            <w:vAlign w:val="top"/>
          </w:tcPr>
          <w:p w14:paraId="4EF62366">
            <w:pPr>
              <w:tabs>
                <w:tab w:val="left" w:pos="9765"/>
              </w:tabs>
              <w:spacing w:line="360" w:lineRule="auto"/>
              <w:rPr>
                <w:rFonts w:hint="eastAsia" w:ascii="宋体" w:hAnsi="宋体" w:eastAsia="宋体" w:cs="宋体"/>
                <w:color w:val="000000"/>
                <w:sz w:val="24"/>
                <w:szCs w:val="24"/>
                <w:highlight w:val="none"/>
              </w:rPr>
            </w:pPr>
          </w:p>
        </w:tc>
      </w:tr>
      <w:tr w14:paraId="2432BFD5">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noWrap w:val="0"/>
            <w:vAlign w:val="top"/>
          </w:tcPr>
          <w:p w14:paraId="4CD9D439">
            <w:pPr>
              <w:tabs>
                <w:tab w:val="left" w:pos="9765"/>
              </w:tabs>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w:t>
            </w:r>
          </w:p>
        </w:tc>
        <w:tc>
          <w:tcPr>
            <w:tcW w:w="945" w:type="dxa"/>
            <w:noWrap w:val="0"/>
            <w:vAlign w:val="top"/>
          </w:tcPr>
          <w:p w14:paraId="4EEB0469">
            <w:pPr>
              <w:tabs>
                <w:tab w:val="left" w:pos="9765"/>
              </w:tabs>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w:t>
            </w:r>
          </w:p>
        </w:tc>
        <w:tc>
          <w:tcPr>
            <w:tcW w:w="945" w:type="dxa"/>
            <w:noWrap w:val="0"/>
            <w:vAlign w:val="top"/>
          </w:tcPr>
          <w:p w14:paraId="2AE28290">
            <w:pPr>
              <w:tabs>
                <w:tab w:val="left" w:pos="9765"/>
              </w:tabs>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w:t>
            </w:r>
          </w:p>
        </w:tc>
        <w:tc>
          <w:tcPr>
            <w:tcW w:w="945" w:type="dxa"/>
            <w:noWrap w:val="0"/>
            <w:vAlign w:val="top"/>
          </w:tcPr>
          <w:p w14:paraId="13DB5C54">
            <w:pPr>
              <w:tabs>
                <w:tab w:val="left" w:pos="9765"/>
              </w:tabs>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w:t>
            </w:r>
          </w:p>
        </w:tc>
        <w:tc>
          <w:tcPr>
            <w:tcW w:w="945" w:type="dxa"/>
            <w:noWrap w:val="0"/>
            <w:vAlign w:val="top"/>
          </w:tcPr>
          <w:p w14:paraId="6A945312">
            <w:pPr>
              <w:tabs>
                <w:tab w:val="left" w:pos="9765"/>
              </w:tabs>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w:t>
            </w:r>
          </w:p>
        </w:tc>
        <w:tc>
          <w:tcPr>
            <w:tcW w:w="945" w:type="dxa"/>
            <w:noWrap w:val="0"/>
            <w:vAlign w:val="top"/>
          </w:tcPr>
          <w:p w14:paraId="11C009B2">
            <w:pPr>
              <w:tabs>
                <w:tab w:val="left" w:pos="9765"/>
              </w:tabs>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w:t>
            </w:r>
          </w:p>
        </w:tc>
        <w:tc>
          <w:tcPr>
            <w:tcW w:w="945" w:type="dxa"/>
            <w:noWrap w:val="0"/>
            <w:vAlign w:val="top"/>
          </w:tcPr>
          <w:p w14:paraId="607CCF92">
            <w:pPr>
              <w:tabs>
                <w:tab w:val="left" w:pos="9765"/>
              </w:tabs>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w:t>
            </w:r>
          </w:p>
        </w:tc>
        <w:tc>
          <w:tcPr>
            <w:tcW w:w="945" w:type="dxa"/>
            <w:noWrap w:val="0"/>
            <w:vAlign w:val="top"/>
          </w:tcPr>
          <w:p w14:paraId="7BF4C42B">
            <w:pPr>
              <w:tabs>
                <w:tab w:val="left" w:pos="9765"/>
              </w:tabs>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w:t>
            </w:r>
          </w:p>
        </w:tc>
        <w:tc>
          <w:tcPr>
            <w:tcW w:w="945" w:type="dxa"/>
            <w:noWrap w:val="0"/>
            <w:vAlign w:val="top"/>
          </w:tcPr>
          <w:p w14:paraId="6A36C506">
            <w:pPr>
              <w:tabs>
                <w:tab w:val="left" w:pos="9765"/>
              </w:tabs>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w:t>
            </w:r>
          </w:p>
        </w:tc>
        <w:tc>
          <w:tcPr>
            <w:tcW w:w="945" w:type="dxa"/>
            <w:noWrap w:val="0"/>
            <w:vAlign w:val="top"/>
          </w:tcPr>
          <w:p w14:paraId="7D334E70">
            <w:pPr>
              <w:tabs>
                <w:tab w:val="left" w:pos="9765"/>
              </w:tabs>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w:t>
            </w:r>
          </w:p>
        </w:tc>
      </w:tr>
    </w:tbl>
    <w:p w14:paraId="3677AF28">
      <w:pPr>
        <w:tabs>
          <w:tab w:val="left" w:pos="9765"/>
        </w:tabs>
        <w:rPr>
          <w:rFonts w:hint="eastAsia" w:ascii="宋体" w:hAnsi="宋体" w:eastAsia="宋体" w:cs="宋体"/>
          <w:b/>
          <w:color w:val="000000"/>
          <w:sz w:val="24"/>
          <w:szCs w:val="24"/>
          <w:highlight w:val="none"/>
          <w:lang w:val="zh-CN"/>
        </w:rPr>
      </w:pPr>
    </w:p>
    <w:p w14:paraId="001DC25F">
      <w:pPr>
        <w:tabs>
          <w:tab w:val="left" w:pos="9765"/>
        </w:tabs>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zh-CN"/>
        </w:rPr>
        <w:t>注：参加本项目人员须是供应商正式职工。</w:t>
      </w:r>
    </w:p>
    <w:p w14:paraId="709E1F04">
      <w:pPr>
        <w:spacing w:line="360" w:lineRule="auto"/>
        <w:rPr>
          <w:rFonts w:hint="eastAsia" w:ascii="宋体" w:hAnsi="宋体" w:eastAsia="宋体" w:cs="宋体"/>
          <w:color w:val="000000"/>
          <w:sz w:val="24"/>
          <w:szCs w:val="24"/>
          <w:highlight w:val="none"/>
        </w:rPr>
      </w:pPr>
    </w:p>
    <w:p w14:paraId="322A3182">
      <w:pPr>
        <w:spacing w:before="25" w:after="25"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供应商名称（加盖公章）</w:t>
      </w:r>
      <w:r>
        <w:rPr>
          <w:rFonts w:hint="eastAsia" w:ascii="宋体" w:hAnsi="宋体" w:eastAsia="宋体" w:cs="宋体"/>
          <w:color w:val="000000"/>
          <w:sz w:val="24"/>
          <w:szCs w:val="24"/>
          <w:highlight w:val="none"/>
          <w:lang w:val="zh-CN"/>
        </w:rPr>
        <w:t>：    ____________</w:t>
      </w:r>
    </w:p>
    <w:p w14:paraId="49873802">
      <w:pPr>
        <w:spacing w:before="25" w:after="25"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日期：_____年______月______日   </w:t>
      </w:r>
    </w:p>
    <w:p w14:paraId="76312D0E">
      <w:pPr>
        <w:rPr>
          <w:rFonts w:hint="eastAsia" w:ascii="宋体" w:hAnsi="宋体" w:eastAsia="宋体" w:cs="宋体"/>
          <w:color w:val="000000"/>
          <w:sz w:val="24"/>
          <w:szCs w:val="24"/>
          <w:highlight w:val="none"/>
        </w:rPr>
      </w:pPr>
      <w:bookmarkStart w:id="886" w:name="_Toc288738839"/>
      <w:bookmarkStart w:id="887" w:name="_Toc288738397"/>
    </w:p>
    <w:p w14:paraId="6AB206FF">
      <w:pPr>
        <w:pStyle w:val="185"/>
        <w:rPr>
          <w:rFonts w:hint="eastAsia" w:ascii="宋体" w:hAnsi="宋体" w:eastAsia="宋体" w:cs="宋体"/>
          <w:color w:val="000000"/>
          <w:sz w:val="24"/>
          <w:szCs w:val="24"/>
          <w:highlight w:val="none"/>
        </w:rPr>
      </w:pPr>
    </w:p>
    <w:p w14:paraId="408ECC67">
      <w:pPr>
        <w:rPr>
          <w:rFonts w:hint="eastAsia" w:ascii="宋体" w:hAnsi="宋体" w:eastAsia="宋体" w:cs="宋体"/>
          <w:color w:val="000000"/>
          <w:sz w:val="24"/>
          <w:szCs w:val="24"/>
          <w:highlight w:val="none"/>
        </w:rPr>
      </w:pPr>
    </w:p>
    <w:p w14:paraId="293651F0">
      <w:pPr>
        <w:pStyle w:val="185"/>
        <w:rPr>
          <w:rFonts w:hint="eastAsia" w:ascii="宋体" w:hAnsi="宋体" w:eastAsia="宋体" w:cs="宋体"/>
          <w:color w:val="000000"/>
          <w:sz w:val="24"/>
          <w:szCs w:val="24"/>
          <w:highlight w:val="none"/>
        </w:rPr>
      </w:pPr>
    </w:p>
    <w:p w14:paraId="3331E810">
      <w:pPr>
        <w:rPr>
          <w:rFonts w:hint="eastAsia" w:ascii="宋体" w:hAnsi="宋体" w:eastAsia="宋体" w:cs="宋体"/>
          <w:color w:val="000000"/>
          <w:sz w:val="24"/>
          <w:szCs w:val="24"/>
          <w:highlight w:val="none"/>
        </w:rPr>
      </w:pPr>
    </w:p>
    <w:p w14:paraId="1970BF90">
      <w:pPr>
        <w:pStyle w:val="185"/>
        <w:rPr>
          <w:rFonts w:hint="eastAsia" w:ascii="宋体" w:hAnsi="宋体" w:eastAsia="宋体" w:cs="宋体"/>
          <w:color w:val="000000"/>
          <w:sz w:val="24"/>
          <w:szCs w:val="24"/>
          <w:highlight w:val="none"/>
        </w:rPr>
      </w:pPr>
    </w:p>
    <w:p w14:paraId="20992788">
      <w:pPr>
        <w:rPr>
          <w:rFonts w:hint="eastAsia" w:ascii="宋体" w:hAnsi="宋体" w:eastAsia="宋体" w:cs="宋体"/>
          <w:color w:val="000000"/>
          <w:sz w:val="24"/>
          <w:szCs w:val="24"/>
          <w:highlight w:val="none"/>
        </w:rPr>
      </w:pPr>
    </w:p>
    <w:p w14:paraId="3E4FAF4B">
      <w:pPr>
        <w:pStyle w:val="185"/>
        <w:rPr>
          <w:rFonts w:hint="eastAsia" w:ascii="宋体" w:hAnsi="宋体" w:eastAsia="宋体" w:cs="宋体"/>
          <w:color w:val="000000"/>
          <w:sz w:val="24"/>
          <w:szCs w:val="24"/>
          <w:highlight w:val="none"/>
        </w:rPr>
      </w:pPr>
    </w:p>
    <w:p w14:paraId="22722896">
      <w:pPr>
        <w:rPr>
          <w:rFonts w:hint="eastAsia"/>
          <w:color w:val="000000"/>
          <w:highlight w:val="none"/>
        </w:rPr>
      </w:pPr>
    </w:p>
    <w:p w14:paraId="060F9848">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10</w:t>
      </w:r>
      <w:r>
        <w:rPr>
          <w:rFonts w:hint="eastAsia" w:ascii="宋体" w:hAnsi="宋体" w:eastAsia="宋体" w:cs="宋体"/>
          <w:color w:val="000000"/>
          <w:sz w:val="24"/>
          <w:szCs w:val="24"/>
          <w:highlight w:val="none"/>
        </w:rPr>
        <w:t xml:space="preserve">  相关业绩案例一览表</w:t>
      </w:r>
    </w:p>
    <w:p w14:paraId="573F99E1">
      <w:pPr>
        <w:rPr>
          <w:rFonts w:hint="eastAsia" w:ascii="宋体" w:hAnsi="宋体" w:eastAsia="宋体" w:cs="宋体"/>
          <w:color w:val="000000"/>
          <w:sz w:val="24"/>
          <w:szCs w:val="24"/>
          <w:highlight w:val="none"/>
        </w:rPr>
      </w:pPr>
    </w:p>
    <w:p w14:paraId="67E8D4D2">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相关业绩案例一览表</w:t>
      </w:r>
      <w:bookmarkEnd w:id="886"/>
      <w:bookmarkEnd w:id="887"/>
    </w:p>
    <w:p w14:paraId="6067750F">
      <w:pPr>
        <w:spacing w:line="360" w:lineRule="auto"/>
        <w:jc w:val="center"/>
        <w:rPr>
          <w:rFonts w:hint="eastAsia" w:ascii="宋体" w:hAnsi="宋体" w:eastAsia="宋体" w:cs="宋体"/>
          <w:b/>
          <w:color w:val="000000"/>
          <w:sz w:val="24"/>
          <w:szCs w:val="24"/>
          <w:highlight w:val="none"/>
        </w:rPr>
      </w:pPr>
    </w:p>
    <w:p w14:paraId="3A6C1F24">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项目编号：</w:t>
      </w:r>
      <w:r>
        <w:rPr>
          <w:rFonts w:hint="eastAsia" w:ascii="宋体" w:hAnsi="宋体" w:eastAsia="宋体" w:cs="宋体"/>
          <w:color w:val="000000"/>
          <w:sz w:val="24"/>
          <w:szCs w:val="24"/>
          <w:highlight w:val="none"/>
          <w:u w:val="single"/>
        </w:rPr>
        <w:t xml:space="preserve">                   </w:t>
      </w:r>
    </w:p>
    <w:tbl>
      <w:tblPr>
        <w:tblStyle w:val="28"/>
        <w:tblW w:w="9011" w:type="dxa"/>
        <w:jc w:val="center"/>
        <w:tblLayout w:type="fixed"/>
        <w:tblCellMar>
          <w:top w:w="0" w:type="dxa"/>
          <w:left w:w="108" w:type="dxa"/>
          <w:bottom w:w="0" w:type="dxa"/>
          <w:right w:w="108" w:type="dxa"/>
        </w:tblCellMar>
      </w:tblPr>
      <w:tblGrid>
        <w:gridCol w:w="1284"/>
        <w:gridCol w:w="1681"/>
        <w:gridCol w:w="1521"/>
        <w:gridCol w:w="1198"/>
        <w:gridCol w:w="1730"/>
        <w:gridCol w:w="1597"/>
      </w:tblGrid>
      <w:tr w14:paraId="027303EF">
        <w:tblPrEx>
          <w:tblCellMar>
            <w:top w:w="0" w:type="dxa"/>
            <w:left w:w="108" w:type="dxa"/>
            <w:bottom w:w="0" w:type="dxa"/>
            <w:right w:w="108" w:type="dxa"/>
          </w:tblCellMar>
        </w:tblPrEx>
        <w:trPr>
          <w:trHeight w:val="498" w:hRule="atLeast"/>
          <w:jc w:val="center"/>
        </w:trPr>
        <w:tc>
          <w:tcPr>
            <w:tcW w:w="1284" w:type="dxa"/>
            <w:tcBorders>
              <w:top w:val="single" w:color="000000" w:sz="6" w:space="0"/>
              <w:left w:val="single" w:color="000000" w:sz="6" w:space="0"/>
              <w:bottom w:val="single" w:color="000000" w:sz="6" w:space="0"/>
              <w:right w:val="single" w:color="000000" w:sz="6" w:space="0"/>
            </w:tcBorders>
            <w:noWrap w:val="0"/>
            <w:vAlign w:val="center"/>
          </w:tcPr>
          <w:p w14:paraId="5DB50DE1">
            <w:pPr>
              <w:tabs>
                <w:tab w:val="left" w:pos="9765"/>
              </w:tabs>
              <w:spacing w:line="360" w:lineRule="auto"/>
              <w:jc w:val="center"/>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项目时间</w:t>
            </w:r>
          </w:p>
        </w:tc>
        <w:tc>
          <w:tcPr>
            <w:tcW w:w="1681" w:type="dxa"/>
            <w:tcBorders>
              <w:top w:val="single" w:color="000000" w:sz="6" w:space="0"/>
              <w:left w:val="single" w:color="000000" w:sz="6" w:space="0"/>
              <w:bottom w:val="single" w:color="000000" w:sz="6" w:space="0"/>
              <w:right w:val="single" w:color="000000" w:sz="6" w:space="0"/>
            </w:tcBorders>
            <w:noWrap w:val="0"/>
            <w:vAlign w:val="center"/>
          </w:tcPr>
          <w:p w14:paraId="106A8F28">
            <w:pPr>
              <w:tabs>
                <w:tab w:val="left" w:pos="9765"/>
              </w:tabs>
              <w:spacing w:line="360" w:lineRule="auto"/>
              <w:jc w:val="center"/>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项目甲方单位</w:t>
            </w:r>
          </w:p>
        </w:tc>
        <w:tc>
          <w:tcPr>
            <w:tcW w:w="1521" w:type="dxa"/>
            <w:tcBorders>
              <w:top w:val="single" w:color="000000" w:sz="6" w:space="0"/>
              <w:left w:val="single" w:color="000000" w:sz="6" w:space="0"/>
              <w:bottom w:val="single" w:color="000000" w:sz="6" w:space="0"/>
              <w:right w:val="single" w:color="000000" w:sz="6" w:space="0"/>
            </w:tcBorders>
            <w:noWrap w:val="0"/>
            <w:vAlign w:val="center"/>
          </w:tcPr>
          <w:p w14:paraId="09C56FD8">
            <w:pPr>
              <w:tabs>
                <w:tab w:val="left" w:pos="9765"/>
              </w:tabs>
              <w:spacing w:line="360" w:lineRule="auto"/>
              <w:jc w:val="center"/>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项目名称</w:t>
            </w:r>
          </w:p>
        </w:tc>
        <w:tc>
          <w:tcPr>
            <w:tcW w:w="1198" w:type="dxa"/>
            <w:tcBorders>
              <w:top w:val="single" w:color="000000" w:sz="6" w:space="0"/>
              <w:left w:val="single" w:color="000000" w:sz="6" w:space="0"/>
              <w:bottom w:val="single" w:color="000000" w:sz="6" w:space="0"/>
              <w:right w:val="single" w:color="000000" w:sz="6" w:space="0"/>
            </w:tcBorders>
            <w:noWrap w:val="0"/>
            <w:vAlign w:val="center"/>
          </w:tcPr>
          <w:p w14:paraId="11CDC5A0">
            <w:pPr>
              <w:tabs>
                <w:tab w:val="left" w:pos="9765"/>
              </w:tabs>
              <w:spacing w:line="360" w:lineRule="auto"/>
              <w:jc w:val="center"/>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合同金额</w:t>
            </w:r>
          </w:p>
        </w:tc>
        <w:tc>
          <w:tcPr>
            <w:tcW w:w="1730" w:type="dxa"/>
            <w:tcBorders>
              <w:top w:val="single" w:color="000000" w:sz="6" w:space="0"/>
              <w:left w:val="single" w:color="000000" w:sz="6" w:space="0"/>
              <w:bottom w:val="single" w:color="000000" w:sz="6" w:space="0"/>
              <w:right w:val="single" w:color="000000" w:sz="6" w:space="0"/>
            </w:tcBorders>
            <w:noWrap w:val="0"/>
            <w:vAlign w:val="center"/>
          </w:tcPr>
          <w:p w14:paraId="3993CC55">
            <w:pPr>
              <w:tabs>
                <w:tab w:val="left" w:pos="9765"/>
              </w:tabs>
              <w:spacing w:line="360" w:lineRule="auto"/>
              <w:jc w:val="center"/>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单位地址</w:t>
            </w:r>
          </w:p>
        </w:tc>
        <w:tc>
          <w:tcPr>
            <w:tcW w:w="1597" w:type="dxa"/>
            <w:tcBorders>
              <w:top w:val="single" w:color="000000" w:sz="6" w:space="0"/>
              <w:left w:val="single" w:color="000000" w:sz="6" w:space="0"/>
              <w:bottom w:val="single" w:color="000000" w:sz="6" w:space="0"/>
              <w:right w:val="single" w:color="000000" w:sz="6" w:space="0"/>
            </w:tcBorders>
            <w:noWrap w:val="0"/>
            <w:vAlign w:val="center"/>
          </w:tcPr>
          <w:p w14:paraId="20E149C2">
            <w:pPr>
              <w:tabs>
                <w:tab w:val="left" w:pos="9765"/>
              </w:tabs>
              <w:spacing w:line="360" w:lineRule="auto"/>
              <w:jc w:val="center"/>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联系电话</w:t>
            </w:r>
          </w:p>
        </w:tc>
      </w:tr>
      <w:tr w14:paraId="2C3FAD76">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center"/>
          </w:tcPr>
          <w:p w14:paraId="5A5A2F5D">
            <w:pPr>
              <w:tabs>
                <w:tab w:val="left" w:pos="9765"/>
              </w:tabs>
              <w:spacing w:line="360" w:lineRule="auto"/>
              <w:jc w:val="center"/>
              <w:rPr>
                <w:rFonts w:hint="eastAsia" w:ascii="宋体" w:hAnsi="宋体" w:eastAsia="宋体" w:cs="宋体"/>
                <w:color w:val="000000"/>
                <w:sz w:val="24"/>
                <w:szCs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center"/>
          </w:tcPr>
          <w:p w14:paraId="5BD9787F">
            <w:pPr>
              <w:tabs>
                <w:tab w:val="left" w:pos="9765"/>
              </w:tabs>
              <w:spacing w:line="360" w:lineRule="auto"/>
              <w:jc w:val="center"/>
              <w:rPr>
                <w:rFonts w:hint="eastAsia" w:ascii="宋体" w:hAnsi="宋体" w:eastAsia="宋体" w:cs="宋体"/>
                <w:color w:val="000000"/>
                <w:sz w:val="24"/>
                <w:szCs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center"/>
          </w:tcPr>
          <w:p w14:paraId="2F33FA28">
            <w:pPr>
              <w:tabs>
                <w:tab w:val="left" w:pos="9765"/>
              </w:tabs>
              <w:spacing w:line="360" w:lineRule="auto"/>
              <w:jc w:val="center"/>
              <w:rPr>
                <w:rFonts w:hint="eastAsia" w:ascii="宋体" w:hAnsi="宋体" w:eastAsia="宋体" w:cs="宋体"/>
                <w:color w:val="000000"/>
                <w:sz w:val="24"/>
                <w:szCs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center"/>
          </w:tcPr>
          <w:p w14:paraId="7577CF4A">
            <w:pPr>
              <w:tabs>
                <w:tab w:val="left" w:pos="9765"/>
              </w:tabs>
              <w:spacing w:line="360" w:lineRule="auto"/>
              <w:jc w:val="center"/>
              <w:rPr>
                <w:rFonts w:hint="eastAsia" w:ascii="宋体" w:hAnsi="宋体" w:eastAsia="宋体" w:cs="宋体"/>
                <w:color w:val="000000"/>
                <w:sz w:val="24"/>
                <w:szCs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center"/>
          </w:tcPr>
          <w:p w14:paraId="56EE4DAD">
            <w:pPr>
              <w:tabs>
                <w:tab w:val="left" w:pos="9765"/>
              </w:tabs>
              <w:spacing w:line="360" w:lineRule="auto"/>
              <w:ind w:hanging="523"/>
              <w:jc w:val="center"/>
              <w:rPr>
                <w:rFonts w:hint="eastAsia" w:ascii="宋体" w:hAnsi="宋体" w:eastAsia="宋体" w:cs="宋体"/>
                <w:color w:val="000000"/>
                <w:sz w:val="24"/>
                <w:szCs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center"/>
          </w:tcPr>
          <w:p w14:paraId="12789500">
            <w:pPr>
              <w:tabs>
                <w:tab w:val="left" w:pos="9765"/>
              </w:tabs>
              <w:spacing w:line="360" w:lineRule="auto"/>
              <w:ind w:hanging="523"/>
              <w:jc w:val="center"/>
              <w:rPr>
                <w:rFonts w:hint="eastAsia" w:ascii="宋体" w:hAnsi="宋体" w:eastAsia="宋体" w:cs="宋体"/>
                <w:color w:val="000000"/>
                <w:sz w:val="24"/>
                <w:szCs w:val="24"/>
                <w:highlight w:val="none"/>
              </w:rPr>
            </w:pPr>
          </w:p>
        </w:tc>
      </w:tr>
      <w:tr w14:paraId="6B00C3DC">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7E3B9368">
            <w:pPr>
              <w:tabs>
                <w:tab w:val="left" w:pos="9765"/>
              </w:tabs>
              <w:spacing w:line="360" w:lineRule="auto"/>
              <w:rPr>
                <w:rFonts w:hint="eastAsia" w:ascii="宋体" w:hAnsi="宋体" w:eastAsia="宋体" w:cs="宋体"/>
                <w:color w:val="000000"/>
                <w:sz w:val="24"/>
                <w:szCs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59EC9DCF">
            <w:pPr>
              <w:tabs>
                <w:tab w:val="left" w:pos="9765"/>
              </w:tabs>
              <w:spacing w:line="360" w:lineRule="auto"/>
              <w:rPr>
                <w:rFonts w:hint="eastAsia" w:ascii="宋体" w:hAnsi="宋体" w:eastAsia="宋体" w:cs="宋体"/>
                <w:color w:val="000000"/>
                <w:sz w:val="24"/>
                <w:szCs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475EC71E">
            <w:pPr>
              <w:tabs>
                <w:tab w:val="left" w:pos="9765"/>
              </w:tabs>
              <w:spacing w:line="360" w:lineRule="auto"/>
              <w:rPr>
                <w:rFonts w:hint="eastAsia" w:ascii="宋体" w:hAnsi="宋体" w:eastAsia="宋体" w:cs="宋体"/>
                <w:color w:val="000000"/>
                <w:sz w:val="24"/>
                <w:szCs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40CABE21">
            <w:pPr>
              <w:tabs>
                <w:tab w:val="left" w:pos="9765"/>
              </w:tabs>
              <w:spacing w:line="360" w:lineRule="auto"/>
              <w:rPr>
                <w:rFonts w:hint="eastAsia" w:ascii="宋体" w:hAnsi="宋体" w:eastAsia="宋体" w:cs="宋体"/>
                <w:color w:val="000000"/>
                <w:sz w:val="24"/>
                <w:szCs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466FBA41">
            <w:pPr>
              <w:tabs>
                <w:tab w:val="left" w:pos="9765"/>
              </w:tabs>
              <w:spacing w:line="360" w:lineRule="auto"/>
              <w:rPr>
                <w:rFonts w:hint="eastAsia" w:ascii="宋体" w:hAnsi="宋体" w:eastAsia="宋体" w:cs="宋体"/>
                <w:color w:val="000000"/>
                <w:sz w:val="24"/>
                <w:szCs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387CF873">
            <w:pPr>
              <w:tabs>
                <w:tab w:val="left" w:pos="9765"/>
              </w:tabs>
              <w:spacing w:line="360" w:lineRule="auto"/>
              <w:rPr>
                <w:rFonts w:hint="eastAsia" w:ascii="宋体" w:hAnsi="宋体" w:eastAsia="宋体" w:cs="宋体"/>
                <w:color w:val="000000"/>
                <w:sz w:val="24"/>
                <w:szCs w:val="24"/>
                <w:highlight w:val="none"/>
              </w:rPr>
            </w:pPr>
          </w:p>
        </w:tc>
      </w:tr>
      <w:tr w14:paraId="7A856AC8">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561BEC2F">
            <w:pPr>
              <w:tabs>
                <w:tab w:val="left" w:pos="9765"/>
              </w:tabs>
              <w:spacing w:line="360" w:lineRule="auto"/>
              <w:rPr>
                <w:rFonts w:hint="eastAsia" w:ascii="宋体" w:hAnsi="宋体" w:eastAsia="宋体" w:cs="宋体"/>
                <w:color w:val="000000"/>
                <w:sz w:val="24"/>
                <w:szCs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73B122BA">
            <w:pPr>
              <w:tabs>
                <w:tab w:val="left" w:pos="9765"/>
              </w:tabs>
              <w:spacing w:line="360" w:lineRule="auto"/>
              <w:rPr>
                <w:rFonts w:hint="eastAsia" w:ascii="宋体" w:hAnsi="宋体" w:eastAsia="宋体" w:cs="宋体"/>
                <w:color w:val="000000"/>
                <w:sz w:val="24"/>
                <w:szCs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5FC2D410">
            <w:pPr>
              <w:tabs>
                <w:tab w:val="left" w:pos="9765"/>
              </w:tabs>
              <w:spacing w:line="360" w:lineRule="auto"/>
              <w:rPr>
                <w:rFonts w:hint="eastAsia" w:ascii="宋体" w:hAnsi="宋体" w:eastAsia="宋体" w:cs="宋体"/>
                <w:color w:val="000000"/>
                <w:sz w:val="24"/>
                <w:szCs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11B3E727">
            <w:pPr>
              <w:tabs>
                <w:tab w:val="left" w:pos="9765"/>
              </w:tabs>
              <w:spacing w:line="360" w:lineRule="auto"/>
              <w:rPr>
                <w:rFonts w:hint="eastAsia" w:ascii="宋体" w:hAnsi="宋体" w:eastAsia="宋体" w:cs="宋体"/>
                <w:color w:val="000000"/>
                <w:sz w:val="24"/>
                <w:szCs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49A24B61">
            <w:pPr>
              <w:tabs>
                <w:tab w:val="left" w:pos="9765"/>
              </w:tabs>
              <w:spacing w:line="360" w:lineRule="auto"/>
              <w:rPr>
                <w:rFonts w:hint="eastAsia" w:ascii="宋体" w:hAnsi="宋体" w:eastAsia="宋体" w:cs="宋体"/>
                <w:color w:val="000000"/>
                <w:sz w:val="24"/>
                <w:szCs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394BCF7A">
            <w:pPr>
              <w:tabs>
                <w:tab w:val="left" w:pos="9765"/>
              </w:tabs>
              <w:spacing w:line="360" w:lineRule="auto"/>
              <w:rPr>
                <w:rFonts w:hint="eastAsia" w:ascii="宋体" w:hAnsi="宋体" w:eastAsia="宋体" w:cs="宋体"/>
                <w:color w:val="000000"/>
                <w:sz w:val="24"/>
                <w:szCs w:val="24"/>
                <w:highlight w:val="none"/>
              </w:rPr>
            </w:pPr>
          </w:p>
        </w:tc>
      </w:tr>
      <w:tr w14:paraId="61BB2B83">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2C989F66">
            <w:pPr>
              <w:tabs>
                <w:tab w:val="left" w:pos="9765"/>
              </w:tabs>
              <w:spacing w:line="360" w:lineRule="auto"/>
              <w:rPr>
                <w:rFonts w:hint="eastAsia" w:ascii="宋体" w:hAnsi="宋体" w:eastAsia="宋体" w:cs="宋体"/>
                <w:color w:val="000000"/>
                <w:sz w:val="24"/>
                <w:szCs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304DD426">
            <w:pPr>
              <w:tabs>
                <w:tab w:val="left" w:pos="9765"/>
              </w:tabs>
              <w:spacing w:line="360" w:lineRule="auto"/>
              <w:rPr>
                <w:rFonts w:hint="eastAsia" w:ascii="宋体" w:hAnsi="宋体" w:eastAsia="宋体" w:cs="宋体"/>
                <w:color w:val="000000"/>
                <w:sz w:val="24"/>
                <w:szCs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5F0091E5">
            <w:pPr>
              <w:tabs>
                <w:tab w:val="left" w:pos="9765"/>
              </w:tabs>
              <w:spacing w:line="360" w:lineRule="auto"/>
              <w:rPr>
                <w:rFonts w:hint="eastAsia" w:ascii="宋体" w:hAnsi="宋体" w:eastAsia="宋体" w:cs="宋体"/>
                <w:color w:val="000000"/>
                <w:sz w:val="24"/>
                <w:szCs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472E52A0">
            <w:pPr>
              <w:tabs>
                <w:tab w:val="left" w:pos="9765"/>
              </w:tabs>
              <w:spacing w:line="360" w:lineRule="auto"/>
              <w:rPr>
                <w:rFonts w:hint="eastAsia" w:ascii="宋体" w:hAnsi="宋体" w:eastAsia="宋体" w:cs="宋体"/>
                <w:color w:val="000000"/>
                <w:sz w:val="24"/>
                <w:szCs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7B14E0C2">
            <w:pPr>
              <w:tabs>
                <w:tab w:val="left" w:pos="9765"/>
              </w:tabs>
              <w:spacing w:line="360" w:lineRule="auto"/>
              <w:rPr>
                <w:rFonts w:hint="eastAsia" w:ascii="宋体" w:hAnsi="宋体" w:eastAsia="宋体" w:cs="宋体"/>
                <w:color w:val="000000"/>
                <w:sz w:val="24"/>
                <w:szCs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2F1DD77E">
            <w:pPr>
              <w:tabs>
                <w:tab w:val="left" w:pos="9765"/>
              </w:tabs>
              <w:spacing w:line="360" w:lineRule="auto"/>
              <w:rPr>
                <w:rFonts w:hint="eastAsia" w:ascii="宋体" w:hAnsi="宋体" w:eastAsia="宋体" w:cs="宋体"/>
                <w:color w:val="000000"/>
                <w:sz w:val="24"/>
                <w:szCs w:val="24"/>
                <w:highlight w:val="none"/>
              </w:rPr>
            </w:pPr>
          </w:p>
        </w:tc>
      </w:tr>
      <w:tr w14:paraId="26802618">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181FB6C9">
            <w:pPr>
              <w:tabs>
                <w:tab w:val="left" w:pos="9765"/>
              </w:tabs>
              <w:spacing w:line="360" w:lineRule="auto"/>
              <w:rPr>
                <w:rFonts w:hint="eastAsia" w:ascii="宋体" w:hAnsi="宋体" w:eastAsia="宋体" w:cs="宋体"/>
                <w:color w:val="000000"/>
                <w:sz w:val="24"/>
                <w:szCs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71AD02FB">
            <w:pPr>
              <w:tabs>
                <w:tab w:val="left" w:pos="9765"/>
              </w:tabs>
              <w:spacing w:line="360" w:lineRule="auto"/>
              <w:rPr>
                <w:rFonts w:hint="eastAsia" w:ascii="宋体" w:hAnsi="宋体" w:eastAsia="宋体" w:cs="宋体"/>
                <w:color w:val="000000"/>
                <w:sz w:val="24"/>
                <w:szCs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5228AA30">
            <w:pPr>
              <w:tabs>
                <w:tab w:val="left" w:pos="9765"/>
              </w:tabs>
              <w:spacing w:line="360" w:lineRule="auto"/>
              <w:rPr>
                <w:rFonts w:hint="eastAsia" w:ascii="宋体" w:hAnsi="宋体" w:eastAsia="宋体" w:cs="宋体"/>
                <w:color w:val="000000"/>
                <w:sz w:val="24"/>
                <w:szCs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2B6DC49C">
            <w:pPr>
              <w:tabs>
                <w:tab w:val="left" w:pos="9765"/>
              </w:tabs>
              <w:spacing w:line="360" w:lineRule="auto"/>
              <w:rPr>
                <w:rFonts w:hint="eastAsia" w:ascii="宋体" w:hAnsi="宋体" w:eastAsia="宋体" w:cs="宋体"/>
                <w:color w:val="000000"/>
                <w:sz w:val="24"/>
                <w:szCs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659F34C5">
            <w:pPr>
              <w:tabs>
                <w:tab w:val="left" w:pos="9765"/>
              </w:tabs>
              <w:spacing w:line="360" w:lineRule="auto"/>
              <w:rPr>
                <w:rFonts w:hint="eastAsia" w:ascii="宋体" w:hAnsi="宋体" w:eastAsia="宋体" w:cs="宋体"/>
                <w:color w:val="000000"/>
                <w:sz w:val="24"/>
                <w:szCs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750AEBC5">
            <w:pPr>
              <w:tabs>
                <w:tab w:val="left" w:pos="9765"/>
              </w:tabs>
              <w:spacing w:line="360" w:lineRule="auto"/>
              <w:rPr>
                <w:rFonts w:hint="eastAsia" w:ascii="宋体" w:hAnsi="宋体" w:eastAsia="宋体" w:cs="宋体"/>
                <w:color w:val="000000"/>
                <w:sz w:val="24"/>
                <w:szCs w:val="24"/>
                <w:highlight w:val="none"/>
              </w:rPr>
            </w:pPr>
          </w:p>
        </w:tc>
      </w:tr>
      <w:tr w14:paraId="6484A619">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68617466">
            <w:pPr>
              <w:tabs>
                <w:tab w:val="left" w:pos="9765"/>
              </w:tabs>
              <w:spacing w:line="360" w:lineRule="auto"/>
              <w:rPr>
                <w:rFonts w:hint="eastAsia" w:ascii="宋体" w:hAnsi="宋体" w:eastAsia="宋体" w:cs="宋体"/>
                <w:color w:val="000000"/>
                <w:sz w:val="24"/>
                <w:szCs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34D596C4">
            <w:pPr>
              <w:tabs>
                <w:tab w:val="left" w:pos="9765"/>
              </w:tabs>
              <w:spacing w:line="360" w:lineRule="auto"/>
              <w:rPr>
                <w:rFonts w:hint="eastAsia" w:ascii="宋体" w:hAnsi="宋体" w:eastAsia="宋体" w:cs="宋体"/>
                <w:color w:val="000000"/>
                <w:sz w:val="24"/>
                <w:szCs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310DD6D8">
            <w:pPr>
              <w:tabs>
                <w:tab w:val="left" w:pos="9765"/>
              </w:tabs>
              <w:spacing w:line="360" w:lineRule="auto"/>
              <w:rPr>
                <w:rFonts w:hint="eastAsia" w:ascii="宋体" w:hAnsi="宋体" w:eastAsia="宋体" w:cs="宋体"/>
                <w:color w:val="000000"/>
                <w:sz w:val="24"/>
                <w:szCs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3CDBEFF5">
            <w:pPr>
              <w:tabs>
                <w:tab w:val="left" w:pos="9765"/>
              </w:tabs>
              <w:spacing w:line="360" w:lineRule="auto"/>
              <w:rPr>
                <w:rFonts w:hint="eastAsia" w:ascii="宋体" w:hAnsi="宋体" w:eastAsia="宋体" w:cs="宋体"/>
                <w:color w:val="000000"/>
                <w:sz w:val="24"/>
                <w:szCs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7277DE50">
            <w:pPr>
              <w:tabs>
                <w:tab w:val="left" w:pos="9765"/>
              </w:tabs>
              <w:spacing w:line="360" w:lineRule="auto"/>
              <w:rPr>
                <w:rFonts w:hint="eastAsia" w:ascii="宋体" w:hAnsi="宋体" w:eastAsia="宋体" w:cs="宋体"/>
                <w:color w:val="000000"/>
                <w:sz w:val="24"/>
                <w:szCs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609FA58D">
            <w:pPr>
              <w:tabs>
                <w:tab w:val="left" w:pos="9765"/>
              </w:tabs>
              <w:spacing w:line="360" w:lineRule="auto"/>
              <w:rPr>
                <w:rFonts w:hint="eastAsia" w:ascii="宋体" w:hAnsi="宋体" w:eastAsia="宋体" w:cs="宋体"/>
                <w:color w:val="000000"/>
                <w:sz w:val="24"/>
                <w:szCs w:val="24"/>
                <w:highlight w:val="none"/>
              </w:rPr>
            </w:pPr>
          </w:p>
        </w:tc>
      </w:tr>
      <w:tr w14:paraId="6D31710C">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2D7A01A1">
            <w:pPr>
              <w:tabs>
                <w:tab w:val="left" w:pos="9765"/>
              </w:tabs>
              <w:spacing w:line="360" w:lineRule="auto"/>
              <w:rPr>
                <w:rFonts w:hint="eastAsia" w:ascii="宋体" w:hAnsi="宋体" w:eastAsia="宋体" w:cs="宋体"/>
                <w:color w:val="000000"/>
                <w:sz w:val="24"/>
                <w:szCs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10C3E6FC">
            <w:pPr>
              <w:tabs>
                <w:tab w:val="left" w:pos="9765"/>
              </w:tabs>
              <w:spacing w:line="360" w:lineRule="auto"/>
              <w:rPr>
                <w:rFonts w:hint="eastAsia" w:ascii="宋体" w:hAnsi="宋体" w:eastAsia="宋体" w:cs="宋体"/>
                <w:color w:val="000000"/>
                <w:sz w:val="24"/>
                <w:szCs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16B6F097">
            <w:pPr>
              <w:tabs>
                <w:tab w:val="left" w:pos="9765"/>
              </w:tabs>
              <w:spacing w:line="360" w:lineRule="auto"/>
              <w:rPr>
                <w:rFonts w:hint="eastAsia" w:ascii="宋体" w:hAnsi="宋体" w:eastAsia="宋体" w:cs="宋体"/>
                <w:color w:val="000000"/>
                <w:sz w:val="24"/>
                <w:szCs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6874F155">
            <w:pPr>
              <w:tabs>
                <w:tab w:val="left" w:pos="9765"/>
              </w:tabs>
              <w:spacing w:line="360" w:lineRule="auto"/>
              <w:rPr>
                <w:rFonts w:hint="eastAsia" w:ascii="宋体" w:hAnsi="宋体" w:eastAsia="宋体" w:cs="宋体"/>
                <w:color w:val="000000"/>
                <w:sz w:val="24"/>
                <w:szCs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304D51B8">
            <w:pPr>
              <w:tabs>
                <w:tab w:val="left" w:pos="9765"/>
              </w:tabs>
              <w:spacing w:line="360" w:lineRule="auto"/>
              <w:rPr>
                <w:rFonts w:hint="eastAsia" w:ascii="宋体" w:hAnsi="宋体" w:eastAsia="宋体" w:cs="宋体"/>
                <w:color w:val="000000"/>
                <w:sz w:val="24"/>
                <w:szCs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20037F18">
            <w:pPr>
              <w:tabs>
                <w:tab w:val="left" w:pos="9765"/>
              </w:tabs>
              <w:spacing w:line="360" w:lineRule="auto"/>
              <w:rPr>
                <w:rFonts w:hint="eastAsia" w:ascii="宋体" w:hAnsi="宋体" w:eastAsia="宋体" w:cs="宋体"/>
                <w:color w:val="000000"/>
                <w:sz w:val="24"/>
                <w:szCs w:val="24"/>
                <w:highlight w:val="none"/>
              </w:rPr>
            </w:pPr>
          </w:p>
        </w:tc>
      </w:tr>
      <w:tr w14:paraId="1043EF86">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338258EE">
            <w:pPr>
              <w:tabs>
                <w:tab w:val="left" w:pos="9765"/>
              </w:tabs>
              <w:spacing w:line="360" w:lineRule="auto"/>
              <w:rPr>
                <w:rFonts w:hint="eastAsia" w:ascii="宋体" w:hAnsi="宋体" w:eastAsia="宋体" w:cs="宋体"/>
                <w:color w:val="000000"/>
                <w:sz w:val="24"/>
                <w:szCs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1361A83E">
            <w:pPr>
              <w:tabs>
                <w:tab w:val="left" w:pos="9765"/>
              </w:tabs>
              <w:spacing w:line="360" w:lineRule="auto"/>
              <w:rPr>
                <w:rFonts w:hint="eastAsia" w:ascii="宋体" w:hAnsi="宋体" w:eastAsia="宋体" w:cs="宋体"/>
                <w:color w:val="000000"/>
                <w:sz w:val="24"/>
                <w:szCs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7A3E2381">
            <w:pPr>
              <w:tabs>
                <w:tab w:val="left" w:pos="9765"/>
              </w:tabs>
              <w:spacing w:line="360" w:lineRule="auto"/>
              <w:rPr>
                <w:rFonts w:hint="eastAsia" w:ascii="宋体" w:hAnsi="宋体" w:eastAsia="宋体" w:cs="宋体"/>
                <w:color w:val="000000"/>
                <w:sz w:val="24"/>
                <w:szCs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00C3C610">
            <w:pPr>
              <w:tabs>
                <w:tab w:val="left" w:pos="9765"/>
              </w:tabs>
              <w:spacing w:line="360" w:lineRule="auto"/>
              <w:rPr>
                <w:rFonts w:hint="eastAsia" w:ascii="宋体" w:hAnsi="宋体" w:eastAsia="宋体" w:cs="宋体"/>
                <w:color w:val="000000"/>
                <w:sz w:val="24"/>
                <w:szCs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496385EF">
            <w:pPr>
              <w:tabs>
                <w:tab w:val="left" w:pos="9765"/>
              </w:tabs>
              <w:spacing w:line="360" w:lineRule="auto"/>
              <w:rPr>
                <w:rFonts w:hint="eastAsia" w:ascii="宋体" w:hAnsi="宋体" w:eastAsia="宋体" w:cs="宋体"/>
                <w:color w:val="000000"/>
                <w:sz w:val="24"/>
                <w:szCs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39E56D98">
            <w:pPr>
              <w:tabs>
                <w:tab w:val="left" w:pos="9765"/>
              </w:tabs>
              <w:spacing w:line="360" w:lineRule="auto"/>
              <w:rPr>
                <w:rFonts w:hint="eastAsia" w:ascii="宋体" w:hAnsi="宋体" w:eastAsia="宋体" w:cs="宋体"/>
                <w:color w:val="000000"/>
                <w:sz w:val="24"/>
                <w:szCs w:val="24"/>
                <w:highlight w:val="none"/>
              </w:rPr>
            </w:pPr>
          </w:p>
        </w:tc>
      </w:tr>
      <w:tr w14:paraId="497A711A">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07CB2D9B">
            <w:pPr>
              <w:tabs>
                <w:tab w:val="left" w:pos="9765"/>
              </w:tabs>
              <w:spacing w:line="360" w:lineRule="auto"/>
              <w:rPr>
                <w:rFonts w:hint="eastAsia" w:ascii="宋体" w:hAnsi="宋体" w:eastAsia="宋体" w:cs="宋体"/>
                <w:color w:val="000000"/>
                <w:sz w:val="24"/>
                <w:szCs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4D5D97AD">
            <w:pPr>
              <w:tabs>
                <w:tab w:val="left" w:pos="9765"/>
              </w:tabs>
              <w:spacing w:line="360" w:lineRule="auto"/>
              <w:rPr>
                <w:rFonts w:hint="eastAsia" w:ascii="宋体" w:hAnsi="宋体" w:eastAsia="宋体" w:cs="宋体"/>
                <w:color w:val="000000"/>
                <w:sz w:val="24"/>
                <w:szCs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3D1B35FA">
            <w:pPr>
              <w:tabs>
                <w:tab w:val="left" w:pos="9765"/>
              </w:tabs>
              <w:spacing w:line="360" w:lineRule="auto"/>
              <w:rPr>
                <w:rFonts w:hint="eastAsia" w:ascii="宋体" w:hAnsi="宋体" w:eastAsia="宋体" w:cs="宋体"/>
                <w:color w:val="000000"/>
                <w:sz w:val="24"/>
                <w:szCs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08C9F6CE">
            <w:pPr>
              <w:tabs>
                <w:tab w:val="left" w:pos="9765"/>
              </w:tabs>
              <w:spacing w:line="360" w:lineRule="auto"/>
              <w:rPr>
                <w:rFonts w:hint="eastAsia" w:ascii="宋体" w:hAnsi="宋体" w:eastAsia="宋体" w:cs="宋体"/>
                <w:color w:val="000000"/>
                <w:sz w:val="24"/>
                <w:szCs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2E20B634">
            <w:pPr>
              <w:tabs>
                <w:tab w:val="left" w:pos="9765"/>
              </w:tabs>
              <w:spacing w:line="360" w:lineRule="auto"/>
              <w:rPr>
                <w:rFonts w:hint="eastAsia" w:ascii="宋体" w:hAnsi="宋体" w:eastAsia="宋体" w:cs="宋体"/>
                <w:color w:val="000000"/>
                <w:sz w:val="24"/>
                <w:szCs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4C3B9621">
            <w:pPr>
              <w:tabs>
                <w:tab w:val="left" w:pos="9765"/>
              </w:tabs>
              <w:spacing w:line="360" w:lineRule="auto"/>
              <w:rPr>
                <w:rFonts w:hint="eastAsia" w:ascii="宋体" w:hAnsi="宋体" w:eastAsia="宋体" w:cs="宋体"/>
                <w:color w:val="000000"/>
                <w:sz w:val="24"/>
                <w:szCs w:val="24"/>
                <w:highlight w:val="none"/>
              </w:rPr>
            </w:pPr>
          </w:p>
        </w:tc>
      </w:tr>
    </w:tbl>
    <w:p w14:paraId="73D18C5C">
      <w:pPr>
        <w:tabs>
          <w:tab w:val="left" w:pos="9765"/>
        </w:tabs>
        <w:rPr>
          <w:rFonts w:hint="eastAsia" w:ascii="宋体" w:hAnsi="宋体" w:eastAsia="宋体" w:cs="宋体"/>
          <w:color w:val="000000"/>
          <w:sz w:val="24"/>
          <w:szCs w:val="24"/>
          <w:highlight w:val="none"/>
          <w:lang w:val="zh-CN"/>
        </w:rPr>
      </w:pPr>
    </w:p>
    <w:p w14:paraId="117A5A10">
      <w:pPr>
        <w:spacing w:line="360" w:lineRule="auto"/>
        <w:rPr>
          <w:rFonts w:hint="eastAsia" w:ascii="宋体" w:hAnsi="宋体" w:eastAsia="宋体" w:cs="宋体"/>
          <w:color w:val="000000"/>
          <w:sz w:val="24"/>
          <w:szCs w:val="24"/>
          <w:highlight w:val="none"/>
        </w:rPr>
      </w:pPr>
    </w:p>
    <w:p w14:paraId="3EB21A40">
      <w:pPr>
        <w:spacing w:before="25" w:after="25"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供应商名称（加盖公章）</w:t>
      </w:r>
      <w:r>
        <w:rPr>
          <w:rFonts w:hint="eastAsia" w:ascii="宋体" w:hAnsi="宋体" w:eastAsia="宋体" w:cs="宋体"/>
          <w:color w:val="000000"/>
          <w:sz w:val="24"/>
          <w:szCs w:val="24"/>
          <w:highlight w:val="none"/>
          <w:lang w:val="zh-CN"/>
        </w:rPr>
        <w:t>：    ____________</w:t>
      </w:r>
    </w:p>
    <w:p w14:paraId="4B22871B">
      <w:pPr>
        <w:spacing w:before="25" w:after="25"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日期：_____年______月______日   </w:t>
      </w:r>
    </w:p>
    <w:p w14:paraId="3D85E4AA">
      <w:pPr>
        <w:spacing w:line="360" w:lineRule="auto"/>
        <w:outlineLvl w:val="2"/>
        <w:rPr>
          <w:rFonts w:hint="eastAsia" w:ascii="宋体" w:hAnsi="宋体" w:eastAsia="宋体" w:cs="宋体"/>
          <w:color w:val="000000"/>
          <w:sz w:val="24"/>
          <w:szCs w:val="24"/>
          <w:highlight w:val="none"/>
        </w:rPr>
      </w:pPr>
    </w:p>
    <w:p w14:paraId="790C4B19">
      <w:pPr>
        <w:spacing w:line="360" w:lineRule="auto"/>
        <w:outlineLvl w:val="2"/>
        <w:rPr>
          <w:rFonts w:hint="eastAsia" w:ascii="宋体" w:hAnsi="宋体" w:eastAsia="宋体" w:cs="宋体"/>
          <w:color w:val="000000"/>
          <w:sz w:val="24"/>
          <w:szCs w:val="24"/>
          <w:highlight w:val="none"/>
        </w:rPr>
      </w:pPr>
    </w:p>
    <w:p w14:paraId="53A3AA3C">
      <w:pPr>
        <w:spacing w:line="360" w:lineRule="auto"/>
        <w:outlineLvl w:val="2"/>
        <w:rPr>
          <w:rFonts w:hint="eastAsia" w:ascii="宋体" w:hAnsi="宋体" w:eastAsia="宋体" w:cs="宋体"/>
          <w:color w:val="000000"/>
          <w:sz w:val="24"/>
          <w:szCs w:val="24"/>
          <w:highlight w:val="none"/>
        </w:rPr>
      </w:pPr>
    </w:p>
    <w:p w14:paraId="38ABF112">
      <w:pPr>
        <w:spacing w:line="360" w:lineRule="auto"/>
        <w:outlineLvl w:val="2"/>
        <w:rPr>
          <w:rFonts w:hint="eastAsia" w:ascii="宋体" w:hAnsi="宋体" w:eastAsia="宋体" w:cs="宋体"/>
          <w:color w:val="000000"/>
          <w:sz w:val="24"/>
          <w:szCs w:val="24"/>
          <w:highlight w:val="none"/>
        </w:rPr>
      </w:pPr>
    </w:p>
    <w:p w14:paraId="0AF386D5">
      <w:pPr>
        <w:spacing w:line="360" w:lineRule="auto"/>
        <w:outlineLvl w:val="2"/>
        <w:rPr>
          <w:rFonts w:hint="eastAsia" w:ascii="宋体" w:hAnsi="宋体" w:eastAsia="宋体" w:cs="宋体"/>
          <w:color w:val="000000"/>
          <w:sz w:val="24"/>
          <w:szCs w:val="24"/>
          <w:highlight w:val="none"/>
        </w:rPr>
      </w:pPr>
    </w:p>
    <w:p w14:paraId="3C1CFE20">
      <w:pPr>
        <w:spacing w:line="360" w:lineRule="auto"/>
        <w:outlineLvl w:val="2"/>
        <w:rPr>
          <w:rFonts w:hint="eastAsia" w:ascii="宋体" w:hAnsi="宋体" w:eastAsia="宋体" w:cs="宋体"/>
          <w:color w:val="000000"/>
          <w:sz w:val="24"/>
          <w:szCs w:val="24"/>
          <w:highlight w:val="none"/>
        </w:rPr>
      </w:pPr>
    </w:p>
    <w:p w14:paraId="3B2C8A95">
      <w:pPr>
        <w:spacing w:line="360" w:lineRule="auto"/>
        <w:outlineLvl w:val="2"/>
        <w:rPr>
          <w:rFonts w:hint="eastAsia" w:ascii="宋体" w:hAnsi="宋体" w:eastAsia="宋体" w:cs="宋体"/>
          <w:color w:val="000000"/>
          <w:sz w:val="24"/>
          <w:szCs w:val="24"/>
          <w:highlight w:val="none"/>
        </w:rPr>
      </w:pPr>
    </w:p>
    <w:p w14:paraId="5E1DCD59">
      <w:pPr>
        <w:spacing w:line="360" w:lineRule="auto"/>
        <w:outlineLvl w:val="2"/>
        <w:rPr>
          <w:rFonts w:hint="eastAsia" w:ascii="宋体" w:hAnsi="宋体" w:eastAsia="宋体" w:cs="宋体"/>
          <w:color w:val="000000"/>
          <w:sz w:val="24"/>
          <w:szCs w:val="24"/>
          <w:highlight w:val="none"/>
        </w:rPr>
      </w:pPr>
    </w:p>
    <w:p w14:paraId="4A7CFFC3">
      <w:pPr>
        <w:pStyle w:val="183"/>
        <w:rPr>
          <w:rFonts w:hint="eastAsia" w:ascii="宋体" w:hAnsi="宋体" w:eastAsia="宋体" w:cs="宋体"/>
          <w:color w:val="000000"/>
          <w:sz w:val="24"/>
          <w:szCs w:val="24"/>
          <w:highlight w:val="none"/>
        </w:rPr>
      </w:pPr>
    </w:p>
    <w:p w14:paraId="4021AB6F">
      <w:pPr>
        <w:rPr>
          <w:rFonts w:hint="eastAsia" w:ascii="宋体" w:hAnsi="宋体" w:eastAsia="宋体" w:cs="宋体"/>
          <w:color w:val="000000"/>
          <w:sz w:val="24"/>
          <w:szCs w:val="24"/>
          <w:highlight w:val="none"/>
        </w:rPr>
      </w:pPr>
    </w:p>
    <w:p w14:paraId="61D2809B">
      <w:pPr>
        <w:pStyle w:val="183"/>
        <w:rPr>
          <w:rFonts w:hint="eastAsia" w:ascii="宋体" w:hAnsi="宋体" w:eastAsia="宋体" w:cs="宋体"/>
          <w:color w:val="000000"/>
          <w:sz w:val="24"/>
          <w:szCs w:val="24"/>
          <w:highlight w:val="none"/>
        </w:rPr>
      </w:pPr>
    </w:p>
    <w:p w14:paraId="4191F2DD">
      <w:pPr>
        <w:rPr>
          <w:rFonts w:hint="eastAsia" w:ascii="宋体" w:hAnsi="宋体" w:eastAsia="宋体" w:cs="宋体"/>
          <w:color w:val="000000"/>
          <w:sz w:val="24"/>
          <w:szCs w:val="24"/>
          <w:highlight w:val="none"/>
        </w:rPr>
      </w:pPr>
    </w:p>
    <w:p w14:paraId="66156DBA">
      <w:pPr>
        <w:pStyle w:val="183"/>
        <w:jc w:val="both"/>
        <w:rPr>
          <w:rFonts w:hint="eastAsia"/>
        </w:rPr>
      </w:pPr>
      <w:r>
        <w:rPr>
          <w:rFonts w:hint="eastAsia" w:ascii="宋体" w:hAnsi="宋体" w:eastAsia="宋体" w:cs="宋体"/>
          <w:color w:val="000000"/>
          <w:sz w:val="24"/>
          <w:szCs w:val="24"/>
          <w:highlight w:val="none"/>
          <w:lang w:val="en-US" w:eastAsia="zh-CN"/>
        </w:rPr>
        <w:t xml:space="preserve">11 </w:t>
      </w:r>
      <w:r>
        <w:rPr>
          <w:rFonts w:hint="eastAsia" w:ascii="宋体" w:hAnsi="宋体" w:eastAsia="宋体" w:cs="宋体"/>
          <w:b w:val="0"/>
          <w:bCs w:val="0"/>
          <w:color w:val="000000"/>
          <w:sz w:val="24"/>
          <w:szCs w:val="20"/>
          <w:lang w:val="en-US" w:eastAsia="zh-CN"/>
        </w:rPr>
        <w:t>招标</w:t>
      </w:r>
      <w:r>
        <w:rPr>
          <w:rFonts w:hint="eastAsia" w:ascii="宋体" w:hAnsi="宋体" w:eastAsia="宋体" w:cs="宋体"/>
          <w:b w:val="0"/>
          <w:bCs w:val="0"/>
          <w:color w:val="000000"/>
          <w:sz w:val="24"/>
          <w:szCs w:val="20"/>
        </w:rPr>
        <w:t>文件要求提供或</w:t>
      </w:r>
      <w:r>
        <w:rPr>
          <w:rFonts w:hint="eastAsia" w:ascii="宋体" w:hAnsi="宋体" w:eastAsia="宋体" w:cs="宋体"/>
          <w:b w:val="0"/>
          <w:bCs w:val="0"/>
          <w:color w:val="000000"/>
          <w:sz w:val="24"/>
          <w:szCs w:val="20"/>
          <w:lang w:val="en-US" w:eastAsia="zh-CN"/>
        </w:rPr>
        <w:t>投标人</w:t>
      </w:r>
      <w:r>
        <w:rPr>
          <w:rFonts w:hint="eastAsia" w:ascii="宋体" w:hAnsi="宋体" w:eastAsia="宋体" w:cs="宋体"/>
          <w:b w:val="0"/>
          <w:bCs w:val="0"/>
          <w:color w:val="000000"/>
          <w:sz w:val="24"/>
          <w:szCs w:val="20"/>
        </w:rPr>
        <w:t>认为应附的其他材料</w:t>
      </w:r>
      <w:r>
        <w:rPr>
          <w:rFonts w:hint="eastAsia" w:ascii="宋体" w:hAnsi="宋体" w:eastAsia="宋体" w:cs="宋体"/>
          <w:b w:val="0"/>
          <w:bCs w:val="0"/>
          <w:color w:val="000000"/>
          <w:sz w:val="24"/>
          <w:szCs w:val="20"/>
          <w:lang w:eastAsia="zh-CN"/>
        </w:rPr>
        <w:t>（</w:t>
      </w:r>
      <w:r>
        <w:rPr>
          <w:rFonts w:hint="eastAsia" w:ascii="宋体" w:hAnsi="宋体" w:eastAsia="宋体" w:cs="宋体"/>
          <w:b w:val="0"/>
          <w:bCs w:val="0"/>
          <w:color w:val="000000"/>
          <w:sz w:val="24"/>
          <w:szCs w:val="20"/>
          <w:lang w:val="en-US" w:eastAsia="zh-CN"/>
        </w:rPr>
        <w:t>格式自拟</w:t>
      </w:r>
      <w:r>
        <w:rPr>
          <w:rFonts w:hint="eastAsia" w:ascii="宋体" w:hAnsi="宋体" w:eastAsia="宋体" w:cs="宋体"/>
          <w:b w:val="0"/>
          <w:bCs w:val="0"/>
          <w:color w:val="000000"/>
          <w:sz w:val="24"/>
          <w:szCs w:val="20"/>
          <w:lang w:eastAsia="zh-CN"/>
        </w:rPr>
        <w:t>）</w:t>
      </w:r>
    </w:p>
    <w:p w14:paraId="1B42CFA8">
      <w:pPr>
        <w:spacing w:line="360" w:lineRule="auto"/>
        <w:outlineLvl w:val="2"/>
        <w:rPr>
          <w:rFonts w:hint="eastAsia" w:ascii="宋体" w:hAnsi="宋体" w:eastAsia="宋体" w:cs="宋体"/>
          <w:color w:val="000000"/>
          <w:sz w:val="24"/>
          <w:szCs w:val="24"/>
          <w:highlight w:val="none"/>
        </w:rPr>
      </w:pPr>
    </w:p>
    <w:p w14:paraId="00F39CD9">
      <w:pPr>
        <w:spacing w:line="360" w:lineRule="auto"/>
        <w:outlineLvl w:val="2"/>
        <w:rPr>
          <w:rFonts w:hint="eastAsia" w:ascii="宋体" w:hAnsi="宋体" w:eastAsia="宋体" w:cs="宋体"/>
          <w:color w:val="000000"/>
          <w:sz w:val="24"/>
          <w:szCs w:val="24"/>
          <w:highlight w:val="none"/>
        </w:rPr>
      </w:pPr>
    </w:p>
    <w:p w14:paraId="6DAB2D66">
      <w:pPr>
        <w:spacing w:line="360" w:lineRule="auto"/>
        <w:outlineLvl w:val="2"/>
        <w:rPr>
          <w:rFonts w:hint="eastAsia" w:ascii="宋体" w:hAnsi="宋体" w:eastAsia="宋体" w:cs="宋体"/>
          <w:color w:val="000000"/>
          <w:sz w:val="24"/>
          <w:szCs w:val="24"/>
          <w:highlight w:val="none"/>
        </w:rPr>
      </w:pPr>
    </w:p>
    <w:p w14:paraId="0CFB6B6B">
      <w:pPr>
        <w:spacing w:line="360" w:lineRule="auto"/>
        <w:outlineLvl w:val="2"/>
        <w:rPr>
          <w:rFonts w:hint="eastAsia" w:ascii="宋体" w:hAnsi="宋体" w:eastAsia="宋体" w:cs="宋体"/>
          <w:color w:val="000000"/>
          <w:sz w:val="24"/>
          <w:szCs w:val="24"/>
          <w:highlight w:val="none"/>
        </w:rPr>
      </w:pPr>
    </w:p>
    <w:p w14:paraId="32A789DD">
      <w:pPr>
        <w:spacing w:line="360" w:lineRule="auto"/>
        <w:outlineLvl w:val="2"/>
        <w:rPr>
          <w:rFonts w:hint="eastAsia" w:ascii="宋体" w:hAnsi="宋体" w:eastAsia="宋体" w:cs="宋体"/>
          <w:color w:val="000000"/>
          <w:sz w:val="24"/>
          <w:szCs w:val="24"/>
          <w:highlight w:val="none"/>
        </w:rPr>
      </w:pPr>
    </w:p>
    <w:p w14:paraId="79BE456E">
      <w:pPr>
        <w:spacing w:line="360" w:lineRule="auto"/>
        <w:outlineLvl w:val="2"/>
        <w:rPr>
          <w:rFonts w:hint="eastAsia" w:ascii="宋体" w:hAnsi="宋体" w:eastAsia="宋体" w:cs="宋体"/>
          <w:color w:val="000000"/>
          <w:sz w:val="24"/>
          <w:szCs w:val="24"/>
          <w:highlight w:val="none"/>
        </w:rPr>
      </w:pPr>
    </w:p>
    <w:p w14:paraId="75616091">
      <w:pPr>
        <w:spacing w:line="360" w:lineRule="auto"/>
        <w:outlineLvl w:val="2"/>
        <w:rPr>
          <w:rFonts w:hint="eastAsia" w:ascii="宋体" w:hAnsi="宋体" w:eastAsia="宋体" w:cs="宋体"/>
          <w:color w:val="000000"/>
          <w:sz w:val="24"/>
          <w:szCs w:val="24"/>
          <w:highlight w:val="none"/>
        </w:rPr>
      </w:pPr>
    </w:p>
    <w:p w14:paraId="53158451">
      <w:pPr>
        <w:spacing w:line="360" w:lineRule="auto"/>
        <w:outlineLvl w:val="2"/>
        <w:rPr>
          <w:rFonts w:hint="eastAsia" w:ascii="宋体" w:hAnsi="宋体" w:eastAsia="宋体" w:cs="宋体"/>
          <w:color w:val="000000"/>
          <w:sz w:val="24"/>
          <w:szCs w:val="24"/>
          <w:highlight w:val="none"/>
        </w:rPr>
      </w:pPr>
    </w:p>
    <w:p w14:paraId="22C7E39E">
      <w:pPr>
        <w:spacing w:line="360" w:lineRule="auto"/>
        <w:outlineLvl w:val="2"/>
        <w:rPr>
          <w:rFonts w:hint="eastAsia" w:ascii="宋体" w:hAnsi="宋体" w:eastAsia="宋体" w:cs="宋体"/>
          <w:color w:val="000000"/>
          <w:sz w:val="24"/>
          <w:szCs w:val="24"/>
          <w:highlight w:val="none"/>
        </w:rPr>
      </w:pPr>
    </w:p>
    <w:p w14:paraId="4EC8F0C8">
      <w:pPr>
        <w:spacing w:line="360" w:lineRule="auto"/>
        <w:rPr>
          <w:rFonts w:hint="eastAsia" w:ascii="宋体" w:hAnsi="宋体" w:eastAsia="宋体" w:cs="宋体"/>
          <w:b/>
          <w:color w:val="000000"/>
          <w:sz w:val="24"/>
          <w:szCs w:val="24"/>
          <w:highlight w:val="none"/>
        </w:rPr>
      </w:pPr>
    </w:p>
    <w:sectPr>
      <w:footerReference r:id="rId11" w:type="default"/>
      <w:pgSz w:w="11907" w:h="16840"/>
      <w:pgMar w:top="1418" w:right="1134" w:bottom="1418" w:left="1701" w:header="851" w:footer="851" w:gutter="0"/>
      <w:pgNumType w:fmt="decimal" w:start="1"/>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altName w:val="宋体"/>
    <w:panose1 w:val="02010600040101010101"/>
    <w:charset w:val="00"/>
    <w:family w:val="auto"/>
    <w:pitch w:val="default"/>
    <w:sig w:usb0="00000000" w:usb1="00000000" w:usb2="00000000" w:usb3="00000000" w:csb0="00000000"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ˎ̥">
    <w:altName w:val="NumberOnly"/>
    <w:panose1 w:val="020B0503020202020204"/>
    <w:charset w:val="00"/>
    <w:family w:val="auto"/>
    <w:pitch w:val="default"/>
    <w:sig w:usb0="00000000" w:usb1="00000000" w:usb2="00000000" w:usb3="00000000" w:csb0="00000000" w:csb1="00000000"/>
  </w:font>
  <w:font w:name="NumberOnly">
    <w:panose1 w:val="020B0500000000000000"/>
    <w:charset w:val="00"/>
    <w:family w:val="auto"/>
    <w:pitch w:val="default"/>
    <w:sig w:usb0="8000002F" w:usb1="10000048" w:usb2="00000000" w:usb3="00000000" w:csb0="00000111" w:csb1="40000000"/>
  </w:font>
  <w:font w:name="Arial Unicode MS">
    <w:altName w:val="Arial"/>
    <w:panose1 w:val="020B0604020202020204"/>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Century Gothic">
    <w:altName w:val="NumberOnly"/>
    <w:panose1 w:val="020B0502020202020204"/>
    <w:charset w:val="00"/>
    <w:family w:val="auto"/>
    <w:pitch w:val="default"/>
    <w:sig w:usb0="00000000" w:usb1="00000000" w:usb2="00000000" w:usb3="00000000" w:csb0="00000000" w:csb1="00000000"/>
  </w:font>
  <w:font w:name="CESI黑体-GB2312">
    <w:altName w:val="黑体"/>
    <w:panose1 w:val="020B0503020202020204"/>
    <w:charset w:val="00"/>
    <w:family w:val="auto"/>
    <w:pitch w:val="default"/>
    <w:sig w:usb0="00000000" w:usb1="00000000" w:usb2="00000000" w:usb3="00000000" w:csb0="00000000" w:csb1="00000000"/>
  </w:font>
  <w:font w:name="新宋体">
    <w:panose1 w:val="02010609030101010101"/>
    <w:charset w:val="86"/>
    <w:family w:val="auto"/>
    <w:pitch w:val="default"/>
    <w:sig w:usb0="00000283" w:usb1="288F0000" w:usb2="00000006" w:usb3="00000000" w:csb0="00040001" w:csb1="00000000"/>
  </w:font>
  <w:font w:name="Segoe UI Emoji">
    <w:panose1 w:val="020B0502040204020203"/>
    <w:charset w:val="00"/>
    <w:family w:val="auto"/>
    <w:pitch w:val="default"/>
    <w:sig w:usb0="00000001" w:usb1="02000000" w:usb2="00000000" w:usb3="00000000" w:csb0="0000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7272E3">
    <w:pPr>
      <w:pStyle w:val="230"/>
      <w:jc w:val="center"/>
      <w:rPr>
        <w:rFonts w:ascii="Times New Roman"/>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9ADC01">
                          <w:pPr>
                            <w:pStyle w:val="1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5A9ADC01">
                    <w:pPr>
                      <w:pStyle w:val="1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67</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4D75D7">
    <w:pPr>
      <w:pStyle w:val="230"/>
      <w:framePr w:wrap="around" w:vAnchor="text" w:hAnchor="margin" w:xAlign="center" w:y="1"/>
      <w:rPr>
        <w:rStyle w:val="256"/>
      </w:rPr>
    </w:pPr>
    <w:r>
      <w:fldChar w:fldCharType="begin"/>
    </w:r>
    <w:r>
      <w:rPr>
        <w:rStyle w:val="256"/>
      </w:rPr>
      <w:instrText xml:space="preserve">PAGE  </w:instrText>
    </w:r>
    <w:r>
      <w:fldChar w:fldCharType="end"/>
    </w:r>
  </w:p>
  <w:p w14:paraId="4D157049">
    <w:pPr>
      <w:pStyle w:val="230"/>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6311F7">
    <w:pPr>
      <w:pStyle w:val="230"/>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61A6942D">
                          <w:pPr>
                            <w:pStyle w:val="230"/>
                            <w:tabs>
                              <w:tab w:val="clear" w:pos="4153"/>
                              <w:tab w:val="clear" w:pos="8306"/>
                            </w:tabs>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59</w:t>
                          </w:r>
                          <w:r>
                            <w:fldChar w:fldCharType="end"/>
                          </w:r>
                          <w:r>
                            <w:t xml:space="preserve"> 页</w:t>
                          </w:r>
                        </w:p>
                        <w:p w14:paraId="46CF6905"/>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61A6942D">
                    <w:pPr>
                      <w:pStyle w:val="230"/>
                      <w:tabs>
                        <w:tab w:val="clear" w:pos="4153"/>
                        <w:tab w:val="clear" w:pos="8306"/>
                      </w:tabs>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59</w:t>
                    </w:r>
                    <w:r>
                      <w:fldChar w:fldCharType="end"/>
                    </w:r>
                    <w:r>
                      <w:t xml:space="preserve"> 页</w:t>
                    </w:r>
                  </w:p>
                  <w:p w14:paraId="46CF6905"/>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86453E">
    <w:pPr>
      <w:pStyle w:val="230"/>
      <w:jc w:val="center"/>
      <w:rPr>
        <w:rFonts w:ascii="Times New Roman"/>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8B098D">
                          <w:pPr>
                            <w:pStyle w:val="17"/>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67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148B098D">
                    <w:pPr>
                      <w:pStyle w:val="17"/>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67</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CFF021">
    <w:pPr>
      <w:pStyle w:val="230"/>
      <w:jc w:val="cente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8AF0442">
                          <w:pPr>
                            <w:pStyle w:val="1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68AF0442">
                    <w:pPr>
                      <w:pStyle w:val="1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67</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C99027">
    <w:pPr>
      <w:pStyle w:val="230"/>
      <w:framePr w:wrap="around" w:vAnchor="text" w:hAnchor="margin" w:xAlign="right" w:y="1"/>
      <w:rPr>
        <w:rStyle w:val="256"/>
      </w:rPr>
    </w:pPr>
    <w:r>
      <w:rPr>
        <w:rStyle w:val="256"/>
      </w:rPr>
      <w:fldChar w:fldCharType="begin"/>
    </w:r>
    <w:r>
      <w:rPr>
        <w:rStyle w:val="256"/>
      </w:rPr>
      <w:instrText xml:space="preserve">PAGE  </w:instrText>
    </w:r>
    <w:r>
      <w:rPr>
        <w:rStyle w:val="256"/>
      </w:rPr>
      <w:fldChar w:fldCharType="end"/>
    </w:r>
  </w:p>
  <w:p w14:paraId="5F38B8D6">
    <w:pPr>
      <w:pStyle w:val="230"/>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F84252">
    <w:pPr>
      <w:widowControl w:val="0"/>
      <w:tabs>
        <w:tab w:val="right" w:pos="8307"/>
      </w:tabs>
      <w:jc w:val="left"/>
      <w:rPr>
        <w:rFonts w:ascii="宋体" w:hAnsi="Times New Roman" w:eastAsia="宋体" w:cs="Times New Roman"/>
        <w:sz w:val="18"/>
        <w:szCs w:val="20"/>
        <w:lang w:val="en-US" w:eastAsia="zh-CN" w:bidi="ar-SA"/>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C0B80C">
                          <w:pPr>
                            <w:pStyle w:val="17"/>
                          </w:pPr>
                          <w:r>
                            <w:t xml:space="preserve">第 </w:t>
                          </w:r>
                          <w:r>
                            <w:fldChar w:fldCharType="begin"/>
                          </w:r>
                          <w:r>
                            <w:instrText xml:space="preserve"> PAGE  \* MERGEFORMAT </w:instrText>
                          </w:r>
                          <w:r>
                            <w:fldChar w:fldCharType="separate"/>
                          </w:r>
                          <w:r>
                            <w:t>13</w:t>
                          </w:r>
                          <w:r>
                            <w:fldChar w:fldCharType="end"/>
                          </w:r>
                          <w:r>
                            <w:t xml:space="preserve"> 页 共 </w:t>
                          </w:r>
                          <w:r>
                            <w:fldChar w:fldCharType="begin"/>
                          </w:r>
                          <w:r>
                            <w:instrText xml:space="preserve"> NUMPAGES  \* MERGEFORMAT </w:instrText>
                          </w:r>
                          <w:r>
                            <w:fldChar w:fldCharType="separate"/>
                          </w:r>
                          <w:r>
                            <w:t>67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5AC0B80C">
                    <w:pPr>
                      <w:pStyle w:val="17"/>
                    </w:pPr>
                    <w:r>
                      <w:t xml:space="preserve">第 </w:t>
                    </w:r>
                    <w:r>
                      <w:fldChar w:fldCharType="begin"/>
                    </w:r>
                    <w:r>
                      <w:instrText xml:space="preserve"> PAGE  \* MERGEFORMAT </w:instrText>
                    </w:r>
                    <w:r>
                      <w:fldChar w:fldCharType="separate"/>
                    </w:r>
                    <w:r>
                      <w:t>13</w:t>
                    </w:r>
                    <w:r>
                      <w:fldChar w:fldCharType="end"/>
                    </w:r>
                    <w:r>
                      <w:t xml:space="preserve"> 页 共 </w:t>
                    </w:r>
                    <w:r>
                      <w:fldChar w:fldCharType="begin"/>
                    </w:r>
                    <w:r>
                      <w:instrText xml:space="preserve"> NUMPAGES  \* MERGEFORMAT </w:instrText>
                    </w:r>
                    <w:r>
                      <w:fldChar w:fldCharType="separate"/>
                    </w:r>
                    <w:r>
                      <w:t>67</w:t>
                    </w:r>
                    <w:r>
                      <w:fldChar w:fldCharType="end"/>
                    </w:r>
                    <w:r>
                      <w:t xml:space="preserve"> 页</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4101DE">
    <w:pPr>
      <w:spacing w:line="219" w:lineRule="auto"/>
      <w:ind w:left="4053"/>
      <w:rPr>
        <w:rFonts w:ascii="宋体" w:hAnsi="宋体" w:eastAsia="宋体" w:cs="宋体"/>
        <w:sz w:val="18"/>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B8618E">
                          <w:pPr>
                            <w:pStyle w:val="1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03B8618E">
                    <w:pPr>
                      <w:pStyle w:val="1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67</w:t>
                    </w:r>
                    <w:r>
                      <w:fldChar w:fldCharType="end"/>
                    </w:r>
                    <w:r>
                      <w:t xml:space="preserve"> 页</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5861E0">
    <w:pPr>
      <w:spacing w:line="196" w:lineRule="auto"/>
      <w:ind w:left="4565"/>
      <w:rPr>
        <w:rFonts w:ascii="Times New Roman" w:hAnsi="Times New Roman" w:eastAsia="Times New Roman" w:cs="Times New Roman"/>
        <w:sz w:val="17"/>
        <w:szCs w:val="17"/>
      </w:rPr>
    </w:pPr>
    <w:r>
      <w:rPr>
        <w:sz w:val="17"/>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CF4A95">
                          <w:pPr>
                            <w:pStyle w:val="1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14:paraId="24CF4A95">
                    <w:pPr>
                      <w:pStyle w:val="1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67</w:t>
                    </w:r>
                    <w:r>
                      <w:fldChar w:fldCharType="end"/>
                    </w:r>
                    <w: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1">
    <w:nsid w:val="B5E306ED"/>
    <w:multiLevelType w:val="multilevel"/>
    <w:tmpl w:val="B5E306ED"/>
    <w:lvl w:ilvl="0" w:tentative="0">
      <w:start w:val="1"/>
      <w:numFmt w:val="decimal"/>
      <w:pStyle w:val="337"/>
      <w:lvlText w:val="%1."/>
      <w:lvlJc w:val="left"/>
      <w:pPr>
        <w:tabs>
          <w:tab w:val="left" w:pos="360"/>
        </w:tabs>
        <w:ind w:left="360" w:hanging="36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BF205925"/>
    <w:multiLevelType w:val="multilevel"/>
    <w:tmpl w:val="BF205925"/>
    <w:lvl w:ilvl="0" w:tentative="0">
      <w:start w:val="1"/>
      <w:numFmt w:val="decimal"/>
      <w:lvlText w:val="%1．"/>
      <w:lvlJc w:val="left"/>
      <w:pPr>
        <w:tabs>
          <w:tab w:val="left" w:pos="768"/>
        </w:tabs>
        <w:ind w:left="768" w:hanging="360"/>
      </w:pPr>
      <w:rPr>
        <w:rFonts w:hint="eastAsia"/>
      </w:rPr>
    </w:lvl>
    <w:lvl w:ilvl="1" w:tentative="0">
      <w:start w:val="1"/>
      <w:numFmt w:val="decimal"/>
      <w:pStyle w:val="324"/>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3">
    <w:nsid w:val="C8879AEF"/>
    <w:multiLevelType w:val="multilevel"/>
    <w:tmpl w:val="C8879AEF"/>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CF092B84"/>
    <w:multiLevelType w:val="multilevel"/>
    <w:tmpl w:val="CF092B84"/>
    <w:lvl w:ilvl="0" w:tentative="0">
      <w:start w:val="1"/>
      <w:numFmt w:val="decimal"/>
      <w:pStyle w:val="291"/>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F4B5D9F5"/>
    <w:multiLevelType w:val="multilevel"/>
    <w:tmpl w:val="F4B5D9F5"/>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0053208E"/>
    <w:multiLevelType w:val="multilevel"/>
    <w:tmpl w:val="0053208E"/>
    <w:lvl w:ilvl="0" w:tentative="0">
      <w:start w:val="1"/>
      <w:numFmt w:val="decimal"/>
      <w:pStyle w:val="286"/>
      <w:suff w:val="nothing"/>
      <w:lvlText w:val="%1　"/>
      <w:lvlJc w:val="left"/>
      <w:pPr>
        <w:ind w:left="-25" w:firstLine="0"/>
      </w:pPr>
      <w:rPr>
        <w:rFonts w:ascii="Times New Roman" w:hAnsi="Times New Roman" w:eastAsia="宋体"/>
        <w:b/>
        <w:i w:val="0"/>
        <w:color w:val="000000"/>
        <w:sz w:val="28"/>
        <w:u w:val="none"/>
      </w:rPr>
    </w:lvl>
    <w:lvl w:ilvl="1" w:tentative="0">
      <w:start w:val="1"/>
      <w:numFmt w:val="decimal"/>
      <w:pStyle w:val="285"/>
      <w:suff w:val="nothing"/>
      <w:lvlText w:val="%1.%2　"/>
      <w:lvlJc w:val="left"/>
      <w:pPr>
        <w:ind w:left="-25" w:firstLine="0"/>
      </w:pPr>
      <w:rPr>
        <w:rFonts w:ascii="Times New Roman" w:hAnsi="Times New Roman" w:eastAsia="宋体"/>
        <w:b/>
        <w:i w:val="0"/>
        <w:color w:val="000000"/>
        <w:spacing w:val="0"/>
        <w:sz w:val="28"/>
        <w:u w:val="none"/>
      </w:rPr>
    </w:lvl>
    <w:lvl w:ilvl="2" w:tentative="0">
      <w:start w:val="1"/>
      <w:numFmt w:val="decimal"/>
      <w:suff w:val="nothing"/>
      <w:lvlText w:val="%1.%2.%3　"/>
      <w:lvlJc w:val="left"/>
      <w:pPr>
        <w:ind w:left="-25" w:firstLine="0"/>
      </w:pPr>
      <w:rPr>
        <w:rFonts w:ascii="Times New Roman" w:hAnsi="Times New Roman" w:eastAsia="黑体"/>
        <w:b/>
        <w:i w:val="0"/>
        <w:sz w:val="28"/>
      </w:rPr>
    </w:lvl>
    <w:lvl w:ilvl="3" w:tentative="0">
      <w:start w:val="1"/>
      <w:numFmt w:val="decimal"/>
      <w:pStyle w:val="322"/>
      <w:suff w:val="nothing"/>
      <w:lvlText w:val="%1.%2.%3.%4　"/>
      <w:lvlJc w:val="left"/>
      <w:pPr>
        <w:ind w:left="-25" w:firstLine="0"/>
      </w:pPr>
      <w:rPr>
        <w:rFonts w:ascii="Times New Roman" w:hAnsi="Times New Roman" w:eastAsia="宋体"/>
        <w:b/>
        <w:i w:val="0"/>
        <w:color w:val="000000"/>
        <w:sz w:val="28"/>
        <w:u w:val="none"/>
      </w:rPr>
    </w:lvl>
    <w:lvl w:ilvl="4" w:tentative="0">
      <w:start w:val="1"/>
      <w:numFmt w:val="decimal"/>
      <w:pStyle w:val="321"/>
      <w:suff w:val="nothing"/>
      <w:lvlText w:val="%1.%2.%3.%4.%5　"/>
      <w:lvlJc w:val="left"/>
      <w:pPr>
        <w:ind w:left="-25" w:firstLine="0"/>
      </w:pPr>
      <w:rPr>
        <w:rFonts w:ascii="Times New Roman" w:hAnsi="Times New Roman" w:eastAsia="宋体"/>
        <w:b/>
        <w:i w:val="0"/>
        <w:color w:val="000000"/>
        <w:sz w:val="28"/>
        <w:u w:val="none"/>
      </w:rPr>
    </w:lvl>
    <w:lvl w:ilvl="5" w:tentative="0">
      <w:start w:val="1"/>
      <w:numFmt w:val="decimal"/>
      <w:pStyle w:val="330"/>
      <w:suff w:val="nothing"/>
      <w:lvlText w:val="%1.%2.%3.%4.%5.%6　"/>
      <w:lvlJc w:val="left"/>
      <w:pPr>
        <w:ind w:left="-25" w:firstLine="0"/>
      </w:pPr>
      <w:rPr>
        <w:rFonts w:ascii="Times New Roman" w:hAnsi="Times New Roman" w:eastAsia="宋体"/>
        <w:b/>
        <w:i w:val="0"/>
        <w:sz w:val="28"/>
      </w:rPr>
    </w:lvl>
    <w:lvl w:ilvl="6" w:tentative="0">
      <w:start w:val="1"/>
      <w:numFmt w:val="lowerLetter"/>
      <w:pStyle w:val="343"/>
      <w:lvlText w:val="%7) "/>
      <w:lvlJc w:val="left"/>
      <w:pPr>
        <w:tabs>
          <w:tab w:val="left" w:pos="635"/>
        </w:tabs>
        <w:ind w:left="-125" w:firstLine="400"/>
      </w:pPr>
      <w:rPr>
        <w:rFonts w:ascii="Times New Roman" w:hAnsi="Times New Roman" w:eastAsia="宋体"/>
        <w:b/>
        <w:i w:val="0"/>
        <w:color w:val="000000"/>
        <w:sz w:val="28"/>
        <w:u w:val="none"/>
      </w:rPr>
    </w:lvl>
    <w:lvl w:ilvl="7" w:tentative="0">
      <w:start w:val="1"/>
      <w:numFmt w:val="decimal"/>
      <w:pStyle w:val="306"/>
      <w:lvlText w:val="%8) "/>
      <w:lvlJc w:val="left"/>
      <w:pPr>
        <w:tabs>
          <w:tab w:val="left" w:pos="860"/>
        </w:tabs>
        <w:ind w:left="500" w:firstLine="0"/>
      </w:pPr>
      <w:rPr>
        <w:rFonts w:ascii="Times New Roman" w:hAnsi="Times New Roman" w:eastAsia="宋体"/>
        <w:b/>
        <w:i w:val="0"/>
        <w:color w:val="000000"/>
        <w:sz w:val="28"/>
        <w:u w:val="none"/>
      </w:rPr>
    </w:lvl>
    <w:lvl w:ilvl="8" w:tentative="0">
      <w:start w:val="1"/>
      <w:numFmt w:val="decimal"/>
      <w:lvlText w:val="%9"/>
      <w:lvlJc w:val="left"/>
      <w:pPr>
        <w:tabs>
          <w:tab w:val="left" w:pos="860"/>
        </w:tabs>
        <w:ind w:left="500" w:firstLine="0"/>
      </w:pPr>
      <w:rPr>
        <w:rFonts w:hint="eastAsia" w:ascii="宋体" w:eastAsia="宋体"/>
        <w:b w:val="0"/>
        <w:i w:val="0"/>
        <w:color w:val="000000"/>
        <w:sz w:val="28"/>
        <w:u w:val="none"/>
      </w:rPr>
    </w:lvl>
  </w:abstractNum>
  <w:abstractNum w:abstractNumId="7">
    <w:nsid w:val="0248C179"/>
    <w:multiLevelType w:val="multilevel"/>
    <w:tmpl w:val="0248C17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8">
    <w:nsid w:val="03D62ECE"/>
    <w:multiLevelType w:val="multilevel"/>
    <w:tmpl w:val="03D62ECE"/>
    <w:lvl w:ilvl="0" w:tentative="0">
      <w:start w:val="1"/>
      <w:numFmt w:val="lowerLetter"/>
      <w:pStyle w:val="368"/>
      <w:lvlText w:val="%1)"/>
      <w:lvlJc w:val="left"/>
      <w:pPr>
        <w:ind w:left="902" w:hanging="420"/>
      </w:pPr>
      <w:rPr>
        <w:color w:val="000000"/>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9">
    <w:nsid w:val="25B654F3"/>
    <w:multiLevelType w:val="multilevel"/>
    <w:tmpl w:val="25B654F3"/>
    <w:lvl w:ilvl="0" w:tentative="0">
      <w:start w:val="1"/>
      <w:numFmt w:val="decimal"/>
      <w:pStyle w:val="393"/>
      <w:lvlText w:val="%1"/>
      <w:lvlJc w:val="left"/>
      <w:pPr>
        <w:ind w:left="680" w:hanging="680"/>
      </w:pPr>
      <w:rPr>
        <w:rFonts w:hint="eastAsia" w:ascii="宋体" w:hAnsi="宋体" w:eastAsia="宋体"/>
      </w:rPr>
    </w:lvl>
    <w:lvl w:ilvl="1" w:tentative="0">
      <w:start w:val="1"/>
      <w:numFmt w:val="decimal"/>
      <w:pStyle w:val="394"/>
      <w:lvlText w:val="%1.%2"/>
      <w:lvlJc w:val="left"/>
      <w:pPr>
        <w:ind w:left="851" w:hanging="851"/>
      </w:pPr>
      <w:rPr>
        <w:rFonts w:hint="eastAsia" w:ascii="宋体" w:hAnsi="宋体" w:eastAsia="宋体"/>
        <w:color w:val="000000"/>
      </w:rPr>
    </w:lvl>
    <w:lvl w:ilvl="2" w:tentative="0">
      <w:start w:val="1"/>
      <w:numFmt w:val="decimal"/>
      <w:pStyle w:val="395"/>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0">
    <w:nsid w:val="2A8F537B"/>
    <w:multiLevelType w:val="multilevel"/>
    <w:tmpl w:val="2A8F537B"/>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1">
    <w:nsid w:val="4D4DC07F"/>
    <w:multiLevelType w:val="multilevel"/>
    <w:tmpl w:val="4D4DC07F"/>
    <w:lvl w:ilvl="0" w:tentative="0">
      <w:start w:val="2"/>
      <w:numFmt w:val="chineseCounting"/>
      <w:suff w:val="space"/>
      <w:lvlText w:val="%1、"/>
      <w:lvlJc w:val="left"/>
      <w:rPr>
        <w:rFonts w:hint="eastAsia"/>
        <w:b/>
        <w:bC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2">
    <w:nsid w:val="59ADCABA"/>
    <w:multiLevelType w:val="multilevel"/>
    <w:tmpl w:val="59ADCABA"/>
    <w:lvl w:ilvl="0" w:tentative="0">
      <w:start w:val="1"/>
      <w:numFmt w:val="decimal"/>
      <w:pStyle w:val="292"/>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5A241D34"/>
    <w:multiLevelType w:val="multilevel"/>
    <w:tmpl w:val="5A241D34"/>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4">
    <w:nsid w:val="72183CF9"/>
    <w:multiLevelType w:val="multilevel"/>
    <w:tmpl w:val="72183CF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6"/>
  </w:num>
  <w:num w:numId="2">
    <w:abstractNumId w:val="4"/>
  </w:num>
  <w:num w:numId="3">
    <w:abstractNumId w:val="12"/>
  </w:num>
  <w:num w:numId="4">
    <w:abstractNumId w:val="2"/>
  </w:num>
  <w:num w:numId="5">
    <w:abstractNumId w:val="1"/>
  </w:num>
  <w:num w:numId="6">
    <w:abstractNumId w:val="8"/>
  </w:num>
  <w:num w:numId="7">
    <w:abstractNumId w:val="9"/>
  </w:num>
  <w:num w:numId="8">
    <w:abstractNumId w:val="14"/>
  </w:num>
  <w:num w:numId="9">
    <w:abstractNumId w:val="7"/>
  </w:num>
  <w:num w:numId="10">
    <w:abstractNumId w:val="0"/>
  </w:num>
  <w:num w:numId="11">
    <w:abstractNumId w:val="10"/>
  </w:num>
  <w:num w:numId="12">
    <w:abstractNumId w:val="13"/>
  </w:num>
  <w:num w:numId="13">
    <w:abstractNumId w:val="3"/>
  </w:num>
  <w:num w:numId="14">
    <w:abstractNumId w:val="11"/>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A2F22C5"/>
    <w:rsid w:val="128F6826"/>
    <w:rsid w:val="1F523DDF"/>
    <w:rsid w:val="3E7F5078"/>
    <w:rsid w:val="4A785E2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437"/>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34"/>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35"/>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36"/>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37"/>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38"/>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39"/>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0"/>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2"/>
    <w:unhideWhenUsed/>
    <w:qFormat/>
    <w:uiPriority w:val="9"/>
    <w:pPr>
      <w:keepNext/>
      <w:keepLines/>
      <w:spacing w:before="320" w:after="200"/>
      <w:outlineLvl w:val="8"/>
    </w:pPr>
    <w:rPr>
      <w:rFonts w:ascii="Arial" w:hAnsi="Arial" w:eastAsia="Arial" w:cs="Arial"/>
      <w:i/>
      <w:iCs/>
      <w:sz w:val="21"/>
      <w:szCs w:val="21"/>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toc 5"/>
    <w:basedOn w:val="1"/>
    <w:next w:val="1"/>
    <w:unhideWhenUsed/>
    <w:qFormat/>
    <w:uiPriority w:val="39"/>
    <w:pPr>
      <w:spacing w:after="57"/>
      <w:ind w:left="1134" w:right="0" w:firstLine="0"/>
    </w:pPr>
  </w:style>
  <w:style w:type="paragraph" w:styleId="14">
    <w:name w:val="toc 3"/>
    <w:basedOn w:val="1"/>
    <w:next w:val="1"/>
    <w:unhideWhenUsed/>
    <w:qFormat/>
    <w:uiPriority w:val="39"/>
    <w:pPr>
      <w:spacing w:after="57"/>
      <w:ind w:left="567" w:right="0" w:firstLine="0"/>
    </w:pPr>
  </w:style>
  <w:style w:type="paragraph" w:styleId="15">
    <w:name w:val="toc 8"/>
    <w:basedOn w:val="1"/>
    <w:next w:val="1"/>
    <w:unhideWhenUsed/>
    <w:qFormat/>
    <w:uiPriority w:val="39"/>
    <w:pPr>
      <w:spacing w:after="57"/>
      <w:ind w:left="1984" w:right="0" w:firstLine="0"/>
    </w:pPr>
  </w:style>
  <w:style w:type="paragraph" w:styleId="16">
    <w:name w:val="endnote text"/>
    <w:basedOn w:val="1"/>
    <w:link w:val="180"/>
    <w:semiHidden/>
    <w:unhideWhenUsed/>
    <w:qFormat/>
    <w:uiPriority w:val="99"/>
    <w:pPr>
      <w:spacing w:after="0" w:line="240" w:lineRule="auto"/>
    </w:pPr>
    <w:rPr>
      <w:sz w:val="20"/>
    </w:rPr>
  </w:style>
  <w:style w:type="paragraph" w:styleId="17">
    <w:name w:val="footer"/>
    <w:basedOn w:val="1"/>
    <w:link w:val="53"/>
    <w:unhideWhenUsed/>
    <w:qFormat/>
    <w:uiPriority w:val="99"/>
    <w:pPr>
      <w:tabs>
        <w:tab w:val="center" w:pos="7143"/>
        <w:tab w:val="right" w:pos="14287"/>
      </w:tabs>
      <w:spacing w:after="0" w:line="240" w:lineRule="auto"/>
    </w:pPr>
  </w:style>
  <w:style w:type="paragraph" w:styleId="18">
    <w:name w:val="header"/>
    <w:basedOn w:val="1"/>
    <w:link w:val="51"/>
    <w:unhideWhenUsed/>
    <w:qFormat/>
    <w:uiPriority w:val="99"/>
    <w:pPr>
      <w:tabs>
        <w:tab w:val="center" w:pos="7143"/>
        <w:tab w:val="right" w:pos="14287"/>
      </w:tabs>
      <w:spacing w:after="0" w:line="240" w:lineRule="auto"/>
    </w:pPr>
  </w:style>
  <w:style w:type="paragraph" w:styleId="19">
    <w:name w:val="toc 1"/>
    <w:basedOn w:val="1"/>
    <w:next w:val="1"/>
    <w:unhideWhenUsed/>
    <w:qFormat/>
    <w:uiPriority w:val="39"/>
    <w:pPr>
      <w:spacing w:after="57"/>
      <w:ind w:left="0" w:right="0" w:firstLine="0"/>
    </w:pPr>
  </w:style>
  <w:style w:type="paragraph" w:styleId="20">
    <w:name w:val="toc 4"/>
    <w:basedOn w:val="1"/>
    <w:next w:val="1"/>
    <w:unhideWhenUsed/>
    <w:qFormat/>
    <w:uiPriority w:val="39"/>
    <w:pPr>
      <w:spacing w:after="57"/>
      <w:ind w:left="850" w:right="0" w:firstLine="0"/>
    </w:pPr>
  </w:style>
  <w:style w:type="paragraph" w:styleId="21">
    <w:name w:val="Subtitle"/>
    <w:basedOn w:val="1"/>
    <w:next w:val="1"/>
    <w:link w:val="46"/>
    <w:qFormat/>
    <w:uiPriority w:val="11"/>
    <w:pPr>
      <w:spacing w:before="200" w:after="200"/>
    </w:pPr>
    <w:rPr>
      <w:sz w:val="24"/>
      <w:szCs w:val="24"/>
    </w:rPr>
  </w:style>
  <w:style w:type="paragraph" w:styleId="22">
    <w:name w:val="footnote text"/>
    <w:basedOn w:val="1"/>
    <w:link w:val="179"/>
    <w:semiHidden/>
    <w:unhideWhenUsed/>
    <w:qFormat/>
    <w:uiPriority w:val="99"/>
    <w:pPr>
      <w:spacing w:after="40" w:line="240" w:lineRule="auto"/>
    </w:pPr>
    <w:rPr>
      <w:sz w:val="18"/>
    </w:rPr>
  </w:style>
  <w:style w:type="paragraph" w:styleId="23">
    <w:name w:val="toc 6"/>
    <w:basedOn w:val="1"/>
    <w:next w:val="1"/>
    <w:unhideWhenUsed/>
    <w:qFormat/>
    <w:uiPriority w:val="39"/>
    <w:pPr>
      <w:spacing w:after="57"/>
      <w:ind w:left="1417" w:right="0" w:firstLine="0"/>
    </w:pPr>
  </w:style>
  <w:style w:type="paragraph" w:styleId="24">
    <w:name w:val="table of figures"/>
    <w:basedOn w:val="1"/>
    <w:next w:val="1"/>
    <w:unhideWhenUsed/>
    <w:qFormat/>
    <w:uiPriority w:val="99"/>
    <w:pPr>
      <w:spacing w:after="0" w:afterAutospacing="0"/>
    </w:pPr>
  </w:style>
  <w:style w:type="paragraph" w:styleId="25">
    <w:name w:val="toc 2"/>
    <w:basedOn w:val="1"/>
    <w:next w:val="1"/>
    <w:unhideWhenUsed/>
    <w:qFormat/>
    <w:uiPriority w:val="39"/>
    <w:pPr>
      <w:spacing w:after="57"/>
      <w:ind w:left="283" w:right="0" w:firstLine="0"/>
    </w:pPr>
  </w:style>
  <w:style w:type="paragraph" w:styleId="26">
    <w:name w:val="toc 9"/>
    <w:basedOn w:val="1"/>
    <w:next w:val="1"/>
    <w:unhideWhenUsed/>
    <w:uiPriority w:val="39"/>
    <w:pPr>
      <w:spacing w:after="57"/>
      <w:ind w:left="2268" w:right="0" w:firstLine="0"/>
    </w:pPr>
  </w:style>
  <w:style w:type="paragraph" w:styleId="27">
    <w:name w:val="Title"/>
    <w:basedOn w:val="1"/>
    <w:next w:val="1"/>
    <w:link w:val="45"/>
    <w:qFormat/>
    <w:uiPriority w:val="10"/>
    <w:pPr>
      <w:spacing w:before="300" w:after="200"/>
      <w:contextualSpacing/>
    </w:pPr>
    <w:rPr>
      <w:sz w:val="48"/>
      <w:szCs w:val="48"/>
    </w:rPr>
  </w:style>
  <w:style w:type="table" w:styleId="29">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1">
    <w:name w:val="endnote reference"/>
    <w:semiHidden/>
    <w:unhideWhenUsed/>
    <w:qFormat/>
    <w:uiPriority w:val="99"/>
    <w:rPr>
      <w:vertAlign w:val="superscript"/>
    </w:rPr>
  </w:style>
  <w:style w:type="character" w:styleId="32">
    <w:name w:val="Hyperlink"/>
    <w:unhideWhenUsed/>
    <w:qFormat/>
    <w:uiPriority w:val="99"/>
    <w:rPr>
      <w:color w:val="0000FF" w:themeColor="hyperlink"/>
      <w:u w:val="single"/>
      <w14:textFill>
        <w14:solidFill>
          <w14:schemeClr w14:val="hlink"/>
        </w14:solidFill>
      </w14:textFill>
    </w:rPr>
  </w:style>
  <w:style w:type="character" w:styleId="33">
    <w:name w:val="footnote reference"/>
    <w:unhideWhenUsed/>
    <w:uiPriority w:val="99"/>
    <w:rPr>
      <w:vertAlign w:val="superscript"/>
    </w:rPr>
  </w:style>
  <w:style w:type="character" w:customStyle="1" w:styleId="34">
    <w:name w:val="Heading 1 Char"/>
    <w:link w:val="2"/>
    <w:qFormat/>
    <w:uiPriority w:val="9"/>
    <w:rPr>
      <w:rFonts w:ascii="Arial" w:hAnsi="Arial" w:eastAsia="Arial" w:cs="Arial"/>
      <w:sz w:val="40"/>
      <w:szCs w:val="40"/>
    </w:rPr>
  </w:style>
  <w:style w:type="character" w:customStyle="1" w:styleId="35">
    <w:name w:val="Heading 2 Char"/>
    <w:link w:val="3"/>
    <w:uiPriority w:val="9"/>
    <w:rPr>
      <w:rFonts w:ascii="Arial" w:hAnsi="Arial" w:eastAsia="Arial" w:cs="Arial"/>
      <w:sz w:val="34"/>
    </w:rPr>
  </w:style>
  <w:style w:type="character" w:customStyle="1" w:styleId="36">
    <w:name w:val="Heading 3 Char"/>
    <w:link w:val="4"/>
    <w:uiPriority w:val="9"/>
    <w:rPr>
      <w:rFonts w:ascii="Arial" w:hAnsi="Arial" w:eastAsia="Arial" w:cs="Arial"/>
      <w:sz w:val="30"/>
      <w:szCs w:val="30"/>
    </w:rPr>
  </w:style>
  <w:style w:type="character" w:customStyle="1" w:styleId="37">
    <w:name w:val="Heading 4 Char"/>
    <w:link w:val="5"/>
    <w:qFormat/>
    <w:uiPriority w:val="9"/>
    <w:rPr>
      <w:rFonts w:ascii="Arial" w:hAnsi="Arial" w:eastAsia="Arial" w:cs="Arial"/>
      <w:b/>
      <w:bCs/>
      <w:sz w:val="26"/>
      <w:szCs w:val="26"/>
    </w:rPr>
  </w:style>
  <w:style w:type="character" w:customStyle="1" w:styleId="38">
    <w:name w:val="Heading 5 Char"/>
    <w:link w:val="6"/>
    <w:qFormat/>
    <w:uiPriority w:val="9"/>
    <w:rPr>
      <w:rFonts w:ascii="Arial" w:hAnsi="Arial" w:eastAsia="Arial" w:cs="Arial"/>
      <w:b/>
      <w:bCs/>
      <w:sz w:val="24"/>
      <w:szCs w:val="24"/>
    </w:rPr>
  </w:style>
  <w:style w:type="character" w:customStyle="1" w:styleId="39">
    <w:name w:val="Heading 6 Char"/>
    <w:link w:val="7"/>
    <w:qFormat/>
    <w:uiPriority w:val="9"/>
    <w:rPr>
      <w:rFonts w:ascii="Arial" w:hAnsi="Arial" w:eastAsia="Arial" w:cs="Arial"/>
      <w:b/>
      <w:bCs/>
      <w:sz w:val="22"/>
      <w:szCs w:val="22"/>
    </w:rPr>
  </w:style>
  <w:style w:type="character" w:customStyle="1" w:styleId="40">
    <w:name w:val="Heading 7 Char"/>
    <w:link w:val="8"/>
    <w:qFormat/>
    <w:uiPriority w:val="9"/>
    <w:rPr>
      <w:rFonts w:ascii="Arial" w:hAnsi="Arial" w:eastAsia="Arial" w:cs="Arial"/>
      <w:b/>
      <w:bCs/>
      <w:i/>
      <w:iCs/>
      <w:sz w:val="22"/>
      <w:szCs w:val="22"/>
    </w:rPr>
  </w:style>
  <w:style w:type="character" w:customStyle="1" w:styleId="41">
    <w:name w:val="Heading 8 Char"/>
    <w:link w:val="9"/>
    <w:qFormat/>
    <w:uiPriority w:val="9"/>
    <w:rPr>
      <w:rFonts w:ascii="Arial" w:hAnsi="Arial" w:eastAsia="Arial" w:cs="Arial"/>
      <w:i/>
      <w:iCs/>
      <w:sz w:val="22"/>
      <w:szCs w:val="22"/>
    </w:rPr>
  </w:style>
  <w:style w:type="character" w:customStyle="1" w:styleId="42">
    <w:name w:val="Heading 9 Char"/>
    <w:link w:val="10"/>
    <w:qFormat/>
    <w:uiPriority w:val="9"/>
    <w:rPr>
      <w:rFonts w:ascii="Arial" w:hAnsi="Arial" w:eastAsia="Arial" w:cs="Arial"/>
      <w:i/>
      <w:iCs/>
      <w:sz w:val="21"/>
      <w:szCs w:val="21"/>
    </w:rPr>
  </w:style>
  <w:style w:type="paragraph" w:styleId="43">
    <w:name w:val="List Paragraph"/>
    <w:basedOn w:val="1"/>
    <w:qFormat/>
    <w:uiPriority w:val="34"/>
    <w:pPr>
      <w:ind w:left="720"/>
      <w:contextualSpacing/>
    </w:pPr>
  </w:style>
  <w:style w:type="paragraph" w:styleId="44">
    <w:name w:val="No Spacing"/>
    <w:qFormat/>
    <w:uiPriority w:val="1"/>
    <w:pPr>
      <w:spacing w:before="0" w:after="0" w:line="240" w:lineRule="auto"/>
    </w:pPr>
    <w:rPr>
      <w:rFonts w:hint="default" w:ascii="Times New Roman" w:hAnsi="Times New Roman" w:eastAsia="宋体" w:cs="Times New Roman"/>
    </w:rPr>
  </w:style>
  <w:style w:type="character" w:customStyle="1" w:styleId="45">
    <w:name w:val="Title Char"/>
    <w:link w:val="27"/>
    <w:qFormat/>
    <w:uiPriority w:val="10"/>
    <w:rPr>
      <w:sz w:val="48"/>
      <w:szCs w:val="48"/>
    </w:rPr>
  </w:style>
  <w:style w:type="character" w:customStyle="1" w:styleId="46">
    <w:name w:val="Subtitle Char"/>
    <w:link w:val="21"/>
    <w:uiPriority w:val="11"/>
    <w:rPr>
      <w:sz w:val="24"/>
      <w:szCs w:val="24"/>
    </w:rPr>
  </w:style>
  <w:style w:type="paragraph" w:styleId="47">
    <w:name w:val="Quote"/>
    <w:basedOn w:val="1"/>
    <w:next w:val="1"/>
    <w:link w:val="48"/>
    <w:qFormat/>
    <w:uiPriority w:val="29"/>
    <w:pPr>
      <w:ind w:left="720" w:right="720"/>
    </w:pPr>
    <w:rPr>
      <w:i/>
    </w:rPr>
  </w:style>
  <w:style w:type="character" w:customStyle="1" w:styleId="48">
    <w:name w:val="Quote Char"/>
    <w:link w:val="47"/>
    <w:qFormat/>
    <w:uiPriority w:val="29"/>
    <w:rPr>
      <w:i/>
    </w:rPr>
  </w:style>
  <w:style w:type="paragraph" w:styleId="49">
    <w:name w:val="Intense Quote"/>
    <w:basedOn w:val="1"/>
    <w:next w:val="1"/>
    <w:link w:val="5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0">
    <w:name w:val="Intense Quote Char"/>
    <w:link w:val="49"/>
    <w:qFormat/>
    <w:uiPriority w:val="30"/>
    <w:rPr>
      <w:i/>
    </w:rPr>
  </w:style>
  <w:style w:type="character" w:customStyle="1" w:styleId="51">
    <w:name w:val="Header Char"/>
    <w:link w:val="18"/>
    <w:qFormat/>
    <w:uiPriority w:val="99"/>
  </w:style>
  <w:style w:type="character" w:customStyle="1" w:styleId="52">
    <w:name w:val="Footer Char"/>
    <w:link w:val="17"/>
    <w:qFormat/>
    <w:uiPriority w:val="99"/>
  </w:style>
  <w:style w:type="character" w:customStyle="1" w:styleId="53">
    <w:name w:val="Caption Char"/>
    <w:link w:val="17"/>
    <w:qFormat/>
    <w:uiPriority w:val="99"/>
  </w:style>
  <w:style w:type="table" w:customStyle="1" w:styleId="54">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5">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6">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7">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8">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9">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1">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2">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3">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4">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5">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6">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7">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8">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69">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0">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1">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2">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3">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4">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6">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7">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8">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9">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0">
    <w:name w:val="Grid Table 3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1">
    <w:name w:val="Grid Table 4"/>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3">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4">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5">
    <w:name w:val="Grid Table 4 - Accent 4"/>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6">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7">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8">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9">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0">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1">
    <w:name w:val="Grid Table 5 Dark - Accent 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2">
    <w:name w:val="Grid Table 5 Dark- Accent 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3">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4">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5">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6">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97">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98">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99">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0">
    <w:name w:val="Grid Table 6 Colorful - Accent 5"/>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1">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2">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3">
    <w:name w:val="Grid Table 7 Colorful - Accent 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4">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5">
    <w:name w:val="Grid Table 7 Colorful - Accent 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6">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7">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8">
    <w:name w:val="Grid Table 7 Colorful - Accent 6"/>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09">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0">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1">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2">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3">
    <w:name w:val="List Table 1 Light - Accent 4"/>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4">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5">
    <w:name w:val="List Table 1 Light - Accent 6"/>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6">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7">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18">
    <w:name w:val="List Table 2 - Accent 2"/>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19">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0">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1">
    <w:name w:val="List Table 2 - Accent 5"/>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2">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3">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4">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5">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6">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7">
    <w:name w:val="List Table 3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28">
    <w:name w:val="List Table 3 - Accent 5"/>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29">
    <w:name w:val="List Table 3 - Accent 6"/>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0">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1">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2">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3">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4">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5">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6">
    <w:name w:val="List Table 4 - Accent 6"/>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7">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38">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39">
    <w:name w:val="List Table 5 Dark - Accent 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0">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1">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2">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3">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4">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5">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6">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7">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48">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9">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0">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1">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2">
    <w:name w:val="List Table 7 Colorful - Accent 1"/>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3">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4">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5">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6">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7">
    <w:name w:val="List Table 7 Colorful - Accent 6"/>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8">
    <w:name w:val="Lined - Accen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59">
    <w:name w:val="Lined - Accent 1"/>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0">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1">
    <w:name w:val="Lined - Accent 3"/>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2">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3">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4">
    <w:name w:val="Lined - Accent 6"/>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5">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6">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7">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8">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9">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0">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1">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2">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3">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4">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5">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6">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7">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78">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79">
    <w:name w:val="Footnote Text Char"/>
    <w:link w:val="22"/>
    <w:uiPriority w:val="99"/>
    <w:rPr>
      <w:sz w:val="18"/>
    </w:rPr>
  </w:style>
  <w:style w:type="character" w:customStyle="1" w:styleId="180">
    <w:name w:val="Endnote Text Char"/>
    <w:link w:val="16"/>
    <w:qFormat/>
    <w:uiPriority w:val="99"/>
    <w:rPr>
      <w:sz w:val="20"/>
    </w:rPr>
  </w:style>
  <w:style w:type="paragraph" w:customStyle="1" w:styleId="181">
    <w:name w:val="TOC Heading"/>
    <w:unhideWhenUsed/>
    <w:qFormat/>
    <w:uiPriority w:val="39"/>
    <w:rPr>
      <w:rFonts w:hint="default" w:ascii="Times New Roman" w:hAnsi="Times New Roman" w:eastAsia="宋体" w:cs="Times New Roman"/>
    </w:rPr>
  </w:style>
  <w:style w:type="paragraph" w:customStyle="1" w:styleId="182">
    <w:name w:val="标题 11"/>
    <w:basedOn w:val="1"/>
    <w:next w:val="1"/>
    <w:link w:val="194"/>
    <w:qFormat/>
    <w:uiPriority w:val="0"/>
    <w:pPr>
      <w:keepNext/>
      <w:keepLines/>
      <w:spacing w:before="240" w:after="120" w:line="300" w:lineRule="auto"/>
      <w:jc w:val="center"/>
      <w:outlineLvl w:val="0"/>
    </w:pPr>
    <w:rPr>
      <w:rFonts w:ascii="宋体"/>
      <w:b/>
      <w:sz w:val="32"/>
      <w:szCs w:val="20"/>
    </w:rPr>
  </w:style>
  <w:style w:type="paragraph" w:customStyle="1" w:styleId="183">
    <w:name w:val="标题 21"/>
    <w:basedOn w:val="1"/>
    <w:next w:val="184"/>
    <w:link w:val="195"/>
    <w:qFormat/>
    <w:uiPriority w:val="0"/>
    <w:pPr>
      <w:keepNext/>
      <w:keepLines/>
      <w:spacing w:before="120" w:line="300" w:lineRule="auto"/>
      <w:jc w:val="center"/>
      <w:outlineLvl w:val="1"/>
    </w:pPr>
    <w:rPr>
      <w:rFonts w:ascii="Arial" w:hAnsi="Arial" w:eastAsia="黑体"/>
      <w:b/>
      <w:sz w:val="30"/>
      <w:szCs w:val="20"/>
    </w:rPr>
  </w:style>
  <w:style w:type="paragraph" w:customStyle="1" w:styleId="184">
    <w:name w:val="正文缩进11"/>
    <w:basedOn w:val="1"/>
    <w:next w:val="1"/>
    <w:link w:val="196"/>
    <w:qFormat/>
    <w:uiPriority w:val="0"/>
    <w:pPr>
      <w:ind w:firstLine="420"/>
      <w:jc w:val="left"/>
    </w:pPr>
    <w:rPr>
      <w:rFonts w:ascii="宋体"/>
      <w:sz w:val="24"/>
    </w:rPr>
  </w:style>
  <w:style w:type="paragraph" w:customStyle="1" w:styleId="185">
    <w:name w:val="标题 31"/>
    <w:basedOn w:val="1"/>
    <w:next w:val="1"/>
    <w:link w:val="197"/>
    <w:qFormat/>
    <w:uiPriority w:val="0"/>
    <w:pPr>
      <w:keepNext/>
      <w:keepLines/>
      <w:spacing w:before="360" w:after="120"/>
      <w:jc w:val="left"/>
      <w:outlineLvl w:val="2"/>
    </w:pPr>
    <w:rPr>
      <w:rFonts w:ascii="宋体"/>
      <w:b/>
      <w:sz w:val="24"/>
      <w:szCs w:val="20"/>
      <w:u w:val="single"/>
    </w:rPr>
  </w:style>
  <w:style w:type="paragraph" w:customStyle="1" w:styleId="186">
    <w:name w:val="标题 41"/>
    <w:basedOn w:val="1"/>
    <w:next w:val="1"/>
    <w:link w:val="198"/>
    <w:qFormat/>
    <w:uiPriority w:val="0"/>
    <w:pPr>
      <w:keepNext/>
      <w:keepLines/>
      <w:spacing w:before="280" w:after="290" w:line="376" w:lineRule="atLeast"/>
      <w:outlineLvl w:val="3"/>
    </w:pPr>
    <w:rPr>
      <w:rFonts w:ascii="Arial" w:hAnsi="Arial" w:eastAsia="黑体"/>
      <w:b/>
      <w:sz w:val="28"/>
      <w:szCs w:val="20"/>
    </w:rPr>
  </w:style>
  <w:style w:type="paragraph" w:customStyle="1" w:styleId="187">
    <w:name w:val="标题 51"/>
    <w:basedOn w:val="1"/>
    <w:next w:val="1"/>
    <w:link w:val="199"/>
    <w:qFormat/>
    <w:uiPriority w:val="0"/>
    <w:pPr>
      <w:keepNext/>
      <w:keepLines/>
      <w:spacing w:before="280" w:after="290" w:line="376" w:lineRule="atLeast"/>
      <w:outlineLvl w:val="4"/>
    </w:pPr>
    <w:rPr>
      <w:b/>
      <w:sz w:val="28"/>
      <w:szCs w:val="20"/>
    </w:rPr>
  </w:style>
  <w:style w:type="paragraph" w:customStyle="1" w:styleId="188">
    <w:name w:val="标题 61"/>
    <w:basedOn w:val="1"/>
    <w:next w:val="1"/>
    <w:link w:val="200"/>
    <w:qFormat/>
    <w:uiPriority w:val="0"/>
    <w:pPr>
      <w:keepNext/>
      <w:keepLines/>
      <w:spacing w:before="240" w:after="64" w:line="320" w:lineRule="atLeast"/>
      <w:outlineLvl w:val="5"/>
    </w:pPr>
    <w:rPr>
      <w:rFonts w:ascii="Arial" w:hAnsi="Arial" w:eastAsia="黑体"/>
      <w:b/>
      <w:sz w:val="24"/>
      <w:szCs w:val="20"/>
    </w:rPr>
  </w:style>
  <w:style w:type="paragraph" w:customStyle="1" w:styleId="189">
    <w:name w:val="标题 71"/>
    <w:basedOn w:val="1"/>
    <w:next w:val="1"/>
    <w:link w:val="201"/>
    <w:qFormat/>
    <w:uiPriority w:val="0"/>
    <w:pPr>
      <w:keepNext/>
      <w:keepLines/>
      <w:spacing w:before="240" w:after="64" w:line="320" w:lineRule="atLeast"/>
      <w:outlineLvl w:val="6"/>
    </w:pPr>
    <w:rPr>
      <w:b/>
      <w:sz w:val="24"/>
      <w:szCs w:val="20"/>
    </w:rPr>
  </w:style>
  <w:style w:type="paragraph" w:customStyle="1" w:styleId="190">
    <w:name w:val="标题 81"/>
    <w:basedOn w:val="1"/>
    <w:next w:val="1"/>
    <w:link w:val="202"/>
    <w:qFormat/>
    <w:uiPriority w:val="0"/>
    <w:pPr>
      <w:keepNext/>
      <w:keepLines/>
      <w:spacing w:before="240" w:after="64" w:line="320" w:lineRule="atLeast"/>
      <w:outlineLvl w:val="7"/>
    </w:pPr>
    <w:rPr>
      <w:rFonts w:ascii="Arial" w:hAnsi="Arial" w:eastAsia="黑体"/>
      <w:sz w:val="24"/>
      <w:szCs w:val="20"/>
    </w:rPr>
  </w:style>
  <w:style w:type="paragraph" w:customStyle="1" w:styleId="191">
    <w:name w:val="标题 91"/>
    <w:basedOn w:val="1"/>
    <w:next w:val="1"/>
    <w:link w:val="203"/>
    <w:qFormat/>
    <w:uiPriority w:val="0"/>
    <w:pPr>
      <w:keepNext/>
      <w:keepLines/>
      <w:spacing w:before="240" w:after="64" w:line="320" w:lineRule="atLeast"/>
      <w:outlineLvl w:val="8"/>
    </w:pPr>
    <w:rPr>
      <w:rFonts w:ascii="Arial" w:hAnsi="Arial" w:eastAsia="黑体"/>
      <w:szCs w:val="20"/>
    </w:rPr>
  </w:style>
  <w:style w:type="character" w:customStyle="1" w:styleId="192">
    <w:name w:val="默认段落字体1"/>
    <w:link w:val="1"/>
    <w:unhideWhenUsed/>
    <w:qFormat/>
    <w:uiPriority w:val="1"/>
  </w:style>
  <w:style w:type="table" w:customStyle="1" w:styleId="193">
    <w:name w:val="普通表格1"/>
    <w:unhideWhenUsed/>
    <w:qFormat/>
    <w:uiPriority w:val="99"/>
  </w:style>
  <w:style w:type="character" w:customStyle="1" w:styleId="194">
    <w:name w:val="标题 1 Char"/>
    <w:basedOn w:val="192"/>
    <w:link w:val="182"/>
    <w:qFormat/>
    <w:uiPriority w:val="0"/>
    <w:rPr>
      <w:rFonts w:ascii="宋体"/>
      <w:b/>
      <w:sz w:val="32"/>
    </w:rPr>
  </w:style>
  <w:style w:type="character" w:customStyle="1" w:styleId="195">
    <w:name w:val="标题 2 Char1"/>
    <w:link w:val="183"/>
    <w:qFormat/>
    <w:uiPriority w:val="0"/>
    <w:rPr>
      <w:rFonts w:ascii="Arial" w:hAnsi="Arial" w:eastAsia="黑体"/>
      <w:b/>
      <w:sz w:val="30"/>
      <w:lang w:val="en-US" w:eastAsia="zh-CN" w:bidi="ar-SA"/>
    </w:rPr>
  </w:style>
  <w:style w:type="character" w:customStyle="1" w:styleId="196">
    <w:name w:val="正文缩进 Char1"/>
    <w:link w:val="184"/>
    <w:qFormat/>
    <w:uiPriority w:val="0"/>
    <w:rPr>
      <w:rFonts w:ascii="宋体" w:eastAsia="宋体"/>
      <w:sz w:val="24"/>
      <w:szCs w:val="24"/>
      <w:lang w:val="en-US" w:eastAsia="zh-CN" w:bidi="ar-SA"/>
    </w:rPr>
  </w:style>
  <w:style w:type="character" w:customStyle="1" w:styleId="197">
    <w:name w:val="标题 3 Char1"/>
    <w:link w:val="185"/>
    <w:qFormat/>
    <w:uiPriority w:val="0"/>
    <w:rPr>
      <w:rFonts w:ascii="宋体" w:eastAsia="宋体"/>
      <w:b/>
      <w:sz w:val="24"/>
      <w:u w:val="single"/>
      <w:lang w:val="en-US" w:eastAsia="zh-CN" w:bidi="ar-SA"/>
    </w:rPr>
  </w:style>
  <w:style w:type="character" w:customStyle="1" w:styleId="198">
    <w:name w:val="标题 4 Char"/>
    <w:basedOn w:val="192"/>
    <w:link w:val="186"/>
    <w:qFormat/>
    <w:uiPriority w:val="0"/>
    <w:rPr>
      <w:rFonts w:ascii="Arial" w:hAnsi="Arial" w:eastAsia="黑体"/>
      <w:b/>
      <w:sz w:val="28"/>
    </w:rPr>
  </w:style>
  <w:style w:type="character" w:customStyle="1" w:styleId="199">
    <w:name w:val="标题 5 Char"/>
    <w:basedOn w:val="192"/>
    <w:link w:val="187"/>
    <w:qFormat/>
    <w:uiPriority w:val="0"/>
    <w:rPr>
      <w:b/>
      <w:sz w:val="28"/>
    </w:rPr>
  </w:style>
  <w:style w:type="character" w:customStyle="1" w:styleId="200">
    <w:name w:val="标题 6 Char"/>
    <w:basedOn w:val="192"/>
    <w:link w:val="188"/>
    <w:qFormat/>
    <w:uiPriority w:val="0"/>
    <w:rPr>
      <w:rFonts w:ascii="Arial" w:hAnsi="Arial" w:eastAsia="黑体"/>
      <w:b/>
      <w:sz w:val="24"/>
    </w:rPr>
  </w:style>
  <w:style w:type="character" w:customStyle="1" w:styleId="201">
    <w:name w:val="标题 7 Char"/>
    <w:basedOn w:val="192"/>
    <w:link w:val="189"/>
    <w:qFormat/>
    <w:uiPriority w:val="0"/>
    <w:rPr>
      <w:b/>
      <w:sz w:val="24"/>
    </w:rPr>
  </w:style>
  <w:style w:type="character" w:customStyle="1" w:styleId="202">
    <w:name w:val="标题 8 Char"/>
    <w:basedOn w:val="192"/>
    <w:link w:val="190"/>
    <w:qFormat/>
    <w:uiPriority w:val="0"/>
    <w:rPr>
      <w:rFonts w:ascii="Arial" w:hAnsi="Arial" w:eastAsia="黑体"/>
      <w:sz w:val="24"/>
    </w:rPr>
  </w:style>
  <w:style w:type="character" w:customStyle="1" w:styleId="203">
    <w:name w:val="标题 9 Char"/>
    <w:basedOn w:val="192"/>
    <w:link w:val="191"/>
    <w:qFormat/>
    <w:uiPriority w:val="0"/>
    <w:rPr>
      <w:rFonts w:ascii="Arial" w:hAnsi="Arial" w:eastAsia="黑体"/>
      <w:sz w:val="21"/>
    </w:rPr>
  </w:style>
  <w:style w:type="paragraph" w:customStyle="1" w:styleId="204">
    <w:name w:val="目录 71"/>
    <w:basedOn w:val="1"/>
    <w:next w:val="1"/>
    <w:qFormat/>
    <w:uiPriority w:val="0"/>
    <w:pPr>
      <w:ind w:left="2520"/>
    </w:pPr>
  </w:style>
  <w:style w:type="paragraph" w:customStyle="1" w:styleId="205">
    <w:name w:val="引文目录1"/>
    <w:basedOn w:val="1"/>
    <w:next w:val="1"/>
    <w:unhideWhenUsed/>
    <w:qFormat/>
    <w:uiPriority w:val="99"/>
    <w:pPr>
      <w:ind w:left="420"/>
    </w:pPr>
  </w:style>
  <w:style w:type="paragraph" w:customStyle="1" w:styleId="206">
    <w:name w:val="题注1"/>
    <w:basedOn w:val="1"/>
    <w:next w:val="1"/>
    <w:qFormat/>
    <w:uiPriority w:val="0"/>
    <w:pPr>
      <w:spacing w:line="480" w:lineRule="auto"/>
    </w:pPr>
    <w:rPr>
      <w:rFonts w:ascii="华文中宋" w:hAnsi="华文中宋" w:eastAsia="华文中宋"/>
      <w:sz w:val="36"/>
      <w:szCs w:val="20"/>
    </w:rPr>
  </w:style>
  <w:style w:type="paragraph" w:customStyle="1" w:styleId="207">
    <w:name w:val="文档结构图1"/>
    <w:basedOn w:val="1"/>
    <w:link w:val="208"/>
    <w:qFormat/>
    <w:uiPriority w:val="0"/>
    <w:pPr>
      <w:shd w:val="clear" w:color="auto" w:fill="000080"/>
    </w:pPr>
  </w:style>
  <w:style w:type="character" w:customStyle="1" w:styleId="208">
    <w:name w:val="文档结构图 Char"/>
    <w:basedOn w:val="192"/>
    <w:link w:val="207"/>
    <w:qFormat/>
    <w:uiPriority w:val="0"/>
    <w:rPr>
      <w:sz w:val="21"/>
      <w:szCs w:val="24"/>
      <w:shd w:val="clear" w:color="auto" w:fill="000080"/>
    </w:rPr>
  </w:style>
  <w:style w:type="paragraph" w:customStyle="1" w:styleId="209">
    <w:name w:val="批注文字1"/>
    <w:basedOn w:val="1"/>
    <w:link w:val="210"/>
    <w:qFormat/>
    <w:uiPriority w:val="99"/>
    <w:pPr>
      <w:jc w:val="left"/>
    </w:pPr>
  </w:style>
  <w:style w:type="character" w:customStyle="1" w:styleId="210">
    <w:name w:val="批注文字 Char1"/>
    <w:link w:val="209"/>
    <w:qFormat/>
    <w:uiPriority w:val="99"/>
    <w:rPr>
      <w:sz w:val="21"/>
      <w:szCs w:val="24"/>
    </w:rPr>
  </w:style>
  <w:style w:type="paragraph" w:customStyle="1" w:styleId="211">
    <w:name w:val="正文文本 31"/>
    <w:basedOn w:val="1"/>
    <w:link w:val="212"/>
    <w:qFormat/>
    <w:uiPriority w:val="0"/>
    <w:pPr>
      <w:spacing w:after="120"/>
    </w:pPr>
    <w:rPr>
      <w:sz w:val="16"/>
      <w:szCs w:val="16"/>
    </w:rPr>
  </w:style>
  <w:style w:type="character" w:customStyle="1" w:styleId="212">
    <w:name w:val="正文文本 3 Char"/>
    <w:basedOn w:val="192"/>
    <w:link w:val="211"/>
    <w:qFormat/>
    <w:uiPriority w:val="0"/>
    <w:rPr>
      <w:sz w:val="16"/>
      <w:szCs w:val="16"/>
    </w:rPr>
  </w:style>
  <w:style w:type="paragraph" w:customStyle="1" w:styleId="213">
    <w:name w:val="正文文本11"/>
    <w:basedOn w:val="1"/>
    <w:next w:val="1"/>
    <w:link w:val="214"/>
    <w:qFormat/>
    <w:uiPriority w:val="0"/>
    <w:pPr>
      <w:tabs>
        <w:tab w:val="left" w:pos="567"/>
      </w:tabs>
      <w:spacing w:before="120" w:line="22" w:lineRule="atLeast"/>
    </w:pPr>
    <w:rPr>
      <w:rFonts w:ascii="宋体" w:hAnsi="宋体"/>
      <w:sz w:val="24"/>
    </w:rPr>
  </w:style>
  <w:style w:type="character" w:customStyle="1" w:styleId="214">
    <w:name w:val="正文文本 Char"/>
    <w:basedOn w:val="192"/>
    <w:link w:val="213"/>
    <w:qFormat/>
    <w:uiPriority w:val="0"/>
    <w:rPr>
      <w:rFonts w:ascii="宋体" w:hAnsi="宋体"/>
      <w:sz w:val="24"/>
      <w:szCs w:val="24"/>
    </w:rPr>
  </w:style>
  <w:style w:type="paragraph" w:customStyle="1" w:styleId="215">
    <w:name w:val="正文文本缩进111"/>
    <w:basedOn w:val="1"/>
    <w:next w:val="1"/>
    <w:link w:val="216"/>
    <w:qFormat/>
    <w:uiPriority w:val="0"/>
    <w:pPr>
      <w:spacing w:line="360" w:lineRule="auto"/>
      <w:ind w:firstLine="570"/>
    </w:pPr>
    <w:rPr>
      <w:sz w:val="24"/>
    </w:rPr>
  </w:style>
  <w:style w:type="character" w:customStyle="1" w:styleId="216">
    <w:name w:val="正文文本缩进 Char2"/>
    <w:link w:val="215"/>
    <w:qFormat/>
    <w:uiPriority w:val="0"/>
    <w:rPr>
      <w:rFonts w:eastAsia="宋体"/>
      <w:sz w:val="24"/>
      <w:szCs w:val="24"/>
      <w:lang w:val="en-US" w:eastAsia="zh-CN" w:bidi="ar-SA"/>
    </w:rPr>
  </w:style>
  <w:style w:type="paragraph" w:customStyle="1" w:styleId="217">
    <w:name w:val="列表 21"/>
    <w:basedOn w:val="1"/>
    <w:qFormat/>
    <w:uiPriority w:val="0"/>
    <w:pPr>
      <w:ind w:left="100" w:hanging="200"/>
    </w:pPr>
  </w:style>
  <w:style w:type="paragraph" w:customStyle="1" w:styleId="218">
    <w:name w:val="文本块1"/>
    <w:basedOn w:val="1"/>
    <w:qFormat/>
    <w:uiPriority w:val="0"/>
    <w:pPr>
      <w:widowControl/>
      <w:ind w:left="480" w:right="-341" w:firstLine="513"/>
    </w:pPr>
    <w:rPr>
      <w:sz w:val="24"/>
      <w:szCs w:val="20"/>
    </w:rPr>
  </w:style>
  <w:style w:type="paragraph" w:customStyle="1" w:styleId="219">
    <w:name w:val="目录 51"/>
    <w:basedOn w:val="1"/>
    <w:next w:val="1"/>
    <w:qFormat/>
    <w:uiPriority w:val="0"/>
    <w:pPr>
      <w:ind w:left="1680"/>
    </w:pPr>
  </w:style>
  <w:style w:type="paragraph" w:customStyle="1" w:styleId="220">
    <w:name w:val="目录 31"/>
    <w:basedOn w:val="1"/>
    <w:next w:val="1"/>
    <w:qFormat/>
    <w:uiPriority w:val="39"/>
    <w:pPr>
      <w:ind w:left="840"/>
    </w:pPr>
  </w:style>
  <w:style w:type="paragraph" w:customStyle="1" w:styleId="221">
    <w:name w:val="纯文本11"/>
    <w:basedOn w:val="1"/>
    <w:next w:val="184"/>
    <w:link w:val="222"/>
    <w:qFormat/>
    <w:uiPriority w:val="0"/>
    <w:rPr>
      <w:rFonts w:hint="eastAsia" w:ascii="宋体" w:hAnsi="Courier New"/>
      <w:szCs w:val="20"/>
    </w:rPr>
  </w:style>
  <w:style w:type="character" w:customStyle="1" w:styleId="222">
    <w:name w:val="纯文本 Char"/>
    <w:basedOn w:val="192"/>
    <w:link w:val="221"/>
    <w:qFormat/>
    <w:uiPriority w:val="0"/>
    <w:rPr>
      <w:rFonts w:hint="eastAsia" w:ascii="宋体" w:hAnsi="Courier New" w:eastAsia="宋体" w:cs="宋体"/>
      <w:sz w:val="21"/>
    </w:rPr>
  </w:style>
  <w:style w:type="paragraph" w:customStyle="1" w:styleId="223">
    <w:name w:val="目录 81"/>
    <w:basedOn w:val="1"/>
    <w:next w:val="1"/>
    <w:qFormat/>
    <w:uiPriority w:val="0"/>
    <w:pPr>
      <w:ind w:left="2940"/>
    </w:pPr>
  </w:style>
  <w:style w:type="paragraph" w:customStyle="1" w:styleId="224">
    <w:name w:val="日期1"/>
    <w:basedOn w:val="1"/>
    <w:next w:val="1"/>
    <w:link w:val="225"/>
    <w:qFormat/>
    <w:uiPriority w:val="0"/>
    <w:pPr>
      <w:ind w:left="100"/>
    </w:pPr>
    <w:rPr>
      <w:rFonts w:ascii="仿宋_GB2312" w:hAnsi="宋体" w:eastAsia="仿宋_GB2312"/>
      <w:color w:val="000000"/>
      <w:sz w:val="24"/>
    </w:rPr>
  </w:style>
  <w:style w:type="character" w:customStyle="1" w:styleId="225">
    <w:name w:val="日期 Char"/>
    <w:basedOn w:val="192"/>
    <w:link w:val="224"/>
    <w:qFormat/>
    <w:uiPriority w:val="0"/>
    <w:rPr>
      <w:rFonts w:ascii="仿宋_GB2312" w:hAnsi="宋体" w:eastAsia="仿宋_GB2312"/>
      <w:color w:val="000000"/>
      <w:sz w:val="24"/>
      <w:szCs w:val="24"/>
    </w:rPr>
  </w:style>
  <w:style w:type="paragraph" w:customStyle="1" w:styleId="226">
    <w:name w:val="正文文本缩进 21"/>
    <w:basedOn w:val="1"/>
    <w:link w:val="227"/>
    <w:qFormat/>
    <w:uiPriority w:val="0"/>
    <w:pPr>
      <w:ind w:firstLine="480"/>
    </w:pPr>
    <w:rPr>
      <w:rFonts w:ascii="仿宋_GB2312" w:eastAsia="仿宋_GB2312"/>
      <w:sz w:val="24"/>
    </w:rPr>
  </w:style>
  <w:style w:type="character" w:customStyle="1" w:styleId="227">
    <w:name w:val="正文文本缩进 2 Char"/>
    <w:basedOn w:val="192"/>
    <w:link w:val="226"/>
    <w:qFormat/>
    <w:uiPriority w:val="0"/>
    <w:rPr>
      <w:rFonts w:ascii="仿宋_GB2312" w:eastAsia="仿宋_GB2312"/>
      <w:sz w:val="24"/>
      <w:szCs w:val="24"/>
    </w:rPr>
  </w:style>
  <w:style w:type="paragraph" w:customStyle="1" w:styleId="228">
    <w:name w:val="批注框文本1"/>
    <w:basedOn w:val="1"/>
    <w:link w:val="229"/>
    <w:qFormat/>
    <w:uiPriority w:val="0"/>
    <w:rPr>
      <w:sz w:val="18"/>
      <w:szCs w:val="18"/>
    </w:rPr>
  </w:style>
  <w:style w:type="character" w:customStyle="1" w:styleId="229">
    <w:name w:val="批注框文本 Char"/>
    <w:basedOn w:val="192"/>
    <w:link w:val="228"/>
    <w:qFormat/>
    <w:uiPriority w:val="0"/>
    <w:rPr>
      <w:sz w:val="18"/>
      <w:szCs w:val="18"/>
    </w:rPr>
  </w:style>
  <w:style w:type="paragraph" w:customStyle="1" w:styleId="230">
    <w:name w:val="页脚1"/>
    <w:basedOn w:val="1"/>
    <w:link w:val="231"/>
    <w:qFormat/>
    <w:uiPriority w:val="99"/>
    <w:pPr>
      <w:tabs>
        <w:tab w:val="center" w:pos="4153"/>
        <w:tab w:val="right" w:pos="8306"/>
      </w:tabs>
      <w:jc w:val="left"/>
    </w:pPr>
    <w:rPr>
      <w:rFonts w:ascii="宋体"/>
      <w:sz w:val="18"/>
      <w:szCs w:val="20"/>
    </w:rPr>
  </w:style>
  <w:style w:type="character" w:customStyle="1" w:styleId="231">
    <w:name w:val="页脚 Char1"/>
    <w:link w:val="230"/>
    <w:qFormat/>
    <w:uiPriority w:val="99"/>
    <w:rPr>
      <w:rFonts w:ascii="宋体" w:eastAsia="宋体"/>
      <w:sz w:val="18"/>
      <w:lang w:val="en-US" w:eastAsia="zh-CN" w:bidi="ar-SA"/>
    </w:rPr>
  </w:style>
  <w:style w:type="paragraph" w:customStyle="1" w:styleId="232">
    <w:name w:val="页眉1"/>
    <w:basedOn w:val="1"/>
    <w:link w:val="233"/>
    <w:qFormat/>
    <w:uiPriority w:val="0"/>
    <w:pPr>
      <w:pBdr>
        <w:bottom w:val="single" w:color="000000" w:sz="6" w:space="1"/>
      </w:pBdr>
      <w:tabs>
        <w:tab w:val="center" w:pos="4153"/>
        <w:tab w:val="right" w:pos="8306"/>
      </w:tabs>
      <w:jc w:val="center"/>
    </w:pPr>
    <w:rPr>
      <w:sz w:val="18"/>
      <w:szCs w:val="18"/>
    </w:rPr>
  </w:style>
  <w:style w:type="character" w:customStyle="1" w:styleId="233">
    <w:name w:val="页眉 Char1"/>
    <w:link w:val="232"/>
    <w:qFormat/>
    <w:uiPriority w:val="0"/>
    <w:rPr>
      <w:rFonts w:eastAsia="宋体"/>
      <w:sz w:val="18"/>
      <w:szCs w:val="18"/>
      <w:lang w:val="en-US" w:eastAsia="zh-CN" w:bidi="ar-SA"/>
    </w:rPr>
  </w:style>
  <w:style w:type="paragraph" w:customStyle="1" w:styleId="234">
    <w:name w:val="目录 11"/>
    <w:basedOn w:val="1"/>
    <w:next w:val="1"/>
    <w:qFormat/>
    <w:uiPriority w:val="39"/>
    <w:pPr>
      <w:tabs>
        <w:tab w:val="left" w:pos="1050"/>
        <w:tab w:val="right" w:leader="dot" w:pos="8937"/>
      </w:tabs>
      <w:spacing w:line="300" w:lineRule="auto"/>
    </w:pPr>
    <w:rPr>
      <w:rFonts w:ascii="宋体" w:hAnsi="宋体"/>
      <w:b/>
      <w:sz w:val="24"/>
    </w:rPr>
  </w:style>
  <w:style w:type="paragraph" w:customStyle="1" w:styleId="235">
    <w:name w:val="目录 41"/>
    <w:basedOn w:val="1"/>
    <w:next w:val="1"/>
    <w:qFormat/>
    <w:uiPriority w:val="0"/>
    <w:pPr>
      <w:ind w:left="1260"/>
    </w:pPr>
  </w:style>
  <w:style w:type="paragraph" w:customStyle="1" w:styleId="236">
    <w:name w:val="目录 61"/>
    <w:basedOn w:val="1"/>
    <w:next w:val="1"/>
    <w:qFormat/>
    <w:uiPriority w:val="0"/>
    <w:pPr>
      <w:ind w:left="2100"/>
    </w:pPr>
  </w:style>
  <w:style w:type="paragraph" w:customStyle="1" w:styleId="237">
    <w:name w:val="正文文本缩进 31"/>
    <w:basedOn w:val="1"/>
    <w:link w:val="238"/>
    <w:qFormat/>
    <w:uiPriority w:val="0"/>
    <w:pPr>
      <w:spacing w:before="120" w:line="22" w:lineRule="atLeast"/>
      <w:ind w:left="720" w:firstLine="480"/>
      <w:jc w:val="left"/>
    </w:pPr>
    <w:rPr>
      <w:rFonts w:ascii="宋体"/>
      <w:sz w:val="24"/>
      <w:szCs w:val="20"/>
    </w:rPr>
  </w:style>
  <w:style w:type="character" w:customStyle="1" w:styleId="238">
    <w:name w:val="正文文本缩进 3 Char"/>
    <w:basedOn w:val="192"/>
    <w:link w:val="237"/>
    <w:qFormat/>
    <w:uiPriority w:val="0"/>
    <w:rPr>
      <w:rFonts w:ascii="宋体"/>
      <w:sz w:val="24"/>
    </w:rPr>
  </w:style>
  <w:style w:type="paragraph" w:customStyle="1" w:styleId="239">
    <w:name w:val="目录 211"/>
    <w:basedOn w:val="1"/>
    <w:next w:val="1"/>
    <w:qFormat/>
    <w:uiPriority w:val="39"/>
    <w:pPr>
      <w:tabs>
        <w:tab w:val="right" w:leader="dot" w:pos="8937"/>
      </w:tabs>
      <w:spacing w:line="312" w:lineRule="auto"/>
      <w:ind w:left="420"/>
    </w:pPr>
  </w:style>
  <w:style w:type="paragraph" w:customStyle="1" w:styleId="240">
    <w:name w:val="目录 91"/>
    <w:basedOn w:val="1"/>
    <w:next w:val="1"/>
    <w:qFormat/>
    <w:uiPriority w:val="0"/>
    <w:pPr>
      <w:ind w:left="3360"/>
    </w:pPr>
  </w:style>
  <w:style w:type="paragraph" w:customStyle="1" w:styleId="241">
    <w:name w:val="HTML 预设格式1"/>
    <w:basedOn w:val="1"/>
    <w:link w:val="242"/>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character" w:customStyle="1" w:styleId="242">
    <w:name w:val="HTML 预设格式 Char"/>
    <w:basedOn w:val="192"/>
    <w:link w:val="241"/>
    <w:qFormat/>
    <w:uiPriority w:val="0"/>
    <w:rPr>
      <w:rFonts w:ascii="宋体" w:hAnsi="宋体" w:cs="宋体"/>
      <w:sz w:val="24"/>
      <w:szCs w:val="24"/>
    </w:rPr>
  </w:style>
  <w:style w:type="paragraph" w:customStyle="1" w:styleId="243">
    <w:name w:val="普通(网站)1"/>
    <w:basedOn w:val="1"/>
    <w:unhideWhenUsed/>
    <w:qFormat/>
    <w:uiPriority w:val="99"/>
    <w:pPr>
      <w:widowControl/>
      <w:spacing w:before="100" w:beforeAutospacing="1" w:after="100" w:afterAutospacing="1"/>
      <w:jc w:val="left"/>
    </w:pPr>
    <w:rPr>
      <w:rFonts w:ascii="宋体" w:hAnsi="宋体" w:cs="宋体"/>
      <w:sz w:val="24"/>
    </w:rPr>
  </w:style>
  <w:style w:type="paragraph" w:customStyle="1" w:styleId="244">
    <w:name w:val="索引 11"/>
    <w:basedOn w:val="1"/>
    <w:next w:val="1"/>
    <w:qFormat/>
    <w:uiPriority w:val="0"/>
    <w:rPr>
      <w:szCs w:val="20"/>
    </w:rPr>
  </w:style>
  <w:style w:type="paragraph" w:customStyle="1" w:styleId="245">
    <w:name w:val="标题1"/>
    <w:basedOn w:val="1"/>
    <w:next w:val="1"/>
    <w:link w:val="246"/>
    <w:qFormat/>
    <w:uiPriority w:val="0"/>
    <w:pPr>
      <w:jc w:val="center"/>
      <w:outlineLvl w:val="0"/>
    </w:pPr>
    <w:rPr>
      <w:b/>
      <w:sz w:val="32"/>
      <w:szCs w:val="20"/>
    </w:rPr>
  </w:style>
  <w:style w:type="character" w:customStyle="1" w:styleId="246">
    <w:name w:val="标题 Char1"/>
    <w:link w:val="245"/>
    <w:qFormat/>
    <w:uiPriority w:val="0"/>
    <w:rPr>
      <w:b/>
      <w:sz w:val="32"/>
    </w:rPr>
  </w:style>
  <w:style w:type="paragraph" w:customStyle="1" w:styleId="247">
    <w:name w:val="批注主题1"/>
    <w:basedOn w:val="209"/>
    <w:next w:val="209"/>
    <w:link w:val="248"/>
    <w:qFormat/>
    <w:uiPriority w:val="0"/>
    <w:rPr>
      <w:b/>
      <w:bCs/>
    </w:rPr>
  </w:style>
  <w:style w:type="character" w:customStyle="1" w:styleId="248">
    <w:name w:val="批注主题 Char"/>
    <w:basedOn w:val="249"/>
    <w:link w:val="247"/>
    <w:qFormat/>
    <w:uiPriority w:val="0"/>
    <w:rPr>
      <w:rFonts w:ascii="Times New Roman" w:hAnsi="Times New Roman" w:eastAsia="宋体" w:cs="Times New Roman"/>
      <w:b/>
      <w:bCs/>
      <w:sz w:val="21"/>
      <w:szCs w:val="24"/>
      <w:lang w:val="en-US" w:eastAsia="zh-CN" w:bidi="ar-SA"/>
    </w:rPr>
  </w:style>
  <w:style w:type="character" w:customStyle="1" w:styleId="249">
    <w:name w:val="批注文字 字符"/>
    <w:link w:val="1"/>
    <w:qFormat/>
    <w:uiPriority w:val="99"/>
    <w:rPr>
      <w:rFonts w:ascii="Times New Roman" w:hAnsi="Times New Roman" w:eastAsia="宋体" w:cs="Times New Roman"/>
      <w:sz w:val="24"/>
      <w:lang w:val="en-US" w:eastAsia="zh-CN" w:bidi="ar-SA"/>
    </w:rPr>
  </w:style>
  <w:style w:type="paragraph" w:customStyle="1" w:styleId="250">
    <w:name w:val="正文首行缩进1"/>
    <w:basedOn w:val="213"/>
    <w:qFormat/>
    <w:uiPriority w:val="99"/>
    <w:pPr>
      <w:ind w:firstLine="420"/>
    </w:pPr>
  </w:style>
  <w:style w:type="paragraph" w:customStyle="1" w:styleId="251">
    <w:name w:val="正文首行缩进 21"/>
    <w:basedOn w:val="215"/>
    <w:link w:val="252"/>
    <w:qFormat/>
    <w:uiPriority w:val="0"/>
    <w:pPr>
      <w:spacing w:after="120" w:line="480" w:lineRule="exact"/>
      <w:ind w:left="420" w:firstLine="420"/>
    </w:pPr>
    <w:rPr>
      <w:szCs w:val="20"/>
    </w:rPr>
  </w:style>
  <w:style w:type="character" w:customStyle="1" w:styleId="252">
    <w:name w:val="正文首行缩进 2 Char"/>
    <w:basedOn w:val="216"/>
    <w:link w:val="251"/>
    <w:qFormat/>
    <w:uiPriority w:val="0"/>
    <w:rPr>
      <w:rFonts w:eastAsia="宋体"/>
      <w:sz w:val="24"/>
      <w:szCs w:val="24"/>
      <w:lang w:val="en-US" w:eastAsia="zh-CN" w:bidi="ar-SA"/>
    </w:rPr>
  </w:style>
  <w:style w:type="table" w:customStyle="1" w:styleId="253">
    <w:name w:val="网格型1"/>
    <w:basedOn w:val="193"/>
    <w:qFormat/>
    <w:uiPriority w:val="39"/>
  </w:style>
  <w:style w:type="table" w:customStyle="1" w:styleId="254">
    <w:name w:val="中等深浅网格 1 - 强调文字颜色 21"/>
    <w:basedOn w:val="193"/>
    <w:qFormat/>
    <w:uiPriority w:val="0"/>
    <w:rPr>
      <w:sz w:val="21"/>
      <w:szCs w:val="24"/>
    </w:rPr>
  </w:style>
  <w:style w:type="character" w:customStyle="1" w:styleId="255">
    <w:name w:val="要点1"/>
    <w:link w:val="1"/>
    <w:qFormat/>
    <w:uiPriority w:val="0"/>
    <w:rPr>
      <w:b/>
      <w:bCs/>
    </w:rPr>
  </w:style>
  <w:style w:type="character" w:customStyle="1" w:styleId="256">
    <w:name w:val="页码1"/>
    <w:basedOn w:val="192"/>
    <w:link w:val="1"/>
    <w:qFormat/>
    <w:uiPriority w:val="0"/>
  </w:style>
  <w:style w:type="character" w:customStyle="1" w:styleId="257">
    <w:name w:val="已访问的超链接1"/>
    <w:basedOn w:val="192"/>
    <w:link w:val="1"/>
    <w:qFormat/>
    <w:uiPriority w:val="0"/>
    <w:rPr>
      <w:color w:val="333333"/>
      <w:u w:val="none"/>
    </w:rPr>
  </w:style>
  <w:style w:type="character" w:customStyle="1" w:styleId="258">
    <w:name w:val="强调1"/>
    <w:link w:val="1"/>
    <w:qFormat/>
    <w:uiPriority w:val="0"/>
    <w:rPr>
      <w:color w:val="CC0033"/>
    </w:rPr>
  </w:style>
  <w:style w:type="character" w:customStyle="1" w:styleId="259">
    <w:name w:val="超链接1"/>
    <w:basedOn w:val="192"/>
    <w:link w:val="1"/>
    <w:qFormat/>
    <w:uiPriority w:val="99"/>
    <w:rPr>
      <w:color w:val="333333"/>
      <w:u w:val="none"/>
    </w:rPr>
  </w:style>
  <w:style w:type="character" w:customStyle="1" w:styleId="260">
    <w:name w:val="批注引用1"/>
    <w:link w:val="1"/>
    <w:qFormat/>
    <w:uiPriority w:val="99"/>
    <w:rPr>
      <w:sz w:val="21"/>
      <w:szCs w:val="21"/>
    </w:rPr>
  </w:style>
  <w:style w:type="character" w:customStyle="1" w:styleId="261">
    <w:name w:val="HTML 引文1"/>
    <w:link w:val="1"/>
    <w:qFormat/>
    <w:uiPriority w:val="0"/>
    <w:rPr>
      <w:i/>
      <w:iCs/>
    </w:rPr>
  </w:style>
  <w:style w:type="paragraph" w:customStyle="1" w:styleId="262">
    <w:name w:val="正文文本1"/>
    <w:next w:val="1"/>
    <w:qFormat/>
    <w:uiPriority w:val="0"/>
    <w:pPr>
      <w:widowControl w:val="0"/>
      <w:tabs>
        <w:tab w:val="left" w:pos="567"/>
      </w:tabs>
      <w:spacing w:before="120" w:line="22" w:lineRule="atLeast"/>
      <w:jc w:val="both"/>
    </w:pPr>
    <w:rPr>
      <w:rFonts w:hint="default" w:ascii="宋体" w:hAnsi="宋体" w:eastAsia="宋体" w:cs="Times New Roman"/>
      <w:sz w:val="24"/>
      <w:szCs w:val="24"/>
      <w:lang w:val="en-US" w:eastAsia="zh-CN" w:bidi="ar-SA"/>
    </w:rPr>
  </w:style>
  <w:style w:type="character" w:customStyle="1" w:styleId="263">
    <w:name w:val="c21"/>
    <w:link w:val="1"/>
    <w:qFormat/>
    <w:uiPriority w:val="0"/>
    <w:rPr>
      <w:rFonts w:ascii="ˎ̥" w:hAnsi="ˎ̥"/>
      <w:color w:val="000000"/>
      <w:sz w:val="20"/>
      <w:szCs w:val="20"/>
      <w:u w:val="none"/>
    </w:rPr>
  </w:style>
  <w:style w:type="character" w:customStyle="1" w:styleId="264">
    <w:name w:val="title4"/>
    <w:link w:val="1"/>
    <w:qFormat/>
    <w:uiPriority w:val="0"/>
    <w:rPr>
      <w:b/>
      <w:bCs/>
      <w:color w:val="1D87B3"/>
      <w:sz w:val="15"/>
      <w:szCs w:val="15"/>
    </w:rPr>
  </w:style>
  <w:style w:type="character" w:customStyle="1" w:styleId="265">
    <w:name w:val="标题 2 Char Char"/>
    <w:link w:val="1"/>
    <w:qFormat/>
    <w:uiPriority w:val="0"/>
    <w:rPr>
      <w:rFonts w:ascii="Arial" w:hAnsi="Arial" w:eastAsia="黑体"/>
      <w:b/>
      <w:bCs/>
      <w:sz w:val="32"/>
      <w:szCs w:val="32"/>
      <w:lang w:val="en-US" w:eastAsia="zh-CN" w:bidi="ar-SA"/>
    </w:rPr>
  </w:style>
  <w:style w:type="character" w:customStyle="1" w:styleId="266">
    <w:name w:val="black1"/>
    <w:link w:val="1"/>
    <w:qFormat/>
    <w:uiPriority w:val="0"/>
    <w:rPr>
      <w:color w:val="000000"/>
    </w:rPr>
  </w:style>
  <w:style w:type="character" w:customStyle="1" w:styleId="267">
    <w:name w:val="street-address"/>
    <w:basedOn w:val="192"/>
    <w:link w:val="1"/>
    <w:qFormat/>
    <w:uiPriority w:val="0"/>
  </w:style>
  <w:style w:type="character" w:customStyle="1" w:styleId="268">
    <w:name w:val="locality"/>
    <w:basedOn w:val="192"/>
    <w:link w:val="1"/>
    <w:qFormat/>
    <w:uiPriority w:val="0"/>
  </w:style>
  <w:style w:type="character" w:customStyle="1" w:styleId="269">
    <w:name w:val="正文文本缩进 Char1"/>
    <w:link w:val="270"/>
    <w:qFormat/>
    <w:uiPriority w:val="0"/>
    <w:rPr>
      <w:rFonts w:ascii="宋体" w:hAnsi="宋体" w:eastAsia="宋体"/>
      <w:sz w:val="24"/>
      <w:szCs w:val="24"/>
      <w:lang w:bidi="ar-SA"/>
    </w:rPr>
  </w:style>
  <w:style w:type="paragraph" w:customStyle="1" w:styleId="270">
    <w:name w:val="正文文本缩进1"/>
    <w:basedOn w:val="1"/>
    <w:link w:val="269"/>
    <w:qFormat/>
    <w:uiPriority w:val="0"/>
    <w:pPr>
      <w:spacing w:line="480" w:lineRule="exact"/>
      <w:ind w:firstLine="480"/>
    </w:pPr>
    <w:rPr>
      <w:rFonts w:ascii="宋体" w:hAnsi="宋体"/>
      <w:sz w:val="24"/>
    </w:rPr>
  </w:style>
  <w:style w:type="character" w:customStyle="1" w:styleId="271">
    <w:name w:val="Char Char11"/>
    <w:link w:val="1"/>
    <w:qFormat/>
    <w:uiPriority w:val="0"/>
    <w:rPr>
      <w:rFonts w:ascii="宋体" w:eastAsia="宋体"/>
      <w:b/>
      <w:sz w:val="24"/>
      <w:u w:val="single"/>
      <w:lang w:val="en-US" w:eastAsia="zh-CN" w:bidi="ar-SA"/>
    </w:rPr>
  </w:style>
  <w:style w:type="character" w:customStyle="1" w:styleId="272">
    <w:name w:val="txt"/>
    <w:basedOn w:val="192"/>
    <w:link w:val="1"/>
    <w:qFormat/>
    <w:uiPriority w:val="0"/>
  </w:style>
  <w:style w:type="character" w:customStyle="1" w:styleId="273">
    <w:name w:val="正文缩进 Char Char"/>
    <w:link w:val="274"/>
    <w:qFormat/>
    <w:uiPriority w:val="0"/>
    <w:rPr>
      <w:rFonts w:ascii="宋体" w:eastAsia="宋体"/>
      <w:color w:val="000000"/>
      <w:sz w:val="28"/>
      <w:lang w:bidi="ar-SA"/>
    </w:rPr>
  </w:style>
  <w:style w:type="paragraph" w:customStyle="1" w:styleId="274">
    <w:name w:val="正文缩进1"/>
    <w:basedOn w:val="1"/>
    <w:link w:val="273"/>
    <w:qFormat/>
    <w:uiPriority w:val="0"/>
    <w:pPr>
      <w:widowControl/>
      <w:spacing w:line="480" w:lineRule="exact"/>
      <w:ind w:firstLine="567"/>
    </w:pPr>
    <w:rPr>
      <w:rFonts w:ascii="宋体"/>
      <w:color w:val="000000"/>
      <w:sz w:val="28"/>
      <w:szCs w:val="20"/>
    </w:rPr>
  </w:style>
  <w:style w:type="character" w:customStyle="1" w:styleId="275">
    <w:name w:val="普通文字1 Char1"/>
    <w:link w:val="1"/>
    <w:qFormat/>
    <w:uiPriority w:val="0"/>
    <w:rPr>
      <w:rFonts w:ascii="宋体" w:hAnsi="Courier New" w:eastAsia="宋体"/>
      <w:sz w:val="21"/>
      <w:lang w:val="en-US" w:eastAsia="zh-CN" w:bidi="ar-SA"/>
    </w:rPr>
  </w:style>
  <w:style w:type="character" w:customStyle="1" w:styleId="276">
    <w:name w:val="chanpin1"/>
    <w:link w:val="1"/>
    <w:qFormat/>
    <w:uiPriority w:val="0"/>
    <w:rPr>
      <w:rFonts w:ascii="ˎ̥" w:hAnsi="ˎ̥"/>
      <w:color w:val="000000"/>
      <w:sz w:val="20"/>
      <w:szCs w:val="20"/>
      <w:u w:val="none"/>
    </w:rPr>
  </w:style>
  <w:style w:type="character" w:customStyle="1" w:styleId="277">
    <w:name w:val="列出段落 Char1"/>
    <w:link w:val="278"/>
    <w:qFormat/>
    <w:uiPriority w:val="34"/>
    <w:rPr>
      <w:rFonts w:ascii="Calibri" w:hAnsi="Calibri" w:eastAsia="宋体"/>
      <w:sz w:val="21"/>
      <w:szCs w:val="22"/>
      <w:lang w:val="en-US" w:eastAsia="zh-CN" w:bidi="ar-SA"/>
    </w:rPr>
  </w:style>
  <w:style w:type="paragraph" w:customStyle="1" w:styleId="278">
    <w:name w:val="列出段落"/>
    <w:basedOn w:val="1"/>
    <w:link w:val="277"/>
    <w:qFormat/>
    <w:uiPriority w:val="34"/>
    <w:pPr>
      <w:ind w:firstLine="420"/>
    </w:pPr>
    <w:rPr>
      <w:rFonts w:ascii="Calibri" w:hAnsi="Calibri"/>
      <w:szCs w:val="22"/>
    </w:rPr>
  </w:style>
  <w:style w:type="character" w:customStyle="1" w:styleId="279">
    <w:name w:val="标题 3 Char Char"/>
    <w:link w:val="1"/>
    <w:qFormat/>
    <w:uiPriority w:val="0"/>
    <w:rPr>
      <w:rFonts w:eastAsia="宋体"/>
      <w:b/>
      <w:bCs/>
      <w:sz w:val="32"/>
      <w:szCs w:val="32"/>
      <w:lang w:val="en-US" w:eastAsia="zh-CN" w:bidi="ar-SA"/>
    </w:rPr>
  </w:style>
  <w:style w:type="character" w:customStyle="1" w:styleId="280">
    <w:name w:val="段1 Char"/>
    <w:link w:val="1"/>
    <w:qFormat/>
    <w:uiPriority w:val="0"/>
    <w:rPr>
      <w:rFonts w:ascii="宋体" w:eastAsia="宋体"/>
      <w:sz w:val="24"/>
      <w:lang w:val="en-US" w:eastAsia="zh-CN" w:bidi="ar-SA"/>
    </w:rPr>
  </w:style>
  <w:style w:type="character" w:customStyle="1" w:styleId="281">
    <w:name w:val="chanpin拷贝"/>
    <w:basedOn w:val="192"/>
    <w:link w:val="1"/>
    <w:qFormat/>
    <w:uiPriority w:val="0"/>
  </w:style>
  <w:style w:type="character" w:customStyle="1" w:styleId="282">
    <w:name w:val="纯文本 Char1"/>
    <w:link w:val="1"/>
    <w:qFormat/>
    <w:uiPriority w:val="0"/>
    <w:rPr>
      <w:rFonts w:ascii="宋体" w:hAnsi="Courier New" w:eastAsia="宋体"/>
      <w:sz w:val="21"/>
      <w:lang w:val="en-US" w:eastAsia="zh-CN" w:bidi="ar-SA"/>
    </w:rPr>
  </w:style>
  <w:style w:type="character" w:customStyle="1" w:styleId="283">
    <w:name w:val="apple-style-span"/>
    <w:link w:val="1"/>
    <w:qFormat/>
    <w:uiPriority w:val="0"/>
    <w:rPr>
      <w:rFonts w:cs="Times New Roman"/>
    </w:rPr>
  </w:style>
  <w:style w:type="paragraph" w:customStyle="1" w:styleId="284">
    <w:name w:val="二级条标题"/>
    <w:basedOn w:val="285"/>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285">
    <w:name w:val="一级条标题"/>
    <w:basedOn w:val="286"/>
    <w:next w:val="1"/>
    <w:qFormat/>
    <w:uiPriority w:val="0"/>
    <w:pPr>
      <w:numPr>
        <w:ilvl w:val="1"/>
      </w:numPr>
      <w:tabs>
        <w:tab w:val="left" w:pos="360"/>
        <w:tab w:val="left" w:pos="840"/>
      </w:tabs>
      <w:ind w:left="0" w:hanging="840"/>
      <w:outlineLvl w:val="1"/>
    </w:pPr>
  </w:style>
  <w:style w:type="paragraph" w:customStyle="1" w:styleId="286">
    <w:name w:val="章标题"/>
    <w:next w:val="1"/>
    <w:qFormat/>
    <w:uiPriority w:val="0"/>
    <w:pPr>
      <w:numPr>
        <w:ilvl w:val="0"/>
        <w:numId w:val="1"/>
      </w:numPr>
      <w:spacing w:before="156" w:after="156" w:line="460" w:lineRule="exact"/>
      <w:ind w:left="0"/>
      <w:jc w:val="both"/>
      <w:outlineLvl w:val="0"/>
    </w:pPr>
    <w:rPr>
      <w:rFonts w:hint="default" w:ascii="黑体" w:hAnsi="Times New Roman" w:eastAsia="黑体" w:cs="Times New Roman"/>
      <w:b/>
      <w:sz w:val="28"/>
      <w:lang w:val="en-US" w:eastAsia="zh-CN" w:bidi="ar-SA"/>
    </w:rPr>
  </w:style>
  <w:style w:type="paragraph" w:customStyle="1" w:styleId="287">
    <w:name w:val="font7"/>
    <w:basedOn w:val="1"/>
    <w:qFormat/>
    <w:uiPriority w:val="0"/>
    <w:pPr>
      <w:widowControl/>
      <w:spacing w:before="100" w:beforeAutospacing="1" w:after="100" w:afterAutospacing="1"/>
      <w:jc w:val="left"/>
    </w:pPr>
    <w:rPr>
      <w:rFonts w:eastAsia="Arial Unicode MS"/>
      <w:b/>
      <w:bCs/>
      <w:color w:val="000000"/>
      <w:sz w:val="20"/>
      <w:szCs w:val="20"/>
    </w:rPr>
  </w:style>
  <w:style w:type="paragraph" w:customStyle="1" w:styleId="288">
    <w:name w:val="字元 字元"/>
    <w:basedOn w:val="1"/>
    <w:qFormat/>
    <w:uiPriority w:val="0"/>
    <w:rPr>
      <w:rFonts w:ascii="Tahoma" w:hAnsi="Tahoma"/>
      <w:sz w:val="24"/>
      <w:szCs w:val="20"/>
    </w:rPr>
  </w:style>
  <w:style w:type="paragraph" w:customStyle="1" w:styleId="289">
    <w:name w:val="Char3 Char Char Char"/>
    <w:basedOn w:val="1"/>
    <w:qFormat/>
    <w:uiPriority w:val="0"/>
    <w:rPr>
      <w:rFonts w:ascii="Tahoma" w:hAnsi="Tahoma"/>
      <w:sz w:val="24"/>
      <w:szCs w:val="20"/>
    </w:rPr>
  </w:style>
  <w:style w:type="paragraph" w:customStyle="1" w:styleId="290">
    <w:name w:val="font6"/>
    <w:basedOn w:val="1"/>
    <w:qFormat/>
    <w:uiPriority w:val="0"/>
    <w:pPr>
      <w:widowControl/>
      <w:spacing w:before="100" w:beforeAutospacing="1" w:after="100" w:afterAutospacing="1"/>
      <w:jc w:val="left"/>
    </w:pPr>
    <w:rPr>
      <w:rFonts w:ascii="宋体" w:hAnsi="宋体" w:cs="宋体"/>
      <w:sz w:val="20"/>
      <w:szCs w:val="20"/>
    </w:rPr>
  </w:style>
  <w:style w:type="paragraph" w:customStyle="1" w:styleId="291">
    <w:name w:val="项目编号2"/>
    <w:basedOn w:val="292"/>
    <w:qFormat/>
    <w:uiPriority w:val="0"/>
    <w:pPr>
      <w:numPr>
        <w:numId w:val="2"/>
      </w:numPr>
    </w:pPr>
  </w:style>
  <w:style w:type="paragraph" w:customStyle="1" w:styleId="292">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293">
    <w:name w:val="图中文字"/>
    <w:basedOn w:val="1"/>
    <w:qFormat/>
    <w:uiPriority w:val="0"/>
    <w:pPr>
      <w:spacing w:line="0" w:lineRule="atLeast"/>
      <w:jc w:val="center"/>
    </w:pPr>
    <w:rPr>
      <w:sz w:val="24"/>
      <w:szCs w:val="20"/>
    </w:rPr>
  </w:style>
  <w:style w:type="paragraph" w:customStyle="1" w:styleId="294">
    <w:name w:val="xl46"/>
    <w:basedOn w:val="1"/>
    <w:qFormat/>
    <w:uiPriority w:val="0"/>
    <w:pPr>
      <w:widowControl/>
      <w:pBdr>
        <w:top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295">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296">
    <w:name w:val="Char2"/>
    <w:basedOn w:val="1"/>
    <w:qFormat/>
    <w:uiPriority w:val="0"/>
    <w:rPr>
      <w:rFonts w:ascii="Tahoma" w:hAnsi="Tahoma"/>
      <w:sz w:val="24"/>
      <w:szCs w:val="20"/>
    </w:rPr>
  </w:style>
  <w:style w:type="paragraph" w:customStyle="1" w:styleId="297">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298">
    <w:name w:val="xl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299">
    <w:name w:val="xl5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16"/>
      <w:szCs w:val="16"/>
    </w:rPr>
  </w:style>
  <w:style w:type="paragraph" w:customStyle="1" w:styleId="300">
    <w:name w:val="xl43"/>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01">
    <w:name w:val="background1"/>
    <w:basedOn w:val="1"/>
    <w:qFormat/>
    <w:uiPriority w:val="0"/>
    <w:pPr>
      <w:widowControl/>
      <w:spacing w:before="100" w:beforeAutospacing="1" w:after="100" w:afterAutospacing="1"/>
      <w:jc w:val="left"/>
    </w:pPr>
    <w:rPr>
      <w:rFonts w:ascii="宋体" w:hAnsi="宋体" w:cs="宋体"/>
      <w:sz w:val="24"/>
    </w:rPr>
  </w:style>
  <w:style w:type="paragraph" w:customStyle="1" w:styleId="302">
    <w:name w:val="Char Char Char Char Char Char Char"/>
    <w:basedOn w:val="1"/>
    <w:qFormat/>
    <w:uiPriority w:val="0"/>
    <w:pPr>
      <w:spacing w:line="360" w:lineRule="auto"/>
      <w:ind w:firstLine="200"/>
    </w:pPr>
    <w:rPr>
      <w:rFonts w:eastAsia="仿宋_GB2312"/>
      <w:sz w:val="24"/>
    </w:rPr>
  </w:style>
  <w:style w:type="paragraph" w:customStyle="1" w:styleId="303">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16"/>
      <w:szCs w:val="16"/>
    </w:rPr>
  </w:style>
  <w:style w:type="paragraph" w:customStyle="1" w:styleId="304">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05">
    <w:name w:val="正文 + 宋体"/>
    <w:basedOn w:val="1"/>
    <w:qFormat/>
    <w:uiPriority w:val="0"/>
    <w:pPr>
      <w:widowControl/>
      <w:ind w:left="360" w:hanging="360"/>
      <w:jc w:val="left"/>
    </w:pPr>
    <w:rPr>
      <w:rFonts w:ascii="宋体" w:hAnsi="宋体" w:cs="宋体"/>
      <w:b/>
      <w:bCs/>
      <w:color w:val="000000"/>
      <w:sz w:val="18"/>
      <w:szCs w:val="18"/>
    </w:rPr>
  </w:style>
  <w:style w:type="paragraph" w:customStyle="1" w:styleId="306">
    <w:name w:val="正文列项_数字"/>
    <w:basedOn w:val="1"/>
    <w:qFormat/>
    <w:uiPriority w:val="0"/>
    <w:pPr>
      <w:numPr>
        <w:ilvl w:val="7"/>
        <w:numId w:val="1"/>
      </w:numPr>
      <w:tabs>
        <w:tab w:val="clear" w:pos="860"/>
      </w:tabs>
      <w:spacing w:line="460" w:lineRule="exact"/>
      <w:ind w:left="680" w:hanging="150"/>
      <w:outlineLvl w:val="7"/>
    </w:pPr>
    <w:rPr>
      <w:rFonts w:ascii="宋体"/>
      <w:sz w:val="28"/>
      <w:szCs w:val="20"/>
    </w:rPr>
  </w:style>
  <w:style w:type="paragraph" w:customStyle="1" w:styleId="307">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08">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09">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color w:val="000000"/>
      <w:sz w:val="20"/>
      <w:szCs w:val="20"/>
    </w:rPr>
  </w:style>
  <w:style w:type="paragraph" w:customStyle="1" w:styleId="310">
    <w:name w:val="font8"/>
    <w:basedOn w:val="1"/>
    <w:qFormat/>
    <w:uiPriority w:val="0"/>
    <w:pPr>
      <w:widowControl/>
      <w:spacing w:before="100" w:beforeAutospacing="1" w:after="100" w:afterAutospacing="1"/>
      <w:jc w:val="left"/>
    </w:pPr>
    <w:rPr>
      <w:sz w:val="36"/>
      <w:szCs w:val="36"/>
    </w:rPr>
  </w:style>
  <w:style w:type="paragraph" w:customStyle="1" w:styleId="311">
    <w:name w:val="Char"/>
    <w:basedOn w:val="1"/>
    <w:qFormat/>
    <w:uiPriority w:val="0"/>
    <w:pPr>
      <w:tabs>
        <w:tab w:val="left" w:pos="360"/>
      </w:tabs>
    </w:pPr>
    <w:rPr>
      <w:sz w:val="24"/>
    </w:rPr>
  </w:style>
  <w:style w:type="paragraph" w:customStyle="1" w:styleId="312">
    <w:name w:val="Char Char Char Char Char Char Char Char Char Char Char Char Char Char Char Char"/>
    <w:basedOn w:val="1"/>
    <w:qFormat/>
    <w:uiPriority w:val="0"/>
    <w:pPr>
      <w:widowControl/>
      <w:spacing w:after="160" w:line="240" w:lineRule="exact"/>
      <w:jc w:val="center"/>
    </w:pPr>
    <w:rPr>
      <w:rFonts w:ascii="宋体" w:hAnsi="宋体"/>
      <w:b/>
      <w:sz w:val="30"/>
      <w:szCs w:val="30"/>
      <w:lang w:eastAsia="en-US"/>
    </w:rPr>
  </w:style>
  <w:style w:type="paragraph" w:customStyle="1" w:styleId="313">
    <w:name w:val="xl4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14">
    <w:name w:val="Char Char1 Char Char 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315">
    <w:name w:val="Char Char1"/>
    <w:basedOn w:val="207"/>
    <w:qFormat/>
    <w:uiPriority w:val="0"/>
    <w:rPr>
      <w:rFonts w:ascii="Tahoma" w:hAnsi="Tahoma"/>
      <w:sz w:val="24"/>
    </w:rPr>
  </w:style>
  <w:style w:type="paragraph" w:customStyle="1" w:styleId="316">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color w:val="000000"/>
      <w:sz w:val="22"/>
      <w:szCs w:val="22"/>
    </w:rPr>
  </w:style>
  <w:style w:type="paragraph" w:customStyle="1" w:styleId="317">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18">
    <w:name w:val="xl41"/>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19">
    <w:name w:val="样式 宋体 五号 行距: 单倍行距"/>
    <w:basedOn w:val="1"/>
    <w:qFormat/>
    <w:uiPriority w:val="0"/>
    <w:pPr>
      <w:jc w:val="left"/>
    </w:pPr>
    <w:rPr>
      <w:rFonts w:ascii="宋体" w:hAnsi="宋体"/>
      <w:szCs w:val="20"/>
    </w:rPr>
  </w:style>
  <w:style w:type="paragraph" w:customStyle="1" w:styleId="320">
    <w:name w:val="Char1 Char Char Char1"/>
    <w:basedOn w:val="1"/>
    <w:qFormat/>
    <w:uiPriority w:val="0"/>
    <w:rPr>
      <w:rFonts w:ascii="Tahoma" w:hAnsi="Tahoma" w:cs="仿宋_GB2312"/>
      <w:sz w:val="24"/>
      <w:szCs w:val="28"/>
    </w:rPr>
  </w:style>
  <w:style w:type="paragraph" w:customStyle="1" w:styleId="321">
    <w:name w:val="四级条标题"/>
    <w:basedOn w:val="322"/>
    <w:next w:val="1"/>
    <w:qFormat/>
    <w:uiPriority w:val="0"/>
    <w:pPr>
      <w:numPr>
        <w:ilvl w:val="4"/>
      </w:numPr>
      <w:tabs>
        <w:tab w:val="left" w:pos="360"/>
        <w:tab w:val="left" w:pos="840"/>
      </w:tabs>
      <w:ind w:left="0" w:hanging="840"/>
      <w:outlineLvl w:val="4"/>
    </w:pPr>
  </w:style>
  <w:style w:type="paragraph" w:customStyle="1" w:styleId="322">
    <w:name w:val="三级条标题"/>
    <w:basedOn w:val="284"/>
    <w:next w:val="1"/>
    <w:qFormat/>
    <w:uiPriority w:val="0"/>
    <w:pPr>
      <w:numPr>
        <w:ilvl w:val="3"/>
        <w:numId w:val="1"/>
      </w:numPr>
      <w:ind w:left="0" w:hanging="840"/>
      <w:outlineLvl w:val="3"/>
    </w:pPr>
  </w:style>
  <w:style w:type="paragraph" w:customStyle="1" w:styleId="323">
    <w:name w:val="??"/>
    <w:qFormat/>
    <w:uiPriority w:val="0"/>
    <w:pPr>
      <w:widowControl w:val="0"/>
      <w:jc w:val="both"/>
    </w:pPr>
    <w:rPr>
      <w:rFonts w:hint="default" w:ascii="Times New Roman" w:hAnsi="Times New Roman" w:eastAsia="宋体" w:cs="Times New Roman"/>
      <w:sz w:val="21"/>
      <w:lang w:val="en-US" w:eastAsia="en-US" w:bidi="ar-SA"/>
    </w:rPr>
  </w:style>
  <w:style w:type="paragraph" w:customStyle="1" w:styleId="324">
    <w:name w:val="样式 标题 2 + 宋体 五号 行距: 单倍行距"/>
    <w:basedOn w:val="183"/>
    <w:qFormat/>
    <w:uiPriority w:val="0"/>
    <w:pPr>
      <w:numPr>
        <w:ilvl w:val="1"/>
        <w:numId w:val="4"/>
      </w:numPr>
      <w:spacing w:before="260" w:after="260" w:line="240" w:lineRule="auto"/>
      <w:jc w:val="left"/>
    </w:pPr>
    <w:rPr>
      <w:rFonts w:ascii="宋体" w:hAnsi="宋体" w:eastAsia="宋体"/>
      <w:bCs/>
      <w:sz w:val="21"/>
    </w:rPr>
  </w:style>
  <w:style w:type="paragraph" w:customStyle="1" w:styleId="325">
    <w:name w:val="List Paragraph1"/>
    <w:basedOn w:val="1"/>
    <w:qFormat/>
    <w:uiPriority w:val="0"/>
    <w:pPr>
      <w:ind w:firstLine="420"/>
    </w:pPr>
    <w:rPr>
      <w:rFonts w:ascii="Calibri" w:hAnsi="Calibri"/>
      <w:szCs w:val="22"/>
    </w:rPr>
  </w:style>
  <w:style w:type="paragraph" w:customStyle="1" w:styleId="326">
    <w:name w:val="项目符号1"/>
    <w:basedOn w:val="327"/>
    <w:qFormat/>
    <w:uiPriority w:val="0"/>
    <w:pPr>
      <w:ind w:left="-25" w:firstLine="0"/>
    </w:pPr>
  </w:style>
  <w:style w:type="paragraph" w:customStyle="1" w:styleId="327">
    <w:name w:val="正文文本样式"/>
    <w:basedOn w:val="1"/>
    <w:qFormat/>
    <w:uiPriority w:val="0"/>
    <w:pPr>
      <w:spacing w:line="360" w:lineRule="auto"/>
      <w:ind w:firstLine="482"/>
    </w:pPr>
    <w:rPr>
      <w:rFonts w:cs="宋体"/>
      <w:sz w:val="24"/>
      <w:szCs w:val="20"/>
    </w:rPr>
  </w:style>
  <w:style w:type="paragraph" w:customStyle="1" w:styleId="328">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color w:val="000000"/>
      <w:sz w:val="20"/>
      <w:szCs w:val="20"/>
    </w:rPr>
  </w:style>
  <w:style w:type="paragraph" w:customStyle="1" w:styleId="329">
    <w:name w:val="font5"/>
    <w:basedOn w:val="1"/>
    <w:qFormat/>
    <w:uiPriority w:val="0"/>
    <w:pPr>
      <w:widowControl/>
      <w:spacing w:before="100" w:beforeAutospacing="1" w:after="100" w:afterAutospacing="1"/>
      <w:jc w:val="left"/>
    </w:pPr>
    <w:rPr>
      <w:rFonts w:ascii="宋体" w:hAnsi="宋体" w:cs="宋体"/>
      <w:sz w:val="18"/>
      <w:szCs w:val="18"/>
    </w:rPr>
  </w:style>
  <w:style w:type="paragraph" w:customStyle="1" w:styleId="330">
    <w:name w:val="五级条标题"/>
    <w:basedOn w:val="321"/>
    <w:next w:val="1"/>
    <w:qFormat/>
    <w:uiPriority w:val="0"/>
    <w:pPr>
      <w:numPr>
        <w:ilvl w:val="5"/>
      </w:numPr>
      <w:ind w:left="0" w:hanging="840"/>
      <w:outlineLvl w:val="5"/>
    </w:pPr>
  </w:style>
  <w:style w:type="paragraph" w:customStyle="1" w:styleId="331">
    <w:name w:val="xl4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2"/>
      <w:szCs w:val="22"/>
    </w:rPr>
  </w:style>
  <w:style w:type="paragraph" w:customStyle="1" w:styleId="332">
    <w:name w:val="文档正文"/>
    <w:basedOn w:val="1"/>
    <w:qFormat/>
    <w:uiPriority w:val="0"/>
    <w:pPr>
      <w:spacing w:before="120" w:after="120" w:line="180" w:lineRule="auto"/>
    </w:pPr>
    <w:rPr>
      <w:rFonts w:ascii="Arial" w:hAnsi="Arial"/>
      <w:szCs w:val="20"/>
    </w:rPr>
  </w:style>
  <w:style w:type="paragraph" w:customStyle="1" w:styleId="333">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color w:val="000000"/>
      <w:sz w:val="20"/>
      <w:szCs w:val="20"/>
    </w:rPr>
  </w:style>
  <w:style w:type="paragraph" w:customStyle="1" w:styleId="334">
    <w:name w:val="xl4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b/>
      <w:bCs/>
      <w:color w:val="000000"/>
      <w:sz w:val="20"/>
      <w:szCs w:val="20"/>
    </w:rPr>
  </w:style>
  <w:style w:type="paragraph" w:customStyle="1" w:styleId="335">
    <w:name w:val="Char Char Char1 Char"/>
    <w:basedOn w:val="1"/>
    <w:qFormat/>
    <w:uiPriority w:val="0"/>
    <w:rPr>
      <w:rFonts w:ascii="Tahoma" w:hAnsi="Tahoma"/>
      <w:sz w:val="24"/>
      <w:szCs w:val="20"/>
    </w:rPr>
  </w:style>
  <w:style w:type="paragraph" w:customStyle="1" w:styleId="336">
    <w:name w:val="xl44"/>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sz w:val="24"/>
    </w:rPr>
  </w:style>
  <w:style w:type="paragraph" w:customStyle="1" w:styleId="337">
    <w:name w:val="1名"/>
    <w:basedOn w:val="1"/>
    <w:qFormat/>
    <w:uiPriority w:val="0"/>
    <w:pPr>
      <w:numPr>
        <w:ilvl w:val="0"/>
        <w:numId w:val="5"/>
      </w:numPr>
      <w:spacing w:before="120"/>
    </w:pPr>
    <w:rPr>
      <w:rFonts w:ascii="宋体"/>
      <w:sz w:val="28"/>
      <w:szCs w:val="20"/>
    </w:rPr>
  </w:style>
  <w:style w:type="paragraph" w:customStyle="1" w:styleId="338">
    <w:name w:val="font9"/>
    <w:basedOn w:val="1"/>
    <w:qFormat/>
    <w:uiPriority w:val="0"/>
    <w:pPr>
      <w:widowControl/>
      <w:spacing w:before="100" w:beforeAutospacing="1" w:after="100" w:afterAutospacing="1"/>
      <w:jc w:val="left"/>
    </w:pPr>
    <w:rPr>
      <w:rFonts w:hint="eastAsia" w:ascii="宋体" w:hAnsi="宋体" w:cs="Arial Unicode MS"/>
      <w:color w:val="000000"/>
      <w:sz w:val="20"/>
      <w:szCs w:val="20"/>
    </w:rPr>
  </w:style>
  <w:style w:type="paragraph" w:customStyle="1" w:styleId="339">
    <w:name w:val="Char Char Char1 Char1"/>
    <w:basedOn w:val="1"/>
    <w:qFormat/>
    <w:uiPriority w:val="0"/>
    <w:rPr>
      <w:rFonts w:ascii="Tahoma" w:hAnsi="Tahoma"/>
      <w:sz w:val="24"/>
      <w:szCs w:val="20"/>
    </w:rPr>
  </w:style>
  <w:style w:type="paragraph" w:customStyle="1" w:styleId="340">
    <w:name w:val="Char Char Char Char Char Char Char Char Char Char"/>
    <w:basedOn w:val="1"/>
    <w:qFormat/>
    <w:uiPriority w:val="0"/>
  </w:style>
  <w:style w:type="paragraph" w:customStyle="1" w:styleId="341">
    <w:name w:val="Char Char1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42">
    <w:name w:val="Char1"/>
    <w:basedOn w:val="1"/>
    <w:qFormat/>
    <w:uiPriority w:val="0"/>
    <w:pPr>
      <w:tabs>
        <w:tab w:val="left" w:pos="360"/>
      </w:tabs>
    </w:pPr>
    <w:rPr>
      <w:sz w:val="24"/>
    </w:rPr>
  </w:style>
  <w:style w:type="paragraph" w:customStyle="1" w:styleId="343">
    <w:name w:val="正文列项_字母"/>
    <w:basedOn w:val="1"/>
    <w:qFormat/>
    <w:uiPriority w:val="0"/>
    <w:pPr>
      <w:numPr>
        <w:ilvl w:val="6"/>
        <w:numId w:val="1"/>
      </w:numPr>
      <w:tabs>
        <w:tab w:val="clear" w:pos="635"/>
      </w:tabs>
      <w:spacing w:line="460" w:lineRule="exact"/>
      <w:ind w:left="480" w:hanging="180"/>
      <w:outlineLvl w:val="6"/>
    </w:pPr>
    <w:rPr>
      <w:rFonts w:ascii="宋体"/>
      <w:sz w:val="28"/>
      <w:szCs w:val="20"/>
    </w:rPr>
  </w:style>
  <w:style w:type="paragraph" w:customStyle="1" w:styleId="344">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45">
    <w:name w:val="xl4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46">
    <w:name w:val="默认段落字体 Para Char Char Char Char"/>
    <w:basedOn w:val="1"/>
    <w:qFormat/>
    <w:uiPriority w:val="0"/>
    <w:rPr>
      <w:rFonts w:ascii="Arial" w:hAnsi="Arial" w:cs="Arial"/>
      <w:szCs w:val="21"/>
    </w:rPr>
  </w:style>
  <w:style w:type="paragraph" w:customStyle="1" w:styleId="347">
    <w:name w:val="xl4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2"/>
      <w:szCs w:val="22"/>
    </w:rPr>
  </w:style>
  <w:style w:type="paragraph" w:customStyle="1" w:styleId="348">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eastAsia="Arial Unicode MS"/>
      <w:color w:val="000000"/>
      <w:sz w:val="20"/>
      <w:szCs w:val="20"/>
    </w:rPr>
  </w:style>
  <w:style w:type="paragraph" w:customStyle="1" w:styleId="349">
    <w:name w:val="xl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0"/>
      <w:szCs w:val="20"/>
    </w:rPr>
  </w:style>
  <w:style w:type="paragraph" w:customStyle="1" w:styleId="350">
    <w:name w:val="Char Char Char"/>
    <w:basedOn w:val="1"/>
    <w:qFormat/>
    <w:uiPriority w:val="0"/>
    <w:rPr>
      <w:rFonts w:ascii="Tahoma" w:hAnsi="Tahoma"/>
      <w:sz w:val="24"/>
      <w:szCs w:val="20"/>
    </w:rPr>
  </w:style>
  <w:style w:type="paragraph" w:customStyle="1" w:styleId="351">
    <w:name w:val="xl5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32"/>
      <w:szCs w:val="32"/>
    </w:rPr>
  </w:style>
  <w:style w:type="paragraph" w:customStyle="1" w:styleId="352">
    <w:name w:val="缺省文本"/>
    <w:basedOn w:val="1"/>
    <w:qFormat/>
    <w:uiPriority w:val="0"/>
    <w:pPr>
      <w:jc w:val="left"/>
    </w:pPr>
    <w:rPr>
      <w:sz w:val="24"/>
    </w:rPr>
  </w:style>
  <w:style w:type="paragraph" w:customStyle="1" w:styleId="353">
    <w:name w:val="Char Char Char1"/>
    <w:basedOn w:val="1"/>
    <w:qFormat/>
    <w:uiPriority w:val="0"/>
    <w:rPr>
      <w:rFonts w:ascii="Tahoma" w:hAnsi="Tahoma"/>
      <w:sz w:val="24"/>
      <w:szCs w:val="20"/>
    </w:rPr>
  </w:style>
  <w:style w:type="paragraph" w:customStyle="1" w:styleId="354">
    <w:name w:val="Char Char Char Char Char Char Char1"/>
    <w:basedOn w:val="1"/>
    <w:qFormat/>
    <w:uiPriority w:val="0"/>
    <w:pPr>
      <w:spacing w:line="360" w:lineRule="auto"/>
      <w:ind w:firstLine="200"/>
    </w:pPr>
    <w:rPr>
      <w:rFonts w:eastAsia="仿宋_GB2312"/>
      <w:sz w:val="24"/>
    </w:rPr>
  </w:style>
  <w:style w:type="paragraph" w:customStyle="1" w:styleId="355">
    <w:name w:val="xl5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20"/>
      <w:szCs w:val="20"/>
    </w:rPr>
  </w:style>
  <w:style w:type="paragraph" w:customStyle="1" w:styleId="356">
    <w:name w:val="样式2"/>
    <w:basedOn w:val="244"/>
    <w:qFormat/>
    <w:uiPriority w:val="0"/>
    <w:pPr>
      <w:spacing w:line="360" w:lineRule="auto"/>
      <w:jc w:val="center"/>
    </w:pPr>
    <w:rPr>
      <w:sz w:val="24"/>
    </w:rPr>
  </w:style>
  <w:style w:type="paragraph" w:customStyle="1" w:styleId="357">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58">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sz w:val="20"/>
      <w:szCs w:val="20"/>
    </w:rPr>
  </w:style>
  <w:style w:type="paragraph" w:customStyle="1" w:styleId="359">
    <w:name w:val="正文 + 楷体_GB2312"/>
    <w:basedOn w:val="1"/>
    <w:qFormat/>
    <w:uiPriority w:val="0"/>
    <w:pPr>
      <w:widowControl/>
      <w:jc w:val="left"/>
    </w:pPr>
    <w:rPr>
      <w:rFonts w:ascii="楷体_GB2312" w:eastAsia="楷体_GB2312" w:cs="Arial"/>
      <w:sz w:val="24"/>
    </w:rPr>
  </w:style>
  <w:style w:type="paragraph" w:customStyle="1" w:styleId="360">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color w:val="FF6600"/>
      <w:sz w:val="20"/>
      <w:szCs w:val="20"/>
    </w:rPr>
  </w:style>
  <w:style w:type="paragraph" w:customStyle="1" w:styleId="361">
    <w:name w:val="1 Char Char Char Char"/>
    <w:basedOn w:val="1"/>
    <w:qFormat/>
    <w:uiPriority w:val="0"/>
    <w:rPr>
      <w:rFonts w:ascii="Tahoma" w:hAnsi="Tahoma"/>
      <w:sz w:val="24"/>
      <w:szCs w:val="20"/>
    </w:rPr>
  </w:style>
  <w:style w:type="paragraph" w:customStyle="1" w:styleId="362">
    <w:name w:val="Default"/>
    <w:next w:val="363"/>
    <w:qFormat/>
    <w:uiPriority w:val="0"/>
    <w:pPr>
      <w:widowControl w:val="0"/>
    </w:pPr>
    <w:rPr>
      <w:rFonts w:hint="default" w:ascii="Symbol" w:hAnsi="Symbol" w:eastAsia="宋体" w:cs="Symbol"/>
      <w:color w:val="000000"/>
      <w:sz w:val="24"/>
      <w:szCs w:val="24"/>
      <w:lang w:val="en-US" w:eastAsia="zh-CN" w:bidi="ar-SA"/>
    </w:rPr>
  </w:style>
  <w:style w:type="paragraph" w:customStyle="1" w:styleId="363">
    <w:name w:val="目录 21"/>
    <w:next w:val="1"/>
    <w:qFormat/>
    <w:uiPriority w:val="39"/>
    <w:pPr>
      <w:widowControl w:val="0"/>
      <w:tabs>
        <w:tab w:val="right" w:leader="dot" w:pos="8937"/>
      </w:tabs>
      <w:spacing w:line="312" w:lineRule="auto"/>
      <w:ind w:left="420"/>
      <w:jc w:val="both"/>
    </w:pPr>
    <w:rPr>
      <w:rFonts w:hint="default" w:ascii="Times New Roman" w:hAnsi="Times New Roman" w:eastAsia="宋体" w:cs="Times New Roman"/>
      <w:sz w:val="21"/>
      <w:szCs w:val="24"/>
      <w:lang w:val="en-US" w:eastAsia="zh-CN" w:bidi="ar-SA"/>
    </w:rPr>
  </w:style>
  <w:style w:type="paragraph" w:customStyle="1" w:styleId="364">
    <w:name w:val="列出段落1"/>
    <w:basedOn w:val="1"/>
    <w:qFormat/>
    <w:uiPriority w:val="0"/>
    <w:pPr>
      <w:ind w:firstLine="420"/>
    </w:pPr>
    <w:rPr>
      <w:rFonts w:ascii="Calibri" w:hAnsi="Calibri"/>
      <w:szCs w:val="22"/>
    </w:rPr>
  </w:style>
  <w:style w:type="paragraph" w:customStyle="1" w:styleId="365">
    <w:name w:val="default"/>
    <w:basedOn w:val="1"/>
    <w:qFormat/>
    <w:uiPriority w:val="0"/>
    <w:pPr>
      <w:widowControl/>
      <w:spacing w:before="100" w:beforeAutospacing="1" w:after="100" w:afterAutospacing="1"/>
      <w:jc w:val="left"/>
    </w:pPr>
    <w:rPr>
      <w:rFonts w:ascii="宋体" w:hAnsi="宋体" w:cs="宋体"/>
      <w:sz w:val="24"/>
    </w:rPr>
  </w:style>
  <w:style w:type="paragraph" w:customStyle="1" w:styleId="366">
    <w:name w:val="字元 字元1"/>
    <w:basedOn w:val="1"/>
    <w:qFormat/>
    <w:uiPriority w:val="0"/>
    <w:rPr>
      <w:rFonts w:ascii="Tahoma" w:hAnsi="Tahoma"/>
      <w:sz w:val="24"/>
      <w:szCs w:val="20"/>
    </w:rPr>
  </w:style>
  <w:style w:type="paragraph" w:customStyle="1" w:styleId="367">
    <w:name w:val="_Style 160"/>
    <w:qFormat/>
    <w:uiPriority w:val="0"/>
    <w:rPr>
      <w:rFonts w:hint="default" w:ascii="Times New Roman" w:hAnsi="Times New Roman" w:eastAsia="宋体" w:cs="Times New Roman"/>
      <w:sz w:val="21"/>
      <w:szCs w:val="24"/>
      <w:lang w:val="en-US" w:eastAsia="zh-CN" w:bidi="ar-SA"/>
    </w:rPr>
  </w:style>
  <w:style w:type="paragraph" w:customStyle="1" w:styleId="368">
    <w:name w:val="项目编号3"/>
    <w:basedOn w:val="327"/>
    <w:qFormat/>
    <w:uiPriority w:val="0"/>
    <w:pPr>
      <w:numPr>
        <w:ilvl w:val="0"/>
        <w:numId w:val="6"/>
      </w:numPr>
    </w:pPr>
  </w:style>
  <w:style w:type="paragraph" w:customStyle="1" w:styleId="369">
    <w:name w:val="Char21"/>
    <w:basedOn w:val="1"/>
    <w:qFormat/>
    <w:uiPriority w:val="0"/>
    <w:rPr>
      <w:rFonts w:ascii="Tahoma" w:hAnsi="Tahoma"/>
      <w:sz w:val="24"/>
      <w:szCs w:val="20"/>
    </w:rPr>
  </w:style>
  <w:style w:type="paragraph" w:customStyle="1" w:styleId="370">
    <w:name w:val="表格文字"/>
    <w:basedOn w:val="215"/>
    <w:qFormat/>
    <w:uiPriority w:val="0"/>
    <w:pPr>
      <w:spacing w:before="20" w:after="20" w:line="240" w:lineRule="auto"/>
      <w:ind w:firstLine="0"/>
    </w:pPr>
    <w:rPr>
      <w:rFonts w:ascii="Century Gothic" w:hAnsi="Century Gothic"/>
      <w:sz w:val="20"/>
      <w:szCs w:val="20"/>
    </w:rPr>
  </w:style>
  <w:style w:type="paragraph" w:customStyle="1" w:styleId="371">
    <w:name w:val="Char Char Char Char Char Char Char Char Char Char1"/>
    <w:basedOn w:val="1"/>
    <w:qFormat/>
    <w:uiPriority w:val="0"/>
    <w:rPr>
      <w:rFonts w:ascii="宋体" w:hAnsi="宋体" w:cs="Courier New"/>
      <w:sz w:val="32"/>
      <w:szCs w:val="32"/>
    </w:rPr>
  </w:style>
  <w:style w:type="paragraph" w:customStyle="1" w:styleId="372">
    <w:name w:val="正文文本样式 加粗"/>
    <w:basedOn w:val="327"/>
    <w:qFormat/>
    <w:uiPriority w:val="0"/>
    <w:rPr>
      <w:b/>
    </w:rPr>
  </w:style>
  <w:style w:type="paragraph" w:customStyle="1" w:styleId="373">
    <w:name w:val="Char2 Char Char Char Char Char Char"/>
    <w:basedOn w:val="1"/>
    <w:qFormat/>
    <w:uiPriority w:val="0"/>
    <w:pPr>
      <w:widowControl/>
      <w:spacing w:line="400" w:lineRule="exact"/>
      <w:jc w:val="center"/>
    </w:pPr>
  </w:style>
  <w:style w:type="paragraph" w:customStyle="1" w:styleId="374">
    <w:name w:val="Char Char4"/>
    <w:basedOn w:val="1"/>
    <w:qFormat/>
    <w:uiPriority w:val="0"/>
    <w:pPr>
      <w:widowControl/>
      <w:spacing w:line="400" w:lineRule="exact"/>
      <w:jc w:val="center"/>
    </w:pPr>
  </w:style>
  <w:style w:type="paragraph" w:customStyle="1" w:styleId="375">
    <w:name w:val="Char3 Char Char Char1"/>
    <w:basedOn w:val="1"/>
    <w:qFormat/>
    <w:uiPriority w:val="0"/>
    <w:rPr>
      <w:rFonts w:ascii="Tahoma" w:hAnsi="Tahoma"/>
      <w:sz w:val="24"/>
      <w:szCs w:val="20"/>
    </w:rPr>
  </w:style>
  <w:style w:type="paragraph" w:customStyle="1" w:styleId="376">
    <w:name w:val="无间隔"/>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77">
    <w:name w:val="22222222222222"/>
    <w:basedOn w:val="1"/>
    <w:qFormat/>
    <w:uiPriority w:val="0"/>
    <w:pPr>
      <w:widowControl/>
      <w:spacing w:line="360" w:lineRule="auto"/>
      <w:ind w:firstLine="480"/>
      <w:jc w:val="left"/>
    </w:pPr>
    <w:rPr>
      <w:color w:val="FF0000"/>
      <w:sz w:val="24"/>
      <w:szCs w:val="20"/>
    </w:rPr>
  </w:style>
  <w:style w:type="character" w:customStyle="1" w:styleId="378">
    <w:name w:val="中等深浅网格 1 - 强调文字颜色 2 Char"/>
    <w:link w:val="379"/>
    <w:qFormat/>
    <w:uiPriority w:val="0"/>
    <w:rPr>
      <w:sz w:val="21"/>
      <w:szCs w:val="24"/>
      <w:lang w:val="zh-CN" w:eastAsia="zh-CN" w:bidi="ar-SA"/>
    </w:rPr>
  </w:style>
  <w:style w:type="paragraph" w:customStyle="1" w:styleId="379">
    <w:name w:val="1"/>
    <w:link w:val="378"/>
    <w:qFormat/>
    <w:uiPriority w:val="0"/>
    <w:rPr>
      <w:rFonts w:hint="default" w:ascii="Times New Roman" w:hAnsi="Times New Roman" w:eastAsia="宋体" w:cs="Times New Roman"/>
      <w:sz w:val="21"/>
      <w:szCs w:val="24"/>
      <w:lang w:val="zh-CN" w:eastAsia="zh-CN" w:bidi="ar-SA"/>
    </w:rPr>
  </w:style>
  <w:style w:type="paragraph" w:customStyle="1" w:styleId="380">
    <w:name w:val="图文"/>
    <w:basedOn w:val="1"/>
    <w:qFormat/>
    <w:uiPriority w:val="0"/>
    <w:pPr>
      <w:spacing w:after="50" w:line="360" w:lineRule="auto"/>
    </w:pPr>
    <w:rPr>
      <w:sz w:val="24"/>
    </w:rPr>
  </w:style>
  <w:style w:type="paragraph" w:customStyle="1" w:styleId="381">
    <w:name w:val="xl23"/>
    <w:basedOn w:val="1"/>
    <w:qFormat/>
    <w:uiPriority w:val="0"/>
    <w:pPr>
      <w:widowControl/>
      <w:spacing w:before="100" w:beforeAutospacing="1" w:after="100" w:afterAutospacing="1" w:line="360" w:lineRule="auto"/>
    </w:pPr>
    <w:rPr>
      <w:sz w:val="24"/>
      <w:szCs w:val="20"/>
    </w:rPr>
  </w:style>
  <w:style w:type="paragraph" w:customStyle="1" w:styleId="382">
    <w:name w:val="正文表格"/>
    <w:basedOn w:val="1"/>
    <w:link w:val="383"/>
    <w:qFormat/>
    <w:uiPriority w:val="0"/>
    <w:pPr>
      <w:jc w:val="left"/>
    </w:pPr>
    <w:rPr>
      <w:rFonts w:ascii="宋体" w:hAnsi="宋体"/>
      <w:color w:val="000000"/>
      <w:szCs w:val="21"/>
    </w:rPr>
  </w:style>
  <w:style w:type="character" w:customStyle="1" w:styleId="383">
    <w:name w:val="正文表格 Char"/>
    <w:link w:val="382"/>
    <w:qFormat/>
    <w:uiPriority w:val="0"/>
    <w:rPr>
      <w:rFonts w:ascii="宋体" w:hAnsi="宋体"/>
      <w:color w:val="000000"/>
      <w:sz w:val="21"/>
      <w:szCs w:val="21"/>
    </w:rPr>
  </w:style>
  <w:style w:type="paragraph" w:customStyle="1" w:styleId="384">
    <w:name w:val="正文重点"/>
    <w:basedOn w:val="1"/>
    <w:link w:val="385"/>
    <w:qFormat/>
    <w:uiPriority w:val="0"/>
    <w:pPr>
      <w:spacing w:line="360" w:lineRule="auto"/>
      <w:ind w:firstLine="482"/>
      <w:jc w:val="left"/>
    </w:pPr>
    <w:rPr>
      <w:b/>
      <w:sz w:val="24"/>
      <w:szCs w:val="20"/>
    </w:rPr>
  </w:style>
  <w:style w:type="character" w:customStyle="1" w:styleId="385">
    <w:name w:val="正文重点 Char"/>
    <w:link w:val="384"/>
    <w:qFormat/>
    <w:uiPriority w:val="0"/>
    <w:rPr>
      <w:b/>
      <w:sz w:val="24"/>
    </w:rPr>
  </w:style>
  <w:style w:type="paragraph" w:customStyle="1" w:styleId="386">
    <w:name w:val="标题1-附件"/>
    <w:basedOn w:val="182"/>
    <w:qFormat/>
    <w:uiPriority w:val="0"/>
    <w:pPr>
      <w:jc w:val="left"/>
    </w:pPr>
    <w:rPr>
      <w:sz w:val="24"/>
      <w:szCs w:val="24"/>
    </w:rPr>
  </w:style>
  <w:style w:type="paragraph" w:customStyle="1" w:styleId="387">
    <w:name w:val="正文小标题"/>
    <w:basedOn w:val="1"/>
    <w:next w:val="184"/>
    <w:link w:val="388"/>
    <w:qFormat/>
    <w:uiPriority w:val="0"/>
    <w:pPr>
      <w:spacing w:before="312" w:after="312"/>
      <w:ind w:firstLine="482"/>
      <w:jc w:val="left"/>
    </w:pPr>
    <w:rPr>
      <w:rFonts w:ascii="宋体" w:hAnsi="宋体"/>
      <w:b/>
      <w:i/>
      <w:color w:val="FF0000"/>
      <w:sz w:val="24"/>
      <w:szCs w:val="20"/>
    </w:rPr>
  </w:style>
  <w:style w:type="character" w:customStyle="1" w:styleId="388">
    <w:name w:val="正文小标题 Char"/>
    <w:link w:val="387"/>
    <w:qFormat/>
    <w:uiPriority w:val="0"/>
    <w:rPr>
      <w:rFonts w:ascii="宋体" w:hAnsi="宋体"/>
      <w:b/>
      <w:i/>
      <w:color w:val="FF0000"/>
      <w:sz w:val="24"/>
    </w:rPr>
  </w:style>
  <w:style w:type="paragraph" w:customStyle="1" w:styleId="389">
    <w:name w:val="正文大标题"/>
    <w:basedOn w:val="387"/>
    <w:next w:val="184"/>
    <w:link w:val="390"/>
    <w:qFormat/>
    <w:uiPriority w:val="0"/>
    <w:pPr>
      <w:jc w:val="center"/>
    </w:pPr>
    <w:rPr>
      <w:i w:val="0"/>
      <w:color w:val="000000"/>
      <w:sz w:val="28"/>
      <w:szCs w:val="21"/>
    </w:rPr>
  </w:style>
  <w:style w:type="character" w:customStyle="1" w:styleId="390">
    <w:name w:val="正文大标题 Char"/>
    <w:link w:val="389"/>
    <w:qFormat/>
    <w:uiPriority w:val="0"/>
    <w:rPr>
      <w:rFonts w:ascii="宋体" w:hAnsi="宋体"/>
      <w:b/>
      <w:color w:val="000000"/>
      <w:sz w:val="28"/>
      <w:szCs w:val="21"/>
    </w:rPr>
  </w:style>
  <w:style w:type="paragraph" w:customStyle="1" w:styleId="391">
    <w:name w:val="注释"/>
    <w:basedOn w:val="1"/>
    <w:link w:val="392"/>
    <w:qFormat/>
    <w:uiPriority w:val="0"/>
    <w:pPr>
      <w:ind w:left="420" w:hanging="420"/>
      <w:jc w:val="left"/>
    </w:pPr>
    <w:rPr>
      <w:rFonts w:ascii="宋体" w:hAnsi="宋体"/>
      <w:szCs w:val="21"/>
    </w:rPr>
  </w:style>
  <w:style w:type="character" w:customStyle="1" w:styleId="392">
    <w:name w:val="注释 Char"/>
    <w:link w:val="391"/>
    <w:qFormat/>
    <w:uiPriority w:val="0"/>
    <w:rPr>
      <w:rFonts w:ascii="宋体" w:hAnsi="宋体"/>
      <w:sz w:val="21"/>
      <w:szCs w:val="21"/>
    </w:rPr>
  </w:style>
  <w:style w:type="paragraph" w:customStyle="1" w:styleId="393">
    <w:name w:val="正文须知-1级"/>
    <w:basedOn w:val="1"/>
    <w:next w:val="1"/>
    <w:qFormat/>
    <w:uiPriority w:val="0"/>
    <w:pPr>
      <w:numPr>
        <w:ilvl w:val="0"/>
        <w:numId w:val="7"/>
      </w:numPr>
      <w:spacing w:line="300" w:lineRule="auto"/>
    </w:pPr>
    <w:rPr>
      <w:rFonts w:ascii="宋体" w:hAnsi="Calibri"/>
      <w:sz w:val="24"/>
      <w:szCs w:val="21"/>
    </w:rPr>
  </w:style>
  <w:style w:type="paragraph" w:customStyle="1" w:styleId="394">
    <w:name w:val="正文须知-2级"/>
    <w:basedOn w:val="1"/>
    <w:qFormat/>
    <w:uiPriority w:val="0"/>
    <w:pPr>
      <w:numPr>
        <w:ilvl w:val="1"/>
        <w:numId w:val="7"/>
      </w:numPr>
      <w:spacing w:line="300" w:lineRule="auto"/>
    </w:pPr>
    <w:rPr>
      <w:rFonts w:ascii="宋体" w:hAnsi="Calibri"/>
      <w:sz w:val="24"/>
      <w:szCs w:val="21"/>
    </w:rPr>
  </w:style>
  <w:style w:type="paragraph" w:customStyle="1" w:styleId="395">
    <w:name w:val="正文须知-3级"/>
    <w:basedOn w:val="1"/>
    <w:qFormat/>
    <w:uiPriority w:val="0"/>
    <w:pPr>
      <w:numPr>
        <w:ilvl w:val="2"/>
        <w:numId w:val="7"/>
      </w:numPr>
      <w:spacing w:line="300" w:lineRule="auto"/>
      <w:ind w:hanging="355"/>
    </w:pPr>
    <w:rPr>
      <w:rFonts w:ascii="宋体" w:hAnsi="Calibri"/>
      <w:sz w:val="24"/>
      <w:szCs w:val="21"/>
    </w:rPr>
  </w:style>
  <w:style w:type="character" w:customStyle="1" w:styleId="396">
    <w:name w:val="纯文本 字符"/>
    <w:link w:val="1"/>
    <w:qFormat/>
    <w:uiPriority w:val="99"/>
    <w:rPr>
      <w:rFonts w:ascii="宋体" w:hAnsi="Courier New" w:eastAsia="宋体" w:cs="Times New Roman"/>
      <w:sz w:val="21"/>
      <w:szCs w:val="21"/>
      <w:lang w:val="en-US" w:eastAsia="zh-CN" w:bidi="ar-SA"/>
    </w:rPr>
  </w:style>
  <w:style w:type="paragraph" w:customStyle="1" w:styleId="397">
    <w:name w:val="表格1"/>
    <w:basedOn w:val="1"/>
    <w:qFormat/>
    <w:uiPriority w:val="0"/>
    <w:pPr>
      <w:ind w:firstLine="480"/>
      <w:jc w:val="center"/>
    </w:pPr>
    <w:rPr>
      <w:sz w:val="24"/>
      <w:szCs w:val="20"/>
    </w:rPr>
  </w:style>
  <w:style w:type="character" w:customStyle="1" w:styleId="398">
    <w:name w:val="纯文本 字符1"/>
    <w:link w:val="1"/>
    <w:qFormat/>
    <w:uiPriority w:val="0"/>
    <w:rPr>
      <w:rFonts w:ascii="宋体" w:hAnsi="Courier New"/>
    </w:rPr>
  </w:style>
  <w:style w:type="character" w:customStyle="1" w:styleId="399">
    <w:name w:val="bjh-p"/>
    <w:link w:val="1"/>
    <w:qFormat/>
    <w:uiPriority w:val="0"/>
  </w:style>
  <w:style w:type="paragraph" w:customStyle="1" w:styleId="400">
    <w:name w:val="无标题条"/>
    <w:next w:val="1"/>
    <w:qFormat/>
    <w:uiPriority w:val="0"/>
    <w:pPr>
      <w:jc w:val="both"/>
    </w:pPr>
    <w:rPr>
      <w:rFonts w:hint="default" w:ascii="Times New Roman" w:hAnsi="Times New Roman" w:eastAsia="宋体" w:cs="Times New Roman"/>
      <w:sz w:val="21"/>
      <w:lang w:val="en-US" w:eastAsia="zh-CN" w:bidi="ar-SA"/>
    </w:rPr>
  </w:style>
  <w:style w:type="character" w:customStyle="1" w:styleId="401">
    <w:name w:val="正文格式 Char"/>
    <w:link w:val="402"/>
    <w:qFormat/>
    <w:uiPriority w:val="0"/>
    <w:rPr>
      <w:rFonts w:ascii="宋体" w:hAnsi="宋体"/>
      <w:sz w:val="24"/>
      <w:szCs w:val="24"/>
      <w:lang w:val="en-GB"/>
    </w:rPr>
  </w:style>
  <w:style w:type="paragraph" w:customStyle="1" w:styleId="402">
    <w:name w:val="正文格式"/>
    <w:basedOn w:val="1"/>
    <w:link w:val="401"/>
    <w:qFormat/>
    <w:uiPriority w:val="0"/>
    <w:pPr>
      <w:spacing w:line="360" w:lineRule="auto"/>
      <w:ind w:firstLine="480"/>
    </w:pPr>
    <w:rPr>
      <w:rFonts w:ascii="宋体" w:hAnsi="宋体"/>
      <w:sz w:val="24"/>
      <w:lang w:val="en-GB"/>
    </w:rPr>
  </w:style>
  <w:style w:type="character" w:customStyle="1" w:styleId="403">
    <w:name w:val="标题 3 Char"/>
    <w:link w:val="1"/>
    <w:qFormat/>
    <w:uiPriority w:val="0"/>
    <w:rPr>
      <w:rFonts w:ascii="宋体" w:eastAsia="宋体"/>
      <w:b/>
      <w:sz w:val="24"/>
      <w:u w:val="single"/>
      <w:lang w:val="en-US" w:eastAsia="zh-CN" w:bidi="ar-SA"/>
    </w:rPr>
  </w:style>
  <w:style w:type="character" w:customStyle="1" w:styleId="404">
    <w:name w:val="正文缩进 Char"/>
    <w:link w:val="1"/>
    <w:qFormat/>
    <w:uiPriority w:val="0"/>
    <w:rPr>
      <w:rFonts w:ascii="宋体" w:eastAsia="宋体"/>
      <w:sz w:val="24"/>
      <w:szCs w:val="24"/>
      <w:lang w:val="en-US" w:eastAsia="zh-CN" w:bidi="ar-SA"/>
    </w:rPr>
  </w:style>
  <w:style w:type="character" w:customStyle="1" w:styleId="405">
    <w:name w:val="Char Char111"/>
    <w:link w:val="1"/>
    <w:qFormat/>
    <w:uiPriority w:val="0"/>
    <w:rPr>
      <w:rFonts w:ascii="宋体" w:eastAsia="宋体"/>
      <w:b/>
      <w:sz w:val="24"/>
      <w:u w:val="single"/>
      <w:lang w:val="en-US" w:eastAsia="zh-CN" w:bidi="ar-SA"/>
    </w:rPr>
  </w:style>
  <w:style w:type="character" w:customStyle="1" w:styleId="406">
    <w:name w:val="正文文本缩进 Char"/>
    <w:link w:val="1"/>
    <w:qFormat/>
    <w:uiPriority w:val="0"/>
    <w:rPr>
      <w:rFonts w:eastAsia="宋体"/>
      <w:sz w:val="24"/>
      <w:szCs w:val="24"/>
      <w:lang w:val="en-US" w:eastAsia="zh-CN" w:bidi="ar-SA"/>
    </w:rPr>
  </w:style>
  <w:style w:type="character" w:customStyle="1" w:styleId="407">
    <w:name w:val="列出段落 Char"/>
    <w:link w:val="1"/>
    <w:qFormat/>
    <w:uiPriority w:val="0"/>
    <w:rPr>
      <w:rFonts w:ascii="Calibri" w:hAnsi="Calibri" w:eastAsia="宋体"/>
      <w:sz w:val="21"/>
      <w:szCs w:val="22"/>
      <w:lang w:val="en-US" w:eastAsia="zh-CN" w:bidi="ar-SA"/>
    </w:rPr>
  </w:style>
  <w:style w:type="character" w:customStyle="1" w:styleId="408">
    <w:name w:val="页眉 Char"/>
    <w:link w:val="1"/>
    <w:qFormat/>
    <w:uiPriority w:val="0"/>
    <w:rPr>
      <w:rFonts w:eastAsia="宋体"/>
      <w:sz w:val="18"/>
      <w:szCs w:val="18"/>
      <w:lang w:val="en-US" w:eastAsia="zh-CN" w:bidi="ar-SA"/>
    </w:rPr>
  </w:style>
  <w:style w:type="character" w:customStyle="1" w:styleId="409">
    <w:name w:val="标题 2 Char"/>
    <w:link w:val="1"/>
    <w:qFormat/>
    <w:uiPriority w:val="0"/>
    <w:rPr>
      <w:rFonts w:ascii="Arial" w:hAnsi="Arial" w:eastAsia="黑体"/>
      <w:b/>
      <w:sz w:val="30"/>
      <w:lang w:val="en-US" w:eastAsia="zh-CN" w:bidi="ar-SA"/>
    </w:rPr>
  </w:style>
  <w:style w:type="paragraph" w:customStyle="1" w:styleId="410">
    <w:name w:val="字元 字元2"/>
    <w:basedOn w:val="1"/>
    <w:qFormat/>
    <w:uiPriority w:val="0"/>
    <w:rPr>
      <w:rFonts w:ascii="Tahoma" w:hAnsi="Tahoma"/>
      <w:sz w:val="24"/>
      <w:szCs w:val="20"/>
    </w:rPr>
  </w:style>
  <w:style w:type="paragraph" w:customStyle="1" w:styleId="411">
    <w:name w:val="Char3 Char Char Char2"/>
    <w:basedOn w:val="1"/>
    <w:qFormat/>
    <w:uiPriority w:val="0"/>
    <w:rPr>
      <w:rFonts w:ascii="Tahoma" w:hAnsi="Tahoma"/>
      <w:sz w:val="24"/>
      <w:szCs w:val="20"/>
    </w:rPr>
  </w:style>
  <w:style w:type="paragraph" w:customStyle="1" w:styleId="412">
    <w:name w:val="正文文本缩进2"/>
    <w:basedOn w:val="1"/>
    <w:qFormat/>
    <w:uiPriority w:val="0"/>
    <w:pPr>
      <w:spacing w:line="480" w:lineRule="exact"/>
      <w:ind w:firstLine="480"/>
    </w:pPr>
    <w:rPr>
      <w:rFonts w:ascii="宋体" w:hAnsi="宋体"/>
      <w:sz w:val="24"/>
      <w:lang w:val="zh-CN" w:eastAsia="zh-CN"/>
    </w:rPr>
  </w:style>
  <w:style w:type="paragraph" w:customStyle="1" w:styleId="413">
    <w:name w:val="Char3"/>
    <w:basedOn w:val="1"/>
    <w:qFormat/>
    <w:uiPriority w:val="0"/>
    <w:pPr>
      <w:tabs>
        <w:tab w:val="left" w:pos="360"/>
      </w:tabs>
    </w:pPr>
    <w:rPr>
      <w:sz w:val="24"/>
    </w:rPr>
  </w:style>
  <w:style w:type="paragraph" w:customStyle="1" w:styleId="414">
    <w:name w:val="Char Char Char Char Char Char Char Char Char Char Char Char Char Char Char Char1"/>
    <w:basedOn w:val="1"/>
    <w:qFormat/>
    <w:uiPriority w:val="0"/>
    <w:pPr>
      <w:widowControl/>
      <w:spacing w:after="160" w:line="240" w:lineRule="exact"/>
      <w:jc w:val="center"/>
    </w:pPr>
    <w:rPr>
      <w:rFonts w:ascii="宋体" w:hAnsi="宋体"/>
      <w:b/>
      <w:sz w:val="30"/>
      <w:szCs w:val="30"/>
      <w:lang w:eastAsia="en-US"/>
    </w:rPr>
  </w:style>
  <w:style w:type="paragraph" w:customStyle="1" w:styleId="415">
    <w:name w:val="Char Char1 Char Char Char Char Char Char1"/>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416">
    <w:name w:val="列出段落2"/>
    <w:basedOn w:val="1"/>
    <w:qFormat/>
    <w:uiPriority w:val="0"/>
    <w:pPr>
      <w:ind w:firstLine="420"/>
    </w:pPr>
    <w:rPr>
      <w:rFonts w:ascii="Calibri" w:hAnsi="Calibri"/>
      <w:szCs w:val="22"/>
    </w:rPr>
  </w:style>
  <w:style w:type="paragraph" w:customStyle="1" w:styleId="417">
    <w:name w:val="Char Char Char1 Char2"/>
    <w:basedOn w:val="1"/>
    <w:qFormat/>
    <w:uiPriority w:val="0"/>
    <w:rPr>
      <w:rFonts w:ascii="Tahoma" w:hAnsi="Tahoma"/>
      <w:sz w:val="24"/>
      <w:szCs w:val="20"/>
    </w:rPr>
  </w:style>
  <w:style w:type="paragraph" w:customStyle="1" w:styleId="418">
    <w:name w:val="Char Char Char2"/>
    <w:basedOn w:val="1"/>
    <w:qFormat/>
    <w:uiPriority w:val="0"/>
    <w:rPr>
      <w:rFonts w:ascii="Tahoma" w:hAnsi="Tahoma"/>
      <w:sz w:val="24"/>
      <w:szCs w:val="20"/>
    </w:rPr>
  </w:style>
  <w:style w:type="paragraph" w:customStyle="1" w:styleId="419">
    <w:name w:val="Char Char Char Char Char Char Char2"/>
    <w:basedOn w:val="1"/>
    <w:qFormat/>
    <w:uiPriority w:val="0"/>
    <w:pPr>
      <w:spacing w:line="360" w:lineRule="auto"/>
      <w:ind w:firstLine="200"/>
    </w:pPr>
    <w:rPr>
      <w:rFonts w:eastAsia="仿宋_GB2312"/>
      <w:sz w:val="24"/>
    </w:rPr>
  </w:style>
  <w:style w:type="paragraph" w:customStyle="1" w:styleId="420">
    <w:name w:val="正文缩进2"/>
    <w:basedOn w:val="1"/>
    <w:qFormat/>
    <w:uiPriority w:val="0"/>
    <w:pPr>
      <w:widowControl/>
      <w:spacing w:line="480" w:lineRule="exact"/>
      <w:ind w:firstLine="567"/>
    </w:pPr>
    <w:rPr>
      <w:rFonts w:ascii="宋体"/>
      <w:color w:val="000000"/>
      <w:sz w:val="28"/>
      <w:szCs w:val="20"/>
      <w:lang w:val="zh-CN" w:eastAsia="zh-CN"/>
    </w:rPr>
  </w:style>
  <w:style w:type="paragraph" w:customStyle="1" w:styleId="421">
    <w:name w:val="Revision"/>
    <w:qFormat/>
    <w:uiPriority w:val="0"/>
    <w:rPr>
      <w:rFonts w:hint="default" w:ascii="Times New Roman" w:hAnsi="Times New Roman" w:eastAsia="宋体" w:cs="Times New Roman"/>
      <w:sz w:val="21"/>
      <w:szCs w:val="24"/>
      <w:lang w:val="en-US" w:eastAsia="zh-CN" w:bidi="ar-SA"/>
    </w:rPr>
  </w:style>
  <w:style w:type="paragraph" w:customStyle="1" w:styleId="422">
    <w:name w:val="Char22"/>
    <w:basedOn w:val="1"/>
    <w:qFormat/>
    <w:uiPriority w:val="0"/>
    <w:rPr>
      <w:rFonts w:ascii="Tahoma" w:hAnsi="Tahoma"/>
      <w:sz w:val="24"/>
      <w:szCs w:val="20"/>
    </w:rPr>
  </w:style>
  <w:style w:type="paragraph" w:customStyle="1" w:styleId="423">
    <w:name w:val="Char Char Char Char Char Char Char Char Char Char2"/>
    <w:basedOn w:val="1"/>
    <w:qFormat/>
    <w:uiPriority w:val="0"/>
    <w:rPr>
      <w:rFonts w:ascii="宋体" w:hAnsi="宋体" w:cs="Courier New"/>
      <w:sz w:val="32"/>
      <w:szCs w:val="32"/>
    </w:rPr>
  </w:style>
  <w:style w:type="paragraph" w:customStyle="1" w:styleId="424">
    <w:name w:val="Char2 Char Char Char Char Char Char1"/>
    <w:basedOn w:val="1"/>
    <w:qFormat/>
    <w:uiPriority w:val="0"/>
    <w:pPr>
      <w:widowControl/>
      <w:spacing w:line="400" w:lineRule="exact"/>
      <w:jc w:val="center"/>
    </w:pPr>
  </w:style>
  <w:style w:type="character" w:customStyle="1" w:styleId="425">
    <w:name w:val="页脚 Char"/>
    <w:link w:val="1"/>
    <w:qFormat/>
    <w:uiPriority w:val="0"/>
    <w:rPr>
      <w:rFonts w:ascii="宋体" w:eastAsia="宋体"/>
      <w:sz w:val="18"/>
      <w:lang w:val="en-US" w:eastAsia="zh-CN" w:bidi="ar-SA"/>
    </w:rPr>
  </w:style>
  <w:style w:type="paragraph" w:customStyle="1" w:styleId="426">
    <w:name w:val="Char Char41"/>
    <w:basedOn w:val="1"/>
    <w:qFormat/>
    <w:uiPriority w:val="0"/>
    <w:pPr>
      <w:widowControl/>
      <w:spacing w:line="400" w:lineRule="exact"/>
      <w:jc w:val="center"/>
    </w:pPr>
  </w:style>
  <w:style w:type="character" w:customStyle="1" w:styleId="427">
    <w:name w:val="批注文字 Char"/>
    <w:link w:val="1"/>
    <w:qFormat/>
    <w:uiPriority w:val="99"/>
    <w:rPr>
      <w:sz w:val="21"/>
      <w:szCs w:val="24"/>
    </w:rPr>
  </w:style>
  <w:style w:type="character" w:customStyle="1" w:styleId="428">
    <w:name w:val="标题 Char"/>
    <w:link w:val="1"/>
    <w:qFormat/>
    <w:uiPriority w:val="0"/>
    <w:rPr>
      <w:b/>
      <w:sz w:val="32"/>
    </w:rPr>
  </w:style>
  <w:style w:type="paragraph" w:customStyle="1" w:styleId="429">
    <w:name w:val="图例"/>
    <w:basedOn w:val="1"/>
    <w:qFormat/>
    <w:uiPriority w:val="0"/>
    <w:pPr>
      <w:spacing w:before="120" w:after="120" w:line="360" w:lineRule="auto"/>
      <w:jc w:val="center"/>
    </w:pPr>
    <w:rPr>
      <w:rFonts w:eastAsia="仿宋_GB2312"/>
      <w:b/>
      <w:sz w:val="24"/>
      <w:szCs w:val="20"/>
    </w:rPr>
  </w:style>
  <w:style w:type="paragraph" w:customStyle="1" w:styleId="430">
    <w:name w:val="Table Paragraph"/>
    <w:basedOn w:val="1"/>
    <w:qFormat/>
    <w:uiPriority w:val="1"/>
    <w:pPr>
      <w:jc w:val="left"/>
    </w:pPr>
    <w:rPr>
      <w:rFonts w:ascii="宋体" w:hAnsi="宋体" w:cs="宋体"/>
      <w:sz w:val="22"/>
      <w:szCs w:val="22"/>
      <w:lang w:eastAsia="en-US"/>
    </w:rPr>
  </w:style>
  <w:style w:type="table" w:customStyle="1" w:styleId="431">
    <w:name w:val="Table Normal"/>
    <w:basedOn w:val="193"/>
    <w:semiHidden/>
    <w:qFormat/>
    <w:uiPriority w:val="2"/>
    <w:pPr>
      <w:widowControl w:val="0"/>
    </w:pPr>
    <w:rPr>
      <w:rFonts w:ascii="Calibri" w:hAnsi="Calibri"/>
      <w:sz w:val="22"/>
      <w:szCs w:val="22"/>
      <w:lang w:val="en-US" w:eastAsia="en-US" w:bidi="ar-SA"/>
    </w:rPr>
  </w:style>
  <w:style w:type="paragraph" w:customStyle="1" w:styleId="432">
    <w:name w:val="成文日期"/>
    <w:basedOn w:val="1"/>
    <w:link w:val="433"/>
    <w:qFormat/>
    <w:uiPriority w:val="0"/>
    <w:pPr>
      <w:spacing w:line="570" w:lineRule="exact"/>
      <w:ind w:right="400" w:firstLine="200"/>
      <w:jc w:val="right"/>
    </w:pPr>
    <w:rPr>
      <w:rFonts w:ascii="仿宋_GB2312" w:eastAsia="仿宋_GB2312"/>
      <w:sz w:val="32"/>
      <w:szCs w:val="20"/>
    </w:rPr>
  </w:style>
  <w:style w:type="character" w:customStyle="1" w:styleId="433">
    <w:name w:val="成文日期 Char"/>
    <w:link w:val="432"/>
    <w:uiPriority w:val="0"/>
    <w:rPr>
      <w:rFonts w:ascii="仿宋_GB2312" w:eastAsia="仿宋_GB2312"/>
      <w:sz w:val="32"/>
    </w:rPr>
  </w:style>
  <w:style w:type="paragraph" w:customStyle="1" w:styleId="434">
    <w:name w:val="正文字缩2字"/>
    <w:basedOn w:val="1"/>
    <w:qFormat/>
    <w:uiPriority w:val="0"/>
    <w:pPr>
      <w:spacing w:before="60" w:after="60" w:line="360" w:lineRule="auto"/>
      <w:ind w:left="200" w:firstLine="200"/>
    </w:pPr>
    <w:rPr>
      <w:rFonts w:ascii="Calibri" w:hAnsi="Calibri"/>
      <w:sz w:val="21"/>
      <w:szCs w:val="24"/>
    </w:rPr>
  </w:style>
  <w:style w:type="character" w:customStyle="1" w:styleId="435">
    <w:name w:val="current"/>
    <w:basedOn w:val="192"/>
    <w:link w:val="1"/>
    <w:uiPriority w:val="0"/>
    <w:rPr>
      <w:b/>
      <w:bCs/>
      <w:color w:val="05A7D8"/>
      <w:sz w:val="18"/>
      <w:szCs w:val="18"/>
    </w:rPr>
  </w:style>
  <w:style w:type="character" w:customStyle="1" w:styleId="436">
    <w:name w:val="l-btn-left"/>
    <w:basedOn w:val="192"/>
    <w:link w:val="1"/>
    <w:uiPriority w:val="0"/>
  </w:style>
  <w:style w:type="character" w:customStyle="1" w:styleId="437">
    <w:name w:val="l-btn-text35"/>
    <w:basedOn w:val="192"/>
    <w:link w:val="1"/>
    <w:uiPriority w:val="0"/>
  </w:style>
  <w:style w:type="paragraph" w:customStyle="1" w:styleId="438">
    <w:name w:val="纯文本1"/>
    <w:next w:val="235"/>
    <w:qFormat/>
    <w:uiPriority w:val="0"/>
    <w:pPr>
      <w:widowControl w:val="0"/>
      <w:jc w:val="both"/>
    </w:pPr>
    <w:rPr>
      <w:rFonts w:hint="default" w:ascii="宋体" w:hAnsi="宋体" w:eastAsia="宋体" w:cs="Times New Roman"/>
      <w:sz w:val="26"/>
      <w:lang w:val="en-US" w:eastAsia="zh-CN" w:bidi="ar-SA"/>
    </w:rPr>
  </w:style>
  <w:style w:type="paragraph" w:customStyle="1" w:styleId="439">
    <w:name w:val="Body text|1"/>
    <w:basedOn w:val="1"/>
    <w:qFormat/>
    <w:uiPriority w:val="0"/>
    <w:pPr>
      <w:spacing w:line="372" w:lineRule="auto"/>
      <w:jc w:val="left"/>
    </w:pPr>
    <w:rPr>
      <w:rFonts w:ascii="宋体" w:hAnsi="宋体" w:cs="宋体"/>
      <w:sz w:val="20"/>
    </w:rPr>
  </w:style>
  <w:style w:type="paragraph" w:customStyle="1" w:styleId="440">
    <w:name w:val="Normal1"/>
    <w:qFormat/>
    <w:uiPriority w:val="0"/>
    <w:pPr>
      <w:widowControl w:val="0"/>
      <w:jc w:val="both"/>
    </w:pPr>
    <w:rPr>
      <w:rFonts w:hint="default" w:ascii="Times New Roman" w:hAnsi="Times New Roman" w:eastAsia="宋体" w:cs="Times New Roman"/>
      <w:szCs w:val="24"/>
      <w:lang w:val="en-US" w:eastAsia="zh-CN" w:bidi="ar-SA"/>
    </w:rPr>
  </w:style>
  <w:style w:type="paragraph" w:customStyle="1" w:styleId="441">
    <w:name w:val="段"/>
    <w:next w:val="1"/>
    <w:qFormat/>
    <w:uiPriority w:val="0"/>
    <w:pPr>
      <w:spacing w:line="360" w:lineRule="auto"/>
      <w:ind w:firstLine="200"/>
      <w:jc w:val="both"/>
    </w:pPr>
    <w:rPr>
      <w:rFonts w:hint="default" w:ascii="宋体" w:hAnsi="Times New Roman" w:eastAsia="宋体" w:cs="Times New Roman"/>
      <w:sz w:val="24"/>
      <w:szCs w:val="22"/>
      <w:lang w:val="en-US" w:eastAsia="zh-CN" w:bidi="ar-SA"/>
    </w:rPr>
  </w:style>
  <w:style w:type="paragraph" w:customStyle="1" w:styleId="442">
    <w:name w:val="正文首行缩进 211"/>
    <w:basedOn w:val="443"/>
    <w:next w:val="1"/>
    <w:qFormat/>
    <w:uiPriority w:val="0"/>
    <w:pPr>
      <w:spacing w:after="120" w:line="480" w:lineRule="exact"/>
      <w:ind w:left="420" w:firstLine="420"/>
    </w:pPr>
    <w:rPr>
      <w:szCs w:val="20"/>
    </w:rPr>
  </w:style>
  <w:style w:type="paragraph" w:customStyle="1" w:styleId="443">
    <w:name w:val="正文文本缩进11"/>
    <w:basedOn w:val="1"/>
    <w:next w:val="1"/>
    <w:qFormat/>
    <w:uiPriority w:val="0"/>
    <w:pPr>
      <w:spacing w:line="360" w:lineRule="auto"/>
      <w:ind w:firstLine="570"/>
    </w:pPr>
    <w:rPr>
      <w:sz w:val="24"/>
    </w:rPr>
  </w:style>
  <w:style w:type="paragraph" w:customStyle="1" w:styleId="444">
    <w:name w:val="正文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45">
    <w:name w:val="首行缩进"/>
    <w:basedOn w:val="1"/>
    <w:qFormat/>
    <w:uiPriority w:val="0"/>
    <w:pPr>
      <w:ind w:firstLine="480"/>
    </w:pPr>
    <w:rPr>
      <w:rFonts w:ascii="Times New Roman" w:hAnsi="Times New Roman"/>
      <w:sz w:val="20"/>
      <w:szCs w:val="20"/>
      <w:lang w:val="zh-CN"/>
    </w:rPr>
  </w:style>
</w:styles>
</file>

<file path=word/_rels/document.xml.rels><?xml version="1.0" encoding="UTF-8" standalone="yes"?>
<Relationships xmlns="http://schemas.openxmlformats.org/package/2006/relationships"><Relationship Id="rId9" Type="http://schemas.openxmlformats.org/officeDocument/2006/relationships/footer" Target="footer7.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9.xml"/><Relationship Id="rId10" Type="http://schemas.openxmlformats.org/officeDocument/2006/relationships/footer" Target="footer8.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Company>
  <Pages>67</Pages>
  <Words>11421</Words>
  <Characters>11961</Characters>
  <TotalTime>1</TotalTime>
  <ScaleCrop>false</ScaleCrop>
  <LinksUpToDate>false</LinksUpToDate>
  <CharactersWithSpaces>12129</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2022-05-30T08:03:00Z</dcterms:created>
  <dc:creator>Yin </dc:creator>
  <cp:lastModifiedBy>ACandy</cp:lastModifiedBy>
  <cp:lastPrinted>2026-05-13T08:48:00Z</cp:lastPrinted>
  <dcterms:modified xsi:type="dcterms:W3CDTF">2026-05-14T08:03:33Z</dcterms:modified>
  <dc:title>02年杜</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FEE6EBC761574B7E8B89969D9FE158AE_13</vt:lpwstr>
  </property>
  <property fmtid="{D5CDD505-2E9C-101B-9397-08002B2CF9AE}" pid="4" name="KSOTemplateDocerSaveRecord">
    <vt:lpwstr>eyJoZGlkIjoiYjU4ZjMwN2E3ZTFhM2RjMjM3ZmVhNGIxYTY3ZWM2MDQiLCJ1c2VySWQiOiIxMjg1ODY3MjUzIn0=</vt:lpwstr>
  </property>
</Properties>
</file>