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31"/>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31"/>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3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31"/>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bookmarkStart w:id="1" w:name="_Hlk227070485"/>
      <w:r>
        <w:rPr>
          <w:rFonts w:hint="eastAsia" w:ascii="Arial" w:hAnsi="Arial"/>
          <w:b/>
          <w:bCs/>
          <w:sz w:val="32"/>
          <w:szCs w:val="24"/>
        </w:rPr>
        <w:t xml:space="preserve"> </w:t>
      </w:r>
      <w:bookmarkEnd w:id="0"/>
      <w:r/>
      <w:bookmarkStart w:id="2" w:name="_Hlk227054334"/>
      <w:r>
        <w:rPr>
          <w:rFonts w:hint="eastAsia" w:ascii="宋体" w:hAnsi="宋体"/>
          <w:b/>
          <w:bCs/>
          <w:sz w:val="32"/>
          <w:szCs w:val="24"/>
        </w:rPr>
        <w:t xml:space="preserve">2026年重点工业产品质量安全隐患风险动态监测技术服务</w:t>
      </w:r>
      <w:bookmarkEnd w:id="1"/>
      <w:r/>
      <w:bookmarkEnd w:id="2"/>
      <w:r>
        <w:rPr>
          <w:rFonts w:ascii="Arial" w:hAnsi="Arial"/>
          <w:b/>
          <w:bCs/>
          <w:sz w:val="32"/>
          <w:szCs w:val="24"/>
        </w:rPr>
      </w:r>
      <w:r/>
    </w:p>
    <w:p>
      <w:pPr>
        <w:pStyle w:val="731"/>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JSZC-320000-NJXY-G2026-0012</w:t>
      </w:r>
      <w:r>
        <w:rPr>
          <w:rFonts w:ascii="Arial" w:hAnsi="Arial"/>
          <w:b/>
          <w:bCs/>
          <w:sz w:val="32"/>
          <w:szCs w:val="24"/>
        </w:rPr>
        <w:t xml:space="preserve"> </w:t>
      </w:r>
      <w:r>
        <w:rPr>
          <w:rFonts w:hint="eastAsia" w:ascii="Arial" w:hAnsi="Arial"/>
          <w:b/>
          <w:bCs/>
          <w:sz w:val="32"/>
          <w:szCs w:val="24"/>
        </w:rPr>
      </w:r>
      <w:r/>
    </w:p>
    <w:p>
      <w:pPr>
        <w:pStyle w:val="731"/>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spacing w:after="0" w:line="360" w:lineRule="auto"/>
        <w:widowControl w:val="off"/>
        <w:rPr>
          <w:rFonts w:ascii="宋体" w:hAnsi="Arial"/>
          <w:sz w:val="24"/>
          <w:szCs w:val="24"/>
        </w:rPr>
      </w:pPr>
      <w:r>
        <w:rPr>
          <w:rFonts w:ascii="宋体" w:hAnsi="Arial"/>
          <w:sz w:val="24"/>
          <w:szCs w:val="24"/>
        </w:rPr>
      </w:r>
      <w:r/>
    </w:p>
    <w:p>
      <w:pPr>
        <w:pStyle w:val="73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31"/>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2026年04月</w:t>
      </w:r>
      <w:r>
        <w:rPr>
          <w:rFonts w:ascii="Arial" w:hAnsi="Arial"/>
          <w:b/>
          <w:bCs/>
          <w:sz w:val="32"/>
          <w:szCs w:val="24"/>
        </w:rPr>
      </w:r>
      <w:r/>
    </w:p>
    <w:p>
      <w:pPr>
        <w:pStyle w:val="731"/>
        <w:jc w:val="center"/>
        <w:spacing w:before="120" w:after="120" w:line="360" w:lineRule="auto"/>
        <w:widowControl w:val="off"/>
        <w:rPr>
          <w:rFonts w:ascii="Arial" w:hAnsi="Arial"/>
          <w:b/>
          <w:bCs/>
          <w:sz w:val="32"/>
          <w:szCs w:val="24"/>
        </w:rPr>
      </w:pPr>
      <w:r>
        <w:rPr>
          <w:rFonts w:ascii="Arial" w:hAnsi="Arial"/>
          <w:b/>
          <w:bCs/>
          <w:sz w:val="32"/>
          <w:szCs w:val="24"/>
        </w:rPr>
      </w:r>
      <w:r/>
    </w:p>
    <w:p>
      <w:pPr>
        <w:pStyle w:val="731"/>
        <w:jc w:val="center"/>
        <w:spacing w:after="0" w:line="240" w:lineRule="auto"/>
        <w:widowControl w:val="off"/>
        <w:rPr>
          <w:b/>
          <w:sz w:val="32"/>
          <w:szCs w:val="32"/>
        </w:rPr>
      </w:pPr>
      <w:r/>
      <w:bookmarkStart w:id="3" w:name="_Toc17291076"/>
      <w:r/>
      <w:bookmarkStart w:id="4" w:name="_Toc523127445"/>
      <w:r/>
      <w:bookmarkStart w:id="5" w:name="_Toc20823272"/>
      <w:r/>
      <w:bookmarkStart w:id="6" w:name="_Toc479757206"/>
      <w:r/>
      <w:bookmarkStart w:id="7" w:name="_Toc120614210"/>
      <w:r/>
      <w:bookmarkStart w:id="8" w:name="_Toc16938516"/>
      <w:r/>
      <w:bookmarkStart w:id="9" w:name="_Toc513029200"/>
      <w:r>
        <w:rPr>
          <w:rFonts w:hint="eastAsia"/>
          <w:b/>
          <w:sz w:val="32"/>
          <w:szCs w:val="32"/>
        </w:rPr>
        <w:t xml:space="preserve">目  录</w:t>
      </w:r>
      <w:bookmarkEnd w:id="3"/>
      <w:r>
        <w:rPr>
          <w:b/>
          <w:sz w:val="32"/>
          <w:szCs w:val="32"/>
        </w:rPr>
      </w:r>
      <w:r/>
    </w:p>
    <w:p>
      <w:pPr>
        <w:pStyle w:val="1062"/>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747"/>
          <w:rFonts w:hint="eastAsia"/>
        </w:rPr>
        <w:fldChar w:fldCharType="begin"/>
      </w:r>
      <w:r>
        <w:rPr>
          <w:rStyle w:val="747"/>
          <w:rFonts w:hint="eastAsia"/>
        </w:rPr>
        <w:instrText xml:space="preserve"> </w:instrText>
      </w:r>
      <w:r>
        <w:rPr>
          <w:rFonts w:hint="eastAsia"/>
        </w:rPr>
        <w:instrText xml:space="preserve">HYPERLINK \l "_Toc192946451"</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747"/>
          <w:rFonts w:hint="eastAsia"/>
        </w:rPr>
        <w:fldChar w:fldCharType="end"/>
      </w:r>
      <w:r>
        <w:rPr>
          <w:rFonts w:hint="eastAsia" w:ascii="等线" w:hAnsi="等线" w:eastAsia="等线"/>
          <w:caps w:val="0"/>
          <w:sz w:val="22"/>
          <w:szCs w:val="24"/>
        </w:rPr>
      </w:r>
      <w:r/>
    </w:p>
    <w:p>
      <w:pPr>
        <w:pStyle w:val="1062"/>
        <w:rPr>
          <w:rFonts w:hint="eastAsia" w:ascii="等线" w:hAnsi="等线" w:eastAsia="等线"/>
          <w:caps w:val="0"/>
          <w:sz w:val="22"/>
          <w:szCs w:val="24"/>
        </w:rPr>
      </w:pPr>
      <w:r>
        <w:rPr>
          <w:rStyle w:val="747"/>
          <w:rFonts w:hint="eastAsia"/>
        </w:rPr>
        <w:fldChar w:fldCharType="begin"/>
      </w:r>
      <w:r>
        <w:rPr>
          <w:rStyle w:val="747"/>
          <w:rFonts w:hint="eastAsia"/>
        </w:rPr>
        <w:instrText xml:space="preserve"> </w:instrText>
      </w:r>
      <w:r>
        <w:rPr>
          <w:rFonts w:hint="eastAsia"/>
        </w:rPr>
        <w:instrText xml:space="preserve">HYPERLINK \l "_Toc192946452"</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fldChar w:fldCharType="separate"/>
      </w:r>
      <w:r>
        <w:rPr>
          <w:rFonts w:hint="eastAsia"/>
        </w:rPr>
        <w:t xml:space="preserve">13</w:t>
      </w:r>
      <w:r>
        <w:rPr>
          <w:rFonts w:hint="eastAsia"/>
        </w:rPr>
        <w:fldChar w:fldCharType="end"/>
      </w:r>
      <w:r>
        <w:rPr>
          <w:rStyle w:val="747"/>
          <w:rFonts w:hint="eastAsia"/>
        </w:rPr>
        <w:fldChar w:fldCharType="end"/>
      </w:r>
      <w:r>
        <w:rPr>
          <w:rFonts w:hint="eastAsia" w:ascii="等线" w:hAnsi="等线" w:eastAsia="等线"/>
          <w:caps w:val="0"/>
          <w:sz w:val="22"/>
          <w:szCs w:val="24"/>
        </w:rPr>
      </w:r>
      <w:r/>
    </w:p>
    <w:p>
      <w:pPr>
        <w:pStyle w:val="1062"/>
        <w:rPr>
          <w:rFonts w:hint="eastAsia" w:ascii="等线" w:hAnsi="等线" w:eastAsia="等线"/>
          <w:caps w:val="0"/>
          <w:sz w:val="22"/>
          <w:szCs w:val="24"/>
        </w:rPr>
      </w:pPr>
      <w:r>
        <w:rPr>
          <w:rStyle w:val="747"/>
          <w:rFonts w:hint="eastAsia"/>
        </w:rPr>
        <w:fldChar w:fldCharType="begin"/>
      </w:r>
      <w:r>
        <w:rPr>
          <w:rStyle w:val="747"/>
          <w:rFonts w:hint="eastAsia"/>
        </w:rPr>
        <w:instrText xml:space="preserve"> </w:instrText>
      </w:r>
      <w:r>
        <w:rPr>
          <w:rFonts w:hint="eastAsia"/>
        </w:rPr>
        <w:instrText xml:space="preserve">HYPERLINK \l "_Toc192946453"</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第三章  合同条款及格式</w:t>
      </w:r>
      <w:bookmarkStart w:id="10" w:name="_Hlt227070423"/>
      <w:r/>
      <w:bookmarkStart w:id="11" w:name="_Hlt227070424"/>
      <w:r/>
      <w:bookmarkStart w:id="12" w:name="_Hlt227070448"/>
      <w:r>
        <w:rPr>
          <w:rFonts w:hint="eastAsia"/>
        </w:rPr>
        <w:tab/>
      </w:r>
      <w:bookmarkEnd w:id="10"/>
      <w:r/>
      <w:bookmarkEnd w:id="11"/>
      <w:r/>
      <w:bookmarkEnd w:id="12"/>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747"/>
          <w:rFonts w:hint="eastAsia"/>
        </w:rPr>
        <w:fldChar w:fldCharType="end"/>
      </w:r>
      <w:r>
        <w:rPr>
          <w:rFonts w:hint="eastAsia" w:ascii="等线" w:hAnsi="等线" w:eastAsia="等线"/>
          <w:caps w:val="0"/>
          <w:sz w:val="22"/>
          <w:szCs w:val="24"/>
        </w:rPr>
      </w:r>
      <w:r/>
    </w:p>
    <w:p>
      <w:pPr>
        <w:pStyle w:val="1062"/>
        <w:rPr>
          <w:rFonts w:hint="eastAsia" w:ascii="等线" w:hAnsi="等线" w:eastAsia="等线"/>
          <w:caps w:val="0"/>
          <w:sz w:val="22"/>
          <w:szCs w:val="24"/>
        </w:rPr>
      </w:pPr>
      <w:r>
        <w:rPr>
          <w:rStyle w:val="747"/>
          <w:rFonts w:hint="eastAsia"/>
        </w:rPr>
        <w:fldChar w:fldCharType="begin"/>
      </w:r>
      <w:r>
        <w:rPr>
          <w:rStyle w:val="747"/>
          <w:rFonts w:hint="eastAsia"/>
        </w:rPr>
        <w:instrText xml:space="preserve"> </w:instrText>
      </w:r>
      <w:r>
        <w:rPr>
          <w:rFonts w:hint="eastAsia"/>
        </w:rPr>
        <w:instrText xml:space="preserve">HYPERLINK \l "_Toc192946454"</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第四章  项目需求（服务类）</w:t>
      </w:r>
      <w:r>
        <w:rPr>
          <w:rFonts w:hint="eastAsia"/>
        </w:rPr>
        <w:tab/>
      </w:r>
      <w:bookmarkStart w:id="13" w:name="_Hlt225931902"/>
      <w:r/>
      <w:bookmarkStart w:id="14" w:name="_Hlt225931901"/>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bookmarkEnd w:id="13"/>
      <w:r/>
      <w:bookmarkEnd w:id="14"/>
      <w:r>
        <w:rPr>
          <w:rStyle w:val="747"/>
          <w:rFonts w:hint="eastAsia"/>
        </w:rPr>
        <w:fldChar w:fldCharType="end"/>
      </w:r>
      <w:r>
        <w:rPr>
          <w:rFonts w:hint="eastAsia" w:ascii="等线" w:hAnsi="等线" w:eastAsia="等线"/>
          <w:caps w:val="0"/>
          <w:sz w:val="22"/>
          <w:szCs w:val="24"/>
        </w:rPr>
      </w:r>
      <w:r/>
    </w:p>
    <w:p>
      <w:pPr>
        <w:pStyle w:val="1062"/>
        <w:rPr>
          <w:rFonts w:hint="eastAsia" w:ascii="等线" w:hAnsi="等线" w:eastAsia="等线"/>
          <w:smallCaps/>
          <w:sz w:val="22"/>
        </w:rPr>
      </w:pPr>
      <w:r>
        <w:rPr>
          <w:rStyle w:val="747"/>
          <w:rFonts w:hint="eastAsia"/>
        </w:rPr>
        <w:fldChar w:fldCharType="begin"/>
      </w:r>
      <w:r>
        <w:rPr>
          <w:rStyle w:val="747"/>
          <w:rFonts w:hint="eastAsia"/>
        </w:rPr>
        <w:instrText xml:space="preserve"> </w:instrText>
      </w:r>
      <w:r>
        <w:rPr>
          <w:rFonts w:hint="eastAsia"/>
        </w:rPr>
        <w:instrText xml:space="preserve">HYPERLINK \l "_</w:instrText>
      </w:r>
      <w:r>
        <w:rPr>
          <w:rFonts w:hint="eastAsia"/>
        </w:rPr>
        <w:instrText xml:space="preserve">Toc192946455"</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fldChar w:fldCharType="separate"/>
      </w:r>
      <w:r>
        <w:rPr>
          <w:rFonts w:hint="eastAsia"/>
        </w:rPr>
        <w:t xml:space="preserve">83</w:t>
      </w:r>
      <w:r>
        <w:rPr>
          <w:rFonts w:hint="eastAsia"/>
        </w:rPr>
        <w:fldChar w:fldCharType="end"/>
      </w:r>
      <w:r>
        <w:rPr>
          <w:rStyle w:val="747"/>
          <w:rFonts w:hint="eastAsia"/>
        </w:rPr>
        <w:fldChar w:fldCharType="end"/>
      </w:r>
      <w:r>
        <w:rPr>
          <w:rFonts w:hint="eastAsia" w:ascii="等线" w:hAnsi="等线" w:eastAsia="等线"/>
          <w:smallCaps/>
          <w:sz w:val="22"/>
        </w:rPr>
      </w:r>
      <w:r/>
    </w:p>
    <w:p>
      <w:pPr>
        <w:pStyle w:val="1062"/>
        <w:rPr>
          <w:rFonts w:hint="eastAsia" w:ascii="等线" w:hAnsi="等线" w:eastAsia="等线"/>
          <w:caps w:val="0"/>
          <w:sz w:val="22"/>
          <w:szCs w:val="24"/>
        </w:rPr>
      </w:pPr>
      <w:r>
        <w:rPr>
          <w:rStyle w:val="747"/>
          <w:rFonts w:hint="eastAsia"/>
        </w:rPr>
        <w:fldChar w:fldCharType="begin"/>
      </w:r>
      <w:r>
        <w:rPr>
          <w:rStyle w:val="747"/>
          <w:rFonts w:hint="eastAsia"/>
        </w:rPr>
        <w:instrText xml:space="preserve"> </w:instrText>
      </w:r>
      <w:r>
        <w:rPr>
          <w:rFonts w:hint="eastAsia"/>
        </w:rPr>
        <w:instrText xml:space="preserve">HYPERLINK \l "_Toc192946475"</w:instrText>
      </w:r>
      <w:r>
        <w:rPr>
          <w:rStyle w:val="747"/>
          <w:rFonts w:hint="eastAsia"/>
        </w:rPr>
        <w:instrText xml:space="preserve"> </w:instrText>
      </w:r>
      <w:r>
        <w:rPr>
          <w:rStyle w:val="747"/>
          <w:rFonts w:hint="eastAsia"/>
        </w:rPr>
        <w:fldChar w:fldCharType="separate"/>
      </w:r>
      <w:r>
        <w:rPr>
          <w:rStyle w:val="747"/>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fldChar w:fldCharType="separate"/>
      </w:r>
      <w:r>
        <w:rPr>
          <w:rFonts w:hint="eastAsia"/>
        </w:rPr>
        <w:t xml:space="preserve">88</w:t>
      </w:r>
      <w:r>
        <w:rPr>
          <w:rFonts w:hint="eastAsia"/>
        </w:rPr>
        <w:fldChar w:fldCharType="end"/>
      </w:r>
      <w:r>
        <w:rPr>
          <w:rStyle w:val="747"/>
          <w:rFonts w:hint="eastAsia"/>
        </w:rPr>
        <w:fldChar w:fldCharType="end"/>
      </w:r>
      <w:r>
        <w:rPr>
          <w:rFonts w:hint="eastAsia" w:ascii="等线" w:hAnsi="等线" w:eastAsia="等线"/>
          <w:caps w:val="0"/>
          <w:sz w:val="22"/>
          <w:szCs w:val="24"/>
        </w:rPr>
      </w:r>
      <w:r/>
    </w:p>
    <w:p>
      <w:pPr>
        <w:pStyle w:val="731"/>
      </w:pPr>
      <w:r>
        <w:rPr>
          <w:b/>
          <w:bCs/>
          <w:lang w:val="zh-CN"/>
        </w:rPr>
        <w:fldChar w:fldCharType="end"/>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32"/>
        <w:jc w:val="center"/>
        <w:keepLines w:val="0"/>
        <w:spacing w:before="0" w:line="240" w:lineRule="auto"/>
        <w:widowControl w:val="off"/>
        <w:rPr>
          <w:rFonts w:ascii="黑体" w:hAnsi="楷体_GB2312" w:eastAsia="黑体"/>
          <w:b w:val="0"/>
          <w:bCs w:val="0"/>
          <w:color w:val="000000"/>
          <w:sz w:val="44"/>
          <w:szCs w:val="44"/>
        </w:rPr>
      </w:pPr>
      <w:r/>
      <w:bookmarkStart w:id="15" w:name="_Toc192946451"/>
      <w:r/>
      <w:bookmarkStart w:id="16" w:name="_Toc17291077"/>
      <w:r/>
      <w:bookmarkStart w:id="17" w:name="_Toc17291673"/>
      <w:r>
        <w:rPr>
          <w:rFonts w:hint="eastAsia" w:ascii="黑体" w:hAnsi="楷体_GB2312" w:eastAsia="黑体"/>
          <w:b w:val="0"/>
          <w:bCs w:val="0"/>
          <w:color w:val="000000"/>
          <w:sz w:val="44"/>
          <w:szCs w:val="44"/>
        </w:rPr>
        <w:t xml:space="preserve">第一章  </w:t>
      </w:r>
      <w:bookmarkEnd w:id="7"/>
      <w:r>
        <w:rPr>
          <w:rFonts w:hint="eastAsia" w:ascii="黑体" w:hAnsi="楷体_GB2312" w:eastAsia="黑体"/>
          <w:b w:val="0"/>
          <w:bCs w:val="0"/>
          <w:color w:val="000000"/>
          <w:sz w:val="44"/>
          <w:szCs w:val="44"/>
        </w:rPr>
        <w:t xml:space="preserve">投标邀请</w:t>
      </w:r>
      <w:bookmarkEnd w:id="15"/>
      <w:r/>
      <w:bookmarkEnd w:id="16"/>
      <w:r/>
      <w:bookmarkEnd w:id="17"/>
      <w:r>
        <w:rPr>
          <w:rFonts w:ascii="黑体" w:hAnsi="楷体_GB2312" w:eastAsia="黑体"/>
          <w:b w:val="0"/>
          <w:bCs w:val="0"/>
          <w:color w:val="000000"/>
          <w:sz w:val="44"/>
          <w:szCs w:val="44"/>
        </w:rPr>
      </w:r>
      <w:r/>
    </w:p>
    <w:p>
      <w:pPr>
        <w:pStyle w:val="731"/>
        <w:ind w:firstLine="480"/>
        <w:jc w:val="both"/>
        <w:spacing w:after="0" w:line="560" w:lineRule="exact"/>
        <w:widowControl w:val="off"/>
        <w:rPr>
          <w:rFonts w:hint="eastAsia" w:ascii="宋体"/>
          <w:bCs/>
          <w:sz w:val="24"/>
        </w:rPr>
      </w:pPr>
      <w:r/>
      <w:bookmarkStart w:id="18" w:name="_Hlk163568028"/>
      <w:r>
        <w:rPr>
          <w:rFonts w:hint="eastAsia" w:ascii="宋体"/>
          <w:bCs/>
          <w:sz w:val="24"/>
        </w:rPr>
        <w:t xml:space="preserve">项目概况</w:t>
      </w:r>
      <w:r/>
    </w:p>
    <w:p>
      <w:pPr>
        <w:pStyle w:val="731"/>
        <w:ind w:firstLine="480"/>
        <w:jc w:val="both"/>
        <w:spacing w:after="0" w:line="560" w:lineRule="exact"/>
        <w:widowControl w:val="off"/>
        <w:rPr>
          <w:rFonts w:ascii="宋体"/>
          <w:bCs/>
          <w:sz w:val="24"/>
        </w:rPr>
      </w:pPr>
      <w:r>
        <w:rPr>
          <w:rFonts w:hint="eastAsia" w:ascii="宋体"/>
          <w:sz w:val="24"/>
        </w:rPr>
        <w:t xml:space="preserve">2026年重点工业产品质量安全隐患风险动态监测技术服务</w:t>
      </w:r>
      <w:r>
        <w:rPr>
          <w:rFonts w:hint="eastAsia" w:ascii="宋体"/>
          <w:bCs/>
          <w:sz w:val="24"/>
        </w:rPr>
        <w:t xml:space="preserve">的潜在供应商应在本公司要求的相关渠道获取招标文件，并于 2026年</w:t>
      </w:r>
      <w:r>
        <w:rPr>
          <w:rFonts w:hint="eastAsia" w:ascii="宋体"/>
          <w:bCs/>
          <w:sz w:val="24"/>
        </w:rPr>
        <w:t xml:space="preserve">05</w:t>
      </w:r>
      <w:r>
        <w:rPr>
          <w:rFonts w:hint="eastAsia" w:ascii="宋体"/>
          <w:bCs/>
          <w:sz w:val="24"/>
        </w:rPr>
        <w:t xml:space="preserve">月</w:t>
      </w:r>
      <w:r>
        <w:rPr>
          <w:rFonts w:hint="eastAsia" w:ascii="宋体"/>
          <w:bCs/>
          <w:sz w:val="24"/>
        </w:rPr>
        <w:t xml:space="preserve">22</w:t>
      </w:r>
      <w:r>
        <w:rPr>
          <w:rFonts w:hint="eastAsia" w:ascii="宋体"/>
          <w:bCs/>
          <w:sz w:val="24"/>
        </w:rPr>
        <w:t xml:space="preserve">日08:30（北京时间）前递交投标文件。</w:t>
      </w:r>
      <w:r>
        <w:rPr>
          <w:rFonts w:ascii="宋体"/>
          <w:bCs/>
          <w:sz w:val="24"/>
        </w:rPr>
      </w:r>
      <w:r/>
    </w:p>
    <w:p>
      <w:pPr>
        <w:pStyle w:val="731"/>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2026年重点工业产品质量安全隐患风险动态监测技术服务项目</w:t>
      </w:r>
      <w:r>
        <w:rPr>
          <w:rFonts w:hint="eastAsia" w:ascii="宋体"/>
          <w:bCs/>
          <w:sz w:val="24"/>
        </w:rPr>
        <w:t xml:space="preserve">进行公开招标采购，现欢迎符合相关条件的合格供应商投标。</w:t>
      </w:r>
      <w:r>
        <w:rPr>
          <w:rFonts w:ascii="宋体"/>
          <w:sz w:val="21"/>
        </w:rPr>
      </w:r>
      <w:r/>
    </w:p>
    <w:p>
      <w:pPr>
        <w:pStyle w:val="731"/>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31"/>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2026年重点工业产品质量安全隐患风险动态监测技术服务</w:t>
      </w:r>
      <w:r>
        <w:rPr>
          <w:rFonts w:ascii="宋体"/>
          <w:bCs/>
          <w:sz w:val="24"/>
        </w:rPr>
      </w:r>
      <w:r/>
    </w:p>
    <w:p>
      <w:pPr>
        <w:pStyle w:val="731"/>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JSZC-320000-NJXY-G2026-0012</w:t>
      </w:r>
      <w:r>
        <w:rPr>
          <w:rFonts w:hint="eastAsia" w:ascii="宋体"/>
          <w:sz w:val="28"/>
          <w:szCs w:val="28"/>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9" w:name="_Hlk82097478"/>
      <w:r>
        <w:rPr>
          <w:rFonts w:ascii="宋体"/>
          <w:sz w:val="24"/>
        </w:rPr>
      </w:r>
      <w:r/>
    </w:p>
    <w:p>
      <w:pPr>
        <w:pStyle w:val="731"/>
        <w:ind w:firstLine="480"/>
        <w:jc w:val="both"/>
        <w:spacing w:after="0" w:line="560" w:lineRule="exact"/>
        <w:widowControl w:val="off"/>
        <w:tabs>
          <w:tab w:val="left" w:pos="900" w:leader="none"/>
        </w:tabs>
        <w:rPr>
          <w:rFonts w:ascii="宋体"/>
          <w:sz w:val="24"/>
        </w:rPr>
      </w:pPr>
      <w:r/>
      <w:bookmarkEnd w:id="19"/>
      <w:r/>
      <w:bookmarkStart w:id="20" w:name="_Hlk82764866"/>
      <w:r>
        <w:rPr>
          <w:rFonts w:hint="eastAsia" w:ascii="宋体"/>
          <w:sz w:val="24"/>
        </w:rPr>
        <w:t xml:space="preserve">为高质量完成重点工业产品质量安全隐患排查治理工作，通</w:t>
      </w:r>
      <w:bookmarkStart w:id="21" w:name="_Hlk227071869"/>
      <w:r>
        <w:rPr>
          <w:rFonts w:hint="eastAsia" w:ascii="宋体"/>
          <w:sz w:val="24"/>
        </w:rPr>
        <w:t xml:space="preserve">过公开招标方式确定第三方检验检测机构，</w:t>
      </w:r>
      <w:bookmarkEnd w:id="21"/>
      <w:r>
        <w:rPr>
          <w:rFonts w:hint="eastAsia" w:ascii="宋体"/>
          <w:sz w:val="24"/>
        </w:rPr>
        <w:t xml:space="preserve">承担2026年重点工业产品质量安全隐患风险动态监测的技术服务。具体详见采购文件</w:t>
      </w:r>
      <w:r>
        <w:rPr>
          <w:rFonts w:hint="eastAsia" w:ascii="宋体"/>
          <w:sz w:val="24"/>
        </w:rPr>
        <w:t xml:space="preserve">第四章项目需求。</w:t>
      </w:r>
      <w:bookmarkStart w:id="22" w:name="_Hlk85972736"/>
      <w:r>
        <w:rPr>
          <w:rFonts w:ascii="宋体"/>
          <w:sz w:val="24"/>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w:t>
      </w:r>
      <w:bookmarkEnd w:id="22"/>
      <w:r>
        <w:rPr>
          <w:rFonts w:hint="eastAsia" w:ascii="宋体"/>
          <w:sz w:val="24"/>
        </w:rPr>
        <w:t xml:space="preserve">本招标文件所有内容未做特别标注或说明即适用所有采购包。</w:t>
      </w:r>
      <w:r>
        <w:rPr>
          <w:rFonts w:ascii="宋体"/>
          <w:sz w:val="24"/>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本项目总预算为人民币</w:t>
      </w:r>
      <w:r>
        <w:rPr>
          <w:rFonts w:ascii="宋体"/>
          <w:sz w:val="24"/>
        </w:rPr>
        <w:t xml:space="preserve">199.2</w:t>
      </w:r>
      <w:r>
        <w:rPr>
          <w:rFonts w:hint="eastAsia" w:ascii="宋体"/>
          <w:sz w:val="24"/>
        </w:rPr>
        <w:t xml:space="preserve">万元，共计分设5个</w:t>
      </w:r>
      <w:r>
        <w:rPr>
          <w:rFonts w:hint="eastAsia" w:ascii="宋体"/>
          <w:sz w:val="24"/>
        </w:rPr>
        <w:t xml:space="preserve">采购包。</w:t>
      </w:r>
      <w:bookmarkStart w:id="23" w:name="_Hlk228116254"/>
      <w:r>
        <w:rPr>
          <w:rFonts w:hint="eastAsia" w:ascii="宋体"/>
          <w:b/>
          <w:bCs/>
          <w:sz w:val="24"/>
        </w:rPr>
        <w:t xml:space="preserve">投标人可兼投兼中，至多中其中3个采购包</w:t>
      </w:r>
      <w:bookmarkEnd w:id="23"/>
      <w:r>
        <w:rPr>
          <w:rFonts w:hint="eastAsia" w:ascii="宋体"/>
          <w:b/>
          <w:bCs/>
          <w:sz w:val="24"/>
        </w:rPr>
        <w:t xml:space="preserve">，每个采购包选取一家中标供应商。</w:t>
      </w:r>
      <w:r>
        <w:rPr>
          <w:rFonts w:hint="eastAsia" w:ascii="宋体"/>
          <w:sz w:val="24"/>
        </w:rPr>
        <w:t xml:space="preserve">每个采购包的投标人最终报价超过该采购包最高限价的为无效报价，按照无效响应处理。</w:t>
      </w:r>
      <w:r>
        <w:rPr>
          <w:rFonts w:ascii="宋体"/>
          <w:sz w:val="24"/>
        </w:rPr>
      </w:r>
      <w:r/>
    </w:p>
    <w:p>
      <w:pPr>
        <w:pStyle w:val="731"/>
        <w:ind w:firstLine="480"/>
        <w:jc w:val="both"/>
        <w:spacing w:after="0" w:line="560" w:lineRule="exact"/>
        <w:widowControl w:val="off"/>
        <w:tabs>
          <w:tab w:val="left" w:pos="900" w:leader="none"/>
        </w:tabs>
        <w:rPr>
          <w:rFonts w:ascii="宋体"/>
          <w:bCs/>
          <w:sz w:val="24"/>
        </w:rPr>
      </w:pPr>
      <w:r>
        <w:rPr>
          <w:rFonts w:hint="eastAsia" w:ascii="宋体"/>
          <w:sz w:val="24"/>
        </w:rPr>
        <w:t xml:space="preserve">3.3</w:t>
      </w:r>
      <w:r>
        <w:rPr>
          <w:rFonts w:hint="eastAsia" w:ascii="宋体"/>
          <w:bCs/>
          <w:sz w:val="24"/>
        </w:rPr>
        <w:t xml:space="preserve">项目</w:t>
      </w:r>
      <w:r>
        <w:rPr>
          <w:rFonts w:hint="eastAsia" w:ascii="宋体"/>
          <w:sz w:val="24"/>
        </w:rPr>
        <w:t xml:space="preserve">采购包</w:t>
      </w:r>
      <w:r>
        <w:rPr>
          <w:rFonts w:hint="eastAsia" w:ascii="宋体"/>
          <w:bCs/>
          <w:sz w:val="24"/>
        </w:rPr>
        <w:t xml:space="preserve">明细</w:t>
      </w:r>
      <w:r>
        <w:rPr>
          <w:rFonts w:ascii="宋体"/>
          <w:bCs/>
          <w:sz w:val="24"/>
        </w:rPr>
      </w:r>
      <w:r/>
    </w:p>
    <w:p>
      <w:pPr>
        <w:pStyle w:val="731"/>
        <w:ind w:firstLine="480"/>
        <w:jc w:val="both"/>
        <w:spacing w:after="0" w:line="560" w:lineRule="exact"/>
        <w:widowControl w:val="off"/>
        <w:tabs>
          <w:tab w:val="left" w:pos="900" w:leader="none"/>
        </w:tabs>
        <w:rPr>
          <w:rFonts w:hint="eastAsia" w:ascii="宋体"/>
          <w:bCs/>
          <w:sz w:val="24"/>
        </w:rPr>
      </w:pPr>
      <w:r>
        <w:rPr>
          <w:rFonts w:hint="eastAsia" w:ascii="宋体"/>
          <w:bCs/>
          <w:sz w:val="24"/>
        </w:rPr>
        <w:t xml:space="preserve">项目采购包明细与采购包预算金额、最高限价一览表</w:t>
      </w:r>
      <w:r/>
    </w:p>
    <w:p>
      <w:pPr>
        <w:pStyle w:val="731"/>
        <w:jc w:val="both"/>
        <w:spacing w:after="0" w:line="560" w:lineRule="exact"/>
        <w:widowControl w:val="off"/>
        <w:tabs>
          <w:tab w:val="left" w:pos="900" w:leader="none"/>
        </w:tabs>
        <w:rPr>
          <w:rFonts w:hint="eastAsia" w:ascii="宋体"/>
          <w:bCs/>
          <w:sz w:val="24"/>
        </w:rPr>
      </w:pPr>
      <w:r>
        <w:rPr>
          <w:rFonts w:hint="eastAsia" w:ascii="宋体"/>
          <w:bCs/>
          <w:sz w:val="24"/>
        </w:rPr>
      </w:r>
      <w:r/>
    </w:p>
    <w:tbl>
      <w:tblPr>
        <w:tblW w:w="8642" w:type="dxa"/>
        <w:tblInd w:w="113" w:type="dxa"/>
        <w:tblLayout w:type="autofit"/>
        <w:tblCellMar>
          <w:left w:w="108" w:type="dxa"/>
          <w:top w:w="0" w:type="dxa"/>
          <w:right w:w="108" w:type="dxa"/>
          <w:bottom w:w="0" w:type="dxa"/>
        </w:tblCellMar>
        <w:tblLook w:val="04A0" w:firstRow="1" w:lastRow="0" w:firstColumn="1" w:lastColumn="0" w:noHBand="0" w:noVBand="1"/>
      </w:tblPr>
      <w:tblGrid>
        <w:gridCol w:w="740"/>
        <w:gridCol w:w="1240"/>
        <w:gridCol w:w="2126"/>
        <w:gridCol w:w="1985"/>
        <w:gridCol w:w="1134"/>
        <w:gridCol w:w="1417"/>
      </w:tblGrid>
      <w:tr>
        <w:trPr>
          <w:trHeight w:val="849"/>
          <w:tblHeade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采购包序号</w:t>
            </w:r>
            <w:r>
              <w:rPr>
                <w:rFonts w:ascii="宋体"/>
                <w:sz w:val="24"/>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产品类别</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动态监测产品品种</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产品销售集聚市场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动态监测数量</w:t>
              <w:br w:type="textWrapping" w:clear="all"/>
              <w:t xml:space="preserve">（批次）</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采购预算及最高限价</w:t>
              <w:br w:type="textWrapping" w:clear="all"/>
              <w:t xml:space="preserve">（人民币：元）</w:t>
            </w:r>
            <w:r/>
          </w:p>
        </w:tc>
      </w:tr>
      <w:tr>
        <w:trPr>
          <w:cantSplit/>
          <w:trHeight w:val="1161"/>
        </w:trPr>
        <w:tc>
          <w:tcPr>
            <w:tcBorders>
              <w:top w:val="non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731"/>
              <w:jc w:val="center"/>
              <w:spacing w:after="0" w:line="240" w:lineRule="auto"/>
              <w:rPr>
                <w:rFonts w:ascii="宋体"/>
                <w:sz w:val="24"/>
              </w:rPr>
            </w:pPr>
            <w:r>
              <w:rPr>
                <w:rFonts w:ascii="宋体"/>
                <w:sz w:val="24"/>
              </w:rPr>
              <w:t xml:space="preserve">1</w:t>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731"/>
              <w:jc w:val="center"/>
              <w:spacing w:after="0" w:line="240" w:lineRule="auto"/>
              <w:rPr>
                <w:rFonts w:ascii="宋体"/>
                <w:sz w:val="24"/>
              </w:rPr>
            </w:pPr>
            <w:r>
              <w:rPr>
                <w:rFonts w:hint="eastAsia" w:ascii="宋体"/>
                <w:sz w:val="24"/>
              </w:rPr>
              <w:t xml:space="preserve">电动自行车</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电动自行车</w:t>
            </w:r>
            <w:r/>
          </w:p>
        </w:tc>
        <w:tc>
          <w:tcPr>
            <w:tcBorders>
              <w:top w:val="non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pStyle w:val="731"/>
              <w:spacing w:after="0" w:line="240" w:lineRule="auto"/>
              <w:rPr>
                <w:rFonts w:hint="eastAsia" w:ascii="宋体"/>
                <w:sz w:val="24"/>
              </w:rPr>
            </w:pPr>
            <w:r>
              <w:rPr>
                <w:rFonts w:hint="eastAsia" w:ascii="宋体"/>
                <w:sz w:val="24"/>
              </w:rPr>
              <w:t xml:space="preserve">无锡市锡山区南方国际电动车城、南京市机器马车辆城、常州市新北区太阳城电动车市场、南通市中华车城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30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731"/>
              <w:jc w:val="center"/>
              <w:spacing w:after="0" w:line="240" w:lineRule="auto"/>
              <w:rPr>
                <w:rFonts w:hint="eastAsia" w:ascii="宋体"/>
                <w:sz w:val="24"/>
              </w:rPr>
            </w:pPr>
            <w:r>
              <w:rPr>
                <w:rFonts w:ascii="宋体"/>
                <w:sz w:val="24"/>
              </w:rPr>
              <w:t xml:space="preserve">329</w:t>
            </w:r>
            <w:r>
              <w:rPr>
                <w:rFonts w:hint="eastAsia" w:ascii="宋体"/>
                <w:sz w:val="24"/>
              </w:rPr>
              <w:t xml:space="preserve">000</w:t>
            </w:r>
            <w:r/>
          </w:p>
        </w:tc>
      </w:tr>
      <w:tr>
        <w:trPr>
          <w:cantSplit/>
          <w:trHeight w:val="90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电动自行车用充电器</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30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861"/>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电动自行车用锂离子蓄电池</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2469"/>
        </w:trPr>
        <w:tc>
          <w:tcPr>
            <w:tcBorders>
              <w:top w:val="non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731"/>
              <w:jc w:val="center"/>
              <w:spacing w:after="0" w:line="240" w:lineRule="auto"/>
              <w:rPr>
                <w:rFonts w:ascii="宋体"/>
                <w:sz w:val="24"/>
              </w:rPr>
            </w:pPr>
            <w:r>
              <w:rPr>
                <w:rFonts w:ascii="宋体"/>
                <w:sz w:val="24"/>
              </w:rPr>
              <w:t xml:space="preserve">2</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建筑用</w:t>
              <w:br w:type="textWrapping" w:clear="all"/>
              <w:t xml:space="preserve">钢筋</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钢筋混凝土用热轧钢筋、冷轧带肋钢筋</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常州市新北区龙成钢材</w:t>
              <w:br w:type="textWrapping" w:clear="all"/>
              <w:t xml:space="preserve">城、徐州市新沂市苏北钢材市场、苏州长三角钢材市场、南通纪氏钢材市</w:t>
              <w:br w:type="textWrapping" w:clear="all"/>
              <w:t xml:space="preserve">场、中储南京物流有限公司</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30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731"/>
              <w:jc w:val="center"/>
              <w:spacing w:after="0" w:line="240" w:lineRule="auto"/>
              <w:rPr>
                <w:rFonts w:hint="eastAsia" w:ascii="宋体"/>
                <w:sz w:val="24"/>
              </w:rPr>
            </w:pPr>
            <w:r>
              <w:rPr>
                <w:rFonts w:ascii="宋体"/>
                <w:sz w:val="24"/>
              </w:rPr>
              <w:t xml:space="preserve">494</w:t>
            </w:r>
            <w:r>
              <w:rPr>
                <w:rFonts w:hint="eastAsia" w:ascii="宋体"/>
                <w:sz w:val="24"/>
              </w:rPr>
              <w:t xml:space="preserve">000</w:t>
            </w:r>
            <w:r/>
          </w:p>
        </w:tc>
      </w:tr>
      <w:tr>
        <w:trPr>
          <w:cantSplit/>
          <w:trHeight w:val="174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建筑保温材料</w:t>
            </w:r>
            <w:r>
              <w:rPr>
                <w:rFonts w:ascii="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岩棉板、模塑聚苯乙烯泡沫板（XPS）、挤塑聚苯乙烯泡沫板（XPS）、橡塑保温板、聚氨酯泡沫（PU）</w:t>
            </w:r>
            <w:r/>
          </w:p>
        </w:tc>
        <w:tc>
          <w:tcPr>
            <w:shd w:val="clear" w:color="000000" w:fill="ffffff"/>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南京市雨花台区红太阳装饰城、无锡市新吴区五洲国际工业博览城、苏州市华东装饰城、徐州市云龙区东兴物资市场</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40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156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人造板</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胶合板、细木工板</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南京市雨花台区弘阳装饰城、无锡市新世界国际家居建材城、常州市长江自由贸易中心</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1209"/>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电线电缆</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电线电缆</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苏州市华夏五金机电城、常州市江南五金机电城、盐城市区盐城五金机电城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trHeight w:val="1500"/>
        </w:trPr>
        <w:tc>
          <w:tcPr>
            <w:tcBorders>
              <w:top w:val="non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1"/>
              <w:jc w:val="center"/>
              <w:spacing w:after="0" w:line="240" w:lineRule="auto"/>
              <w:rPr>
                <w:rFonts w:ascii="宋体"/>
                <w:sz w:val="24"/>
              </w:rPr>
            </w:pPr>
            <w:r>
              <w:rPr>
                <w:rFonts w:ascii="宋体"/>
                <w:sz w:val="24"/>
              </w:rPr>
              <w:t xml:space="preserve">3</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化肥</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磷肥、复肥、氮肥</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宿迁市泗洪县华</w:t>
            </w:r>
            <w:r>
              <w:rPr>
                <w:rFonts w:hint="eastAsia" w:ascii="宋体"/>
                <w:sz w:val="24"/>
              </w:rPr>
              <w:t xml:space="preserve">东金谷农资城、徐州市新沂市农资市场</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60</w:t>
            </w:r>
            <w:r>
              <w:rPr>
                <w:rFonts w:hint="eastAsia" w:ascii="宋体"/>
                <w:sz w:val="24"/>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168</w:t>
            </w:r>
            <w:r>
              <w:rPr>
                <w:rFonts w:hint="eastAsia" w:ascii="宋体"/>
                <w:sz w:val="24"/>
              </w:rPr>
              <w:t xml:space="preserve">000</w:t>
            </w:r>
            <w:r/>
          </w:p>
        </w:tc>
      </w:tr>
      <w:tr>
        <w:trPr>
          <w:cantSplit/>
          <w:trHeight w:val="801"/>
        </w:trPr>
        <w:tc>
          <w:tcPr>
            <w:tcBorders>
              <w:top w:val="non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731"/>
              <w:jc w:val="center"/>
              <w:spacing w:after="0" w:line="240" w:lineRule="auto"/>
              <w:rPr>
                <w:rFonts w:ascii="宋体"/>
                <w:sz w:val="24"/>
              </w:rPr>
            </w:pPr>
            <w:r>
              <w:rPr>
                <w:rFonts w:ascii="宋体"/>
                <w:sz w:val="24"/>
              </w:rPr>
              <w:t xml:space="preserve">4</w:t>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731"/>
              <w:jc w:val="center"/>
              <w:spacing w:after="0" w:line="240" w:lineRule="auto"/>
              <w:rPr>
                <w:rFonts w:ascii="宋体"/>
                <w:sz w:val="24"/>
              </w:rPr>
            </w:pPr>
            <w:r>
              <w:rPr>
                <w:rFonts w:hint="eastAsia" w:ascii="宋体"/>
                <w:sz w:val="24"/>
              </w:rPr>
              <w:t xml:space="preserve">燃气用具</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家用燃气灶</w:t>
            </w:r>
            <w:r/>
          </w:p>
        </w:tc>
        <w:tc>
          <w:tcPr>
            <w:tcBorders>
              <w:top w:val="non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pStyle w:val="731"/>
              <w:spacing w:after="0" w:line="240" w:lineRule="auto"/>
              <w:rPr>
                <w:rFonts w:hint="eastAsia" w:ascii="宋体"/>
                <w:sz w:val="24"/>
              </w:rPr>
            </w:pPr>
            <w:r>
              <w:rPr>
                <w:rFonts w:hint="eastAsia" w:ascii="宋体"/>
                <w:sz w:val="24"/>
              </w:rPr>
              <w:t xml:space="preserve">南京市鼓楼区金桥市场、徐州市泉山区新黄河建材装饰城、淮安市淮阴区苏北温州大市场、宿迁市义乌商贸城、泰州市海陵区温泰市场、镇江市丹阳市云阳镇千家乐市场</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731"/>
              <w:jc w:val="center"/>
              <w:spacing w:after="0" w:line="240" w:lineRule="auto"/>
              <w:rPr>
                <w:rFonts w:hint="eastAsia" w:ascii="宋体"/>
                <w:sz w:val="24"/>
              </w:rPr>
            </w:pPr>
            <w:r>
              <w:rPr>
                <w:rFonts w:ascii="宋体"/>
                <w:sz w:val="24"/>
              </w:rPr>
              <w:t xml:space="preserve">805</w:t>
            </w:r>
            <w:r>
              <w:rPr>
                <w:rFonts w:hint="eastAsia" w:ascii="宋体"/>
                <w:sz w:val="24"/>
              </w:rPr>
              <w:t xml:space="preserve">000</w:t>
            </w:r>
            <w:r/>
          </w:p>
        </w:tc>
      </w:tr>
      <w:tr>
        <w:trPr>
          <w:cantSplit/>
          <w:trHeight w:val="72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家用燃气快速热水器</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75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燃气用具连接用软管</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63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瓶装液化石油气调压器</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762"/>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商用燃气燃烧器具</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15</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60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电磁式燃气紧急切断阀</w:t>
            </w:r>
            <w:r>
              <w:rPr>
                <w:rFonts w:ascii="宋体"/>
                <w:sz w:val="24"/>
              </w:rPr>
            </w:r>
            <w:r/>
          </w:p>
        </w:tc>
        <w:tc>
          <w:tcPr>
            <w:tcBorders>
              <w:top w:val="non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5</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1131"/>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731"/>
              <w:jc w:val="center"/>
              <w:spacing w:after="0" w:line="240" w:lineRule="auto"/>
              <w:rPr>
                <w:rFonts w:ascii="宋体"/>
                <w:sz w:val="24"/>
              </w:rPr>
            </w:pPr>
            <w:r>
              <w:rPr>
                <w:rFonts w:hint="eastAsia" w:ascii="宋体"/>
                <w:sz w:val="24"/>
              </w:rPr>
              <w:t xml:space="preserve">消防产品</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手提式灭火器</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无锡市新吴区无锡国际招商城、苏州市吴中区华夏五金机电城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30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969"/>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过滤式消防自救呼吸器</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无锡市新吴区无锡国际招商城、苏州市吴中区华夏五金机电城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99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消防水带</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无锡市新吴区无锡国际招商城、苏州市吴中区华夏五金机电城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99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ascii="宋体"/>
                <w:sz w:val="24"/>
              </w:rPr>
            </w:pPr>
            <w:r>
              <w:rPr>
                <w:rFonts w:hint="eastAsia" w:ascii="宋体"/>
                <w:sz w:val="24"/>
              </w:rPr>
              <w:t xml:space="preserve">电气火灾监控探测器</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无锡市新吴区无锡国际招商城、苏州市吴中区华夏五金机电城</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1920"/>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移动电源</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移动电源</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苏州市赛格电子市场、苏州市吴江赛格广场</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20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rFonts w:ascii="宋体"/>
                <w:sz w:val="24"/>
              </w:rPr>
            </w:pPr>
            <w:r>
              <w:rPr>
                <w:rFonts w:ascii="宋体"/>
                <w:sz w:val="24"/>
              </w:rPr>
            </w:r>
            <w:r/>
          </w:p>
        </w:tc>
      </w:tr>
      <w:tr>
        <w:trPr>
          <w:cantSplit/>
          <w:trHeight w:val="981"/>
        </w:trPr>
        <w:tc>
          <w:tcPr>
            <w:tcBorders>
              <w:top w:val="non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731"/>
              <w:jc w:val="center"/>
              <w:spacing w:after="0" w:line="240" w:lineRule="auto"/>
              <w:rPr>
                <w:rFonts w:ascii="宋体"/>
                <w:sz w:val="24"/>
              </w:rPr>
            </w:pPr>
            <w:r>
              <w:rPr>
                <w:rFonts w:ascii="宋体"/>
                <w:sz w:val="24"/>
              </w:rPr>
              <w:t xml:space="preserve">5</w:t>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731"/>
              <w:jc w:val="center"/>
              <w:spacing w:after="0" w:line="240" w:lineRule="auto"/>
              <w:rPr>
                <w:rFonts w:ascii="宋体"/>
                <w:sz w:val="24"/>
              </w:rPr>
            </w:pPr>
            <w:r>
              <w:rPr>
                <w:rFonts w:hint="eastAsia" w:ascii="宋体"/>
                <w:sz w:val="24"/>
              </w:rPr>
              <w:t xml:space="preserve">食品相关产品</w:t>
            </w: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婴幼儿用奶瓶</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spacing w:after="0" w:line="240" w:lineRule="auto"/>
              <w:rPr>
                <w:rFonts w:hint="eastAsia" w:ascii="宋体"/>
                <w:sz w:val="24"/>
              </w:rPr>
            </w:pPr>
            <w:r>
              <w:rPr>
                <w:rFonts w:hint="eastAsia" w:ascii="宋体"/>
                <w:sz w:val="24"/>
              </w:rPr>
              <w:t xml:space="preserve">徐州市上海国际孕婴城、南京鑫桥市场等商超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731"/>
              <w:jc w:val="center"/>
              <w:spacing w:after="0" w:line="240" w:lineRule="auto"/>
              <w:rPr>
                <w:rFonts w:hint="eastAsia" w:ascii="宋体"/>
                <w:sz w:val="24"/>
              </w:rPr>
            </w:pPr>
            <w:r>
              <w:rPr>
                <w:rFonts w:ascii="宋体"/>
                <w:sz w:val="24"/>
              </w:rPr>
              <w:t xml:space="preserve">196</w:t>
            </w:r>
            <w:r>
              <w:rPr>
                <w:rFonts w:hint="eastAsia" w:ascii="宋体"/>
                <w:sz w:val="24"/>
              </w:rPr>
              <w:t xml:space="preserve">000</w:t>
            </w:r>
            <w:r/>
          </w:p>
        </w:tc>
      </w:tr>
      <w:tr>
        <w:trPr>
          <w:cantSplit/>
          <w:trHeight w:val="1119"/>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婴幼儿用奶嘴</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徐州市上海国际孕婴城、南京鑫桥市场等商超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b/>
                <w:bCs/>
              </w:rPr>
            </w:pPr>
            <w:r>
              <w:rPr>
                <w:b/>
                <w:bCs/>
              </w:rPr>
            </w:r>
            <w:r/>
          </w:p>
        </w:tc>
      </w:tr>
      <w:tr>
        <w:trPr>
          <w:cantSplit/>
          <w:trHeight w:val="831"/>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竹木砧板等竹木制品</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苏州东壹元酒店用品市场、盐城高力酒店用品城等商超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10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b/>
                <w:bCs/>
              </w:rPr>
            </w:pPr>
            <w:r>
              <w:rPr>
                <w:b/>
                <w:bCs/>
              </w:rPr>
            </w:r>
            <w:r/>
          </w:p>
        </w:tc>
      </w:tr>
      <w:tr>
        <w:trPr>
          <w:cantSplit/>
          <w:trHeight w:val="981"/>
        </w:trPr>
        <w:tc>
          <w:tcPr>
            <w:tcBorders>
              <w:top w:val="non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731"/>
              <w:jc w:val="center"/>
              <w:spacing w:after="0" w:line="240" w:lineRule="auto"/>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31"/>
              <w:jc w:val="center"/>
              <w:spacing w:after="0" w:line="240" w:lineRule="auto"/>
              <w:rPr>
                <w:rFonts w:ascii="宋体"/>
                <w:sz w:val="24"/>
              </w:rPr>
            </w:pPr>
            <w:r>
              <w:rPr>
                <w:rFonts w:hint="eastAsia" w:ascii="宋体"/>
                <w:sz w:val="24"/>
              </w:rPr>
              <w:t xml:space="preserve">一次性餐饮具</w:t>
            </w:r>
            <w:r>
              <w:rPr>
                <w:rFonts w:ascii="宋体"/>
                <w:sz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731"/>
              <w:jc w:val="center"/>
              <w:spacing w:after="0" w:line="240" w:lineRule="auto"/>
              <w:rPr>
                <w:rFonts w:hint="eastAsia" w:ascii="宋体"/>
                <w:sz w:val="24"/>
              </w:rPr>
            </w:pPr>
            <w:r>
              <w:rPr>
                <w:rFonts w:hint="eastAsia" w:ascii="宋体"/>
                <w:sz w:val="24"/>
              </w:rPr>
              <w:t xml:space="preserve">苏州东壹元酒店用品市场、盐城高力酒店用品城等商超</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731"/>
              <w:jc w:val="center"/>
              <w:spacing w:after="0" w:line="240" w:lineRule="auto"/>
              <w:rPr>
                <w:rFonts w:hint="eastAsia" w:ascii="宋体"/>
                <w:sz w:val="24"/>
              </w:rPr>
            </w:pPr>
            <w:r>
              <w:rPr>
                <w:rFonts w:ascii="宋体"/>
                <w:sz w:val="24"/>
              </w:rPr>
              <w:t xml:space="preserve">30</w:t>
            </w:r>
            <w:r>
              <w:rPr>
                <w:rFonts w:hint="eastAsia" w:ascii="宋体"/>
                <w:sz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731"/>
              <w:spacing w:after="0" w:line="240" w:lineRule="auto"/>
              <w:rPr>
                <w:b/>
                <w:bCs/>
              </w:rPr>
            </w:pPr>
            <w:r>
              <w:rPr>
                <w:b/>
                <w:bCs/>
              </w:rPr>
            </w:r>
            <w:r/>
          </w:p>
        </w:tc>
      </w:tr>
    </w:tbl>
    <w:p>
      <w:pPr>
        <w:pStyle w:val="731"/>
        <w:spacing w:after="0" w:line="560" w:lineRule="exact"/>
        <w:rPr>
          <w:vanish/>
          <w:sz w:val="24"/>
          <w:szCs w:val="24"/>
        </w:rPr>
      </w:pPr>
      <w:r>
        <w:rPr>
          <w:vanish/>
          <w:sz w:val="24"/>
          <w:szCs w:val="24"/>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4. 评审顺序</w:t>
      </w:r>
      <w:r>
        <w:rPr>
          <w:rFonts w:ascii="宋体"/>
          <w:sz w:val="24"/>
        </w:rPr>
      </w:r>
      <w:r/>
    </w:p>
    <w:p>
      <w:pPr>
        <w:pStyle w:val="1070"/>
        <w:spacing w:before="0" w:after="0" w:line="560" w:lineRule="exact"/>
        <w:rPr>
          <w:rFonts w:ascii="宋体"/>
        </w:rPr>
      </w:pPr>
      <w:r/>
      <w:bookmarkStart w:id="24" w:name="_Hlk86587937"/>
      <w:r>
        <w:rPr>
          <w:rFonts w:hint="eastAsia" w:ascii="宋体"/>
        </w:rPr>
        <w:t xml:space="preserve">评审时按照采购包1、采购包2……采购包5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3个采购包。当某投标人按评审顺序已获任意3个采购包的拟中标人资格后，即使该投标人在后续采购包评审时总分排名第一，亦不作为拟中标候选人推荐，由排名第二的投标人递补，以此规则和顺序依次类推。</w:t>
      </w:r>
      <w:bookmarkEnd w:id="20"/>
      <w:r/>
      <w:bookmarkEnd w:id="24"/>
      <w:r>
        <w:rPr>
          <w:rFonts w:ascii="宋体"/>
        </w:rPr>
      </w:r>
      <w:r/>
    </w:p>
    <w:p>
      <w:pPr>
        <w:pStyle w:val="1070"/>
        <w:spacing w:before="0" w:after="0" w:line="560" w:lineRule="exact"/>
        <w:rPr>
          <w:rFonts w:ascii="宋体"/>
        </w:rPr>
      </w:pPr>
      <w:r>
        <w:rPr>
          <w:rFonts w:hint="eastAsia" w:ascii="宋体"/>
        </w:rPr>
        <w:t xml:space="preserve">5.合同履行期限：自合同签订之日起至2026年11月30日完成。</w:t>
      </w:r>
      <w:bookmarkStart w:id="25" w:name="_Hlk162425189"/>
      <w:r>
        <w:rPr>
          <w:rFonts w:hint="eastAsia" w:ascii="宋体"/>
          <w:bCs/>
        </w:rPr>
        <w:t xml:space="preserve">合同履行期限内如财政预算发生重大调整则双方可无责终止合同或按政府采购相关规定执行。</w:t>
      </w:r>
      <w:bookmarkEnd w:id="25"/>
      <w:r>
        <w:rPr>
          <w:rFonts w:ascii="宋体"/>
        </w:rPr>
      </w:r>
      <w:r/>
    </w:p>
    <w:p>
      <w:pPr>
        <w:pStyle w:val="731"/>
        <w:ind w:firstLine="480"/>
        <w:jc w:val="both"/>
        <w:spacing w:after="0" w:line="560" w:lineRule="exact"/>
        <w:widowControl w:val="off"/>
        <w:tabs>
          <w:tab w:val="left" w:pos="900" w:leader="none"/>
        </w:tabs>
        <w:rPr>
          <w:rFonts w:ascii="宋体"/>
          <w:sz w:val="24"/>
        </w:rPr>
      </w:pPr>
      <w:r>
        <w:rPr>
          <w:rFonts w:hint="eastAsia" w:ascii="宋体"/>
          <w:sz w:val="24"/>
        </w:rPr>
        <w:t xml:space="preserve">6.本项目所属行业：其他未列明行业。</w:t>
      </w:r>
      <w:r>
        <w:rPr>
          <w:rFonts w:ascii="宋体"/>
          <w:sz w:val="24"/>
        </w:rPr>
      </w:r>
      <w:r/>
    </w:p>
    <w:p>
      <w:pPr>
        <w:pStyle w:val="731"/>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31"/>
        <w:jc w:val="both"/>
        <w:spacing w:after="0" w:line="560" w:lineRule="exact"/>
        <w:widowControl w:val="off"/>
        <w:rPr>
          <w:rFonts w:ascii="仿宋_GB2312" w:hAnsi="仿宋_GB2312" w:cs="Arial"/>
          <w:iCs/>
          <w:sz w:val="24"/>
        </w:rPr>
      </w:pPr>
      <w:r/>
      <w:bookmarkStart w:id="26"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符合《政府采购法》第二十二条、《政府采购法实施条例》第十七条及其他资格性规定并提供以下证明材料：</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1.法人或者其他组织</w:t>
      </w:r>
      <w:r>
        <w:rPr>
          <w:rFonts w:hint="eastAsia" w:ascii="仿宋_GB2312" w:hAnsi="仿宋_GB2312" w:cs="Arial"/>
          <w:iCs/>
          <w:sz w:val="24"/>
        </w:rPr>
        <w:t xml:space="preserve">的营业执照（事业单位法人登记证书，社会团体法人登记证书）等证明文件（复印件并加盖CA电子公章）；自然人投标需提供自然人的身份证明（复印件并加盖</w:t>
      </w:r>
      <w:bookmarkStart w:id="27" w:name="_Hlk227058076"/>
      <w:r>
        <w:rPr>
          <w:rFonts w:hint="eastAsia" w:ascii="仿宋_GB2312" w:hAnsi="仿宋_GB2312" w:cs="Arial"/>
          <w:iCs/>
          <w:sz w:val="24"/>
        </w:rPr>
        <w:t xml:space="preserve">CA电子公章</w:t>
      </w:r>
      <w:bookmarkEnd w:id="27"/>
      <w:r>
        <w:rPr>
          <w:rFonts w:hint="eastAsia" w:ascii="仿宋_GB2312" w:hAnsi="仿宋_GB2312" w:cs="Arial"/>
          <w:iCs/>
          <w:sz w:val="24"/>
        </w:rPr>
        <w:t xml:space="preserve">）；非独立法人独立参加投标需提供法人授权其独立参加投标并承诺承担全部责任与风险的授权书原件、非独立法人营业执照复印件等证明文件（加盖CA电子公章）。</w:t>
      </w:r>
      <w:r/>
    </w:p>
    <w:p>
      <w:pPr>
        <w:pStyle w:val="731"/>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2.2024年或2025年的年度财务状况报告（复印件并加盖CA电子公章，成立不满一年仅需提供提交响应文件截止之日前一个月的会计报表）。</w:t>
      </w:r>
      <w:r>
        <w:rPr>
          <w:rFonts w:ascii="仿宋_GB2312" w:hAnsi="仿宋_GB2312" w:cs="Arial"/>
          <w:iCs/>
          <w:sz w:val="24"/>
        </w:rPr>
      </w:r>
      <w:r/>
    </w:p>
    <w:p>
      <w:pPr>
        <w:pStyle w:val="731"/>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ascii="仿宋_GB2312" w:hAnsi="仿宋_GB2312" w:cs="Arial"/>
          <w:iCs/>
          <w:sz w:val="24"/>
        </w:rPr>
        <w:t xml:space="preserve">依法缴纳税收的相关材料（距提交响应文件截止之日前的一年内任意一月相关证明材料复印件并加盖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t xml:space="preserve">。</w:t>
      </w:r>
      <w:r/>
    </w:p>
    <w:p>
      <w:pPr>
        <w:pStyle w:val="731"/>
        <w:ind w:firstLine="480"/>
        <w:spacing w:line="560" w:lineRule="exact"/>
        <w:rPr>
          <w:rFonts w:hint="eastAsia" w:ascii="仿宋_GB2312" w:hAnsi="仿宋_GB2312" w:cs="Arial"/>
          <w:iCs/>
          <w:sz w:val="24"/>
        </w:rPr>
      </w:pPr>
      <w:r>
        <w:rPr>
          <w:rFonts w:ascii="仿宋_GB2312" w:hAnsi="仿宋_GB2312" w:cs="Arial"/>
          <w:iCs/>
          <w:sz w:val="24"/>
        </w:rPr>
        <w:t xml:space="preserve">4.依法缴纳社会保障资金的相关材料（距提交响应文件截止之日前的一年内任意一月相关证明材料复印件并加盖</w:t>
      </w:r>
      <w:r>
        <w:rPr>
          <w:rFonts w:hint="eastAsia" w:ascii="仿宋_GB2312" w:hAnsi="仿宋_GB2312" w:cs="Arial"/>
          <w:iCs/>
          <w:sz w:val="24"/>
        </w:rPr>
        <w:t xml:space="preserve">CA电子公章）。</w:t>
      </w:r>
      <w:r/>
    </w:p>
    <w:p>
      <w:pPr>
        <w:pStyle w:val="731"/>
        <w:ind w:firstLine="480"/>
        <w:spacing w:line="560" w:lineRule="exact"/>
        <w:rPr>
          <w:rFonts w:hint="eastAsia" w:ascii="仿宋_GB2312" w:hAnsi="仿宋_GB2312" w:cs="Arial"/>
          <w:iCs/>
          <w:sz w:val="24"/>
        </w:rPr>
      </w:pPr>
      <w:r>
        <w:rPr>
          <w:rFonts w:ascii="仿宋_GB2312" w:hAnsi="仿宋_GB2312" w:cs="Arial"/>
          <w:iCs/>
          <w:sz w:val="24"/>
        </w:rPr>
        <w:t xml:space="preserve">5.具备履行合同所必需的设备和专业技术能力的书面声明（原件并加盖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r>
      <w:r/>
    </w:p>
    <w:p>
      <w:pPr>
        <w:pStyle w:val="731"/>
        <w:ind w:firstLine="480"/>
        <w:spacing w:line="560" w:lineRule="exact"/>
        <w:rPr>
          <w:rFonts w:hint="eastAsia" w:ascii="仿宋_GB2312" w:hAnsi="仿宋_GB2312" w:cs="Arial"/>
          <w:iCs/>
          <w:sz w:val="24"/>
        </w:rPr>
      </w:pPr>
      <w:r>
        <w:rPr>
          <w:rFonts w:ascii="仿宋_GB2312" w:hAnsi="仿宋_GB2312" w:cs="Arial"/>
          <w:iCs/>
          <w:sz w:val="24"/>
        </w:rPr>
        <w:t xml:space="preserve">6.参加政府采购活动</w:t>
      </w:r>
      <w:r>
        <w:rPr>
          <w:rFonts w:hint="eastAsia" w:ascii="仿宋_GB2312" w:hAnsi="仿宋_GB2312" w:cs="Arial"/>
          <w:iCs/>
          <w:sz w:val="24"/>
        </w:rPr>
        <w:t xml:space="preserve">前3</w:t>
      </w:r>
      <w:r>
        <w:rPr>
          <w:rFonts w:ascii="仿宋_GB2312" w:hAnsi="仿宋_GB2312" w:cs="Arial"/>
          <w:iCs/>
          <w:sz w:val="24"/>
        </w:rPr>
        <w:t xml:space="preserve">年内（距提交响应文件截止之日前）在经营活动中没有重大违法记录的书面声明（原件并加盖</w:t>
      </w:r>
      <w:r>
        <w:rPr>
          <w:rFonts w:hint="eastAsia" w:ascii="仿宋_GB2312" w:hAnsi="仿宋_GB2312" w:cs="Arial"/>
          <w:iCs/>
          <w:sz w:val="24"/>
        </w:rPr>
        <w:t xml:space="preserve">CA电子公章）。</w:t>
      </w:r>
      <w:r/>
    </w:p>
    <w:p>
      <w:pPr>
        <w:pStyle w:val="731"/>
        <w:ind w:firstLine="480"/>
        <w:jc w:val="both"/>
        <w:spacing w:after="0" w:line="560" w:lineRule="exact"/>
        <w:widowControl w:val="off"/>
        <w:rPr>
          <w:rFonts w:ascii="宋体" w:hAnsi="宋体" w:cs="Arial"/>
          <w:iCs/>
          <w:sz w:val="24"/>
        </w:rPr>
      </w:pPr>
      <w:r/>
      <w:bookmarkEnd w:id="26"/>
      <w:r>
        <w:rPr>
          <w:rFonts w:ascii="宋体" w:hAnsi="宋体"/>
          <w:iCs/>
          <w:sz w:val="24"/>
          <w:szCs w:val="24"/>
        </w:rPr>
        <w:t xml:space="preserve">（</w:t>
      </w:r>
      <w:r>
        <w:rPr>
          <w:rFonts w:hint="eastAsia" w:ascii="宋体" w:hAnsi="宋体"/>
          <w:iCs/>
          <w:sz w:val="24"/>
          <w:szCs w:val="24"/>
        </w:rPr>
        <w:t xml:space="preserve">二</w:t>
      </w:r>
      <w:r>
        <w:rPr>
          <w:rFonts w:ascii="宋体" w:hAnsi="宋体"/>
          <w:iCs/>
          <w:sz w:val="24"/>
          <w:szCs w:val="24"/>
        </w:rPr>
        <w:t xml:space="preserve">）</w:t>
      </w:r>
      <w:r>
        <w:rPr>
          <w:rFonts w:hint="eastAsia" w:ascii="宋体" w:hAnsi="宋体"/>
          <w:iCs/>
          <w:sz w:val="24"/>
          <w:szCs w:val="24"/>
        </w:rPr>
        <w:t xml:space="preserve">本项目的特定资格要求：</w:t>
      </w:r>
      <w:r>
        <w:rPr>
          <w:rFonts w:ascii="宋体" w:hAnsi="宋体" w:cs="Arial"/>
          <w:iCs/>
          <w:sz w:val="24"/>
        </w:rPr>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1.投标人应具有国家认证认可监督管理委员会或省级市场监督管理部门颁发的有效期内（有效期能覆盖相关产品抽检任务的完成，具体</w:t>
      </w:r>
      <w:r>
        <w:rPr>
          <w:rFonts w:hint="eastAsia" w:ascii="宋体" w:hAnsi="宋体" w:cs="Arial"/>
          <w:iCs/>
          <w:sz w:val="24"/>
        </w:rPr>
        <w:t xml:space="preserve">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正值 CMA 换证期间的，应提供：</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①旧证复印件和技术机构向发证机关递交的换证申请相关页（应具有覆盖所投产品检验项目的检验能力并对相应项目及标准做好明显标记）；</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②加盖法人单位和技术机构（如与法人单位不同）公章的承诺书，承诺新证书和检测能力能在旧证有效期届满前下达并持续有效，保证资质能达到本次工作要求。</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所投产品检验项目的检验能力正值新版标准资质申请期间的，应提供：</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①旧版标准资质认定附表相关页复印件；</w:t>
      </w:r>
      <w:r/>
    </w:p>
    <w:p>
      <w:pPr>
        <w:pStyle w:val="731"/>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②加盖法人单位和技术机构（如与法人单位不同）公章的承诺书，承诺新版标准检测能力的资质认定能在检验任务实施前下达，保证资质能达到本次工作要求。</w:t>
      </w:r>
      <w:r/>
    </w:p>
    <w:p>
      <w:pPr>
        <w:pStyle w:val="731"/>
        <w:ind w:firstLine="480"/>
        <w:jc w:val="both"/>
        <w:spacing w:after="0" w:line="560" w:lineRule="exact"/>
        <w:widowControl w:val="off"/>
        <w:rPr>
          <w:rFonts w:hint="eastAsia" w:ascii="宋体" w:hAnsi="宋体"/>
          <w:iCs/>
          <w:sz w:val="24"/>
          <w:szCs w:val="24"/>
        </w:rPr>
      </w:pPr>
      <w:r>
        <w:rPr>
          <w:rFonts w:hint="eastAsia" w:ascii="宋体" w:hAnsi="宋体" w:cs="Arial"/>
          <w:iCs/>
          <w:sz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w:t>
      </w:r>
      <w:r>
        <w:rPr>
          <w:rFonts w:hint="eastAsia" w:ascii="宋体" w:hAnsi="宋体" w:cs="Arial"/>
          <w:iCs/>
          <w:sz w:val="24"/>
        </w:rPr>
        <w:t xml:space="preserve">复印件，</w:t>
      </w:r>
      <w:r>
        <w:rPr>
          <w:rFonts w:hint="eastAsia" w:ascii="宋体" w:hAnsi="宋体" w:cs="Arial"/>
          <w:iCs/>
          <w:sz w:val="24"/>
        </w:rPr>
        <w:t xml:space="preserve">对相应项目、依据标准及检测方法做好明显标记。</w:t>
      </w:r>
      <w:r>
        <w:rPr>
          <w:rFonts w:hint="eastAsia" w:ascii="宋体" w:hAnsi="宋体" w:cs="Arial"/>
          <w:iCs/>
          <w:sz w:val="24"/>
        </w:rPr>
        <w:t xml:space="preserve">全部附表所对应的证书应为同一机构同一证书编号。备注：对不含检验检测方法的各类产品标准、限值标准可作为判定依据，不作为本项目的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宋体" w:hAnsi="宋体"/>
          <w:iCs/>
          <w:sz w:val="24"/>
          <w:szCs w:val="24"/>
        </w:rPr>
      </w:r>
      <w:r/>
    </w:p>
    <w:p>
      <w:pPr>
        <w:pStyle w:val="731"/>
        <w:ind w:firstLine="480"/>
        <w:jc w:val="both"/>
        <w:spacing w:after="0" w:line="560" w:lineRule="exact"/>
        <w:widowControl w:val="off"/>
        <w:rPr>
          <w:rFonts w:hint="eastAsia" w:ascii="仿宋_GB2312" w:hAnsi="仿宋_GB2312" w:cs="Arial"/>
          <w:iCs/>
          <w:sz w:val="24"/>
        </w:rPr>
      </w:pPr>
      <w:r/>
      <w:bookmarkStart w:id="28" w:name="_Hlk82765034"/>
      <w:r>
        <w:rPr>
          <w:rFonts w:hint="eastAsia" w:ascii="仿宋_GB2312" w:hAnsi="仿宋_GB2312" w:cs="Arial"/>
          <w:iCs/>
          <w:sz w:val="24"/>
        </w:rPr>
        <w:t xml:space="preserve">（三）本项目的其他资格要求：</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1.未被“信用中国”网站（www.creditchina.gov.cn）、“中国政府采购网”网站（www.ccgp.gov.cn）列入失</w:t>
      </w:r>
      <w:r>
        <w:rPr>
          <w:rFonts w:hint="eastAsia" w:ascii="仿宋_GB2312" w:hAnsi="仿宋_GB2312" w:cs="Arial"/>
          <w:iCs/>
          <w:sz w:val="24"/>
        </w:rPr>
        <w:t xml:space="preserve">信被执行人、重大税收违法案件当事人名单、政府采购严重失信行为记录名单（承接单位可以不提供证明材料，以代理机构现场查询并截图留存为准）。</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2.本项目不接受联合体投标。</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3.本项目不接受进口产品投标。 </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4.拒绝下述供应商参加本次采购活动：</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①供应商单位负责人为同一人或者存在直接控股、管理关系的不同供应商，不得参加同一合同项下的政府采购活动；</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②凡为采购项目提供整体设计、规范编制或者项目管理、监理、检测等服务的供应商，不得再参加本项目的采购活动</w:t>
      </w:r>
      <w:r>
        <w:rPr>
          <w:rFonts w:hint="eastAsia" w:ascii="仿宋_GB2312" w:hAnsi="仿宋_GB2312" w:cs="Arial"/>
          <w:iCs/>
          <w:sz w:val="24"/>
        </w:rPr>
        <w:t xml:space="preserve">。</w:t>
      </w:r>
      <w:r/>
    </w:p>
    <w:p>
      <w:pPr>
        <w:pStyle w:val="731"/>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③公益一类事业单位、使用事业编制且由财政拨款保障的群团组织，不得参加本项目的采购活动。</w:t>
      </w:r>
      <w:r/>
    </w:p>
    <w:p>
      <w:pPr>
        <w:pStyle w:val="731"/>
        <w:jc w:val="both"/>
        <w:spacing w:after="0" w:line="560" w:lineRule="exact"/>
        <w:widowControl w:val="off"/>
        <w:tabs>
          <w:tab w:val="left" w:pos="900" w:leader="none"/>
        </w:tabs>
        <w:rPr>
          <w:rFonts w:ascii="宋体"/>
          <w:b/>
          <w:bCs/>
          <w:sz w:val="24"/>
        </w:rPr>
      </w:pPr>
      <w:r/>
      <w:bookmarkEnd w:id="28"/>
      <w:r>
        <w:rPr>
          <w:rFonts w:hint="eastAsia" w:ascii="宋体"/>
          <w:b/>
          <w:bCs/>
          <w:sz w:val="24"/>
        </w:rPr>
        <w:t xml:space="preserve">三、获取招标文件</w:t>
      </w:r>
      <w:r>
        <w:rPr>
          <w:rFonts w:ascii="宋体"/>
          <w:b/>
          <w:bCs/>
          <w:sz w:val="24"/>
        </w:rPr>
      </w:r>
      <w:r/>
    </w:p>
    <w:p>
      <w:pPr>
        <w:pStyle w:val="73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3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31"/>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9" w:name="_Hlk219329385"/>
      <w:r>
        <w:rPr>
          <w:rFonts w:hint="eastAsia" w:ascii="宋体"/>
          <w:color w:val="000000"/>
          <w:sz w:val="24"/>
        </w:rPr>
        <w:t xml:space="preserve">→</w:t>
      </w:r>
      <w:bookmarkEnd w:id="29"/>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31"/>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31"/>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05</w:t>
      </w:r>
      <w:r>
        <w:rPr>
          <w:rFonts w:hint="eastAsia" w:ascii="宋体" w:cs="Arial"/>
          <w:sz w:val="24"/>
          <w:szCs w:val="20"/>
        </w:rPr>
        <w:t xml:space="preserve">月</w:t>
      </w:r>
      <w:r>
        <w:rPr>
          <w:rFonts w:hint="eastAsia" w:ascii="宋体" w:cs="Arial"/>
          <w:sz w:val="24"/>
          <w:szCs w:val="20"/>
        </w:rPr>
        <w:t xml:space="preserve">22</w:t>
      </w:r>
      <w:r>
        <w:rPr>
          <w:rFonts w:hint="eastAsia" w:ascii="宋体" w:cs="Arial"/>
          <w:sz w:val="24"/>
          <w:szCs w:val="20"/>
        </w:rPr>
        <w:t xml:space="preserve">日</w:t>
      </w:r>
      <w:r>
        <w:rPr>
          <w:rFonts w:hint="eastAsia" w:ascii="宋体" w:cs="Arial"/>
          <w:sz w:val="24"/>
          <w:szCs w:val="20"/>
        </w:rPr>
        <w:t xml:space="preserve">0</w:t>
      </w:r>
      <w:r>
        <w:rPr>
          <w:rFonts w:hint="eastAsia" w:ascii="宋体"/>
          <w:bCs/>
          <w:sz w:val="24"/>
        </w:rPr>
        <w:t xml:space="preserve">8</w:t>
      </w:r>
      <w:r>
        <w:rPr>
          <w:rFonts w:hint="eastAsia" w:ascii="宋体"/>
          <w:bCs/>
          <w:sz w:val="24"/>
        </w:rPr>
        <w:t xml:space="preserve">:30</w:t>
      </w:r>
      <w:r>
        <w:rPr>
          <w:rFonts w:hint="eastAsia" w:ascii="宋体" w:cs="Arial"/>
          <w:sz w:val="24"/>
          <w:szCs w:val="20"/>
        </w:rPr>
        <w:t xml:space="preserve">（北京时间）</w:t>
      </w:r>
      <w:r>
        <w:rPr>
          <w:rFonts w:ascii="宋体" w:cs="Arial"/>
          <w:sz w:val="24"/>
          <w:szCs w:val="20"/>
        </w:rPr>
      </w:r>
      <w:r/>
    </w:p>
    <w:p>
      <w:pPr>
        <w:pStyle w:val="731"/>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31"/>
        <w:jc w:val="both"/>
        <w:spacing w:after="0" w:line="560" w:lineRule="exact"/>
        <w:widowControl w:val="off"/>
        <w:tabs>
          <w:tab w:val="left" w:pos="900" w:leader="none"/>
        </w:tabs>
        <w:rPr>
          <w:rFonts w:hint="eastAsia" w:ascii="宋体" w:hAnsi="宋体" w:cs="宋体"/>
          <w:b/>
          <w:sz w:val="24"/>
          <w:szCs w:val="24"/>
        </w:rPr>
      </w:pPr>
      <w:r/>
      <w:bookmarkStart w:id="30" w:name="_Toc28359084"/>
      <w:r/>
      <w:bookmarkStart w:id="31" w:name="_Toc35393625"/>
      <w:r/>
      <w:bookmarkStart w:id="32" w:name="_Toc28359007"/>
      <w:r/>
      <w:bookmarkStart w:id="33" w:name="_Toc35393794"/>
      <w:r>
        <w:rPr>
          <w:rFonts w:hint="eastAsia" w:ascii="宋体" w:hAnsi="宋体" w:cs="宋体"/>
          <w:b/>
          <w:sz w:val="24"/>
          <w:szCs w:val="24"/>
        </w:rPr>
        <w:t xml:space="preserve">五、公告期限</w:t>
      </w:r>
      <w:bookmarkEnd w:id="30"/>
      <w:r/>
      <w:bookmarkEnd w:id="31"/>
      <w:r/>
      <w:bookmarkEnd w:id="32"/>
      <w:r/>
      <w:bookmarkEnd w:id="33"/>
      <w:r>
        <w:rPr>
          <w:rFonts w:hint="eastAsia" w:ascii="宋体" w:hAnsi="宋体" w:cs="宋体"/>
          <w:b/>
          <w:sz w:val="24"/>
          <w:szCs w:val="24"/>
        </w:rPr>
      </w:r>
      <w:r/>
    </w:p>
    <w:p>
      <w:pPr>
        <w:pStyle w:val="731"/>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31"/>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pStyle w:val="731"/>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pStyle w:val="73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pStyle w:val="73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人应承担所有法律责任带来的全部最终不利后果。</w:t>
      </w:r>
      <w:r/>
    </w:p>
    <w:p>
      <w:pPr>
        <w:pStyle w:val="731"/>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pStyle w:val="73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3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3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3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pStyle w:val="731"/>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w:t>
      </w:r>
      <w:r>
        <w:rPr>
          <w:rFonts w:ascii="宋体" w:hAnsi="宋体" w:cs="宋体"/>
          <w:sz w:val="24"/>
          <w:szCs w:val="24"/>
        </w:rPr>
        <w:t xml:space="preserve">〔2019〕9 号）等文件要求。</w:t>
      </w:r>
      <w:r>
        <w:rPr>
          <w:rFonts w:hint="eastAsia" w:ascii="宋体" w:hAnsi="宋体" w:cs="宋体"/>
          <w:sz w:val="24"/>
          <w:szCs w:val="24"/>
        </w:rPr>
      </w:r>
      <w:r/>
    </w:p>
    <w:p>
      <w:pPr>
        <w:pStyle w:val="731"/>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31"/>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pStyle w:val="731"/>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31"/>
        <w:ind w:firstLine="480"/>
        <w:jc w:val="both"/>
        <w:spacing w:after="0" w:line="560" w:lineRule="exact"/>
        <w:widowControl w:val="off"/>
        <w:rPr>
          <w:rFonts w:ascii="宋体"/>
          <w:sz w:val="24"/>
        </w:rPr>
      </w:pPr>
      <w:r/>
      <w:bookmarkStart w:id="34" w:name="_Hlk47018607"/>
      <w:r>
        <w:rPr>
          <w:rFonts w:hint="eastAsia" w:ascii="宋体"/>
          <w:sz w:val="24"/>
        </w:rPr>
        <w:t xml:space="preserve">1.采购人联系方式</w:t>
      </w:r>
      <w:r>
        <w:rPr>
          <w:rFonts w:ascii="宋体"/>
          <w:sz w:val="24"/>
        </w:rPr>
      </w:r>
      <w:r/>
    </w:p>
    <w:p>
      <w:pPr>
        <w:pStyle w:val="731"/>
        <w:ind w:firstLine="480"/>
        <w:jc w:val="both"/>
        <w:spacing w:after="0" w:line="560" w:lineRule="exact"/>
        <w:widowControl w:val="off"/>
        <w:rPr>
          <w:rFonts w:hint="eastAsia" w:ascii="宋体"/>
          <w:sz w:val="24"/>
        </w:rPr>
      </w:pPr>
      <w:r>
        <w:rPr>
          <w:rFonts w:hint="eastAsia" w:ascii="宋体"/>
          <w:sz w:val="24"/>
        </w:rPr>
        <w:t xml:space="preserve">名称：江苏省市场监督管理局</w:t>
      </w:r>
      <w:r/>
    </w:p>
    <w:p>
      <w:pPr>
        <w:pStyle w:val="731"/>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p>
    <w:p>
      <w:pPr>
        <w:pStyle w:val="731"/>
        <w:ind w:firstLine="480"/>
        <w:jc w:val="both"/>
        <w:spacing w:after="0" w:line="560" w:lineRule="exact"/>
        <w:widowControl w:val="off"/>
        <w:rPr>
          <w:rFonts w:hint="eastAsia" w:ascii="宋体"/>
          <w:sz w:val="24"/>
        </w:rPr>
      </w:pPr>
      <w:r>
        <w:rPr>
          <w:rFonts w:hint="eastAsia" w:ascii="宋体"/>
          <w:sz w:val="24"/>
        </w:rPr>
        <w:t xml:space="preserve">联系人：仇老师</w:t>
      </w:r>
      <w:r/>
    </w:p>
    <w:p>
      <w:pPr>
        <w:pStyle w:val="731"/>
        <w:ind w:firstLine="480"/>
        <w:jc w:val="both"/>
        <w:spacing w:after="0" w:line="560" w:lineRule="exact"/>
        <w:widowControl w:val="off"/>
        <w:rPr>
          <w:rFonts w:hint="eastAsia" w:ascii="宋体"/>
          <w:sz w:val="24"/>
        </w:rPr>
      </w:pPr>
      <w:r>
        <w:rPr>
          <w:rFonts w:hint="eastAsia" w:ascii="宋体"/>
          <w:sz w:val="24"/>
        </w:rPr>
        <w:t xml:space="preserve">联系方式：025-</w:t>
      </w:r>
      <w:r>
        <w:rPr>
          <w:rFonts w:ascii="宋体"/>
          <w:sz w:val="24"/>
        </w:rPr>
        <w:t xml:space="preserve">85537507</w:t>
      </w:r>
      <w:r>
        <w:rPr>
          <w:rFonts w:hint="eastAsia" w:ascii="宋体"/>
          <w:sz w:val="24"/>
        </w:rPr>
      </w:r>
      <w:r/>
    </w:p>
    <w:p>
      <w:pPr>
        <w:pStyle w:val="731"/>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31"/>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31"/>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31"/>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pStyle w:val="731"/>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pStyle w:val="731"/>
        <w:ind w:firstLine="480"/>
        <w:jc w:val="both"/>
        <w:spacing w:after="0" w:line="560" w:lineRule="exact"/>
        <w:widowControl w:val="off"/>
        <w:rPr>
          <w:rFonts w:ascii="宋体"/>
          <w:sz w:val="24"/>
        </w:rPr>
      </w:pPr>
      <w:r/>
      <w:bookmarkEnd w:id="34"/>
      <w:r>
        <w:rPr>
          <w:rFonts w:hint="eastAsia" w:ascii="宋体"/>
          <w:sz w:val="24"/>
        </w:rPr>
        <w:t xml:space="preserve">项目联系人：吉工 </w:t>
      </w:r>
      <w:r>
        <w:rPr>
          <w:rFonts w:ascii="宋体"/>
          <w:sz w:val="24"/>
        </w:rPr>
        <w:t xml:space="preserve"> </w:t>
      </w:r>
      <w:r/>
    </w:p>
    <w:p>
      <w:pPr>
        <w:pStyle w:val="731"/>
        <w:ind w:firstLine="480"/>
        <w:jc w:val="both"/>
        <w:spacing w:after="0" w:line="560" w:lineRule="exact"/>
        <w:widowControl w:val="off"/>
        <w:rPr>
          <w:rFonts w:ascii="宋体"/>
          <w:sz w:val="24"/>
        </w:rPr>
      </w:pPr>
      <w:r>
        <w:rPr>
          <w:rFonts w:hint="eastAsia" w:ascii="宋体"/>
          <w:sz w:val="24"/>
        </w:rPr>
        <w:t xml:space="preserve">电　话：025-</w:t>
      </w:r>
      <w:r>
        <w:rPr>
          <w:rFonts w:hint="eastAsia" w:ascii="宋体"/>
          <w:sz w:val="24"/>
        </w:rPr>
        <w:t xml:space="preserve">52813631   </w:t>
      </w:r>
      <w:r>
        <w:rPr>
          <w:rFonts w:ascii="宋体"/>
          <w:sz w:val="24"/>
        </w:rPr>
      </w:r>
      <w:r/>
    </w:p>
    <w:p>
      <w:pPr>
        <w:pStyle w:val="731"/>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8"/>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1"/>
        <w:ind w:firstLine="482"/>
        <w:jc w:val="both"/>
        <w:spacing w:after="0" w:line="560" w:lineRule="exact"/>
        <w:widowControl w:val="off"/>
        <w:rPr>
          <w:rFonts w:ascii="宋体"/>
          <w:b/>
          <w:bCs/>
          <w:sz w:val="24"/>
          <w:szCs w:val="24"/>
        </w:rPr>
      </w:pPr>
      <w:r>
        <w:rPr>
          <w:rFonts w:ascii="宋体"/>
          <w:b/>
          <w:bCs/>
          <w:sz w:val="24"/>
          <w:szCs w:val="24"/>
        </w:rPr>
      </w:r>
      <w:r/>
    </w:p>
    <w:p>
      <w:pPr>
        <w:pStyle w:val="732"/>
        <w:jc w:val="center"/>
        <w:keepLines w:val="0"/>
        <w:spacing w:before="0" w:line="240" w:lineRule="auto"/>
        <w:widowControl w:val="off"/>
        <w:rPr>
          <w:rFonts w:ascii="黑体" w:hAnsi="楷体_GB2312" w:eastAsia="黑体"/>
          <w:b w:val="0"/>
          <w:bCs w:val="0"/>
          <w:sz w:val="44"/>
          <w:szCs w:val="44"/>
        </w:rPr>
      </w:pPr>
      <w:r>
        <w:rPr>
          <w:rFonts w:ascii="宋体"/>
          <w:b w:val="0"/>
          <w:bCs w:val="0"/>
          <w:sz w:val="24"/>
          <w:szCs w:val="24"/>
        </w:rPr>
        <w:br w:type="page" w:clear="all"/>
      </w:r>
      <w:bookmarkStart w:id="35" w:name="_Toc17291674"/>
      <w:r/>
      <w:bookmarkStart w:id="36" w:name="_Toc120614211"/>
      <w:r/>
      <w:bookmarkStart w:id="37" w:name="_Toc192946452"/>
      <w:r/>
      <w:bookmarkStart w:id="38" w:name="_Toc17291078"/>
      <w:r>
        <w:rPr>
          <w:rFonts w:hint="eastAsia" w:ascii="黑体" w:hAnsi="楷体_GB2312" w:eastAsia="黑体"/>
          <w:b w:val="0"/>
          <w:bCs w:val="0"/>
          <w:color w:val="000000"/>
          <w:sz w:val="44"/>
          <w:szCs w:val="44"/>
        </w:rPr>
        <w:t xml:space="preserve">第二章  投标人须知</w:t>
      </w:r>
      <w:bookmarkEnd w:id="4"/>
      <w:r/>
      <w:bookmarkEnd w:id="5"/>
      <w:r/>
      <w:bookmarkEnd w:id="6"/>
      <w:r/>
      <w:bookmarkEnd w:id="8"/>
      <w:r/>
      <w:bookmarkEnd w:id="9"/>
      <w:r/>
      <w:bookmarkEnd w:id="35"/>
      <w:r/>
      <w:bookmarkEnd w:id="36"/>
      <w:r/>
      <w:bookmarkEnd w:id="37"/>
      <w:r/>
      <w:bookmarkEnd w:id="38"/>
      <w:r>
        <w:rPr>
          <w:rFonts w:ascii="黑体" w:hAnsi="楷体_GB2312" w:eastAsia="黑体"/>
          <w:b w:val="0"/>
          <w:bCs w:val="0"/>
          <w:sz w:val="44"/>
          <w:szCs w:val="44"/>
        </w:rPr>
      </w:r>
      <w:r/>
    </w:p>
    <w:p>
      <w:pPr>
        <w:pStyle w:val="731"/>
        <w:ind w:firstLine="480"/>
        <w:jc w:val="both"/>
        <w:spacing w:after="0" w:line="560" w:lineRule="exact"/>
        <w:widowControl w:val="off"/>
        <w:rPr>
          <w:rFonts w:ascii="宋体"/>
          <w:iCs/>
          <w:sz w:val="24"/>
        </w:rPr>
      </w:pPr>
      <w:r/>
      <w:bookmarkStart w:id="39" w:name="_Hlt26954734"/>
      <w:r/>
      <w:bookmarkEnd w:id="39"/>
      <w:r/>
      <w:bookmarkStart w:id="40" w:name="_Hlt26670360"/>
      <w:r/>
      <w:bookmarkEnd w:id="40"/>
      <w:r/>
      <w:bookmarkStart w:id="41" w:name="_Hlt16619475"/>
      <w:r/>
      <w:bookmarkEnd w:id="41"/>
      <w:r/>
      <w:bookmarkStart w:id="42" w:name="_Hlt26954850"/>
      <w:r/>
      <w:bookmarkEnd w:id="42"/>
      <w:r/>
      <w:bookmarkStart w:id="43" w:name="_Hlt26668975"/>
      <w:r/>
      <w:bookmarkEnd w:id="43"/>
      <w:r/>
      <w:bookmarkStart w:id="44" w:name="_Hlt26954739"/>
      <w:r/>
      <w:bookmarkEnd w:id="44"/>
      <w:r/>
      <w:bookmarkStart w:id="45" w:name="_Hlt26668999"/>
      <w:r/>
      <w:bookmarkEnd w:id="45"/>
      <w:r/>
      <w:bookmarkStart w:id="46" w:name="_Hlt26954838"/>
      <w:r/>
      <w:bookmarkEnd w:id="46"/>
      <w:r/>
      <w:bookmarkStart w:id="47" w:name="_Hlt26954852"/>
      <w:r/>
      <w:bookmarkEnd w:id="47"/>
      <w:r/>
      <w:bookmarkStart w:id="48" w:name="_Hlt26670489"/>
      <w:r/>
      <w:bookmarkEnd w:id="48"/>
      <w:r/>
      <w:bookmarkStart w:id="49" w:name="_Toc20823309"/>
      <w:r/>
      <w:bookmarkStart w:id="50" w:name="_Toc120614214"/>
      <w:r/>
      <w:bookmarkStart w:id="51" w:name="_Toc17291079"/>
      <w:r/>
      <w:bookmarkStart w:id="52" w:name="_Toc513029203"/>
      <w:r/>
      <w:bookmarkStart w:id="53" w:name="_Toc20823275"/>
      <w:r/>
      <w:bookmarkStart w:id="54" w:name="_Toc16938519"/>
      <w:r/>
      <w:bookmarkStart w:id="55" w:name="_Toc513029237"/>
      <w:r/>
      <w:bookmarkStart w:id="56" w:name="_Toc16938553"/>
      <w:r>
        <w:rPr>
          <w:rFonts w:hint="eastAsia" w:ascii="宋体"/>
          <w:iCs/>
          <w:sz w:val="24"/>
        </w:rPr>
        <w:t xml:space="preserve">一、总则</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2、合格的供应商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31"/>
        <w:ind w:firstLine="480"/>
        <w:jc w:val="both"/>
        <w:spacing w:after="0" w:line="560" w:lineRule="exact"/>
        <w:widowControl w:val="off"/>
        <w:rPr>
          <w:rFonts w:hint="eastAsia"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pStyle w:val="731"/>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31"/>
        <w:ind w:firstLine="598"/>
        <w:jc w:val="both"/>
        <w:spacing w:after="0" w:line="560" w:lineRule="exact"/>
        <w:tabs>
          <w:tab w:val="left" w:pos="900" w:leader="none"/>
        </w:tabs>
        <w:rPr>
          <w:rFonts w:ascii="宋体"/>
          <w:iCs/>
          <w:sz w:val="24"/>
        </w:rPr>
      </w:pPr>
      <w:r>
        <w:rPr>
          <w:rFonts w:hint="eastAsia" w:ascii="宋体"/>
          <w:iCs/>
          <w:sz w:val="24"/>
        </w:rPr>
        <w:t xml:space="preserve">4.2代理服务费（按整个项目计算）</w:t>
      </w:r>
      <w:r>
        <w:rPr>
          <w:rFonts w:ascii="宋体"/>
          <w:iCs/>
          <w:sz w:val="24"/>
        </w:rPr>
      </w:r>
      <w:r/>
    </w:p>
    <w:p>
      <w:pPr>
        <w:pStyle w:val="731"/>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w:t>
      </w:r>
      <w:r>
        <w:rPr>
          <w:rFonts w:hint="eastAsia" w:ascii="宋体"/>
          <w:iCs/>
          <w:sz w:val="24"/>
        </w:rPr>
        <w:t xml:space="preserve">第十五条</w:t>
      </w:r>
      <w:r>
        <w:rPr>
          <w:rFonts w:hint="eastAsia" w:ascii="宋体"/>
          <w:iCs/>
          <w:sz w:val="24"/>
        </w:rPr>
        <w:t xml:space="preserve">、《关于进一步规范政府采购活动相关费用管理的通知》（苏财规〔2026〕1号）规定，经采购人研究确定，本项目代理服务费由中标供应商支付。</w:t>
      </w:r>
      <w:r>
        <w:rPr>
          <w:rFonts w:ascii="宋体"/>
          <w:iCs/>
          <w:sz w:val="24"/>
        </w:rPr>
      </w:r>
      <w:r/>
    </w:p>
    <w:p>
      <w:pPr>
        <w:pStyle w:val="731"/>
        <w:ind w:firstLine="598"/>
        <w:jc w:val="both"/>
        <w:spacing w:after="0" w:line="560" w:lineRule="exact"/>
        <w:tabs>
          <w:tab w:val="left" w:pos="900" w:leader="none"/>
        </w:tabs>
        <w:rPr>
          <w:rFonts w:hint="eastAsia" w:ascii="宋体"/>
          <w:iCs/>
          <w:sz w:val="24"/>
        </w:rPr>
      </w:pPr>
      <w:r>
        <w:rPr>
          <w:rFonts w:hint="eastAsia" w:ascii="宋体"/>
          <w:iCs/>
          <w:sz w:val="24"/>
        </w:rPr>
        <w:t xml:space="preserve">4.2.</w:t>
      </w:r>
      <w:r>
        <w:rPr>
          <w:rFonts w:hint="eastAsia" w:ascii="宋体"/>
          <w:iCs/>
          <w:sz w:val="24"/>
        </w:rPr>
        <w:t xml:space="preserve">2报价要求：供应商在报价时应将代理服务费全额包含在投标报价中，采购人不再另行支付。</w:t>
      </w:r>
      <w:r/>
    </w:p>
    <w:p>
      <w:pPr>
        <w:pStyle w:val="731"/>
        <w:ind w:firstLine="598"/>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p>
        </w:tc>
        <w:tc>
          <w:tcPr>
            <w:tcW w:w="2078"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p>
        </w:tc>
        <w:tc>
          <w:tcPr>
            <w:tcW w:w="1985"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p>
        </w:tc>
        <w:tc>
          <w:tcPr>
            <w:tcW w:w="2078"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p>
        </w:tc>
        <w:tc>
          <w:tcPr>
            <w:tcW w:w="1985"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p>
        </w:tc>
        <w:tc>
          <w:tcPr>
            <w:tcW w:w="2078"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p>
        </w:tc>
        <w:tc>
          <w:tcPr>
            <w:tcW w:w="1985"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p>
        </w:tc>
        <w:tc>
          <w:tcPr>
            <w:tcW w:w="2078"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p>
        </w:tc>
        <w:tc>
          <w:tcPr>
            <w:tcW w:w="1985" w:type="dxa"/>
            <w:vAlign w:val="top"/>
            <w:textDirection w:val="lrTb"/>
            <w:noWrap w:val="false"/>
          </w:tcPr>
          <w:p>
            <w:pPr>
              <w:pStyle w:val="731"/>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w:t>
            </w:r>
            <w:r>
              <w:rPr>
                <w:rFonts w:hint="eastAsia" w:ascii="宋体" w:hAnsi="Calibri"/>
                <w:bCs/>
                <w:sz w:val="24"/>
              </w:rPr>
              <w:t xml:space="preserve">.25%</w:t>
            </w:r>
            <w:r>
              <w:rPr>
                <w:rFonts w:ascii="宋体" w:hAnsi="Calibri"/>
                <w:iCs/>
                <w:color w:val="000000"/>
                <w:sz w:val="24"/>
              </w:rPr>
            </w:r>
            <w:r/>
          </w:p>
        </w:tc>
      </w:tr>
    </w:tbl>
    <w:p>
      <w:pPr>
        <w:pStyle w:val="731"/>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31"/>
        <w:ind w:firstLine="598"/>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731"/>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pStyle w:val="731"/>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pStyle w:val="731"/>
        <w:ind w:firstLine="598"/>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rPr>
          <w:rFonts w:hint="eastAsia" w:ascii="宋体" w:hAnsi="宋体"/>
          <w:b/>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5、招标文件的约束力</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7.1 任</w:t>
      </w:r>
      <w:r>
        <w:rPr>
          <w:rFonts w:hint="eastAsia" w:ascii="宋体"/>
          <w:iCs/>
          <w:sz w:val="24"/>
        </w:rPr>
        <w:t xml:space="preserve">何要求对招标文件进行澄清的供应商，应在投标截止期十日前按招标公告中的通讯地址，以书面形式通知南京小旸树招标代理有限公司。</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w:t>
      </w:r>
      <w:r>
        <w:rPr>
          <w:rFonts w:hint="eastAsia" w:ascii="宋体"/>
          <w:iCs/>
          <w:sz w:val="24"/>
        </w:rPr>
        <w:t xml:space="preserve">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10.1 供应商编</w:t>
      </w:r>
      <w:r>
        <w:rPr>
          <w:rFonts w:hint="eastAsia" w:ascii="宋体"/>
          <w:iCs/>
          <w:sz w:val="24"/>
        </w:rPr>
        <w:t xml:space="preserve">写的投标文件应包括资信证明文件、分项报价表、技术参数响应及偏离表、商务条款响应及偏离表、技术及售后服务承诺书、投标函、开标一览表等部分。</w:t>
      </w:r>
      <w:r>
        <w:rPr>
          <w:rFonts w:ascii="宋体"/>
          <w:iCs/>
          <w:sz w:val="24"/>
        </w:rPr>
      </w:r>
      <w:r/>
    </w:p>
    <w:p>
      <w:pPr>
        <w:pStyle w:val="731"/>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31"/>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w:t>
      </w:r>
      <w:r>
        <w:rPr>
          <w:rFonts w:hint="eastAsia" w:ascii="宋体"/>
          <w:b/>
          <w:bCs/>
          <w:iCs/>
          <w:sz w:val="24"/>
          <w:szCs w:val="24"/>
        </w:rPr>
        <w:t xml:space="preserve">项目所需的服务提供过程中可能发生的所有费用，</w:t>
      </w:r>
      <w:bookmarkStart w:id="57" w:name="_Hlk227213788"/>
      <w:r>
        <w:rPr>
          <w:rFonts w:hint="eastAsia" w:ascii="宋体"/>
          <w:b/>
          <w:bCs/>
          <w:iCs/>
          <w:sz w:val="24"/>
          <w:szCs w:val="24"/>
        </w:rPr>
        <w:t xml:space="preserve">包括但不限于样品购置费、检测费、实验室及检测设备使用费用、耗材、</w:t>
      </w:r>
      <w:r>
        <w:rPr>
          <w:rFonts w:hint="eastAsia" w:ascii="宋体"/>
          <w:b/>
          <w:bCs/>
          <w:iCs/>
          <w:sz w:val="24"/>
          <w:szCs w:val="24"/>
        </w:rPr>
        <w:t xml:space="preserve">报告文本费（检测报告、质量分析报告等的编制打印）、相关文书的邮寄费、样品处置费、</w:t>
      </w:r>
      <w:r>
        <w:rPr>
          <w:rFonts w:hint="eastAsia" w:ascii="宋体"/>
          <w:b/>
          <w:bCs/>
          <w:iCs/>
          <w:sz w:val="24"/>
          <w:szCs w:val="24"/>
        </w:rPr>
        <w:t xml:space="preserve">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w:t>
      </w:r>
      <w:bookmarkEnd w:id="57"/>
      <w:r>
        <w:rPr>
          <w:rFonts w:hint="eastAsia" w:ascii="宋体"/>
          <w:b/>
          <w:bCs/>
          <w:iCs/>
          <w:sz w:val="24"/>
          <w:szCs w:val="24"/>
        </w:rPr>
        <w:t xml:space="preserve">，中标后采购人除按中标价格支付采购资金以外，不再另行支付任何费用。本采购文件中另有规定的除外。</w:t>
      </w:r>
      <w:r>
        <w:rPr>
          <w:rFonts w:ascii="宋体"/>
          <w:b/>
          <w:bCs/>
          <w:iCs/>
          <w:sz w:val="24"/>
          <w:szCs w:val="24"/>
        </w:rPr>
      </w:r>
      <w:r/>
    </w:p>
    <w:p>
      <w:pPr>
        <w:pStyle w:val="731"/>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31"/>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w:t>
      </w:r>
      <w:r>
        <w:rPr>
          <w:rFonts w:hint="eastAsia" w:ascii="宋体"/>
          <w:b/>
          <w:bCs/>
          <w:iCs/>
          <w:sz w:val="24"/>
          <w:szCs w:val="24"/>
        </w:rPr>
        <w:t xml:space="preserve">诺的，评标委员会有权予以否决或做负偏离处理。</w:t>
      </w:r>
      <w:r>
        <w:rPr>
          <w:rFonts w:ascii="宋体"/>
          <w:b/>
          <w:bCs/>
          <w:iCs/>
          <w:sz w:val="24"/>
          <w:szCs w:val="24"/>
        </w:rPr>
      </w:r>
      <w:r/>
    </w:p>
    <w:p>
      <w:pPr>
        <w:pStyle w:val="731"/>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1</w:t>
      </w:r>
      <w:r>
        <w:rPr>
          <w:rFonts w:ascii="宋体"/>
          <w:iCs/>
          <w:sz w:val="24"/>
        </w:rPr>
        <w:t xml:space="preserve">7</w:t>
      </w:r>
      <w:r>
        <w:rPr>
          <w:rFonts w:hint="eastAsia" w:ascii="宋体"/>
          <w:iCs/>
          <w:sz w:val="24"/>
        </w:rPr>
        <w:t xml:space="preserve">、投标有效期的延长</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31"/>
        <w:ind w:firstLine="480"/>
        <w:jc w:val="both"/>
        <w:spacing w:after="62" w:line="560" w:lineRule="exact"/>
        <w:widowControl w:val="off"/>
        <w:rPr>
          <w:rFonts w:ascii="宋体"/>
          <w:iCs/>
          <w:sz w:val="24"/>
        </w:rPr>
      </w:pPr>
      <w:r/>
      <w:bookmarkStart w:id="58" w:name="_Toc16938541"/>
      <w:r/>
      <w:bookmarkStart w:id="59" w:name="_Toc20823297"/>
      <w:r/>
      <w:bookmarkStart w:id="60" w:name="_Toc513029225"/>
      <w:r/>
      <w:bookmarkStart w:id="61" w:name="_Toc462564084"/>
      <w:r>
        <w:rPr>
          <w:rFonts w:hint="eastAsia" w:ascii="宋体"/>
          <w:iCs/>
          <w:sz w:val="24"/>
        </w:rPr>
        <w:t xml:space="preserve">18、投标文件的密封和标记</w:t>
      </w:r>
      <w:bookmarkEnd w:id="58"/>
      <w:r/>
      <w:bookmarkEnd w:id="59"/>
      <w:r/>
      <w:bookmarkEnd w:id="60"/>
      <w:r/>
      <w:bookmarkEnd w:id="61"/>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18.1供应商应当按照《操作手册》规定，在投标截止时间前制作并上传电子投标文件。</w:t>
      </w:r>
      <w:r>
        <w:rPr>
          <w:rFonts w:ascii="宋体"/>
          <w:iCs/>
          <w:sz w:val="24"/>
        </w:rPr>
      </w:r>
      <w:r/>
    </w:p>
    <w:p>
      <w:pPr>
        <w:pStyle w:val="731"/>
        <w:ind w:firstLine="480"/>
        <w:jc w:val="both"/>
        <w:spacing w:after="62" w:line="560" w:lineRule="exact"/>
        <w:widowControl w:val="off"/>
        <w:rPr>
          <w:rFonts w:ascii="宋体"/>
          <w:iCs/>
          <w:sz w:val="24"/>
        </w:rPr>
      </w:pPr>
      <w:r/>
      <w:bookmarkStart w:id="62" w:name="_Toc16938542"/>
      <w:r/>
      <w:bookmarkStart w:id="63" w:name="_Toc513029226"/>
      <w:r/>
      <w:bookmarkStart w:id="64" w:name="_Toc20823298"/>
      <w:r>
        <w:rPr>
          <w:rFonts w:hint="eastAsia" w:ascii="宋体"/>
          <w:iCs/>
          <w:sz w:val="24"/>
        </w:rPr>
        <w:t xml:space="preserve">19、投标截止日期</w:t>
      </w:r>
      <w:bookmarkEnd w:id="62"/>
      <w:r/>
      <w:bookmarkEnd w:id="63"/>
      <w:r/>
      <w:bookmarkEnd w:id="64"/>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w:t>
      </w:r>
      <w:r>
        <w:rPr>
          <w:rFonts w:hint="eastAsia" w:ascii="宋体"/>
          <w:iCs/>
          <w:sz w:val="24"/>
        </w:rPr>
        <w:t xml:space="preserve">告中规定的投标截止时间。供应商应充分考虑到网络环境、网络带宽等风险因素，如因供应商自身原因造成的电子投标文件上传不成功的按照本招标文件第二章第27.1.2条规定做无效投标处理。</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rPr>
          <w:rFonts w:ascii="宋体"/>
          <w:iCs/>
          <w:sz w:val="24"/>
        </w:rPr>
      </w:r>
      <w:r/>
    </w:p>
    <w:p>
      <w:pPr>
        <w:pStyle w:val="731"/>
        <w:ind w:firstLine="480"/>
        <w:jc w:val="both"/>
        <w:spacing w:after="62" w:line="560" w:lineRule="exact"/>
        <w:widowControl w:val="off"/>
        <w:rPr>
          <w:rFonts w:ascii="宋体"/>
          <w:iCs/>
          <w:sz w:val="24"/>
        </w:rPr>
      </w:pPr>
      <w:r/>
      <w:bookmarkStart w:id="65" w:name="_Toc513029227"/>
      <w:r/>
      <w:bookmarkStart w:id="66" w:name="_Toc16938543"/>
      <w:r/>
      <w:bookmarkStart w:id="67" w:name="_Toc20823299"/>
      <w:r>
        <w:rPr>
          <w:rFonts w:hint="eastAsia" w:ascii="宋体"/>
          <w:iCs/>
          <w:sz w:val="24"/>
        </w:rPr>
        <w:t xml:space="preserve">20、投标文件</w:t>
      </w:r>
      <w:bookmarkEnd w:id="65"/>
      <w:r/>
      <w:bookmarkEnd w:id="66"/>
      <w:r/>
      <w:bookmarkEnd w:id="67"/>
      <w:r>
        <w:rPr>
          <w:rFonts w:hint="eastAsia" w:ascii="宋体"/>
          <w:iCs/>
          <w:sz w:val="24"/>
        </w:rPr>
        <w:t xml:space="preserve">的拒收</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31"/>
        <w:ind w:firstLine="480"/>
        <w:jc w:val="both"/>
        <w:spacing w:after="62" w:line="560" w:lineRule="exact"/>
        <w:widowControl w:val="off"/>
        <w:rPr>
          <w:rFonts w:ascii="宋体"/>
          <w:iCs/>
          <w:sz w:val="24"/>
        </w:rPr>
      </w:pPr>
      <w:r/>
      <w:bookmarkStart w:id="68" w:name="_Toc20823300"/>
      <w:r/>
      <w:bookmarkStart w:id="69" w:name="_Toc16938544"/>
      <w:r/>
      <w:bookmarkStart w:id="70" w:name="_Toc513029228"/>
      <w:r>
        <w:rPr>
          <w:rFonts w:hint="eastAsia" w:ascii="宋体"/>
          <w:iCs/>
          <w:sz w:val="24"/>
        </w:rPr>
        <w:t xml:space="preserve">21、投标文件的撤回和</w:t>
      </w:r>
      <w:bookmarkEnd w:id="68"/>
      <w:r/>
      <w:bookmarkEnd w:id="69"/>
      <w:r/>
      <w:bookmarkEnd w:id="70"/>
      <w:r>
        <w:rPr>
          <w:rFonts w:hint="eastAsia" w:ascii="宋体"/>
          <w:iCs/>
          <w:sz w:val="24"/>
        </w:rPr>
        <w:t xml:space="preserve">修改</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南京小旸树招标代理有限公司在招标公告中规定的时间和地点组织公开开标。供应商按照《操作手册》</w:t>
      </w:r>
      <w:r>
        <w:rPr>
          <w:rFonts w:hint="eastAsia" w:ascii="宋体"/>
          <w:iCs/>
          <w:sz w:val="24"/>
        </w:rPr>
        <w:t xml:space="preserve">规定参加开标活动，并在苏采云系统规定的时间内对投标文件进行解密。</w:t>
      </w:r>
      <w:r>
        <w:rPr>
          <w:rFonts w:ascii="宋体"/>
          <w:iCs/>
          <w:sz w:val="24"/>
        </w:rPr>
      </w:r>
      <w:r/>
    </w:p>
    <w:p>
      <w:pPr>
        <w:pStyle w:val="731"/>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供应商如果对开标过程和开标结果有疑义，应当根据《操作手册》规定提出，苏采云系统中《开标记录表》公布后5分钟内未提出的，视同认可开标结果。</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23.1 开标后，南</w:t>
      </w:r>
      <w:r>
        <w:rPr>
          <w:rFonts w:hint="eastAsia" w:ascii="宋体"/>
          <w:iCs/>
          <w:sz w:val="24"/>
        </w:rPr>
        <w:t xml:space="preserve">京小旸树招标代理有限公司将立即组织评标委员会（以下简称评委会）进行评标。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南京小旸树招标代理有限公司和评标委员会不向落标的供应商解释未中标原因，也不公布评标过程中的相关细节。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w:t>
      </w:r>
      <w:r>
        <w:rPr>
          <w:rFonts w:hint="eastAsia" w:ascii="宋体"/>
          <w:iCs/>
          <w:sz w:val="24"/>
        </w:rPr>
        <w:t xml:space="preserve">和比较，评委会对投标文件中含义不明确、同类问题表述不一致或者有明显文字和计算错误的内容，有权要求供应商作出必要的澄清、说明或者补正。</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接到评委会澄清、说明和补正要求的，供应商如未按规定作出澄清、说明和补正，其风险由供应商自行承担。</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26.2在详细评</w:t>
      </w:r>
      <w:r>
        <w:rPr>
          <w:rFonts w:hint="eastAsia" w:ascii="宋体"/>
          <w:iCs/>
          <w:sz w:val="24"/>
        </w:rPr>
        <w:t xml:space="preserve">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26.3如果投标文件</w:t>
      </w:r>
      <w:r>
        <w:rPr>
          <w:rFonts w:hint="eastAsia" w:ascii="宋体"/>
          <w:iCs/>
          <w:sz w:val="24"/>
        </w:rPr>
        <w:t xml:space="preserve">实质上没有响应招标文件的要求，评委会将予以拒绝，供应商不得通过修改或撤销不合要求的偏离或保留而使其投标成为实质性响应的投标。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（4）总价金额与按单价汇总金额不一致</w:t>
      </w:r>
      <w:r>
        <w:rPr>
          <w:rFonts w:hint="eastAsia" w:ascii="宋体"/>
          <w:iCs/>
          <w:sz w:val="24"/>
        </w:rPr>
        <w:t xml:space="preserve">的，以单价金额计算结果为准。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26.5评委会将按上述修正错误的方法调整投标文件中的投标报价，并通过苏采云系统告知供应商，调整后的价格应对供应商具有约束力。如果供应商不接受修正后的价格，则其投标将被拒绝。</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rPr>
          <w:rFonts w:ascii="宋体"/>
          <w:iCs/>
          <w:sz w:val="24"/>
        </w:rPr>
      </w:r>
      <w:r/>
    </w:p>
    <w:p>
      <w:pPr>
        <w:pStyle w:val="731"/>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供应商在开、评标全过程中应保持通讯畅通，及时登录苏采云系统查阅、答复相关信息，并安排专人与代理机构及评委会联系。</w:t>
      </w:r>
      <w:r>
        <w:rPr>
          <w:rFonts w:ascii="宋体"/>
          <w:iCs/>
          <w:sz w:val="24"/>
          <w:szCs w:val="28"/>
          <w:lang w:val="zh-CN"/>
        </w:rPr>
      </w:r>
      <w:r/>
    </w:p>
    <w:p>
      <w:pPr>
        <w:pStyle w:val="731"/>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31"/>
        <w:ind w:firstLine="480"/>
        <w:jc w:val="both"/>
        <w:spacing w:after="62" w:line="560" w:lineRule="exact"/>
        <w:widowControl w:val="off"/>
        <w:rPr>
          <w:rFonts w:ascii="宋体"/>
          <w:iCs/>
          <w:color w:val="000000"/>
          <w:sz w:val="24"/>
        </w:rPr>
      </w:pPr>
      <w:r/>
      <w:bookmarkStart w:id="71"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w:t>
      </w:r>
      <w:r>
        <w:rPr>
          <w:rFonts w:hint="eastAsia" w:ascii="宋体"/>
          <w:iCs/>
          <w:color w:val="000000"/>
          <w:sz w:val="24"/>
        </w:rPr>
        <w:t xml:space="preserve">应）报价平均值×50%；</w:t>
      </w:r>
      <w:r>
        <w:rPr>
          <w:rFonts w:ascii="宋体"/>
          <w:iCs/>
          <w:color w:val="000000"/>
          <w:sz w:val="24"/>
        </w:rPr>
      </w:r>
      <w:r/>
    </w:p>
    <w:p>
      <w:pPr>
        <w:pStyle w:val="731"/>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rPr>
          <w:rFonts w:ascii="宋体"/>
          <w:iCs/>
          <w:color w:val="000000"/>
          <w:sz w:val="24"/>
        </w:rPr>
      </w:r>
      <w:r/>
    </w:p>
    <w:p>
      <w:pPr>
        <w:pStyle w:val="731"/>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rPr>
          <w:rFonts w:ascii="宋体"/>
          <w:iCs/>
          <w:color w:val="000000"/>
          <w:sz w:val="24"/>
        </w:rPr>
      </w:r>
      <w:r/>
    </w:p>
    <w:p>
      <w:pPr>
        <w:pStyle w:val="731"/>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31"/>
        <w:ind w:firstLine="480"/>
        <w:jc w:val="both"/>
        <w:spacing w:after="62" w:line="560" w:lineRule="exact"/>
        <w:widowControl w:val="off"/>
        <w:rPr>
          <w:rFonts w:ascii="宋体"/>
          <w:iCs/>
          <w:color w:val="000000"/>
          <w:sz w:val="24"/>
        </w:rPr>
      </w:pPr>
      <w:r/>
      <w:bookmarkEnd w:id="71"/>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w:t>
      </w:r>
      <w:r>
        <w:rPr>
          <w:rFonts w:hint="eastAsia" w:ascii="宋体"/>
          <w:iCs/>
          <w:color w:val="000000"/>
          <w:sz w:val="24"/>
        </w:rPr>
        <w:t xml:space="preserve">中，属于第3项情形，供应商已随投标（响应）文件一并提交相关书面说明及必要的证明材料的，在评审现场可不再重复提交。</w:t>
      </w:r>
      <w:r>
        <w:rPr>
          <w:rFonts w:ascii="宋体"/>
          <w:iCs/>
          <w:color w:val="000000"/>
          <w:sz w:val="24"/>
        </w:rPr>
      </w:r>
      <w:r/>
    </w:p>
    <w:p>
      <w:pPr>
        <w:pStyle w:val="731"/>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w:t>
      </w:r>
      <w:r>
        <w:rPr>
          <w:rFonts w:hint="eastAsia" w:ascii="宋体"/>
          <w:iCs/>
          <w:color w:val="000000"/>
          <w:sz w:val="24"/>
        </w:rPr>
        <w:t xml:space="preserve">审委员会将其作为无效投标（响应）处理。</w:t>
      </w:r>
      <w:r>
        <w:rPr>
          <w:rFonts w:hint="eastAsia" w:ascii="楷体_GB2312" w:hAnsi="Arial" w:eastAsia="楷体_GB2312"/>
          <w:sz w:val="28"/>
          <w:szCs w:val="28"/>
          <w:lang w:val="zh-CN"/>
        </w:rPr>
      </w:r>
      <w:r/>
    </w:p>
    <w:p>
      <w:pPr>
        <w:pStyle w:val="731"/>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31"/>
        <w:ind w:firstLine="480"/>
        <w:jc w:val="both"/>
        <w:spacing w:after="62" w:line="560" w:lineRule="exact"/>
        <w:widowControl w:val="off"/>
        <w:rPr>
          <w:rFonts w:ascii="宋体"/>
          <w:iCs/>
          <w:sz w:val="24"/>
        </w:rPr>
      </w:pPr>
      <w:r/>
      <w:bookmarkStart w:id="72" w:name="_Toc16938551"/>
      <w:r/>
      <w:bookmarkStart w:id="73" w:name="_Toc20823307"/>
      <w:r/>
      <w:bookmarkStart w:id="74" w:name="_Toc513029235"/>
      <w:r>
        <w:rPr>
          <w:rFonts w:hint="eastAsia" w:ascii="宋体"/>
          <w:iCs/>
          <w:sz w:val="24"/>
        </w:rPr>
        <w:t xml:space="preserve">27.1.1供应商在苏采云系统规定的时间内未成功解密电子投标文件。</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“信用中国”网站（www.creditchina.gov.cn）、“中国政府采购网”(www.ccgp.gov.cn)列入失信被执行人或重大税收违法案件当事人名单或政府采购严重失信行为记录名单。</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5"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5"/>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27.1.11 本项目</w:t>
      </w:r>
      <w:r>
        <w:rPr>
          <w:rFonts w:hint="eastAsia" w:ascii="宋体"/>
          <w:iCs/>
          <w:sz w:val="24"/>
        </w:rPr>
        <w:t xml:space="preserve">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31"/>
        <w:ind w:firstLine="480"/>
        <w:jc w:val="both"/>
        <w:spacing w:after="0" w:line="560" w:lineRule="exact"/>
        <w:widowControl w:val="off"/>
        <w:rPr>
          <w:rFonts w:ascii="宋体"/>
          <w:iCs/>
          <w:sz w:val="24"/>
        </w:rPr>
      </w:pPr>
      <w:r/>
      <w:bookmarkEnd w:id="72"/>
      <w:r/>
      <w:bookmarkEnd w:id="73"/>
      <w:r/>
      <w:bookmarkEnd w:id="74"/>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28.1</w:t>
      </w:r>
      <w:r>
        <w:rPr>
          <w:rFonts w:hint="eastAsia" w:ascii="宋体"/>
          <w:iCs/>
          <w:sz w:val="24"/>
        </w:rPr>
        <w:t xml:space="preserve">评审时按照采购包1、采购包2……采购包5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所有采购包至多中3个采购包。当某投标人按评审顺序已获任意3个采购包的拟中标人资格后，即使该投标人在后续采购包评审时总分排名第一，亦不作为拟中标候选人推荐，由排名第二的投标人递补，以此规则和顺序依次类推。</w:t>
      </w:r>
      <w:r>
        <w:rPr>
          <w:rFonts w:ascii="宋体"/>
          <w:iCs/>
          <w:sz w:val="24"/>
        </w:rPr>
      </w:r>
      <w:r/>
    </w:p>
    <w:p>
      <w:pPr>
        <w:pStyle w:val="731"/>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w:t>
      </w:r>
      <w:r>
        <w:rPr>
          <w:rFonts w:hint="eastAsia" w:ascii="宋体" w:hAnsi="宋体"/>
          <w:iCs/>
          <w:sz w:val="24"/>
          <w:szCs w:val="28"/>
          <w:lang w:val="zh-CN"/>
        </w:rPr>
        <w:t xml:space="preserve">告。</w:t>
      </w:r>
      <w:r/>
    </w:p>
    <w:p>
      <w:pPr>
        <w:pStyle w:val="731"/>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w:t>
      </w:r>
      <w:r>
        <w:rPr>
          <w:rFonts w:hint="eastAsia" w:ascii="宋体"/>
          <w:iCs/>
          <w:sz w:val="24"/>
        </w:rPr>
        <w:t xml:space="preserve">5与采购人或者其他供应商恶意串通的。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w:t>
      </w:r>
      <w:r>
        <w:rPr>
          <w:rFonts w:hint="eastAsia" w:ascii="宋体"/>
          <w:iCs/>
          <w:sz w:val="24"/>
        </w:rPr>
        <w:t xml:space="preserve">受到损害之日起七个工作日内，以书面形式向南京小旸树招标代理有限公司或采购人提出质疑。上述应知其权益受到损害之日，是指：</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31"/>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w:t>
      </w:r>
      <w:r>
        <w:rPr>
          <w:rFonts w:hint="eastAsia" w:ascii="宋体"/>
          <w:iCs/>
          <w:sz w:val="24"/>
        </w:rPr>
        <w:t xml:space="preserve">节提出多次质疑的，南京小旸树招标代理有限公司、采购人将只对供应商第一次质疑作出答复。</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29.5南京小旸树招</w:t>
      </w:r>
      <w:r>
        <w:rPr>
          <w:rFonts w:hint="eastAsia" w:ascii="宋体"/>
          <w:iCs/>
          <w:sz w:val="24"/>
        </w:rPr>
        <w:t xml:space="preserve">标代理有限公司收到质疑函后，将对质疑的形式和内容进行审查，如质疑函内容、格式不符合规定，南京小旸树招标代理有限公司将告知质疑人进行补正。</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29.7对于内容、格式符合规定的质疑函，南京小旸树招标代理有限公司应当在收到投标人的书面质疑后七个工作日内作出答复，并以书面形式通知质疑供应商和其他有关供应商，但答复的内容不得涉及商业秘密。</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w:t>
      </w:r>
      <w:r>
        <w:rPr>
          <w:rFonts w:hint="eastAsia" w:ascii="宋体"/>
          <w:iCs/>
          <w:sz w:val="24"/>
        </w:rPr>
        <w:t xml:space="preserve">疑或提交虚假质疑。否则，一经查实，南京小旸树招标代理有限公司有权依据政府采购的有关规定，报请政府采购监管部门对该供应商进行相应的行政处罚。</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w:t>
      </w:r>
      <w:r>
        <w:rPr>
          <w:rFonts w:hint="eastAsia" w:ascii="宋体"/>
          <w:iCs/>
          <w:sz w:val="24"/>
        </w:rPr>
        <w:t xml:space="preserve">分。对采购人和中标的供应商均具有法律效力。中标通知书发出后，采购人改变中标结果的，或者中标的供应商放弃中标项目的，应当依法承担法律责任。</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31"/>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6" w:name="_Hlk86527441"/>
      <w:r>
        <w:rPr>
          <w:rFonts w:ascii="宋体"/>
          <w:bCs/>
          <w:iCs/>
          <w:sz w:val="24"/>
        </w:rPr>
        <w:t xml:space="preserve">签订合同后，中标供应商不得将任何履约服务内容进行转包。未经采购人同意，成交供应商也不得采用分包的形式</w:t>
      </w:r>
      <w:r>
        <w:rPr>
          <w:rFonts w:ascii="宋体"/>
          <w:bCs/>
          <w:iCs/>
          <w:sz w:val="24"/>
        </w:rPr>
        <w:t xml:space="preserve">履行合同，否则采购人有权终止合同。转包或分包造成采购人损失的，成交供应商应承担相应赔偿与法律责任。</w:t>
      </w:r>
      <w:bookmarkEnd w:id="76"/>
      <w:r>
        <w:rPr>
          <w:rFonts w:ascii="宋体"/>
          <w:b/>
          <w:bCs/>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31"/>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31"/>
        <w:ind w:firstLine="480"/>
        <w:jc w:val="both"/>
        <w:spacing w:after="0" w:line="560" w:lineRule="exact"/>
        <w:widowControl w:val="off"/>
        <w:rPr>
          <w:rFonts w:ascii="宋体"/>
          <w:iCs/>
          <w:sz w:val="24"/>
        </w:rPr>
      </w:pPr>
      <w:r/>
      <w:bookmarkEnd w:id="50"/>
      <w:r/>
      <w:bookmarkEnd w:id="51"/>
      <w:r/>
      <w:bookmarkEnd w:id="52"/>
      <w:r/>
      <w:bookmarkEnd w:id="53"/>
      <w:r/>
      <w:bookmarkEnd w:id="54"/>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hint="eastAsia" w:ascii="宋体"/>
          <w:iCs/>
          <w:sz w:val="24"/>
        </w:rPr>
      </w:pPr>
      <w:r>
        <w:rPr>
          <w:rFonts w:hint="eastAsia"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1"/>
        <w:ind w:firstLine="480"/>
        <w:jc w:val="both"/>
        <w:spacing w:after="0" w:line="560" w:lineRule="exact"/>
        <w:widowControl w:val="off"/>
        <w:rPr>
          <w:rFonts w:ascii="宋体"/>
          <w:iCs/>
          <w:sz w:val="24"/>
        </w:rPr>
      </w:pPr>
      <w:r>
        <w:rPr>
          <w:rFonts w:ascii="宋体"/>
          <w:iCs/>
          <w:sz w:val="24"/>
        </w:rPr>
      </w:r>
      <w:r/>
    </w:p>
    <w:p>
      <w:pPr>
        <w:pStyle w:val="732"/>
        <w:jc w:val="center"/>
        <w:keepLines w:val="0"/>
        <w:spacing w:before="0" w:line="240" w:lineRule="auto"/>
        <w:widowControl w:val="off"/>
        <w:rPr>
          <w:rFonts w:ascii="黑体" w:hAnsi="楷体_GB2312" w:eastAsia="黑体"/>
          <w:b w:val="0"/>
          <w:bCs w:val="0"/>
          <w:color w:val="000000"/>
          <w:sz w:val="44"/>
          <w:szCs w:val="44"/>
        </w:rPr>
      </w:pPr>
      <w:r/>
      <w:bookmarkEnd w:id="49"/>
      <w:r/>
      <w:bookmarkEnd w:id="55"/>
      <w:r/>
      <w:bookmarkEnd w:id="56"/>
      <w:r/>
      <w:bookmarkStart w:id="77" w:name="_Hlk47019468"/>
      <w:r/>
      <w:bookmarkEnd w:id="77"/>
      <w:r/>
      <w:bookmarkStart w:id="78" w:name="_Toc192946453"/>
      <w:r/>
      <w:bookmarkStart w:id="79" w:name="_Hlt16619350"/>
      <w:r/>
      <w:bookmarkStart w:id="80" w:name="_Toc20823346"/>
      <w:r/>
      <w:bookmarkStart w:id="81" w:name="_Toc16938590"/>
      <w:r/>
      <w:bookmarkStart w:id="82" w:name="_Toc120614244"/>
      <w:r>
        <w:rPr>
          <w:rFonts w:hint="eastAsia" w:ascii="黑体" w:hAnsi="楷体_GB2312" w:eastAsia="黑体"/>
          <w:b w:val="0"/>
          <w:bCs w:val="0"/>
          <w:color w:val="000000"/>
          <w:sz w:val="44"/>
          <w:szCs w:val="44"/>
        </w:rPr>
        <w:t xml:space="preserve">第三章  </w:t>
      </w:r>
      <w:bookmarkEnd w:id="78"/>
      <w:r>
        <w:rPr>
          <w:rFonts w:hint="eastAsia" w:ascii="黑体" w:hAnsi="楷体_GB2312" w:eastAsia="黑体"/>
          <w:b w:val="0"/>
          <w:bCs w:val="0"/>
          <w:color w:val="000000"/>
          <w:sz w:val="44"/>
          <w:szCs w:val="44"/>
        </w:rPr>
        <w:t xml:space="preserve">合同条款及格式</w:t>
      </w:r>
      <w:r>
        <w:rPr>
          <w:rFonts w:ascii="黑体" w:hAnsi="楷体_GB2312" w:eastAsia="黑体"/>
          <w:b w:val="0"/>
          <w:bCs w:val="0"/>
          <w:color w:val="000000"/>
          <w:sz w:val="44"/>
          <w:szCs w:val="44"/>
        </w:rPr>
      </w:r>
      <w:r/>
    </w:p>
    <w:p>
      <w:pPr>
        <w:pStyle w:val="731"/>
        <w:jc w:val="center"/>
        <w:spacing w:after="0" w:line="520" w:lineRule="exact"/>
        <w:widowControl w:val="off"/>
        <w:rPr>
          <w:rFonts w:ascii="宋体" w:hAnsi="宋体" w:cs="宋体"/>
          <w:bCs/>
          <w:sz w:val="24"/>
          <w:szCs w:val="24"/>
          <w:lang w:bidi="ar"/>
        </w:rPr>
      </w:pPr>
      <w:r>
        <w:rPr>
          <w:rFonts w:hint="eastAsia" w:ascii="宋体" w:hAnsi="宋体" w:cs="宋体"/>
          <w:bCs/>
          <w:sz w:val="24"/>
          <w:szCs w:val="24"/>
          <w:lang w:bidi="ar"/>
        </w:rPr>
        <w:t xml:space="preserve">以下为中标后签定本项目合同的通用条款，中标人不得提出实质性的修改，关于专用条款将由采购人</w:t>
      </w:r>
      <w:r>
        <w:rPr>
          <w:rFonts w:hint="eastAsia" w:ascii="宋体" w:hAnsi="宋体" w:cs="宋体"/>
          <w:bCs/>
          <w:sz w:val="24"/>
          <w:szCs w:val="24"/>
          <w:lang w:bidi="ar"/>
        </w:rPr>
        <w:t xml:space="preserve">与中标人结合本项目具体情况协商后签订。</w:t>
      </w:r>
      <w:r>
        <w:rPr>
          <w:rFonts w:ascii="宋体" w:hAnsi="宋体" w:cs="宋体"/>
          <w:bCs/>
          <w:sz w:val="24"/>
          <w:szCs w:val="24"/>
          <w:lang w:bidi="ar"/>
        </w:rPr>
      </w:r>
      <w:r/>
    </w:p>
    <w:p>
      <w:pPr>
        <w:pStyle w:val="731"/>
        <w:jc w:val="center"/>
        <w:spacing w:after="0" w:line="520" w:lineRule="exact"/>
        <w:widowControl w:val="off"/>
        <w:rPr>
          <w:rFonts w:hint="eastAsia" w:ascii="宋体" w:hAnsi="宋体" w:cs="宋体"/>
          <w:sz w:val="52"/>
          <w:szCs w:val="52"/>
        </w:rPr>
      </w:pPr>
      <w:r>
        <w:rPr>
          <w:rFonts w:hint="eastAsia" w:ascii="宋体" w:hAnsi="宋体" w:cs="宋体"/>
          <w:sz w:val="52"/>
          <w:szCs w:val="52"/>
        </w:rPr>
        <w:t xml:space="preserve">技术服务合同书</w:t>
      </w:r>
      <w:r/>
    </w:p>
    <w:p>
      <w:pPr>
        <w:pStyle w:val="731"/>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31"/>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pStyle w:val="731"/>
        <w:ind w:firstLine="600"/>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项目名称：2026年重点工业产品质量安全隐患风险动态监测技术服务 </w:t>
      </w:r>
      <w:r/>
    </w:p>
    <w:p>
      <w:pPr>
        <w:pStyle w:val="731"/>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（采购</w:t>
      </w:r>
      <w:r>
        <w:rPr>
          <w:rFonts w:hint="eastAsia" w:ascii="宋体" w:hAnsi="宋体" w:cs="宋体"/>
          <w:i/>
          <w:iCs/>
          <w:sz w:val="30"/>
          <w:szCs w:val="30"/>
        </w:rPr>
        <w:t xml:space="preserve">包号+产品名称</w:t>
      </w:r>
      <w:r>
        <w:rPr>
          <w:rFonts w:hint="eastAsia" w:ascii="宋体" w:hAnsi="宋体" w:cs="宋体"/>
          <w:sz w:val="30"/>
          <w:szCs w:val="30"/>
        </w:rPr>
        <w:t xml:space="preserve">）</w:t>
      </w:r>
      <w:r/>
    </w:p>
    <w:p>
      <w:pPr>
        <w:pStyle w:val="731"/>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31"/>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31"/>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31"/>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pStyle w:val="731"/>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委托单位(甲方)：江苏省市场监督管理局</w:t>
      </w:r>
      <w:r/>
    </w:p>
    <w:p>
      <w:pPr>
        <w:pStyle w:val="731"/>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服务单位(乙方)：</w:t>
      </w:r>
      <w:r/>
    </w:p>
    <w:p>
      <w:pPr>
        <w:pStyle w:val="731"/>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合同签订日期：2026年  月  日</w:t>
      </w:r>
      <w:r/>
    </w:p>
    <w:p>
      <w:pPr>
        <w:pStyle w:val="731"/>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合同签订地点：南京</w:t>
      </w:r>
      <w:r/>
    </w:p>
    <w:p>
      <w:pPr>
        <w:pStyle w:val="731"/>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服务期限：2026年  月  日 至2026年  月  日</w:t>
      </w:r>
      <w:r/>
    </w:p>
    <w:p>
      <w:pPr>
        <w:pStyle w:val="731"/>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依照《中华人民共和国政府采购法》《中华人民共和国民法典》等有关法律法规的规定，江苏省市场监督管理局对</w:t>
      </w:r>
      <w:r>
        <w:rPr>
          <w:rFonts w:hint="eastAsia" w:ascii="宋体" w:hAnsi="宋体" w:cs="宋体"/>
          <w:sz w:val="24"/>
          <w:szCs w:val="24"/>
          <w:u w:val="single"/>
        </w:rPr>
        <w:t xml:space="preserve">2026年</w:t>
      </w:r>
      <w:bookmarkStart w:id="83" w:name="OLE_LINK3"/>
      <w:r>
        <w:rPr>
          <w:rFonts w:hint="eastAsia" w:ascii="宋体" w:hAnsi="宋体" w:cs="宋体"/>
          <w:sz w:val="24"/>
          <w:szCs w:val="24"/>
          <w:u w:val="single"/>
        </w:rPr>
        <w:t xml:space="preserve">重点工业产品质量安全隐患风险动态监测</w:t>
      </w:r>
      <w:bookmarkEnd w:id="83"/>
      <w:r>
        <w:rPr>
          <w:rFonts w:hint="eastAsia" w:ascii="宋体" w:hAnsi="宋体" w:cs="宋体"/>
          <w:sz w:val="24"/>
          <w:szCs w:val="24"/>
          <w:u w:val="single"/>
        </w:rPr>
        <w:t xml:space="preserve">技术服务</w:t>
      </w:r>
      <w:r>
        <w:rPr>
          <w:rFonts w:hint="eastAsia" w:ascii="宋体" w:hAnsi="宋体" w:cs="宋体"/>
          <w:sz w:val="24"/>
          <w:szCs w:val="24"/>
          <w:u w:val="single"/>
          <w:lang w:val="zh-CN"/>
        </w:rPr>
        <w:t xml:space="preserve">（项目编号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进行公开招标采购，确定乙方为服务单位，双方经协商，签订本合同。</w:t>
      </w:r>
      <w:r>
        <w:rPr>
          <w:rFonts w:hint="eastAsia" w:ascii="宋体" w:hAnsi="宋体" w:cs="宋体"/>
          <w:sz w:val="24"/>
          <w:szCs w:val="24"/>
        </w:rPr>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zh-CN"/>
        </w:rPr>
        <w:t xml:space="preserve">服务</w:t>
      </w:r>
      <w:r>
        <w:rPr>
          <w:rFonts w:hint="eastAsia" w:ascii="宋体" w:hAnsi="宋体" w:cs="宋体"/>
          <w:b/>
          <w:bCs/>
          <w:sz w:val="24"/>
          <w:szCs w:val="24"/>
        </w:rPr>
        <w:t xml:space="preserve">内容</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甲方委托乙方进行服务内容如下：</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在甲方要求的时间内，</w:t>
      </w:r>
      <w:r>
        <w:rPr>
          <w:rFonts w:hint="eastAsia" w:ascii="宋体" w:hAnsi="宋体" w:cs="宋体"/>
          <w:sz w:val="24"/>
          <w:szCs w:val="24"/>
        </w:rPr>
        <w:t xml:space="preserve">乙方应依据《中华人民共和国消费者权益保护法》《中华人民共和国产品质量法》《中华人民共和国标准化法》《检验检测机构监督管理办法》《产品质量监督抽查管理暂行办法》《江苏省省级产品质量监督抽查工作规范》相关要求，</w:t>
      </w:r>
      <w:r>
        <w:rPr>
          <w:rFonts w:hint="eastAsia" w:ascii="宋体" w:hAnsi="宋体" w:cs="宋体"/>
          <w:sz w:val="24"/>
          <w:szCs w:val="24"/>
          <w:lang w:val="zh-CN"/>
        </w:rPr>
        <w:t xml:space="preserve">完成抽样、检验、抽检结果寄送并完成结果数据上报等工作。</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在甲方要求的时间内，按甲方要求</w:t>
      </w:r>
      <w:r>
        <w:rPr>
          <w:rFonts w:hint="eastAsia" w:ascii="宋体" w:hAnsi="宋体" w:cs="宋体"/>
          <w:sz w:val="24"/>
          <w:szCs w:val="24"/>
        </w:rPr>
        <w:t xml:space="preserve">提交产品的检验检测数据、检验检测报告、产品质量</w:t>
      </w:r>
      <w:r>
        <w:rPr>
          <w:rFonts w:hint="eastAsia" w:ascii="宋体" w:hAnsi="宋体" w:cs="宋体"/>
          <w:sz w:val="24"/>
          <w:szCs w:val="24"/>
        </w:rPr>
        <w:t xml:space="preserve">分析报告、质量分析建议书、产品质量风险分析报告及其他相关材料。</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3、按甲方要求</w:t>
      </w:r>
      <w:r>
        <w:rPr>
          <w:rFonts w:hint="eastAsia" w:ascii="宋体" w:hAnsi="宋体" w:cs="宋体"/>
          <w:sz w:val="24"/>
          <w:szCs w:val="24"/>
        </w:rPr>
        <w:t xml:space="preserve">协助甲方</w:t>
      </w:r>
      <w:r>
        <w:rPr>
          <w:rFonts w:hint="eastAsia" w:ascii="宋体" w:hAnsi="宋体" w:cs="宋体"/>
          <w:sz w:val="24"/>
          <w:szCs w:val="24"/>
          <w:lang w:val="zh-CN"/>
        </w:rPr>
        <w:t xml:space="preserve">完成异议处理、样品保存及处置工作。</w:t>
      </w:r>
      <w:r>
        <w:rPr>
          <w:rFonts w:hint="eastAsia" w:ascii="宋体" w:hAnsi="宋体" w:cs="宋体"/>
          <w:sz w:val="24"/>
          <w:szCs w:val="24"/>
        </w:rPr>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lang w:val="zh-CN"/>
        </w:rPr>
        <w:t xml:space="preserve">二、甲方的权利与义务</w:t>
      </w:r>
      <w:r>
        <w:rPr>
          <w:rFonts w:hint="eastAsia" w:ascii="宋体" w:hAnsi="宋体" w:cs="宋体"/>
          <w:b/>
          <w:bCs/>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1、甲方应依照本合同向乙方提供所抽查产品的《产品质量监督抽查/风险监测任务委托书》《产品质量监督抽查通知书》、抽查实施细则。</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2、甲方有权根据客观事实及工作实际要求对本合同进行调整和变更，调整和变更情况应当及时告知乙方，乙方如有不同意见应及时反馈，最终变更结果以双方商定结果为准。</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甲方有权随时向乙方了解项目进度、开展随机检查，要求乙方提供项目相关资料。</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、甲方应当按</w:t>
      </w:r>
      <w:r>
        <w:rPr>
          <w:rFonts w:hint="eastAsia" w:ascii="宋体" w:hAnsi="宋体" w:cs="宋体"/>
          <w:sz w:val="24"/>
          <w:szCs w:val="24"/>
          <w:lang w:val="zh-CN"/>
        </w:rPr>
        <w:t xml:space="preserve">照合同约定和验收结果及时向乙方支付相关服务费用。</w:t>
      </w:r>
      <w:r>
        <w:rPr>
          <w:rFonts w:hint="eastAsia" w:ascii="宋体" w:hAnsi="宋体" w:cs="宋体"/>
          <w:sz w:val="24"/>
          <w:szCs w:val="24"/>
        </w:rPr>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lang w:val="zh-CN"/>
        </w:rPr>
        <w:t xml:space="preserve">三、乙方的权利与义务</w:t>
      </w:r>
      <w:r>
        <w:rPr>
          <w:rFonts w:hint="eastAsia" w:ascii="宋体" w:hAnsi="宋体" w:cs="宋体"/>
          <w:b/>
          <w:bCs/>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1、乙方应当具备开展本合同委托内容的下列条件：</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①乙方应具备一定抽样技术能力，人员配置、作业管理等应满足抽样技术要求，确保抽查工作的顺利开展。</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②乙方应具有国家认证认可监督管理委员会或省级市场监督管理部门颁发的有效期内（有效期能覆盖本次任务的完成）的检验检测机构资质认定证书（CMA）。</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③具有必备的仪器设备、人员（须经培训符合要求）和检测能力；</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2、乙方不得存在借承担江苏省省级产品质量监督抽查/风险监测工作之机为本机构拉客户、事先</w:t>
      </w:r>
      <w:r>
        <w:rPr>
          <w:rFonts w:hint="eastAsia" w:ascii="宋体" w:hAnsi="宋体" w:cs="宋体"/>
          <w:sz w:val="24"/>
          <w:szCs w:val="24"/>
        </w:rPr>
        <w:t xml:space="preserve">通知被抽查企业，直接或间接参与企业接待等违法违规行为。</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p>
    <w:p>
      <w:pPr>
        <w:pStyle w:val="731"/>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p>
    <w:p>
      <w:pPr>
        <w:pStyle w:val="731"/>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5、乙方应严格按照投标文件中人员配置方案进行人员安排，未</w:t>
      </w:r>
      <w:r>
        <w:rPr>
          <w:rFonts w:hint="eastAsia" w:ascii="宋体" w:hAnsi="宋体" w:cs="宋体"/>
          <w:sz w:val="24"/>
          <w:szCs w:val="24"/>
        </w:rPr>
        <w:t xml:space="preserve">经甲方同意不得擅自更换人员。对存在虚报人员或者未经甲方同意擅自更换人员的，甲方将视情况解除合同关系。</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6、除甲方书面许可外，乙方不得以任何形式分包检验检测项目、不得租赁或者借用他人检测设备。</w:t>
      </w:r>
      <w:r/>
    </w:p>
    <w:p>
      <w:pPr>
        <w:pStyle w:val="731"/>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7、乙方应当在本合同约定时限内，保质保量完成抽查任务。</w:t>
      </w:r>
      <w:r>
        <w:rPr>
          <w:rFonts w:hint="eastAsia" w:ascii="宋体" w:hAnsi="宋体" w:cs="宋体"/>
          <w:sz w:val="24"/>
          <w:szCs w:val="24"/>
          <w:lang w:val="zh-CN"/>
        </w:rPr>
        <w:t xml:space="preserve">如因遭遇不可抗力或其他因素影响项目任务的正常执行进度，致使</w:t>
      </w:r>
      <w:r>
        <w:rPr>
          <w:rFonts w:hint="eastAsia" w:ascii="宋体" w:hAnsi="宋体" w:cs="宋体"/>
          <w:sz w:val="24"/>
          <w:szCs w:val="24"/>
        </w:rPr>
        <w:t xml:space="preserve">承担任务</w:t>
      </w:r>
      <w:r>
        <w:rPr>
          <w:rFonts w:hint="eastAsia" w:ascii="宋体" w:hAnsi="宋体" w:cs="宋体"/>
          <w:sz w:val="24"/>
          <w:szCs w:val="24"/>
          <w:lang w:val="zh-CN"/>
        </w:rPr>
        <w:t xml:space="preserve">需要调整时，乙方</w:t>
      </w:r>
      <w:r>
        <w:rPr>
          <w:rFonts w:hint="eastAsia" w:ascii="宋体" w:hAnsi="宋体" w:cs="宋体"/>
          <w:sz w:val="24"/>
          <w:szCs w:val="24"/>
        </w:rPr>
        <w:t xml:space="preserve">应当及时向甲方提交书面报告，经甲方确定处理意见后执行。</w:t>
      </w:r>
      <w:r/>
    </w:p>
    <w:p>
      <w:pPr>
        <w:pStyle w:val="731"/>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8、监督检查及风险监测任务中所购买样品的所有权归属甲方，乙方需对样品妥善保管，样品处置需符合《江苏省</w:t>
      </w:r>
      <w:r>
        <w:rPr>
          <w:rFonts w:hint="eastAsia" w:ascii="宋体" w:hAnsi="宋体" w:cs="宋体"/>
          <w:sz w:val="24"/>
          <w:szCs w:val="24"/>
        </w:rPr>
        <w:t xml:space="preserve">省级产品质量监督抽查工作规范》要求。</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9、乙方应积极提供资料并配合甲方在任务实施期间开展随机检查和任务完成后开展验收检查。</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、服务费用</w:t>
      </w:r>
      <w:r>
        <w:rPr>
          <w:rFonts w:hint="eastAsia" w:ascii="宋体" w:hAnsi="宋体" w:cs="宋体"/>
          <w:sz w:val="24"/>
          <w:szCs w:val="24"/>
        </w:rPr>
        <w:t xml:space="preserve">尾款支付后，乙方仍应当按合同及甲方的要求协助甲方进行本次任务涉及产品的</w:t>
      </w:r>
      <w:r>
        <w:rPr>
          <w:rFonts w:hint="eastAsia" w:ascii="宋体" w:hAnsi="宋体" w:cs="宋体"/>
          <w:sz w:val="24"/>
          <w:szCs w:val="24"/>
          <w:lang w:val="zh-CN"/>
        </w:rPr>
        <w:t xml:space="preserve">异议处理</w:t>
      </w:r>
      <w:r>
        <w:rPr>
          <w:rFonts w:hint="eastAsia" w:ascii="宋体" w:hAnsi="宋体" w:cs="宋体"/>
          <w:sz w:val="24"/>
          <w:szCs w:val="24"/>
        </w:rPr>
        <w:t xml:space="preserve">及样品处置工作。</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四、双方约定因履行本合同应遵守的保密义务</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2、乙方在开展江苏省省级产品质量监督抽查/风险监测工作过程中，存在违法、违规和违反合同行为的，甲方可以随</w:t>
      </w:r>
      <w:r>
        <w:rPr>
          <w:rFonts w:hint="eastAsia" w:ascii="宋体" w:hAnsi="宋体" w:cs="宋体"/>
          <w:sz w:val="24"/>
          <w:szCs w:val="24"/>
        </w:rPr>
        <w:t xml:space="preserve">时解除合同，乙方需承担因其所造成的损失。</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五、服务费用及支付方式</w:t>
      </w:r>
      <w:r/>
    </w:p>
    <w:p>
      <w:pPr>
        <w:pStyle w:val="731"/>
        <w:ind w:firstLine="480"/>
        <w:spacing w:after="0" w:line="440" w:lineRule="exact"/>
        <w:widowControl w:val="off"/>
        <w:rPr>
          <w:rFonts w:hint="eastAsia" w:ascii="宋体" w:hAnsi="宋体" w:cs="宋体"/>
          <w:sz w:val="21"/>
          <w:szCs w:val="21"/>
        </w:rPr>
      </w:pPr>
      <w:r>
        <w:rPr>
          <w:rFonts w:hint="eastAsia" w:ascii="宋体" w:hAnsi="宋体" w:cs="宋体"/>
          <w:sz w:val="24"/>
          <w:szCs w:val="24"/>
        </w:rPr>
        <w:t xml:space="preserve">1、服务费用：签约经费总额为￥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1"/>
          <w:szCs w:val="21"/>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2、支付方式（付款进度和方式）：</w:t>
      </w:r>
      <w:r/>
    </w:p>
    <w:p>
      <w:pPr>
        <w:pStyle w:val="731"/>
        <w:ind w:firstLine="480"/>
        <w:jc w:val="both"/>
        <w:spacing w:after="0" w:line="440" w:lineRule="exact"/>
        <w:widowControl w:val="off"/>
        <w:rPr>
          <w:rFonts w:hint="eastAsia" w:ascii="宋体" w:hAnsi="宋体" w:cs="宋体"/>
          <w:sz w:val="24"/>
          <w:szCs w:val="24"/>
        </w:rPr>
      </w:pPr>
      <w:r>
        <w:rPr>
          <w:sz w:val="24"/>
          <w:szCs w:val="24"/>
        </w:rPr>
        <w:t xml:space="preserve">合同签订后30个工作日内，甲方向乙方预付服务费用的</w:t>
      </w:r>
      <w:r>
        <w:rPr>
          <w:rFonts w:hint="eastAsia"/>
          <w:sz w:val="24"/>
          <w:szCs w:val="24"/>
        </w:rPr>
        <w:t xml:space="preserve">50</w:t>
      </w:r>
      <w:r>
        <w:rPr>
          <w:sz w:val="24"/>
          <w:szCs w:val="24"/>
        </w:rPr>
        <w:t xml:space="preserve">%；甲方确认乙方按合同约定完成任务，验收合格后30个工作日内，向乙方支付剩余服务费用。 </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3、乙方收款账号信息：</w:t>
      </w:r>
      <w:r/>
    </w:p>
    <w:p>
      <w:pPr>
        <w:pStyle w:val="731"/>
        <w:ind w:left="420" w:firstLine="12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p>
    <w:p>
      <w:pPr>
        <w:pStyle w:val="731"/>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账户名称：</w:t>
      </w:r>
      <w:r>
        <w:rPr>
          <w:rFonts w:hint="eastAsia" w:ascii="宋体" w:hAnsi="宋体" w:cs="宋体"/>
          <w:sz w:val="24"/>
          <w:szCs w:val="24"/>
          <w:u w:val="single"/>
        </w:rPr>
        <w:t xml:space="preserve">                        </w:t>
      </w:r>
      <w:r/>
    </w:p>
    <w:p>
      <w:pPr>
        <w:pStyle w:val="731"/>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  号：</w:t>
      </w:r>
      <w:r>
        <w:rPr>
          <w:rFonts w:hint="eastAsia" w:ascii="宋体" w:hAnsi="宋体" w:cs="宋体"/>
          <w:sz w:val="24"/>
          <w:szCs w:val="24"/>
          <w:u w:val="single"/>
        </w:rPr>
        <w:t xml:space="preserve">                          </w:t>
      </w:r>
      <w:r/>
    </w:p>
    <w:p>
      <w:pPr>
        <w:pStyle w:val="731"/>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开户行：</w:t>
      </w:r>
      <w:r>
        <w:rPr>
          <w:rFonts w:hint="eastAsia" w:ascii="宋体" w:hAnsi="宋体" w:cs="宋体"/>
          <w:sz w:val="24"/>
          <w:szCs w:val="24"/>
          <w:u w:val="single"/>
        </w:rPr>
        <w:t xml:space="preserve">                          </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六、违约责任及纠纷解决</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1、甲方如未按时拨付相关经费，乙方可停止执行甲方提出的</w:t>
      </w:r>
      <w:r>
        <w:rPr>
          <w:rFonts w:hint="eastAsia" w:ascii="宋体" w:hAnsi="宋体" w:cs="宋体"/>
          <w:sz w:val="24"/>
          <w:szCs w:val="24"/>
          <w:u w:val="single"/>
        </w:rPr>
        <w:t xml:space="preserve">重点工业产品质量安全隐患风险动态监测</w:t>
      </w:r>
      <w:r>
        <w:rPr>
          <w:rFonts w:hint="eastAsia" w:ascii="宋体" w:hAnsi="宋体" w:cs="宋体"/>
          <w:sz w:val="24"/>
          <w:szCs w:val="24"/>
        </w:rPr>
        <w:t xml:space="preserve">任务。</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2、乙方如出现以下情形，甲方有权扣除其部分或全部检验费用、解除合同并取消检验资格：</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（1）未经许可分包</w:t>
      </w:r>
      <w:r>
        <w:rPr>
          <w:rFonts w:hint="eastAsia" w:ascii="宋体" w:hAnsi="宋体" w:cs="宋体"/>
          <w:sz w:val="24"/>
          <w:szCs w:val="24"/>
          <w:u w:val="single"/>
        </w:rPr>
        <w:t xml:space="preserve">重点工业产品质量安全隐患风险动态监测</w:t>
      </w:r>
      <w:r>
        <w:rPr>
          <w:rFonts w:hint="eastAsia" w:ascii="宋体" w:hAnsi="宋体" w:cs="宋体"/>
          <w:sz w:val="24"/>
          <w:szCs w:val="24"/>
        </w:rPr>
        <w:t xml:space="preserve">任务的；</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（2）拒绝、阻挠、逃避甲方对抽检工作质量和经费使用情况开展的监督检查和考核；</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（3）未按时完成承检工作、数据上报、工作总结以及其他抽检监测等资料，且未向甲方提出合理说明的</w:t>
      </w:r>
      <w:r>
        <w:rPr>
          <w:rFonts w:hint="eastAsia" w:ascii="宋体" w:hAnsi="宋体" w:cs="宋体"/>
          <w:sz w:val="24"/>
          <w:szCs w:val="24"/>
        </w:rPr>
        <w:t xml:space="preserve">。</w:t>
      </w:r>
      <w:bookmarkStart w:id="84" w:name="_Hlk228116102"/>
      <w:r>
        <w:rPr>
          <w:rFonts w:hint="eastAsia" w:ascii="宋体" w:hAnsi="宋体" w:cs="宋体"/>
          <w:sz w:val="24"/>
          <w:szCs w:val="24"/>
        </w:rPr>
        <w:t xml:space="preserve">甲方有明确交付期限而乙方逾期交付服务的，应按合同总额和逾期交付时间每日千分之六向甲方偿付滞纳金，由甲方从待付款项中扣除。逾期时间超过约定日期10日不能交付的，甲方可解除本合同。乙方因逾期交付或其他违约行为导致甲方解除合同的，乙方应向甲方支付本合同总价</w:t>
      </w:r>
      <w:r>
        <w:rPr>
          <w:rFonts w:ascii="宋体" w:hAnsi="宋体" w:cs="宋体"/>
          <w:sz w:val="24"/>
          <w:szCs w:val="24"/>
        </w:rPr>
        <w:t xml:space="preserve">5%</w:t>
      </w:r>
      <w:r>
        <w:rPr>
          <w:rFonts w:hint="eastAsia" w:ascii="宋体" w:hAnsi="宋体" w:cs="宋体"/>
          <w:sz w:val="24"/>
          <w:szCs w:val="24"/>
        </w:rPr>
        <w:t xml:space="preserve">的违约金，如</w:t>
      </w:r>
      <w:r>
        <w:rPr>
          <w:rFonts w:hint="eastAsia" w:ascii="宋体" w:hAnsi="宋体" w:cs="宋体"/>
          <w:sz w:val="24"/>
          <w:szCs w:val="24"/>
        </w:rPr>
        <w:t xml:space="preserve">造成甲方损失超过违约金的，超出部分由乙方继续承担赔偿责任。</w:t>
      </w:r>
      <w:bookmarkEnd w:id="84"/>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（4）未经甲方许可减少或者调换抽样检验品种、批次、项目或者抽样区域、环节的。</w:t>
      </w:r>
      <w:bookmarkStart w:id="85" w:name="_Hlk228116356"/>
      <w:r>
        <w:rPr>
          <w:rFonts w:hint="eastAsia" w:ascii="宋体" w:hAnsi="宋体" w:cs="宋体"/>
          <w:sz w:val="24"/>
          <w:szCs w:val="24"/>
        </w:rPr>
        <w:t xml:space="preserve">乙方所交付的服务内容、质量不符合合同规定及招标文件规定标准和投标文件响应內容的，甲方有权拒收该服务，乙方愿意更换服务但逾期交付的，按乙方逾期交付处理。乙方拒绝更换服务的，甲方可单方面解除合同，乙方应向甲方支付合同总价</w:t>
      </w:r>
      <w:r>
        <w:rPr>
          <w:rFonts w:ascii="宋体" w:hAnsi="宋体" w:cs="宋体"/>
          <w:sz w:val="24"/>
          <w:szCs w:val="24"/>
        </w:rPr>
        <w:t xml:space="preserve">5%</w:t>
      </w:r>
      <w:r>
        <w:rPr>
          <w:rFonts w:hint="eastAsia" w:ascii="宋体" w:hAnsi="宋体" w:cs="宋体"/>
          <w:sz w:val="24"/>
          <w:szCs w:val="24"/>
        </w:rPr>
        <w:t xml:space="preserve">的违约金。</w:t>
      </w:r>
      <w:bookmarkEnd w:id="85"/>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3、对乙方出现的如下情形，造成不良结果的，甲方将不再委托检验任务、解除合同直至追究法律责任</w:t>
      </w:r>
      <w:r>
        <w:rPr>
          <w:rFonts w:hint="eastAsia" w:ascii="宋体" w:hAnsi="宋体" w:cs="宋体"/>
          <w:sz w:val="24"/>
          <w:szCs w:val="24"/>
        </w:rPr>
        <w:t xml:space="preserve">，并</w:t>
      </w:r>
      <w:bookmarkStart w:id="86" w:name="_Hlk228116419"/>
      <w:r>
        <w:rPr>
          <w:rFonts w:hint="eastAsia" w:ascii="宋体" w:hAnsi="宋体" w:cs="宋体"/>
          <w:sz w:val="24"/>
          <w:szCs w:val="24"/>
        </w:rPr>
        <w:t xml:space="preserve">要求乙方退还甲方已预付的合同款项并赔偿甲方因此造成的所有损失</w:t>
      </w:r>
      <w:bookmarkEnd w:id="86"/>
      <w:r>
        <w:rPr>
          <w:rFonts w:hint="eastAsia" w:ascii="宋体" w:hAnsi="宋体" w:cs="宋体"/>
          <w:sz w:val="24"/>
          <w:szCs w:val="24"/>
        </w:rPr>
        <w:t xml:space="preserve">：</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（1）出具虚假、错误检验数据和报告的；</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（2）违反保密规定，向甲方以外单位或被抽检方泄露检验结果的；</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（3）超资质范围出具检验报告、未按规定时限出具检验报告；</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（4）因运输、保存不当导致备份样品丢失或者损毁的。</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4、因乙方虚假承诺而造成甲方损失或影响甲方整体抽样工作的，甲方有权单方面解除合同，过程中所产生的费用甲方将不予支付，禁止其3年内承担</w:t>
      </w:r>
      <w:r>
        <w:rPr>
          <w:rFonts w:hint="eastAsia" w:ascii="宋体" w:hAnsi="宋体" w:cs="宋体"/>
          <w:sz w:val="24"/>
          <w:szCs w:val="24"/>
        </w:rPr>
        <w:t xml:space="preserve">重点工业产品质量安全隐患风险动态监测</w:t>
      </w:r>
      <w:r>
        <w:rPr>
          <w:rFonts w:hint="eastAsia" w:ascii="宋体" w:hAnsi="宋体" w:cs="宋体"/>
          <w:sz w:val="24"/>
          <w:szCs w:val="24"/>
        </w:rPr>
        <w:t xml:space="preserve">任务。</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5、乙方如出现出具虚假、错误检测数据或检验报告的，甲方将扣除相应的批次经费，乙方需承担后续可能出现的赔偿责任。</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6、因乙方工作差错造成的样品损坏、检验结果偏差等工作质量问题导致撤销批次情况发生，甲方不支付撤销批次的相关费用，甲方视情况通报。</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七、验收方法与验收标准</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2、甲方在乙方完成抽检任务后应及时组织验收</w:t>
      </w:r>
      <w:r>
        <w:rPr>
          <w:rFonts w:hint="eastAsia" w:ascii="宋体" w:hAnsi="宋体" w:cs="宋体"/>
          <w:sz w:val="24"/>
          <w:szCs w:val="24"/>
          <w:lang w:val="zh-CN"/>
        </w:rPr>
        <w:t xml:space="preserve">，并根据验收结论，确定是否可以付款。</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验收标准如下：</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a、在委托书限定时间内完成任务并及时上传“江苏省产品质量安全监督管理系统”</w:t>
      </w:r>
      <w:r>
        <w:rPr>
          <w:rFonts w:hint="eastAsia" w:ascii="宋体" w:hAnsi="宋体" w:cs="宋体"/>
          <w:sz w:val="24"/>
          <w:szCs w:val="24"/>
        </w:rPr>
        <w:t xml:space="preserve">。</w:t>
      </w:r>
      <w:r>
        <w:rPr>
          <w:rFonts w:hint="eastAsia" w:ascii="宋体" w:hAnsi="宋体" w:cs="宋体"/>
          <w:sz w:val="24"/>
          <w:szCs w:val="24"/>
        </w:rPr>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b、有效抽查批次数满足合同约定批次数的95%及以上。</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c、未抽到样（终止抽样）情况说明表、抽样单、检验报告、质量分析报告等文书资料按要求编写并提交，且无重大错误。</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d、履约期间无违规违纪情况。</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八、服务期限</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乙方服务期限：合同签订之日起至</w:t>
      </w:r>
      <w:r>
        <w:rPr>
          <w:rFonts w:hint="eastAsia" w:ascii="宋体" w:hAnsi="宋体" w:cs="宋体"/>
          <w:sz w:val="24"/>
          <w:szCs w:val="24"/>
        </w:rPr>
        <w:t xml:space="preserve">2026</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rPr>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九、备注</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1、本合同与招标文件、乙方投标文件如有抵触之处，以本合同条款为准。</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2、下列文件均为本合同的组成部分：</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（1）招标文件、答疑及补充通知；</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（2）投标文件；</w:t>
      </w:r>
      <w:r/>
    </w:p>
    <w:p>
      <w:pPr>
        <w:pStyle w:val="731"/>
        <w:ind w:firstLine="523"/>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（3）本合同执行中共同签署的补充与修正文件。</w:t>
      </w:r>
      <w:r/>
    </w:p>
    <w:p>
      <w:pPr>
        <w:pStyle w:val="731"/>
        <w:ind w:firstLine="523"/>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（4）联合体协议（如有）</w:t>
      </w:r>
      <w:r/>
    </w:p>
    <w:p>
      <w:pPr>
        <w:pStyle w:val="731"/>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十、合同书双方签</w:t>
      </w:r>
      <w:r>
        <w:rPr>
          <w:rFonts w:hint="eastAsia" w:ascii="宋体" w:hAnsi="宋体" w:cs="宋体"/>
          <w:b/>
          <w:bCs/>
          <w:sz w:val="24"/>
          <w:szCs w:val="24"/>
        </w:rPr>
        <w:t xml:space="preserve">章</w:t>
      </w:r>
      <w:r/>
    </w:p>
    <w:p>
      <w:pPr>
        <w:pStyle w:val="731"/>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本合同一式四份，经双方签字并盖章后生效。</w:t>
        <w:br w:type="page" w:clear="all"/>
      </w:r>
      <w:r/>
    </w:p>
    <w:tbl>
      <w:tblPr>
        <w:tblW w:w="479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2"/>
        <w:gridCol w:w="3977"/>
        <w:gridCol w:w="2164"/>
      </w:tblGrid>
      <w:tr>
        <w:trPr>
          <w:cantSplit/>
          <w:trHeight w:val="494"/>
        </w:trPr>
        <w:tc>
          <w:tcPr>
            <w:tcW w:w="1144" w:type="dxa"/>
            <w:vAlign w:val="center"/>
            <w:vMerge w:val="restart"/>
            <w:textDirection w:val="lrTb"/>
            <w:noWrap w:val="false"/>
          </w:tcPr>
          <w:p>
            <w:pPr>
              <w:pStyle w:val="731"/>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31"/>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pStyle w:val="731"/>
              <w:ind w:right="114"/>
              <w:jc w:val="center"/>
              <w:spacing w:after="0" w:line="440" w:lineRule="exact"/>
              <w:widowControl w:val="off"/>
              <w:rPr>
                <w:rFonts w:hint="eastAsia" w:ascii="宋体" w:hAnsi="宋体" w:cs="宋体"/>
                <w:b/>
                <w:sz w:val="24"/>
                <w:szCs w:val="24"/>
              </w:rPr>
            </w:pPr>
            <w:r>
              <w:rPr>
                <w:rFonts w:hint="eastAsia" w:ascii="宋体" w:hAnsi="宋体" w:cs="宋体"/>
                <w:b/>
                <w:spacing w:val="-9"/>
                <w:sz w:val="24"/>
                <w:szCs w:val="24"/>
              </w:rPr>
              <w:t xml:space="preserve">委托单位</w:t>
            </w:r>
            <w:r>
              <w:rPr>
                <w:rFonts w:hint="eastAsia" w:ascii="宋体" w:hAnsi="宋体" w:cs="宋体"/>
                <w:b/>
                <w:sz w:val="24"/>
                <w:szCs w:val="24"/>
              </w:rPr>
              <w:t xml:space="preserve">(甲方)</w:t>
            </w:r>
            <w:r/>
          </w:p>
        </w:tc>
        <w:tc>
          <w:tcPr>
            <w:tcW w:w="2497" w:type="dxa"/>
            <w:vAlign w:val="center"/>
            <w:textDirection w:val="lrTb"/>
            <w:noWrap w:val="false"/>
          </w:tcPr>
          <w:p>
            <w:pPr>
              <w:pStyle w:val="731"/>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p>
        </w:tc>
        <w:tc>
          <w:tcPr>
            <w:tcW w:w="1359" w:type="dxa"/>
            <w:vAlign w:val="center"/>
            <w:vMerge w:val="restart"/>
            <w:textDirection w:val="lrTb"/>
            <w:noWrap w:val="false"/>
          </w:tcPr>
          <w:p>
            <w:pPr>
              <w:pStyle w:val="731"/>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jc w:val="both"/>
              <w:spacing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ind w:left="466" w:right="203" w:hanging="358"/>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31"/>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p>
          <w:p>
            <w:pPr>
              <w:pStyle w:val="731"/>
              <w:ind w:right="203"/>
              <w:jc w:val="both"/>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 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委托单位（甲方）</w:t>
            </w:r>
            <w:r/>
          </w:p>
          <w:p>
            <w:pPr>
              <w:pStyle w:val="731"/>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代表（签字）</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通讯地址：南京市鼓楼区草场门大街107号</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restart"/>
            <w:textDirection w:val="lrTb"/>
            <w:noWrap w:val="false"/>
          </w:tcPr>
          <w:p>
            <w:pPr>
              <w:pStyle w:val="731"/>
              <w:ind w:right="114"/>
              <w:jc w:val="center"/>
              <w:spacing w:before="1" w:after="0" w:line="440" w:lineRule="exact"/>
              <w:widowControl w:val="off"/>
              <w:rPr>
                <w:rFonts w:hint="eastAsia" w:ascii="宋体" w:hAnsi="宋体" w:cs="宋体"/>
                <w:sz w:val="24"/>
                <w:szCs w:val="24"/>
              </w:rPr>
            </w:pPr>
            <w:r>
              <w:rPr>
                <w:rFonts w:hint="eastAsia" w:ascii="宋体" w:hAnsi="宋体" w:cs="宋体"/>
                <w:b/>
                <w:spacing w:val="-9"/>
                <w:sz w:val="24"/>
                <w:szCs w:val="24"/>
              </w:rPr>
              <w:t xml:space="preserve">服务单位</w:t>
            </w:r>
            <w:r>
              <w:rPr>
                <w:rFonts w:hint="eastAsia" w:ascii="宋体" w:hAnsi="宋体" w:cs="宋体"/>
                <w:b/>
                <w:sz w:val="24"/>
                <w:szCs w:val="24"/>
              </w:rPr>
              <w:t xml:space="preserve">(乙方)</w:t>
            </w:r>
            <w:r>
              <w:rPr>
                <w:rFonts w:hint="eastAsia" w:ascii="宋体" w:hAnsi="宋体" w:cs="宋体"/>
                <w:sz w:val="24"/>
                <w:szCs w:val="24"/>
              </w:rPr>
            </w:r>
            <w:r/>
          </w:p>
        </w:tc>
        <w:tc>
          <w:tcPr>
            <w:tcW w:w="2497" w:type="dxa"/>
            <w:vAlign w:val="center"/>
            <w:textDirection w:val="lrTb"/>
            <w:noWrap w:val="false"/>
          </w:tcPr>
          <w:p>
            <w:pPr>
              <w:pStyle w:val="731"/>
              <w:ind w:left="180" w:right="176"/>
              <w:spacing w:before="197" w:after="0" w:line="440" w:lineRule="exact"/>
              <w:widowControl w:val="off"/>
              <w:rPr>
                <w:rFonts w:hint="eastAsia" w:ascii="宋体" w:hAnsi="宋体" w:cs="宋体"/>
                <w:sz w:val="24"/>
                <w:szCs w:val="24"/>
              </w:rPr>
            </w:pPr>
            <w:r>
              <w:rPr>
                <w:rFonts w:hint="eastAsia" w:ascii="宋体" w:hAnsi="宋体" w:cs="宋体"/>
                <w:sz w:val="24"/>
                <w:szCs w:val="24"/>
              </w:rPr>
              <w:t xml:space="preserve">中标单位名称</w:t>
            </w:r>
            <w:r/>
          </w:p>
        </w:tc>
        <w:tc>
          <w:tcPr>
            <w:tcW w:w="1359" w:type="dxa"/>
            <w:vAlign w:val="center"/>
            <w:vMerge w:val="restart"/>
            <w:textDirection w:val="lrTb"/>
            <w:noWrap w:val="false"/>
          </w:tcPr>
          <w:p>
            <w:pPr>
              <w:pStyle w:val="731"/>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pStyle w:val="731"/>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pStyle w:val="731"/>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p>
          <w:p>
            <w:pPr>
              <w:pStyle w:val="731"/>
              <w:jc w:val="center"/>
              <w:spacing w:after="0" w:line="440" w:lineRule="exact"/>
              <w:widowControl w:val="off"/>
              <w:rPr>
                <w:rFonts w:hint="eastAsia" w:ascii="宋体" w:hAnsi="宋体" w:cs="宋体"/>
                <w:sz w:val="24"/>
                <w:szCs w:val="24"/>
              </w:rPr>
            </w:pPr>
            <w:r>
              <w:rPr>
                <w:rFonts w:hint="eastAsia" w:ascii="宋体" w:hAnsi="宋体" w:cs="宋体"/>
                <w:sz w:val="24"/>
                <w:szCs w:val="24"/>
              </w:rPr>
              <w:t xml:space="preserve">2026年 月 </w:t>
            </w:r>
            <w:r>
              <w:rPr>
                <w:rFonts w:hint="eastAsia" w:ascii="宋体" w:hAnsi="宋体" w:cs="宋体"/>
                <w:spacing w:val="-17"/>
                <w:sz w:val="24"/>
                <w:szCs w:val="24"/>
              </w:rPr>
              <w:t xml:space="preserve">日</w:t>
            </w:r>
            <w:r>
              <w:rPr>
                <w:rFonts w:hint="eastAsia" w:ascii="宋体" w:hAnsi="宋体" w:cs="宋体"/>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183" w:right="176"/>
              <w:spacing w:before="110" w:after="0" w:line="440" w:lineRule="exact"/>
              <w:widowControl w:val="off"/>
              <w:rPr>
                <w:rFonts w:hint="eastAsia" w:ascii="宋体" w:hAnsi="宋体" w:cs="宋体"/>
                <w:sz w:val="24"/>
                <w:szCs w:val="24"/>
              </w:rPr>
            </w:pPr>
            <w:r>
              <w:rPr>
                <w:rFonts w:hint="eastAsia" w:ascii="宋体" w:hAnsi="宋体" w:cs="宋体"/>
                <w:sz w:val="24"/>
                <w:szCs w:val="24"/>
              </w:rPr>
              <w:t xml:space="preserve">法人代表(或委托代理人)（签字 ）</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494"/>
        </w:trPr>
        <w:tc>
          <w:tcPr>
            <w:tcW w:w="1144"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pStyle w:val="731"/>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w:t>
            </w:r>
            <w:r/>
          </w:p>
        </w:tc>
        <w:tc>
          <w:tcPr>
            <w:tcW w:w="1359" w:type="dxa"/>
            <w:vAlign w:val="center"/>
            <w:vMerge w:val="continue"/>
            <w:textDirection w:val="lrTb"/>
            <w:noWrap w:val="false"/>
          </w:tcPr>
          <w:p>
            <w:pPr>
              <w:pStyle w:val="731"/>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2"/>
        <w:jc w:val="center"/>
        <w:keepLines w:val="0"/>
        <w:spacing w:before="0" w:line="240" w:lineRule="auto"/>
        <w:widowControl w:val="off"/>
        <w:rPr>
          <w:rFonts w:ascii="黑体" w:hAnsi="楷体_GB2312" w:eastAsia="黑体"/>
          <w:b w:val="0"/>
          <w:bCs w:val="0"/>
          <w:color w:val="000000"/>
          <w:sz w:val="44"/>
          <w:szCs w:val="44"/>
        </w:rPr>
      </w:pPr>
      <w:r/>
      <w:bookmarkStart w:id="87" w:name="_Toc17291676"/>
      <w:r/>
      <w:bookmarkStart w:id="88" w:name="_Toc192946454"/>
      <w:r>
        <w:rPr>
          <w:rFonts w:hint="eastAsia" w:ascii="黑体" w:hAnsi="楷体_GB2312" w:eastAsia="黑体"/>
          <w:b w:val="0"/>
          <w:bCs w:val="0"/>
          <w:color w:val="000000"/>
          <w:sz w:val="44"/>
          <w:szCs w:val="44"/>
        </w:rPr>
        <w:t xml:space="preserve">第</w:t>
      </w:r>
      <w:bookmarkEnd w:id="79"/>
      <w:r>
        <w:rPr>
          <w:rFonts w:hint="eastAsia" w:ascii="黑体" w:hAnsi="楷体_GB2312" w:eastAsia="黑体"/>
          <w:b w:val="0"/>
          <w:bCs w:val="0"/>
          <w:color w:val="000000"/>
          <w:sz w:val="44"/>
          <w:szCs w:val="44"/>
        </w:rPr>
        <w:t xml:space="preserve">四章  项目需求</w:t>
      </w:r>
      <w:bookmarkEnd w:id="80"/>
      <w:r/>
      <w:bookmarkEnd w:id="81"/>
      <w:r/>
      <w:bookmarkEnd w:id="82"/>
      <w:r/>
      <w:bookmarkEnd w:id="87"/>
      <w:r>
        <w:rPr>
          <w:rFonts w:hint="eastAsia" w:ascii="黑体" w:hAnsi="楷体_GB2312" w:eastAsia="黑体"/>
          <w:b w:val="0"/>
          <w:bCs w:val="0"/>
          <w:color w:val="000000"/>
          <w:sz w:val="44"/>
          <w:szCs w:val="44"/>
        </w:rPr>
        <w:t xml:space="preserve">（服务类）</w:t>
      </w:r>
      <w:bookmarkEnd w:id="88"/>
      <w:r/>
      <w:bookmarkStart w:id="89" w:name="_Hlk86242979"/>
      <w:r/>
      <w:bookmarkStart w:id="90" w:name="_Toc17291089"/>
      <w:r/>
      <w:bookmarkStart w:id="91" w:name="_Toc17291677"/>
      <w:r/>
      <w:bookmarkStart w:id="92" w:name="_Toc120614281"/>
      <w:r/>
      <w:bookmarkStart w:id="93" w:name="_Toc49090575"/>
      <w:r/>
      <w:bookmarkStart w:id="94" w:name="_Toc26554093"/>
      <w:r>
        <w:rPr>
          <w:rFonts w:ascii="黑体" w:hAnsi="楷体_GB2312" w:eastAsia="黑体"/>
          <w:b w:val="0"/>
          <w:bCs w:val="0"/>
          <w:color w:val="000000"/>
          <w:sz w:val="44"/>
          <w:szCs w:val="44"/>
        </w:rPr>
      </w:r>
      <w:r/>
    </w:p>
    <w:p>
      <w:pPr>
        <w:pStyle w:val="731"/>
        <w:jc w:val="center"/>
        <w:rPr>
          <w:rFonts w:hint="eastAsia"/>
          <w:b/>
          <w:bCs/>
          <w:sz w:val="28"/>
          <w:szCs w:val="28"/>
          <w:u w:val="single"/>
        </w:rPr>
      </w:pPr>
      <w:r>
        <w:rPr>
          <w:rFonts w:hint="eastAsia"/>
          <w:b/>
          <w:bCs/>
          <w:sz w:val="28"/>
          <w:szCs w:val="28"/>
          <w:u w:val="single"/>
        </w:rPr>
        <w:t xml:space="preserve">（以下要求如无特别说明，适用于所有</w:t>
      </w:r>
      <w:r>
        <w:rPr>
          <w:rFonts w:hint="eastAsia"/>
          <w:b/>
          <w:bCs/>
          <w:sz w:val="28"/>
          <w:szCs w:val="28"/>
          <w:u w:val="single"/>
        </w:rPr>
        <w:t xml:space="preserve">采购包）</w:t>
      </w:r>
      <w:r/>
    </w:p>
    <w:p>
      <w:pPr>
        <w:pStyle w:val="731"/>
        <w:ind w:firstLine="482"/>
        <w:rPr>
          <w:rFonts w:hint="eastAsia" w:ascii="宋体" w:hAnsi="宋体" w:cs="宋体"/>
          <w:b/>
          <w:sz w:val="24"/>
          <w:szCs w:val="24"/>
        </w:rPr>
      </w:pPr>
      <w:r/>
      <w:bookmarkEnd w:id="89"/>
      <w:r/>
      <w:bookmarkStart w:id="95" w:name="_Hlk14096470"/>
      <w:r/>
      <w:bookmarkStart w:id="96" w:name="_Hlk47437789"/>
      <w:r>
        <w:rPr>
          <w:rFonts w:hint="eastAsia" w:ascii="宋体" w:hAnsi="宋体" w:cs="宋体"/>
          <w:b/>
          <w:sz w:val="24"/>
          <w:szCs w:val="24"/>
        </w:rPr>
        <w:t xml:space="preserve">1.项目概况</w:t>
      </w:r>
      <w:r/>
    </w:p>
    <w:p>
      <w:pPr>
        <w:pStyle w:val="731"/>
        <w:ind w:firstLine="480"/>
        <w:jc w:val="both"/>
        <w:spacing w:after="160" w:line="360" w:lineRule="auto"/>
        <w:widowControl w:val="off"/>
        <w:rPr>
          <w:rFonts w:hint="eastAsia" w:ascii="宋体" w:hAnsi="宋体" w:cs="宋体"/>
          <w:sz w:val="24"/>
          <w:szCs w:val="24"/>
        </w:rPr>
      </w:pPr>
      <w:r/>
      <w:bookmarkStart w:id="97" w:name="_Hlk227054486"/>
      <w:r>
        <w:rPr>
          <w:rFonts w:hint="eastAsia" w:ascii="宋体" w:hAnsi="宋体" w:cs="宋体"/>
          <w:sz w:val="24"/>
          <w:szCs w:val="24"/>
        </w:rPr>
        <w:t xml:space="preserve">为高质量完成重点工业产品质量安全隐患排查治理工作，通过公开招标方式确定第三方检验检测机构，承担2026年重点工业产品质量安全隐患风险动态监测的技术服务。</w:t>
      </w:r>
      <w:r/>
    </w:p>
    <w:p>
      <w:pPr>
        <w:pStyle w:val="731"/>
        <w:ind w:firstLine="482"/>
        <w:rPr>
          <w:rFonts w:hint="eastAsia" w:ascii="宋体" w:hAnsi="宋体" w:cs="宋体"/>
          <w:b/>
          <w:sz w:val="24"/>
          <w:szCs w:val="24"/>
        </w:rPr>
      </w:pPr>
      <w:r/>
      <w:bookmarkEnd w:id="97"/>
      <w:r>
        <w:rPr>
          <w:rFonts w:hint="eastAsia" w:ascii="宋体" w:hAnsi="宋体" w:cs="宋体"/>
          <w:b/>
          <w:sz w:val="24"/>
          <w:szCs w:val="24"/>
        </w:rPr>
        <w:t xml:space="preserve">2.项目基本情况</w:t>
      </w:r>
      <w:r/>
    </w:p>
    <w:p>
      <w:pPr>
        <w:pStyle w:val="731"/>
        <w:ind w:firstLine="480"/>
        <w:rPr>
          <w:rFonts w:hint="eastAsia" w:ascii="宋体" w:hAnsi="宋体" w:cs="宋体"/>
          <w:sz w:val="24"/>
          <w:szCs w:val="24"/>
        </w:rPr>
      </w:pPr>
      <w:r>
        <w:rPr>
          <w:rFonts w:hint="eastAsia" w:ascii="宋体" w:hAnsi="宋体" w:cs="宋体"/>
          <w:sz w:val="24"/>
          <w:szCs w:val="24"/>
        </w:rPr>
        <w:t xml:space="preserve">本项目为</w:t>
      </w:r>
      <w:r>
        <w:rPr>
          <w:rFonts w:ascii="宋体" w:hAnsi="宋体" w:cs="宋体"/>
          <w:sz w:val="24"/>
          <w:szCs w:val="24"/>
        </w:rPr>
        <w:t xml:space="preserve">江苏省市场监督管理局</w:t>
      </w:r>
      <w:bookmarkStart w:id="98" w:name="_Hlk227053969"/>
      <w:r>
        <w:rPr>
          <w:rFonts w:hint="eastAsia" w:ascii="宋体" w:hAnsi="宋体" w:cs="宋体"/>
          <w:sz w:val="24"/>
          <w:szCs w:val="24"/>
        </w:rPr>
        <w:t xml:space="preserve">2026年重点工业产品质量安全隐患风险动态监测</w:t>
      </w:r>
      <w:r>
        <w:rPr>
          <w:rFonts w:ascii="宋体" w:hAnsi="宋体" w:cs="宋体"/>
          <w:sz w:val="24"/>
          <w:szCs w:val="24"/>
        </w:rPr>
        <w:t xml:space="preserve">技术服务</w:t>
      </w:r>
      <w:bookmarkEnd w:id="98"/>
      <w:r>
        <w:rPr>
          <w:rFonts w:hint="eastAsia" w:ascii="宋体" w:hAnsi="宋体" w:cs="宋体"/>
          <w:sz w:val="24"/>
          <w:szCs w:val="24"/>
        </w:rPr>
        <w:t xml:space="preserve">。一是根据全省产业特点和市场集聚情况，结合当前正在开展的电动自行车、建筑保温材料、燃气用具等专项整治行动，以消费者名义购买，包含“三无”产品，重在发现潜在的、未知的安全风险找准找实质量安全问题，推动实现“精准监管”；二是提供抽检技术支持，本次风险动态监测与常规监督抽查统筹安排、信息共享，开展产品质量安全风动态险监测工作，验证产品质量安全风险，及时有效发现产品质量安全风险问题；三是开展重点产品质量安全形势分析，为后续监管提供决策参考，并及时通报约谈企业、提出帮扶建议</w:t>
      </w:r>
      <w:r>
        <w:rPr>
          <w:rFonts w:hint="eastAsia" w:ascii="宋体" w:hAnsi="宋体" w:cs="宋体"/>
          <w:sz w:val="24"/>
          <w:szCs w:val="24"/>
        </w:rPr>
        <w:t xml:space="preserve">。 </w:t>
      </w:r>
      <w:r/>
    </w:p>
    <w:p>
      <w:pPr>
        <w:pStyle w:val="731"/>
        <w:ind w:firstLine="480"/>
        <w:rPr>
          <w:rFonts w:hint="eastAsia" w:ascii="宋体" w:hAnsi="宋体" w:cs="宋体"/>
          <w:sz w:val="24"/>
          <w:szCs w:val="24"/>
        </w:rPr>
      </w:pPr>
      <w:r>
        <w:rPr>
          <w:rFonts w:hint="eastAsia" w:ascii="宋体" w:hAnsi="宋体" w:cs="宋体"/>
          <w:sz w:val="24"/>
          <w:szCs w:val="24"/>
        </w:rPr>
        <w:t xml:space="preserve">风险动态监测覆盖全省电动自行车、建筑用钢筋、建筑保温材料、人造板、电线电缆、化肥、燃气用具、消防产品、移动电源、食品相关产品等10类重点产品，共计</w:t>
      </w:r>
      <w:r>
        <w:rPr>
          <w:rFonts w:ascii="宋体" w:hAnsi="宋体" w:cs="宋体"/>
          <w:sz w:val="24"/>
          <w:szCs w:val="24"/>
        </w:rPr>
        <w:t xml:space="preserve">490</w:t>
      </w:r>
      <w:r>
        <w:rPr>
          <w:rFonts w:hint="eastAsia" w:ascii="宋体" w:hAnsi="宋体" w:cs="宋体"/>
          <w:sz w:val="24"/>
          <w:szCs w:val="24"/>
        </w:rPr>
        <w:t xml:space="preserve">批次，拟分</w:t>
      </w:r>
      <w:r>
        <w:rPr>
          <w:rFonts w:ascii="宋体" w:hAnsi="宋体" w:cs="宋体"/>
          <w:sz w:val="24"/>
          <w:szCs w:val="24"/>
        </w:rPr>
        <w:t xml:space="preserve">5</w:t>
      </w:r>
      <w:r>
        <w:rPr>
          <w:rFonts w:hint="eastAsia" w:ascii="宋体" w:hAnsi="宋体" w:cs="宋体"/>
          <w:sz w:val="24"/>
          <w:szCs w:val="24"/>
        </w:rPr>
        <w:t xml:space="preserve">个采购包进行采购，采购预算</w:t>
      </w:r>
      <w:r>
        <w:rPr>
          <w:rFonts w:ascii="宋体" w:hAnsi="宋体" w:cs="宋体"/>
          <w:sz w:val="24"/>
          <w:szCs w:val="24"/>
        </w:rPr>
        <w:t xml:space="preserve">199</w:t>
      </w:r>
      <w:r>
        <w:rPr>
          <w:rFonts w:hint="eastAsia" w:ascii="宋体" w:hAnsi="宋体" w:cs="宋体"/>
          <w:sz w:val="24"/>
          <w:szCs w:val="24"/>
        </w:rPr>
        <w:t xml:space="preserve">.2万元。</w:t>
      </w:r>
      <w:r/>
    </w:p>
    <w:p>
      <w:pPr>
        <w:pStyle w:val="731"/>
        <w:ind w:firstLine="482"/>
        <w:rPr>
          <w:rFonts w:hint="eastAsia" w:ascii="宋体" w:hAnsi="宋体" w:cs="宋体"/>
          <w:b/>
          <w:sz w:val="24"/>
          <w:szCs w:val="24"/>
        </w:rPr>
      </w:pPr>
      <w:r>
        <w:rPr>
          <w:rFonts w:hint="eastAsia" w:ascii="宋体" w:hAnsi="宋体" w:cs="宋体"/>
          <w:b/>
          <w:sz w:val="24"/>
          <w:szCs w:val="24"/>
        </w:rPr>
        <w:t xml:space="preserve">3.基本需求</w:t>
      </w:r>
      <w:r/>
    </w:p>
    <w:p>
      <w:pPr>
        <w:pStyle w:val="731"/>
        <w:jc w:val="both"/>
        <w:spacing w:after="160" w:line="360" w:lineRule="auto"/>
        <w:widowControl w:val="off"/>
        <w:rPr>
          <w:rFonts w:hint="eastAsia" w:ascii="宋体" w:hAnsi="宋体" w:cs="宋体"/>
          <w:bCs/>
          <w:sz w:val="24"/>
          <w:szCs w:val="24"/>
        </w:rPr>
        <w:outlineLvl w:val="0"/>
      </w:pPr>
      <w:r>
        <w:rPr>
          <w:rFonts w:hint="eastAsia" w:ascii="宋体" w:hAnsi="宋体" w:cs="宋体"/>
          <w:bCs/>
          <w:sz w:val="24"/>
          <w:szCs w:val="24"/>
        </w:rPr>
        <w:t xml:space="preserve">3.1</w:t>
      </w:r>
      <w:r>
        <w:rPr>
          <w:rFonts w:hint="eastAsia" w:ascii="宋体" w:hAnsi="宋体" w:cs="宋体"/>
          <w:sz w:val="24"/>
          <w:szCs w:val="24"/>
        </w:rPr>
        <w:t xml:space="preserve">重点工业产品质量安全隐患风险动态监测对象</w:t>
      </w:r>
      <w:r>
        <w:rPr>
          <w:rFonts w:hint="eastAsia" w:ascii="宋体" w:hAnsi="宋体" w:cs="宋体"/>
          <w:bCs/>
          <w:sz w:val="24"/>
          <w:szCs w:val="24"/>
        </w:rPr>
      </w:r>
      <w:r/>
    </w:p>
    <w:p>
      <w:pPr>
        <w:pStyle w:val="731"/>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年江苏省重点工业产品质量安全隐患风险动态监测的对象详见附件1。</w:t>
      </w:r>
      <w:r/>
    </w:p>
    <w:p>
      <w:pPr>
        <w:pStyle w:val="731"/>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3.2重点工业产品质量安全隐患风险动态监测内容</w:t>
      </w:r>
      <w:r/>
    </w:p>
    <w:p>
      <w:pPr>
        <w:pStyle w:val="731"/>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年江苏省重点工业产品质量安全隐患风险动态监测的内容详见附件2。</w:t>
      </w:r>
      <w:r/>
    </w:p>
    <w:p>
      <w:pPr>
        <w:pStyle w:val="731"/>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3.3重点工业产品质量安全隐患风险动态监测需求明细</w:t>
      </w:r>
      <w:r/>
    </w:p>
    <w:p>
      <w:pPr>
        <w:pStyle w:val="731"/>
        <w:jc w:val="both"/>
        <w:spacing w:after="160" w:line="360" w:lineRule="auto"/>
        <w:widowControl w:val="off"/>
        <w:rPr>
          <w:rFonts w:hint="eastAsia" w:ascii="宋体" w:hAnsi="宋体" w:cs="宋体"/>
          <w:sz w:val="24"/>
          <w:szCs w:val="24"/>
        </w:rPr>
      </w:pPr>
      <w:r>
        <w:rPr>
          <w:rFonts w:ascii="宋体" w:hAnsi="宋体" w:cs="宋体"/>
          <w:sz w:val="24"/>
          <w:szCs w:val="24"/>
        </w:rPr>
        <w:t xml:space="preserve">2026年江苏省</w:t>
      </w:r>
      <w:r>
        <w:rPr>
          <w:rFonts w:hint="eastAsia" w:ascii="宋体" w:hAnsi="宋体" w:cs="宋体"/>
          <w:sz w:val="24"/>
          <w:szCs w:val="24"/>
        </w:rPr>
        <w:t xml:space="preserve">重点工业产品质量安全隐患风险动态监测</w:t>
      </w:r>
      <w:r>
        <w:rPr>
          <w:rFonts w:ascii="宋体" w:hAnsi="宋体" w:cs="宋体"/>
          <w:sz w:val="24"/>
          <w:szCs w:val="24"/>
        </w:rPr>
        <w:t xml:space="preserve">需求明细详见附件</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r>
      <w:r/>
    </w:p>
    <w:p>
      <w:pPr>
        <w:pStyle w:val="731"/>
        <w:ind w:firstLine="482"/>
        <w:jc w:val="both"/>
        <w:spacing w:after="160" w:line="360" w:lineRule="auto"/>
        <w:widowControl w:val="off"/>
        <w:rPr>
          <w:rFonts w:hint="eastAsia" w:ascii="宋体" w:hAnsi="宋体" w:cs="宋体"/>
          <w:b/>
          <w:sz w:val="24"/>
          <w:szCs w:val="24"/>
        </w:rPr>
        <w:outlineLvl w:val="0"/>
      </w:pPr>
      <w:r/>
      <w:bookmarkStart w:id="99" w:name="_Hlk192061515"/>
      <w:r>
        <w:rPr>
          <w:rFonts w:hint="eastAsia" w:ascii="宋体" w:hAnsi="宋体" w:cs="宋体"/>
          <w:b/>
          <w:sz w:val="24"/>
          <w:szCs w:val="24"/>
        </w:rPr>
        <w:t xml:space="preserve">4.技术要求</w:t>
      </w:r>
      <w:bookmarkEnd w:id="99"/>
      <w:r>
        <w:rPr>
          <w:rFonts w:hint="eastAsia" w:ascii="宋体" w:hAnsi="宋体" w:cs="宋体"/>
          <w:b/>
          <w:sz w:val="24"/>
          <w:szCs w:val="24"/>
        </w:rPr>
      </w:r>
      <w:r/>
    </w:p>
    <w:p>
      <w:pPr>
        <w:pStyle w:val="731"/>
        <w:ind w:firstLine="480"/>
        <w:spacing w:after="160" w:line="360" w:lineRule="auto"/>
        <w:widowControl w:val="off"/>
        <w:rPr>
          <w:rFonts w:hint="eastAsia" w:ascii="宋体" w:hAnsi="宋体" w:cs="宋体"/>
          <w:sz w:val="24"/>
          <w:szCs w:val="24"/>
        </w:rPr>
      </w:pPr>
      <w:r>
        <w:rPr>
          <w:rFonts w:hint="eastAsia" w:ascii="宋体" w:hAnsi="宋体" w:cs="宋体"/>
          <w:sz w:val="24"/>
          <w:szCs w:val="24"/>
        </w:rPr>
        <w:t xml:space="preserve">4.1法律法规和技术规范</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本需求至少应满足以下法律法规、技术规范的要求：</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（1）</w:t>
      </w:r>
      <w:bookmarkStart w:id="100" w:name="_Hlk227071089"/>
      <w:r>
        <w:rPr>
          <w:rFonts w:hint="eastAsia" w:ascii="宋体" w:hAnsi="宋体" w:cs="宋体"/>
          <w:sz w:val="24"/>
          <w:szCs w:val="24"/>
        </w:rPr>
        <w:t xml:space="preserve">《中华人民共和国消费者权益保护法》</w:t>
      </w:r>
      <w:bookmarkEnd w:id="100"/>
      <w:r>
        <w:rPr>
          <w:rFonts w:hint="eastAsia" w:ascii="宋体" w:hAnsi="宋体" w:cs="宋体"/>
          <w:sz w:val="24"/>
          <w:szCs w:val="24"/>
        </w:rPr>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（2）《中华人民共和国产品质量法》</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w:t>
      </w:r>
      <w:bookmarkStart w:id="101" w:name="_Hlk227071202"/>
      <w:r>
        <w:rPr>
          <w:rFonts w:hint="eastAsia" w:ascii="宋体" w:hAnsi="宋体" w:cs="宋体"/>
          <w:sz w:val="24"/>
          <w:szCs w:val="24"/>
        </w:rPr>
        <w:t xml:space="preserve">《中华人民共和国标准化法》</w:t>
      </w:r>
      <w:bookmarkEnd w:id="101"/>
      <w:r>
        <w:rPr>
          <w:rFonts w:hint="eastAsia" w:ascii="宋体" w:hAnsi="宋体" w:cs="宋体"/>
          <w:sz w:val="24"/>
          <w:szCs w:val="24"/>
        </w:rPr>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w:t>
      </w:r>
      <w:bookmarkStart w:id="102" w:name="_Hlk227071213"/>
      <w:r>
        <w:rPr>
          <w:rFonts w:hint="eastAsia" w:ascii="宋体" w:hAnsi="宋体" w:cs="宋体"/>
          <w:sz w:val="24"/>
          <w:szCs w:val="24"/>
        </w:rPr>
        <w:t xml:space="preserve">《检验检测机构监督管理办法》</w:t>
      </w:r>
      <w:bookmarkEnd w:id="102"/>
      <w:r>
        <w:rPr>
          <w:rFonts w:hint="eastAsia" w:ascii="宋体" w:hAnsi="宋体" w:cs="宋体"/>
          <w:sz w:val="24"/>
          <w:szCs w:val="24"/>
        </w:rPr>
        <w:t xml:space="preserve">（国家市场监督管理总局令 第39号）</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本需求应参照以下制度办法的要求：</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（1）《产品质量监督抽查管理暂行办法》（国家市场监督管理总局令 第18号）</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（2）《江苏省省级产品质量监督抽查工作规范》</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注：以上法律法规、制度办法、技术规范如有更新，按最新标准执行。</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4.2主要技术要求</w:t>
      </w:r>
      <w:r/>
    </w:p>
    <w:p>
      <w:pPr>
        <w:pStyle w:val="731"/>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4.2.1抽样环节</w:t>
      </w:r>
      <w:r/>
    </w:p>
    <w:p>
      <w:pPr>
        <w:pStyle w:val="731"/>
        <w:ind w:firstLine="480"/>
        <w:jc w:val="center"/>
        <w:spacing w:after="160" w:line="360" w:lineRule="auto"/>
        <w:widowControl w:val="off"/>
        <w:rPr>
          <w:rFonts w:hint="eastAsia" w:ascii="宋体" w:hAnsi="宋体" w:cs="宋体"/>
          <w:sz w:val="24"/>
          <w:szCs w:val="24"/>
        </w:rPr>
      </w:pPr>
      <w:r>
        <w:rPr>
          <w:rFonts w:hint="eastAsia" w:ascii="宋体" w:hAnsi="宋体" w:cs="宋体"/>
          <w:sz w:val="24"/>
          <w:szCs w:val="24"/>
        </w:rPr>
        <w:t xml:space="preserve">表1 抽样环节主要技术内容和标准</w:t>
      </w:r>
      <w:r/>
    </w:p>
    <w:tbl>
      <w:tblPr>
        <w:tblW w:w="4998" w:type="pct"/>
        <w:tblInd w:w="118" w:type="dxa"/>
        <w:tblLayout w:type="autofit"/>
        <w:tblCellMar>
          <w:left w:w="108" w:type="dxa"/>
          <w:top w:w="0" w:type="dxa"/>
          <w:right w:w="108" w:type="dxa"/>
          <w:bottom w:w="0" w:type="dxa"/>
        </w:tblCellMar>
        <w:tblLook w:val="04A0" w:firstRow="1" w:lastRow="0" w:firstColumn="1" w:lastColumn="0" w:noHBand="0" w:noVBand="1"/>
      </w:tblPr>
      <w:tblGrid>
        <w:gridCol w:w="754"/>
        <w:gridCol w:w="755"/>
        <w:gridCol w:w="1297"/>
        <w:gridCol w:w="5713"/>
      </w:tblGrid>
      <w:tr>
        <w:trPr>
          <w:trHeight w:val="322"/>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gridSpan w:val="2"/>
            <w:tcBorders>
              <w:top w:val="single" w:color="000000" w:sz="8" w:space="0"/>
              <w:left w:val="single" w:color="000000" w:sz="8" w:space="0"/>
              <w:bottom w:val="single" w:color="000000" w:sz="8" w:space="0"/>
              <w:right w:val="single" w:color="000000" w:sz="8" w:space="0"/>
            </w:tcBorders>
            <w:tcW w:w="120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服务名称</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352"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服务内容和标准</w:t>
            </w:r>
            <w:r>
              <w:rPr>
                <w:rFonts w:hint="eastAsia" w:ascii="宋体" w:hAnsi="宋体" w:cs="宋体"/>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抽样前准备</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抽样单位应当建立产品质量监督抽查抽样管理制度，明确岗位职责、抽样流程和工作纪律。</w:t>
            </w:r>
            <w:r>
              <w:rPr>
                <w:rFonts w:hint="eastAsia" w:ascii="宋体" w:hAnsi="宋体" w:cs="宋体"/>
                <w:sz w:val="24"/>
                <w:szCs w:val="24"/>
              </w:rPr>
            </w:r>
            <w:r/>
          </w:p>
        </w:tc>
      </w:tr>
      <w:tr>
        <w:trPr>
          <w:cantSplit/>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w:t>
            </w:r>
            <w:r>
              <w:rPr>
                <w:rFonts w:hint="eastAsia" w:ascii="宋体" w:hAnsi="宋体" w:cs="宋体"/>
                <w:sz w:val="24"/>
                <w:szCs w:val="24"/>
                <w:lang w:bidi="ar"/>
              </w:rPr>
              <w:t xml:space="preserve">人员确定</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color w:val="000000"/>
                <w:sz w:val="24"/>
                <w:szCs w:val="24"/>
                <w:lang w:bidi="ar"/>
              </w:rPr>
              <w:t xml:space="preserve">1</w:t>
            </w:r>
            <w:r>
              <w:rPr>
                <w:rFonts w:hint="eastAsia" w:ascii="宋体" w:hAnsi="宋体" w:cs="宋体"/>
                <w:sz w:val="24"/>
                <w:szCs w:val="24"/>
                <w:lang w:bidi="ar"/>
              </w:rPr>
              <w:t xml:space="preserve">）独立的抽样人员数量、能力等要求与服务需求相匹配。</w:t>
            </w:r>
            <w:r>
              <w:rPr>
                <w:rFonts w:hint="eastAsia" w:ascii="宋体" w:hAnsi="宋体" w:cs="宋体"/>
                <w:sz w:val="24"/>
                <w:szCs w:val="24"/>
              </w:rPr>
            </w:r>
            <w:r/>
          </w:p>
        </w:tc>
      </w:tr>
      <w:tr>
        <w:trPr>
          <w:cantSplit/>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lang w:bidi="ar"/>
              </w:rPr>
              <w:t xml:space="preserve">）</w:t>
            </w:r>
            <w:r>
              <w:rPr>
                <w:rFonts w:hint="eastAsia" w:ascii="宋体" w:hAnsi="宋体" w:cs="宋体"/>
                <w:sz w:val="24"/>
                <w:szCs w:val="24"/>
                <w:lang w:bidi="ar"/>
              </w:rPr>
              <w:t xml:space="preserve">实施抽检分离，</w:t>
            </w:r>
            <w:r>
              <w:rPr>
                <w:rFonts w:ascii="宋体" w:hAnsi="宋体" w:cs="宋体"/>
                <w:sz w:val="24"/>
                <w:szCs w:val="24"/>
                <w:lang w:bidi="ar"/>
              </w:rPr>
              <w:t xml:space="preserve">同一产品</w:t>
            </w:r>
            <w:r>
              <w:rPr>
                <w:rFonts w:hint="eastAsia" w:ascii="宋体" w:hAnsi="宋体" w:cs="宋体"/>
                <w:sz w:val="24"/>
                <w:szCs w:val="24"/>
                <w:lang w:bidi="ar"/>
              </w:rPr>
              <w:t xml:space="preserve">抽样人员与检验人员不得为同一人。</w:t>
            </w:r>
            <w:r>
              <w:rPr>
                <w:rFonts w:hint="eastAsia" w:ascii="宋体" w:hAnsi="宋体" w:cs="宋体"/>
                <w:sz w:val="24"/>
                <w:szCs w:val="24"/>
              </w:rPr>
            </w:r>
            <w:r/>
          </w:p>
        </w:tc>
      </w:tr>
      <w:tr>
        <w:trPr>
          <w:cantSplit/>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（3）抽样人员执行抽样任务时不得少于两人。</w:t>
            </w:r>
            <w:r>
              <w:rPr>
                <w:rFonts w:hint="eastAsia" w:ascii="宋体" w:hAnsi="宋体" w:cs="宋体"/>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抽样前培训</w:t>
            </w:r>
            <w:r>
              <w:rPr>
                <w:rFonts w:hint="eastAsia" w:ascii="宋体" w:hAnsi="宋体" w:cs="宋体"/>
                <w:sz w:val="24"/>
                <w:szCs w:val="24"/>
              </w:rPr>
            </w:r>
            <w:r/>
          </w:p>
        </w:tc>
        <w:tc>
          <w:tcPr>
            <w:tcBorders>
              <w:top w:val="singl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抽样前应当对抽样人员进行培训，并做好相关记录。抽样人员应当熟悉产品质量法、《产品质量监督抽查管理暂行办法》《江苏省省级产品质量监督抽查工作规范》等相关法律法规、规章和产品标准。</w:t>
            </w:r>
            <w:r>
              <w:rPr>
                <w:rFonts w:hint="eastAsia" w:ascii="宋体" w:hAnsi="宋体" w:cs="宋体"/>
                <w:sz w:val="24"/>
                <w:szCs w:val="24"/>
              </w:rPr>
            </w:r>
            <w:r/>
          </w:p>
        </w:tc>
      </w:tr>
      <w:tr>
        <w:trPr>
          <w:cantSplit/>
          <w:trHeight w:val="322"/>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现场抽样</w:t>
            </w: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761"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抽样告知</w:t>
            </w:r>
            <w:r>
              <w:rPr>
                <w:rFonts w:hint="eastAsia" w:ascii="宋体" w:hAnsi="宋体" w:cs="宋体"/>
                <w:sz w:val="24"/>
                <w:szCs w:val="24"/>
              </w:rPr>
            </w:r>
            <w:r/>
          </w:p>
        </w:tc>
        <w:tc>
          <w:tcPr>
            <w:tcBorders>
              <w:top w:val="single" w:color="000000" w:sz="8" w:space="0"/>
              <w:left w:val="single" w:color="000000" w:sz="8" w:space="0"/>
              <w:bottom w:val="singl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抽样工作不得预先通知受检单位，以消费者名义进行购买。</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信息核查</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抽样人员应详实记录受检单位的营业执照所载信息、实际经营地址等相关内容</w:t>
            </w:r>
            <w:r>
              <w:rPr>
                <w:rFonts w:hint="eastAsia" w:ascii="宋体" w:hAnsi="宋体" w:cs="宋体"/>
                <w:sz w:val="24"/>
                <w:szCs w:val="24"/>
                <w:lang w:bidi="ar"/>
              </w:rPr>
              <w:t xml:space="preserve">。</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8" w:space="0"/>
              <w:bottom w:val="single" w:color="000000" w:sz="8" w:space="0"/>
              <w:right w:val="single" w:color="000000" w:sz="4" w:space="0"/>
            </w:tcBorders>
            <w:tcW w:w="761"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样品抽取</w:t>
            </w: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（1）抽样人员应从受检单位的经营场所待销产品中随机购买样品，不得由受检单位自行提供样品。</w:t>
            </w:r>
            <w:r>
              <w:rPr>
                <w:rFonts w:hint="eastAsia" w:ascii="宋体" w:hAnsi="宋体" w:cs="宋体"/>
                <w:sz w:val="24"/>
                <w:szCs w:val="24"/>
              </w:rPr>
            </w:r>
            <w:r/>
          </w:p>
        </w:tc>
      </w:tr>
      <w:tr>
        <w:trPr>
          <w:cantSplit/>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352" w:type="pct"/>
            <w:vAlign w:val="center"/>
            <w:textDirection w:val="lrTb"/>
            <w:noWrap w:val="false"/>
          </w:tcPr>
          <w:p>
            <w:pPr>
              <w:pStyle w:val="731"/>
              <w:spacing w:after="160" w:line="320" w:lineRule="exact"/>
              <w:rPr>
                <w:rFonts w:ascii="宋体" w:hAnsi="宋体" w:cs="宋体"/>
                <w:sz w:val="24"/>
                <w:szCs w:val="24"/>
                <w:lang w:bidi="ar"/>
              </w:rPr>
            </w:pPr>
            <w:r>
              <w:rPr>
                <w:rFonts w:hint="eastAsia" w:ascii="宋体" w:hAnsi="宋体" w:cs="宋体"/>
                <w:sz w:val="24"/>
                <w:szCs w:val="24"/>
                <w:lang w:bidi="ar"/>
              </w:rPr>
              <w:t xml:space="preserve">（2）抽样数量原则上应当满足检验的要求。</w:t>
            </w:r>
            <w:r>
              <w:rPr>
                <w:rFonts w:ascii="宋体" w:hAnsi="宋体" w:cs="宋体"/>
                <w:sz w:val="24"/>
                <w:szCs w:val="24"/>
                <w:lang w:bidi="ar"/>
              </w:rPr>
            </w:r>
            <w:r/>
          </w:p>
          <w:p>
            <w:pPr>
              <w:pStyle w:val="731"/>
              <w:spacing w:after="160" w:line="320" w:lineRule="exact"/>
              <w:rPr>
                <w:rFonts w:hint="eastAsia" w:ascii="宋体" w:hAnsi="宋体" w:cs="宋体"/>
                <w:sz w:val="24"/>
                <w:szCs w:val="24"/>
              </w:rPr>
            </w:pPr>
            <w:r>
              <w:rPr>
                <w:rFonts w:hint="eastAsia"/>
                <w:sz w:val="24"/>
                <w:szCs w:val="24"/>
                <w:lang w:bidi="ar"/>
              </w:rPr>
              <w:t xml:space="preserve">（3）抽样现场的设备，品种、数量、功能应能满足项目需求。</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761"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封样签字</w:t>
            </w:r>
            <w:r>
              <w:rPr>
                <w:rFonts w:hint="eastAsia"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（1）抽样人员应当采取有效的防拆封措施，对检验样品封样，并贴上封条。</w:t>
            </w:r>
            <w:r>
              <w:rPr>
                <w:rFonts w:hint="eastAsia" w:ascii="宋体" w:hAnsi="宋体" w:cs="宋体"/>
                <w:sz w:val="24"/>
                <w:szCs w:val="24"/>
              </w:rPr>
            </w:r>
            <w:r/>
          </w:p>
        </w:tc>
      </w:tr>
      <w:tr>
        <w:trPr>
          <w:cantSplit/>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（2）封条上应当由抽样人员签字或盖章确认。</w:t>
            </w:r>
            <w:r>
              <w:rPr>
                <w:rFonts w:hint="eastAsia" w:ascii="宋体" w:hAnsi="宋体" w:cs="宋体"/>
                <w:sz w:val="24"/>
                <w:szCs w:val="24"/>
              </w:rPr>
            </w:r>
            <w:r/>
          </w:p>
        </w:tc>
      </w:tr>
      <w:tr>
        <w:trPr>
          <w:cantSplit/>
          <w:trHeight w:val="2929"/>
        </w:trPr>
        <w:tc>
          <w:tcPr>
            <w:tcBorders>
              <w:top w:val="none" w:color="000000" w:sz="4" w:space="0"/>
              <w:left w:val="single" w:color="000000" w:sz="8" w:space="0"/>
              <w:bottom w:val="single" w:color="000000" w:sz="4"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761"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抽样单填写</w:t>
            </w:r>
            <w:r>
              <w:rPr>
                <w:rFonts w:hint="eastAsia" w:ascii="宋体" w:hAnsi="宋体" w:cs="宋体"/>
                <w:sz w:val="24"/>
                <w:szCs w:val="24"/>
              </w:rPr>
            </w:r>
            <w:r/>
          </w:p>
        </w:tc>
        <w:tc>
          <w:tcPr>
            <w:tcBorders>
              <w:top w:val="singl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lang w:bidi="ar"/>
              </w:rPr>
            </w:pPr>
            <w:r>
              <w:rPr>
                <w:rFonts w:hint="eastAsia" w:ascii="宋体" w:hAnsi="宋体" w:cs="宋体"/>
                <w:sz w:val="24"/>
                <w:szCs w:val="24"/>
                <w:lang w:bidi="ar"/>
              </w:rPr>
              <w:t xml:space="preserve">（1）抽样人员根据实际情况填写《产品质量监督抽查抽样单》，详细记录抽样信息。</w:t>
            </w:r>
            <w:r/>
          </w:p>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（2）如遇特殊情况，</w:t>
            </w:r>
            <w:r>
              <w:rPr>
                <w:rFonts w:hint="eastAsia" w:ascii="宋体" w:hAnsi="宋体" w:cs="宋体"/>
                <w:sz w:val="24"/>
                <w:szCs w:val="24"/>
                <w:lang w:bidi="ar"/>
              </w:rPr>
              <w:t xml:space="preserve">经采购人同意，使用纸质版抽样文书时，应当字迹工整、清晰，容易辨认，不得随意更改。</w:t>
            </w:r>
            <w:r>
              <w:rPr>
                <w:rFonts w:hint="eastAsia" w:ascii="宋体" w:hAnsi="宋体" w:cs="宋体"/>
                <w:sz w:val="24"/>
                <w:szCs w:val="24"/>
              </w:rPr>
            </w:r>
            <w:r/>
          </w:p>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（3）抽样单填写完毕后，应当由抽样人员签字或盖章确认。</w:t>
            </w:r>
            <w:r>
              <w:rPr>
                <w:rFonts w:hint="eastAsia" w:ascii="宋体" w:hAnsi="宋体" w:cs="宋体"/>
                <w:sz w:val="24"/>
                <w:szCs w:val="24"/>
              </w:rPr>
            </w:r>
            <w:r/>
          </w:p>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（4）如未采集到受检单位营业执照信息，地址栏填写实体店实际地址，具体到门牌号。</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现场信息采集</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（1）抽样人员应当通过拍照等方式对抽样场所、证照信息、贮存环境、样品信息、封样、运输等环节进行现场信息采集。</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（2）必要时，使用信息采集的设备，包括相机等类似设备应能满足项目需求，完整、清晰记录抽样现场过程。</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费用支付</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抽样人员应当向受检单位支付样品购置费并索取发票（或相关购物凭证）及所</w:t>
            </w:r>
            <w:r>
              <w:rPr>
                <w:rFonts w:hint="eastAsia" w:ascii="宋体" w:hAnsi="宋体" w:cs="宋体"/>
                <w:sz w:val="24"/>
                <w:szCs w:val="24"/>
                <w:lang w:bidi="ar"/>
              </w:rPr>
              <w:t xml:space="preserve">购样品明细。</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样品运输</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（1）抽取的样品应当由抽样人员携带或寄送至检验机构。</w:t>
            </w:r>
            <w:r>
              <w:rPr>
                <w:rFonts w:hint="eastAsia" w:ascii="宋体" w:hAnsi="宋体" w:cs="宋体"/>
                <w:sz w:val="24"/>
                <w:szCs w:val="24"/>
              </w:rPr>
            </w:r>
            <w:r/>
          </w:p>
        </w:tc>
      </w:tr>
      <w:tr>
        <w:trPr>
          <w:cantSplit/>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（2）抽样人员应当根据样品特性和检验目的进行合理贮存、运输。</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（3）对于易碎或有其他特殊贮运条件等要求的样品，抽样人员应当采取适当措施，保证样品运输过程符合标准或样品标示要求的运输条件。</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（4）用于样品运输的设备和车辆，运载能力和数量应能满足项目需求。</w:t>
            </w:r>
            <w:r>
              <w:rPr>
                <w:rFonts w:hint="eastAsia" w:ascii="宋体" w:hAnsi="宋体" w:cs="宋体"/>
                <w:sz w:val="24"/>
                <w:szCs w:val="24"/>
              </w:rPr>
            </w:r>
            <w:r/>
          </w:p>
        </w:tc>
      </w:tr>
    </w:tbl>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4.2.2检验环节</w:t>
      </w:r>
      <w:r/>
    </w:p>
    <w:p>
      <w:pPr>
        <w:pStyle w:val="731"/>
        <w:jc w:val="center"/>
        <w:spacing w:after="160" w:line="560" w:lineRule="exact"/>
        <w:rPr>
          <w:rFonts w:hint="eastAsia" w:ascii="宋体" w:hAnsi="宋体" w:cs="宋体"/>
          <w:sz w:val="24"/>
          <w:szCs w:val="24"/>
        </w:rPr>
      </w:pPr>
      <w:r>
        <w:rPr>
          <w:rFonts w:hint="eastAsia" w:ascii="宋体" w:hAnsi="宋体" w:cs="宋体"/>
          <w:sz w:val="24"/>
          <w:szCs w:val="24"/>
        </w:rPr>
        <w:t xml:space="preserve">表2 检验环节主要技术内容和标准</w:t>
      </w:r>
      <w:r/>
    </w:p>
    <w:tbl>
      <w:tblPr>
        <w:tblW w:w="4998" w:type="pct"/>
        <w:tblInd w:w="118" w:type="dxa"/>
        <w:tblLayout w:type="autofit"/>
        <w:tblCellMar>
          <w:left w:w="108" w:type="dxa"/>
          <w:top w:w="0" w:type="dxa"/>
          <w:right w:w="108" w:type="dxa"/>
          <w:bottom w:w="0" w:type="dxa"/>
        </w:tblCellMar>
        <w:tblLook w:val="04A0" w:firstRow="1" w:lastRow="0" w:firstColumn="1" w:lastColumn="0" w:noHBand="0" w:noVBand="1"/>
      </w:tblPr>
      <w:tblGrid>
        <w:gridCol w:w="843"/>
        <w:gridCol w:w="1609"/>
        <w:gridCol w:w="6067"/>
      </w:tblGrid>
      <w:tr>
        <w:trPr>
          <w:trHeight w:val="322"/>
        </w:trPr>
        <w:tc>
          <w:tcPr>
            <w:tcBorders>
              <w:top w:val="single" w:color="000000" w:sz="8"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服务名称</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3560"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服务内容和标准</w:t>
            </w:r>
            <w:r>
              <w:rPr>
                <w:rFonts w:hint="eastAsia" w:ascii="宋体" w:hAnsi="宋体" w:cs="宋体"/>
                <w:sz w:val="24"/>
                <w:szCs w:val="24"/>
              </w:rPr>
            </w:r>
            <w:r/>
          </w:p>
        </w:tc>
      </w:tr>
      <w:tr>
        <w:trPr>
          <w:trHeight w:val="680"/>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检验单位要求</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未经</w:t>
            </w:r>
            <w:r>
              <w:rPr>
                <w:rFonts w:hint="eastAsia" w:ascii="宋体" w:hAnsi="宋体" w:cs="宋体"/>
                <w:sz w:val="24"/>
                <w:szCs w:val="24"/>
                <w:lang w:bidi="ar"/>
              </w:rPr>
              <w:t xml:space="preserve">采购人同意，检验单位不得分包或者转包检验任务。</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检验人员管理</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（1）相关产品检验人员数量、专业领域、工作年限等要求与服务需求相匹配。</w:t>
            </w:r>
            <w:r>
              <w:rPr>
                <w:rFonts w:hint="eastAsia" w:ascii="宋体" w:hAnsi="宋体" w:cs="宋体"/>
                <w:sz w:val="24"/>
                <w:szCs w:val="24"/>
              </w:rPr>
            </w:r>
            <w:r/>
          </w:p>
        </w:tc>
      </w:tr>
      <w:tr>
        <w:trPr>
          <w:cantSplit/>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（2）建立检验人员持证上岗制度，加强产品质量相关法律法规、标准规范、质量控制要求、实验室安全与防护知识等方面的培训考核，确保检验人员能力持续满足承检工作需求。</w:t>
            </w:r>
            <w:r>
              <w:rPr>
                <w:rFonts w:hint="eastAsia" w:ascii="宋体" w:hAnsi="宋体" w:cs="宋体"/>
                <w:sz w:val="24"/>
                <w:szCs w:val="24"/>
              </w:rPr>
            </w:r>
            <w:r/>
          </w:p>
        </w:tc>
      </w:tr>
      <w:tr>
        <w:trPr>
          <w:cantSplit/>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样品接收与保存</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（1）检验单位接收样品时，应当查验、记录样品的外观、状态、封条有无破损以及其他可能对检验结论产生影响的情况，并核对样品与抽样文书信息。</w:t>
            </w:r>
            <w:r>
              <w:rPr>
                <w:rFonts w:hint="eastAsia" w:ascii="宋体" w:hAnsi="宋体" w:cs="宋体"/>
                <w:sz w:val="24"/>
                <w:szCs w:val="24"/>
              </w:rPr>
            </w:r>
            <w:r/>
          </w:p>
        </w:tc>
      </w:tr>
      <w:tr>
        <w:trPr>
          <w:cantSplit/>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（2）对符合检验要求的样品，检验单位应当在</w:t>
            </w:r>
            <w:r>
              <w:rPr>
                <w:rFonts w:ascii="宋体" w:hAnsi="宋体" w:cs="宋体"/>
                <w:sz w:val="24"/>
                <w:szCs w:val="24"/>
                <w:lang w:bidi="ar"/>
              </w:rPr>
              <w:t xml:space="preserve">抽样后五个工作日内</w:t>
            </w:r>
            <w:r>
              <w:rPr>
                <w:rFonts w:hint="eastAsia" w:ascii="宋体" w:hAnsi="宋体" w:cs="宋体"/>
                <w:sz w:val="24"/>
                <w:szCs w:val="24"/>
                <w:lang w:bidi="ar"/>
              </w:rPr>
              <w:t xml:space="preserve">完成样品接收工作，将检验样品加贴相应标识后，按照要求入库存放。</w:t>
            </w:r>
            <w:r>
              <w:rPr>
                <w:rFonts w:hint="eastAsia" w:ascii="宋体" w:hAnsi="宋体" w:cs="宋体"/>
                <w:sz w:val="24"/>
                <w:szCs w:val="24"/>
              </w:rPr>
            </w:r>
            <w:r/>
          </w:p>
        </w:tc>
      </w:tr>
      <w:tr>
        <w:trPr>
          <w:cantSplit/>
          <w:trHeight w:val="1242"/>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对不符合要求的样品，如抽样文书信息与实际样品不符、样品数量不能满足检验要求、样品性状改变可能对检验结论产生影响、封条破损、封样缺少防拆封措施等情况，检验单位应当拒绝接收并规范填写拒收理由，及时报告采购人。</w:t>
            </w:r>
            <w:r>
              <w:rPr>
                <w:rFonts w:hint="eastAsia" w:ascii="宋体" w:hAnsi="宋体" w:cs="宋体"/>
                <w:sz w:val="24"/>
                <w:szCs w:val="24"/>
              </w:rPr>
            </w:r>
            <w:r/>
          </w:p>
        </w:tc>
      </w:tr>
      <w:tr>
        <w:trPr>
          <w:cantSplit/>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（4）抽样检验的样品由检验单位保存。检验单位应当建立样品保管制度，严禁样品被随意调换、拆封。</w:t>
            </w:r>
            <w:r>
              <w:rPr>
                <w:rFonts w:hint="eastAsia" w:ascii="宋体" w:hAnsi="宋体" w:cs="宋体"/>
                <w:sz w:val="24"/>
                <w:szCs w:val="24"/>
              </w:rPr>
            </w:r>
            <w:r/>
          </w:p>
        </w:tc>
      </w:tr>
      <w:tr>
        <w:trPr>
          <w:cantSplit/>
          <w:trHeight w:val="322"/>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（5）样品储存场所容量、环境、温度控制等与服务需求相匹配。</w:t>
            </w:r>
            <w:r>
              <w:rPr>
                <w:rFonts w:hint="eastAsia" w:ascii="宋体" w:hAnsi="宋体" w:cs="宋体"/>
                <w:sz w:val="24"/>
                <w:szCs w:val="24"/>
              </w:rPr>
            </w:r>
            <w:r/>
          </w:p>
        </w:tc>
      </w:tr>
      <w:tr>
        <w:trPr>
          <w:cantSplit/>
          <w:trHeight w:val="628"/>
        </w:trPr>
        <w:tc>
          <w:tcPr>
            <w:tcBorders>
              <w:top w:val="singl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8" w:space="0"/>
              <w:bottom w:val="single" w:color="000000" w:sz="8" w:space="0"/>
              <w:right w:val="single" w:color="FFFFFF" w:sz="8" w:space="0"/>
            </w:tcBorders>
            <w:tcW w:w="94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w:t>
            </w:r>
            <w:r>
              <w:rPr>
                <w:rFonts w:hint="eastAsia" w:ascii="宋体" w:hAnsi="宋体" w:cs="宋体"/>
                <w:sz w:val="24"/>
                <w:szCs w:val="24"/>
              </w:rPr>
            </w:r>
            <w:r/>
          </w:p>
        </w:tc>
        <w:tc>
          <w:tcPr>
            <w:tcBorders>
              <w:top w:val="singl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（1）检验单位应依据相关产品标</w:t>
            </w:r>
            <w:r>
              <w:rPr>
                <w:rFonts w:hint="eastAsia" w:ascii="宋体" w:hAnsi="宋体" w:cs="宋体"/>
                <w:sz w:val="24"/>
                <w:szCs w:val="24"/>
                <w:lang w:bidi="ar"/>
              </w:rPr>
              <w:t xml:space="preserve">准、法律法规、专业特色市场产品质量风险动态监测实施方案确定的检验项目和检验方法进行。</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FFFFFF"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（2）拟用于相关产品检验工作的实验场所面积、环境、布局和组成部分等与服务需求相匹配。</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FFFFFF"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（3）检验设备的仪器型号、等级、精密度、运行状况和数量应能满足项目需求。</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检验记录</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（1）检验原始记录必须如实填写，保证真实、准确、完整、清晰、可溯源，不得随意更改。</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（2）确有必要更改的，更改处应当经检验人员签字或盖章确认，采用电子化原始记录的，应当保留更改痕迹。</w:t>
            </w:r>
            <w:r>
              <w:rPr>
                <w:rFonts w:hint="eastAsia" w:ascii="宋体" w:hAnsi="宋体" w:cs="宋体"/>
                <w:sz w:val="24"/>
                <w:szCs w:val="24"/>
              </w:rPr>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结果质量控制</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检验单位应当选取加标回收、人员比对、设备比对或实验室间比</w:t>
            </w:r>
            <w:r>
              <w:rPr>
                <w:rFonts w:hint="eastAsia" w:ascii="宋体" w:hAnsi="宋体" w:cs="宋体"/>
                <w:sz w:val="24"/>
                <w:szCs w:val="24"/>
                <w:lang w:bidi="ar"/>
              </w:rPr>
              <w:t xml:space="preserve">对等质控方式确保数据的准确性。</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检验报告</w:t>
            </w: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（1）检验单位应当按规定格式出具检验报告，检验报告应当内容真实完整、数据准确。</w:t>
            </w:r>
            <w:r>
              <w:rPr>
                <w:rFonts w:hint="eastAsia" w:ascii="宋体" w:hAnsi="宋体" w:cs="宋体"/>
                <w:sz w:val="24"/>
                <w:szCs w:val="24"/>
              </w:rPr>
            </w:r>
            <w:r/>
          </w:p>
        </w:tc>
      </w:tr>
      <w:tr>
        <w:trPr>
          <w:cantSplit/>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（2）检验单位应当按约定时间完成抽样检验工作，并出具检验检测报告。</w:t>
            </w:r>
            <w:r>
              <w:rPr>
                <w:rFonts w:hint="eastAsia" w:ascii="宋体" w:hAnsi="宋体" w:cs="宋体"/>
                <w:sz w:val="24"/>
                <w:szCs w:val="24"/>
              </w:rPr>
            </w:r>
            <w:r/>
          </w:p>
        </w:tc>
      </w:tr>
      <w:tr>
        <w:trPr>
          <w:cantSplit/>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pStyle w:val="731"/>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（3）检验单位出具的检验报告应当加盖机构公章或检验检测专用章，并有相关检验人员的签名或者盖章。检验单位和检验人员对出具的检验报告负责。</w:t>
            </w:r>
            <w:r>
              <w:rPr>
                <w:rFonts w:hint="eastAsia" w:ascii="宋体" w:hAnsi="宋体" w:cs="宋体"/>
                <w:sz w:val="24"/>
                <w:szCs w:val="24"/>
              </w:rPr>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检验过程特殊情况</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检验过程中遇有样品失效或者其他情况致使检验无法进行的，检验单位必须如实记录有关情况，提供充分的证明材料，并将有关情况</w:t>
            </w:r>
            <w:r>
              <w:rPr>
                <w:rFonts w:hint="eastAsia" w:ascii="宋体" w:hAnsi="宋体" w:cs="宋体"/>
                <w:sz w:val="24"/>
                <w:szCs w:val="24"/>
                <w:lang w:bidi="ar"/>
              </w:rPr>
              <w:t xml:space="preserve">报告采购人。</w:t>
            </w:r>
            <w:r>
              <w:rPr>
                <w:rFonts w:hint="eastAsia" w:ascii="宋体" w:hAnsi="宋体" w:cs="宋体"/>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风险信息限时报送</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在检验过程中发现严重产品质量安全风险情形的，应当立即对样品信息、检验结果等进行核实，并向采购人书面或电话报告，确认对方收悉并记录备查。检验单位要按“急事急办”原则，尽快出具完整的检验报告。</w:t>
            </w:r>
            <w:r>
              <w:rPr>
                <w:rFonts w:hint="eastAsia" w:ascii="宋体" w:hAnsi="宋体" w:cs="宋体"/>
                <w:sz w:val="24"/>
                <w:szCs w:val="24"/>
              </w:rPr>
            </w:r>
            <w:r/>
          </w:p>
        </w:tc>
      </w:tr>
      <w:tr>
        <w:trPr>
          <w:trHeight w:val="1242"/>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pStyle w:val="731"/>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检验报告报送</w:t>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pStyle w:val="731"/>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检验单位应当在检验结论作出后两个工作日内将检验报告及《产品质量监督抽查结果通知单》《产品质量监督抽查抽样单》《不合格产品质量分析建议书》等有关材料报送采购人。</w:t>
            </w:r>
            <w:r>
              <w:rPr>
                <w:rFonts w:hint="eastAsia" w:ascii="宋体" w:hAnsi="宋体" w:cs="宋体"/>
                <w:sz w:val="24"/>
                <w:szCs w:val="24"/>
              </w:rPr>
            </w:r>
            <w:r/>
          </w:p>
        </w:tc>
      </w:tr>
    </w:tbl>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4.2.3数据汇总、分析报告与复检环节</w:t>
      </w:r>
      <w:r/>
    </w:p>
    <w:p>
      <w:pPr>
        <w:pStyle w:val="731"/>
        <w:jc w:val="center"/>
        <w:spacing w:after="160" w:line="560" w:lineRule="exact"/>
        <w:rPr>
          <w:rFonts w:hint="eastAsia" w:ascii="宋体" w:hAnsi="宋体" w:cs="宋体"/>
          <w:sz w:val="24"/>
          <w:szCs w:val="24"/>
        </w:rPr>
      </w:pPr>
      <w:r>
        <w:rPr>
          <w:rFonts w:hint="eastAsia" w:ascii="宋体" w:hAnsi="宋体" w:cs="宋体"/>
          <w:sz w:val="24"/>
          <w:szCs w:val="24"/>
        </w:rPr>
        <w:t xml:space="preserve">表3 数据处理上报、分析报告环节主要技术内容和标准</w:t>
      </w:r>
      <w:r/>
    </w:p>
    <w:tbl>
      <w:tblPr>
        <w:tblW w:w="4998" w:type="pct"/>
        <w:tblInd w:w="113" w:type="dxa"/>
        <w:tblLayout w:type="autofit"/>
        <w:tblCellMar>
          <w:left w:w="108" w:type="dxa"/>
          <w:top w:w="0" w:type="dxa"/>
          <w:right w:w="108" w:type="dxa"/>
          <w:bottom w:w="0" w:type="dxa"/>
        </w:tblCellMar>
        <w:tblLook w:val="04A0" w:firstRow="1" w:lastRow="0" w:firstColumn="1" w:lastColumn="0" w:noHBand="0" w:noVBand="1"/>
      </w:tblPr>
      <w:tblGrid>
        <w:gridCol w:w="933"/>
        <w:gridCol w:w="1578"/>
        <w:gridCol w:w="6008"/>
      </w:tblGrid>
      <w:tr>
        <w:trPr>
          <w:trHeight w:val="307"/>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序号</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服务名称</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服务内容和标准</w:t>
            </w:r>
            <w:r>
              <w:rPr>
                <w:rFonts w:cs="Calibri"/>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1</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检验检测报告</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参照《江苏省省级产品质量监督抽查工作规范》中检验检测报告格式出具报告，检验检测报告应当内容真实齐全、数据准确、结论明确。</w:t>
            </w:r>
            <w:r>
              <w:rPr>
                <w:rFonts w:cs="Calibri"/>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2</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不合格产品质量分析建议书</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对检验结果为不合格的产品，应组织技术专家对发现的质量问题进行分析研究，结合该类产品设计、制造和质量管理要求，形成《不合格产品质量分析建议书》，提出具有针对性的问题分析和改进建议。</w:t>
            </w:r>
            <w:r>
              <w:rPr>
                <w:rFonts w:cs="Calibri"/>
                <w:sz w:val="24"/>
                <w:szCs w:val="24"/>
              </w:rPr>
            </w:r>
            <w:r/>
          </w:p>
        </w:tc>
      </w:tr>
      <w:tr>
        <w:trPr>
          <w:cantSplit/>
          <w:trHeight w:val="803"/>
        </w:trPr>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pStyle w:val="731"/>
              <w:jc w:val="center"/>
              <w:spacing w:after="160" w:line="320" w:lineRule="exact"/>
              <w:rPr>
                <w:rFonts w:cs="Calibri"/>
                <w:sz w:val="24"/>
                <w:szCs w:val="24"/>
              </w:rPr>
            </w:pPr>
            <w:r>
              <w:rPr>
                <w:rFonts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26" w:type="pct"/>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数据汇总</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（1）数据统计分析、结果信息报送人员数量、能力等要求与服务需求相匹配。</w:t>
            </w:r>
            <w:r>
              <w:rPr>
                <w:rFonts w:cs="Calibri"/>
                <w:sz w:val="24"/>
                <w:szCs w:val="24"/>
              </w:rPr>
            </w:r>
            <w:r/>
          </w:p>
        </w:tc>
      </w:tr>
      <w:tr>
        <w:trPr>
          <w:cantSplit/>
          <w:trHeight w:val="920"/>
        </w:trPr>
        <w:tc>
          <w:tcPr>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（2）根据采购人要求，按时完成抽</w:t>
            </w:r>
            <w:r>
              <w:rPr>
                <w:rFonts w:hint="eastAsia" w:cs="Calibri"/>
                <w:sz w:val="24"/>
                <w:szCs w:val="24"/>
              </w:rPr>
              <w:t xml:space="preserve">检数据的统计汇总分析，并将检验数据与抽样、检验检测报告等信息对应一致报采购人，检验单位对数据质量负责。</w:t>
            </w:r>
            <w:r>
              <w:rPr>
                <w:rFonts w:cs="Calibri"/>
                <w:sz w:val="24"/>
                <w:szCs w:val="24"/>
              </w:rPr>
            </w:r>
            <w:r/>
          </w:p>
          <w:p>
            <w:pPr>
              <w:pStyle w:val="731"/>
              <w:spacing w:after="160" w:line="320" w:lineRule="exact"/>
              <w:rPr>
                <w:rFonts w:hint="eastAsia" w:cs="Calibri"/>
                <w:sz w:val="24"/>
                <w:szCs w:val="24"/>
              </w:rPr>
            </w:pPr>
            <w:r>
              <w:rPr>
                <w:rFonts w:hint="eastAsia" w:cs="Calibri"/>
                <w:sz w:val="24"/>
                <w:szCs w:val="24"/>
              </w:rPr>
              <w:t xml:space="preserve">（3）在委托书限定时间内完成任务并及时上传“江苏省产品质量安全监督管理系统”。</w:t>
            </w:r>
            <w:r/>
          </w:p>
        </w:tc>
      </w:tr>
      <w:tr>
        <w:trPr>
          <w:cantSplit/>
          <w:trHeight w:val="935"/>
        </w:trPr>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pStyle w:val="731"/>
              <w:jc w:val="center"/>
              <w:spacing w:after="160" w:line="320" w:lineRule="exact"/>
              <w:rPr>
                <w:rFonts w:cs="Calibri"/>
                <w:sz w:val="24"/>
                <w:szCs w:val="24"/>
              </w:rPr>
            </w:pPr>
            <w:r>
              <w:rPr>
                <w:rFonts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26" w:type="pct"/>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分析报告</w:t>
            </w: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w:t>
            </w:r>
            <w:r>
              <w:rPr>
                <w:rFonts w:cs="Calibri"/>
                <w:sz w:val="24"/>
                <w:szCs w:val="24"/>
              </w:rPr>
              <w:t xml:space="preserve">1</w:t>
            </w:r>
            <w:r>
              <w:rPr>
                <w:rFonts w:hint="eastAsia" w:cs="Calibri"/>
                <w:sz w:val="24"/>
                <w:szCs w:val="24"/>
              </w:rPr>
              <w:t xml:space="preserve">）在检验工作完成后按采购人要求提供分析报告，包含但不限于任务抽检情况、结果分析、风险警示、工作建议等方面内容。</w:t>
            </w:r>
            <w:r>
              <w:rPr>
                <w:rFonts w:cs="Calibri"/>
                <w:sz w:val="24"/>
                <w:szCs w:val="24"/>
              </w:rPr>
            </w:r>
            <w:r/>
          </w:p>
        </w:tc>
      </w:tr>
      <w:tr>
        <w:trPr>
          <w:cantSplit/>
          <w:trHeight w:val="948"/>
        </w:trPr>
        <w:tc>
          <w:tcPr>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w:t>
            </w:r>
            <w:r>
              <w:rPr>
                <w:rFonts w:cs="Calibri"/>
                <w:sz w:val="24"/>
                <w:szCs w:val="24"/>
              </w:rPr>
              <w:t xml:space="preserve">2</w:t>
            </w:r>
            <w:r>
              <w:rPr>
                <w:rFonts w:hint="eastAsia" w:cs="Calibri"/>
                <w:sz w:val="24"/>
                <w:szCs w:val="24"/>
              </w:rPr>
              <w:t xml:space="preserve">）分析报告应当全面、详实、有针对性，风险提示清晰明确、建议切实可行。</w:t>
            </w:r>
            <w:r>
              <w:rPr>
                <w:rFonts w:cs="Calibri"/>
                <w:sz w:val="24"/>
                <w:szCs w:val="24"/>
              </w:rPr>
            </w:r>
            <w:r/>
          </w:p>
        </w:tc>
      </w:tr>
    </w:tbl>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4.2.4其他服务要求</w:t>
      </w:r>
      <w:r/>
    </w:p>
    <w:p>
      <w:pPr>
        <w:pStyle w:val="731"/>
        <w:jc w:val="center"/>
        <w:spacing w:after="160" w:line="560" w:lineRule="exact"/>
        <w:rPr>
          <w:rFonts w:hint="eastAsia" w:ascii="宋体" w:hAnsi="宋体" w:cs="宋体"/>
          <w:sz w:val="24"/>
          <w:szCs w:val="24"/>
        </w:rPr>
      </w:pPr>
      <w:r>
        <w:rPr>
          <w:rFonts w:hint="eastAsia" w:ascii="宋体" w:hAnsi="宋体" w:cs="宋体"/>
          <w:sz w:val="24"/>
          <w:szCs w:val="24"/>
        </w:rPr>
        <w:t xml:space="preserve">表4 其他服务内容和标准</w:t>
      </w:r>
      <w:r/>
    </w:p>
    <w:tbl>
      <w:tblPr>
        <w:tblW w:w="964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150"/>
        <w:gridCol w:w="6676"/>
      </w:tblGrid>
      <w:tr>
        <w:trPr>
          <w:trHeight w:val="322"/>
        </w:trPr>
        <w:tc>
          <w:tcPr>
            <w:tcW w:w="819"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序号</w:t>
            </w:r>
            <w:r>
              <w:rPr>
                <w:rFonts w:cs="Calibri"/>
                <w:sz w:val="24"/>
                <w:szCs w:val="24"/>
              </w:rPr>
            </w:r>
            <w:r/>
          </w:p>
        </w:tc>
        <w:tc>
          <w:tcPr>
            <w:tcW w:w="2150"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服务名称</w:t>
            </w:r>
            <w:r>
              <w:rPr>
                <w:rFonts w:cs="Calibri"/>
                <w:sz w:val="24"/>
                <w:szCs w:val="24"/>
              </w:rPr>
            </w:r>
            <w:r/>
          </w:p>
        </w:tc>
        <w:tc>
          <w:tcPr>
            <w:tcW w:w="6676"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服务内容和标准</w:t>
            </w:r>
            <w:r>
              <w:rPr>
                <w:rFonts w:cs="Calibri"/>
                <w:sz w:val="24"/>
                <w:szCs w:val="24"/>
              </w:rPr>
            </w:r>
            <w:r/>
          </w:p>
        </w:tc>
      </w:tr>
      <w:tr>
        <w:trPr>
          <w:cantSplit/>
          <w:trHeight w:val="1020"/>
        </w:trPr>
        <w:tc>
          <w:tcPr>
            <w:tcW w:w="819" w:type="dxa"/>
            <w:vAlign w:val="center"/>
            <w:vMerge w:val="restart"/>
            <w:textDirection w:val="lrTb"/>
            <w:noWrap w:val="false"/>
          </w:tcPr>
          <w:p>
            <w:pPr>
              <w:pStyle w:val="731"/>
              <w:jc w:val="center"/>
              <w:spacing w:after="160" w:line="320" w:lineRule="exact"/>
              <w:rPr>
                <w:rFonts w:cs="Calibri"/>
                <w:sz w:val="24"/>
                <w:szCs w:val="24"/>
              </w:rPr>
            </w:pPr>
            <w:r>
              <w:rPr>
                <w:rFonts w:cs="Calibri"/>
                <w:sz w:val="24"/>
                <w:szCs w:val="24"/>
              </w:rPr>
              <w:t xml:space="preserve">1</w:t>
            </w:r>
            <w:r/>
          </w:p>
        </w:tc>
        <w:tc>
          <w:tcPr>
            <w:tcW w:w="2150"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人员团队配置</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highlight w:val="yellow"/>
              </w:rPr>
            </w:pPr>
            <w:r>
              <w:rPr>
                <w:rFonts w:hint="eastAsia" w:cs="Calibri"/>
                <w:sz w:val="24"/>
                <w:szCs w:val="24"/>
              </w:rPr>
              <w:t xml:space="preserve">（1）项目负责人职称要求</w:t>
            </w:r>
            <w:r>
              <w:rPr>
                <w:rFonts w:hint="eastAsia" w:cs="Calibri"/>
                <w:sz w:val="24"/>
                <w:szCs w:val="24"/>
              </w:rPr>
              <w:t xml:space="preserve">：供应商拟投入本项目的项目负责人应具有副高级以上专业技术职称。</w:t>
            </w:r>
            <w:r>
              <w:rPr>
                <w:rFonts w:cs="Calibri"/>
                <w:sz w:val="24"/>
                <w:szCs w:val="24"/>
                <w:highlight w:val="yellow"/>
              </w:rPr>
            </w:r>
            <w:r/>
          </w:p>
        </w:tc>
      </w:tr>
      <w:tr>
        <w:trPr>
          <w:cantSplit/>
          <w:trHeight w:val="1658"/>
        </w:trPr>
        <w:tc>
          <w:tcPr>
            <w:tcW w:w="819"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pStyle w:val="731"/>
              <w:jc w:val="center"/>
              <w:spacing w:after="160" w:line="320" w:lineRule="exact"/>
              <w:rPr>
                <w:rFonts w:hint="eastAsia" w:cs="Calibri"/>
                <w:sz w:val="24"/>
                <w:szCs w:val="24"/>
              </w:rPr>
            </w:pPr>
            <w:r>
              <w:rPr>
                <w:rFonts w:hint="eastAsia" w:cs="Calibri"/>
                <w:sz w:val="24"/>
                <w:szCs w:val="24"/>
              </w:rPr>
            </w:r>
            <w:r/>
          </w:p>
        </w:tc>
        <w:tc>
          <w:tcPr>
            <w:tcW w:w="6676" w:type="dxa"/>
            <w:vAlign w:val="center"/>
            <w:textDirection w:val="lrTb"/>
            <w:noWrap w:val="false"/>
          </w:tcPr>
          <w:p>
            <w:pPr>
              <w:pStyle w:val="731"/>
              <w:spacing w:after="160" w:line="320" w:lineRule="exact"/>
              <w:rPr>
                <w:rFonts w:hint="eastAsia" w:cs="Calibri"/>
                <w:sz w:val="24"/>
                <w:szCs w:val="24"/>
              </w:rPr>
            </w:pPr>
            <w:r>
              <w:rPr>
                <w:rFonts w:hint="eastAsia" w:cs="Calibri"/>
                <w:sz w:val="24"/>
                <w:szCs w:val="24"/>
              </w:rPr>
              <w:t xml:space="preserve">（2）配备人员数量要求：应配备与所投风险动态监测产品任务数量相匹配的抽样检测人员，相关的中级（含）以上职称检验人员或具有8年以上所投产品检验工作经历的人员数量不少于4人；抽样人员数量不少于6人。</w:t>
            </w:r>
            <w:r/>
          </w:p>
        </w:tc>
      </w:tr>
      <w:tr>
        <w:trPr>
          <w:cantSplit/>
          <w:trHeight w:val="628"/>
        </w:trPr>
        <w:tc>
          <w:tcPr>
            <w:tcW w:w="819"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2</w:t>
            </w:r>
            <w:r>
              <w:rPr>
                <w:rFonts w:cs="Calibri"/>
                <w:sz w:val="24"/>
                <w:szCs w:val="24"/>
              </w:rPr>
            </w:r>
            <w:r/>
          </w:p>
        </w:tc>
        <w:tc>
          <w:tcPr>
            <w:tcW w:w="2150"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管理制度</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（1）管理制度具备抽样、检验工作管理制度、样品管理、处置工作管理制度、结果上报管理制度等全流程工作的具体要求。</w:t>
            </w:r>
            <w:r>
              <w:rPr>
                <w:rFonts w:cs="Calibri"/>
                <w:sz w:val="24"/>
                <w:szCs w:val="24"/>
              </w:rPr>
            </w:r>
            <w:r/>
          </w:p>
        </w:tc>
      </w:tr>
      <w:tr>
        <w:trPr>
          <w:cantSplit/>
          <w:trHeight w:val="628"/>
        </w:trPr>
        <w:tc>
          <w:tcPr>
            <w:tcW w:w="819"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（2）管理制度完善、内容齐全，制度措施科学合理</w:t>
            </w:r>
            <w:r>
              <w:rPr>
                <w:rFonts w:cs="Calibri"/>
                <w:sz w:val="24"/>
                <w:szCs w:val="24"/>
              </w:rPr>
              <w:t xml:space="preserve">，</w:t>
            </w:r>
            <w:r>
              <w:rPr>
                <w:rFonts w:hint="eastAsia" w:cs="Calibri"/>
                <w:sz w:val="24"/>
                <w:szCs w:val="24"/>
              </w:rPr>
              <w:t xml:space="preserve">有针对性，且能满足相关法律法规规章的规定及采购需求。</w:t>
            </w:r>
            <w:r>
              <w:rPr>
                <w:rFonts w:cs="Calibri"/>
                <w:sz w:val="24"/>
                <w:szCs w:val="24"/>
              </w:rPr>
            </w:r>
            <w:r/>
          </w:p>
        </w:tc>
      </w:tr>
      <w:tr>
        <w:trPr>
          <w:trHeight w:val="628"/>
        </w:trPr>
        <w:tc>
          <w:tcPr>
            <w:tcW w:w="819"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3</w:t>
            </w:r>
            <w:r>
              <w:rPr>
                <w:rFonts w:cs="Calibri"/>
                <w:sz w:val="24"/>
                <w:szCs w:val="24"/>
              </w:rPr>
            </w:r>
            <w:r/>
          </w:p>
        </w:tc>
        <w:tc>
          <w:tcPr>
            <w:tcW w:w="2150"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快速响应服务时效</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供应商具备在突发情况出现时2小时内予以响应的快速响应服务时效。</w:t>
            </w:r>
            <w:r>
              <w:rPr>
                <w:rFonts w:cs="Calibri"/>
                <w:sz w:val="24"/>
                <w:szCs w:val="24"/>
              </w:rPr>
            </w:r>
            <w:r/>
          </w:p>
        </w:tc>
      </w:tr>
      <w:tr>
        <w:trPr>
          <w:cantSplit/>
          <w:trHeight w:val="628"/>
        </w:trPr>
        <w:tc>
          <w:tcPr>
            <w:tcW w:w="819"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4</w:t>
            </w:r>
            <w:r>
              <w:rPr>
                <w:rFonts w:cs="Calibri"/>
                <w:sz w:val="24"/>
                <w:szCs w:val="24"/>
              </w:rPr>
            </w:r>
            <w:r/>
          </w:p>
        </w:tc>
        <w:tc>
          <w:tcPr>
            <w:tcW w:w="2150"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服务方案</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（1）服务方案应当包括但不限于前期准备工作（包括工作部署、抽样工作的详细内容及组织安排、样品购买、样品接收及核查方案等）、后期准备工作（</w:t>
            </w:r>
            <w:r>
              <w:rPr>
                <w:rFonts w:cs="Calibri"/>
                <w:sz w:val="24"/>
                <w:szCs w:val="24"/>
              </w:rPr>
              <w:t xml:space="preserve">包括检验工作安排、检验结果报送、样品处置及保密工作</w:t>
            </w:r>
            <w:r>
              <w:rPr>
                <w:rFonts w:hint="eastAsia" w:cs="Calibri"/>
                <w:sz w:val="24"/>
                <w:szCs w:val="24"/>
              </w:rPr>
              <w:t xml:space="preserve">等）、重点难点问题分析及解决方案等各项内容。</w:t>
            </w:r>
            <w:r>
              <w:rPr>
                <w:rFonts w:cs="Calibri"/>
                <w:sz w:val="24"/>
                <w:szCs w:val="24"/>
              </w:rPr>
            </w:r>
            <w:r/>
          </w:p>
        </w:tc>
      </w:tr>
      <w:tr>
        <w:trPr>
          <w:cantSplit/>
          <w:trHeight w:val="322"/>
        </w:trPr>
        <w:tc>
          <w:tcPr>
            <w:tcW w:w="819"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（2）服务方案内容、结构完整，科学有效，有针对性、可操作性强。</w:t>
            </w:r>
            <w:r>
              <w:rPr>
                <w:rFonts w:cs="Calibri"/>
                <w:sz w:val="24"/>
                <w:szCs w:val="24"/>
              </w:rPr>
            </w:r>
            <w:r/>
          </w:p>
        </w:tc>
      </w:tr>
      <w:tr>
        <w:trPr>
          <w:cantSplit/>
          <w:trHeight w:val="628"/>
        </w:trPr>
        <w:tc>
          <w:tcPr>
            <w:tcW w:w="819"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5</w:t>
            </w:r>
            <w:r>
              <w:rPr>
                <w:rFonts w:cs="Calibri"/>
                <w:sz w:val="24"/>
                <w:szCs w:val="24"/>
              </w:rPr>
            </w:r>
            <w:r/>
          </w:p>
        </w:tc>
        <w:tc>
          <w:tcPr>
            <w:tcW w:w="2150" w:type="dxa"/>
            <w:vAlign w:val="center"/>
            <w:vMerge w:val="restart"/>
            <w:textDirection w:val="lrTb"/>
            <w:noWrap w:val="false"/>
          </w:tcPr>
          <w:p>
            <w:pPr>
              <w:pStyle w:val="731"/>
              <w:jc w:val="center"/>
              <w:spacing w:after="160" w:line="320" w:lineRule="exact"/>
              <w:rPr>
                <w:rFonts w:cs="Calibri"/>
                <w:sz w:val="24"/>
                <w:szCs w:val="24"/>
              </w:rPr>
            </w:pPr>
            <w:r>
              <w:rPr>
                <w:rFonts w:hint="eastAsia" w:cs="Calibri"/>
                <w:sz w:val="24"/>
                <w:szCs w:val="24"/>
              </w:rPr>
              <w:t xml:space="preserve">突发事件应急处置预案</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cs="Calibri"/>
                <w:sz w:val="24"/>
                <w:szCs w:val="24"/>
              </w:rPr>
              <w:t xml:space="preserve">（1）</w:t>
            </w:r>
            <w:r>
              <w:rPr>
                <w:rFonts w:hint="eastAsia" w:cs="Calibri"/>
                <w:sz w:val="24"/>
                <w:szCs w:val="24"/>
              </w:rPr>
              <w:t xml:space="preserve">应具有专门应对突发事件且符合项目需求的专业人员、专业设备和应急处置预案。</w:t>
            </w:r>
            <w:r>
              <w:rPr>
                <w:rFonts w:cs="Calibri"/>
                <w:sz w:val="24"/>
                <w:szCs w:val="24"/>
              </w:rPr>
            </w:r>
            <w:r/>
          </w:p>
        </w:tc>
      </w:tr>
      <w:tr>
        <w:trPr>
          <w:cantSplit/>
          <w:trHeight w:val="322"/>
        </w:trPr>
        <w:tc>
          <w:tcPr>
            <w:tcW w:w="819"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pStyle w:val="731"/>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cs="Calibri"/>
                <w:sz w:val="24"/>
                <w:szCs w:val="24"/>
              </w:rPr>
              <w:t xml:space="preserve">（2）</w:t>
            </w:r>
            <w:r>
              <w:rPr>
                <w:rFonts w:hint="eastAsia" w:cs="Calibri"/>
                <w:sz w:val="24"/>
                <w:szCs w:val="24"/>
              </w:rPr>
              <w:t xml:space="preserve">预案内容全面，处置应对措施科学有效，可操作性强。</w:t>
            </w:r>
            <w:r>
              <w:rPr>
                <w:rFonts w:cs="Calibri"/>
                <w:sz w:val="24"/>
                <w:szCs w:val="24"/>
              </w:rPr>
            </w:r>
            <w:r/>
          </w:p>
        </w:tc>
      </w:tr>
      <w:tr>
        <w:trPr>
          <w:trHeight w:val="2410"/>
        </w:trPr>
        <w:tc>
          <w:tcPr>
            <w:tcW w:w="819"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6</w:t>
            </w:r>
            <w:r>
              <w:rPr>
                <w:rFonts w:cs="Calibri"/>
                <w:sz w:val="24"/>
                <w:szCs w:val="24"/>
              </w:rPr>
            </w:r>
            <w:r/>
          </w:p>
        </w:tc>
        <w:tc>
          <w:tcPr>
            <w:tcW w:w="2150"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工作业绩</w:t>
            </w:r>
            <w:r>
              <w:rPr>
                <w:rFonts w:cs="Calibri"/>
                <w:sz w:val="24"/>
                <w:szCs w:val="24"/>
              </w:rPr>
            </w:r>
            <w:r/>
          </w:p>
        </w:tc>
        <w:tc>
          <w:tcPr>
            <w:tcW w:w="6676" w:type="dxa"/>
            <w:vAlign w:val="center"/>
            <w:textDirection w:val="lrTb"/>
            <w:noWrap w:val="false"/>
          </w:tcPr>
          <w:p>
            <w:pPr>
              <w:pStyle w:val="731"/>
              <w:spacing w:after="0" w:line="320" w:lineRule="exact"/>
              <w:rPr>
                <w:rFonts w:cs="Calibri"/>
                <w:sz w:val="24"/>
                <w:szCs w:val="24"/>
              </w:rPr>
            </w:pPr>
            <w:r>
              <w:rPr>
                <w:rFonts w:hint="eastAsia" w:cs="Calibri"/>
                <w:sz w:val="24"/>
                <w:szCs w:val="24"/>
              </w:rPr>
              <w:t xml:space="preserve">（1）承担相关产品质量安全抽样检验工作任务及类似项目情况，包括常规监督抽查任务、应急及专项任务。</w:t>
            </w:r>
            <w:r>
              <w:rPr>
                <w:rFonts w:cs="Calibri"/>
                <w:sz w:val="24"/>
                <w:szCs w:val="24"/>
              </w:rPr>
            </w:r>
            <w:r/>
          </w:p>
          <w:p>
            <w:pPr>
              <w:pStyle w:val="731"/>
              <w:spacing w:after="0" w:line="320" w:lineRule="exact"/>
              <w:rPr>
                <w:rFonts w:cs="Calibri"/>
                <w:sz w:val="24"/>
                <w:szCs w:val="24"/>
              </w:rPr>
            </w:pPr>
            <w:r>
              <w:rPr>
                <w:rFonts w:hint="eastAsia" w:cs="Calibri"/>
                <w:sz w:val="24"/>
                <w:szCs w:val="24"/>
              </w:rPr>
              <w:t xml:space="preserve">（2）工作业绩应能证明供应商的服务能力。</w:t>
            </w:r>
            <w:r>
              <w:rPr>
                <w:rFonts w:cs="Calibri"/>
                <w:sz w:val="24"/>
                <w:szCs w:val="24"/>
              </w:rPr>
            </w:r>
            <w:r/>
          </w:p>
          <w:p>
            <w:pPr>
              <w:pStyle w:val="731"/>
              <w:spacing w:after="0" w:line="320" w:lineRule="exact"/>
              <w:rPr>
                <w:rFonts w:cs="Calibri"/>
                <w:sz w:val="24"/>
                <w:szCs w:val="24"/>
              </w:rPr>
            </w:pPr>
            <w:r>
              <w:rPr>
                <w:rFonts w:hint="eastAsia" w:cs="Calibri"/>
                <w:sz w:val="24"/>
                <w:szCs w:val="24"/>
              </w:rPr>
              <w:t xml:space="preserve">（3）从2023年1月1日起（以合同或合作协议签订时间为准）至投标截止之日止，投标人承担过与本项目类似案例产品质量监督抽查业绩。</w:t>
            </w:r>
            <w:r>
              <w:rPr>
                <w:rFonts w:cs="Calibri"/>
                <w:sz w:val="24"/>
                <w:szCs w:val="24"/>
              </w:rPr>
            </w:r>
            <w:r/>
          </w:p>
        </w:tc>
      </w:tr>
      <w:tr>
        <w:trPr>
          <w:trHeight w:val="322"/>
        </w:trPr>
        <w:tc>
          <w:tcPr>
            <w:tcW w:w="819"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7</w:t>
            </w:r>
            <w:r>
              <w:rPr>
                <w:rFonts w:cs="Calibri"/>
                <w:sz w:val="24"/>
                <w:szCs w:val="24"/>
              </w:rPr>
            </w:r>
            <w:r/>
          </w:p>
        </w:tc>
        <w:tc>
          <w:tcPr>
            <w:tcW w:w="2150" w:type="dxa"/>
            <w:vAlign w:val="center"/>
            <w:textDirection w:val="lrTb"/>
            <w:noWrap w:val="false"/>
          </w:tcPr>
          <w:p>
            <w:pPr>
              <w:pStyle w:val="731"/>
              <w:jc w:val="center"/>
              <w:spacing w:after="160" w:line="320" w:lineRule="exact"/>
              <w:rPr>
                <w:rFonts w:cs="Calibri"/>
                <w:sz w:val="24"/>
                <w:szCs w:val="24"/>
              </w:rPr>
            </w:pPr>
            <w:r>
              <w:rPr>
                <w:rFonts w:hint="eastAsia" w:cs="Calibri"/>
                <w:sz w:val="24"/>
                <w:szCs w:val="24"/>
              </w:rPr>
              <w:t xml:space="preserve">工作质量状况</w:t>
            </w:r>
            <w:r>
              <w:rPr>
                <w:rFonts w:cs="Calibri"/>
                <w:sz w:val="24"/>
                <w:szCs w:val="24"/>
              </w:rPr>
            </w:r>
            <w:r/>
          </w:p>
        </w:tc>
        <w:tc>
          <w:tcPr>
            <w:tcW w:w="6676" w:type="dxa"/>
            <w:vAlign w:val="center"/>
            <w:textDirection w:val="lrTb"/>
            <w:noWrap w:val="false"/>
          </w:tcPr>
          <w:p>
            <w:pPr>
              <w:pStyle w:val="731"/>
              <w:spacing w:after="160" w:line="320" w:lineRule="exact"/>
              <w:rPr>
                <w:rFonts w:cs="Calibri"/>
                <w:sz w:val="24"/>
                <w:szCs w:val="24"/>
              </w:rPr>
            </w:pPr>
            <w:r>
              <w:rPr>
                <w:rFonts w:hint="eastAsia" w:cs="Calibri"/>
                <w:sz w:val="24"/>
                <w:szCs w:val="24"/>
              </w:rPr>
              <w:t xml:space="preserve">在承担产品质量安全抽检任务中，未有因工作质量问题被通报的情况。</w:t>
            </w:r>
            <w:r>
              <w:rPr>
                <w:rFonts w:cs="Calibri"/>
                <w:sz w:val="24"/>
                <w:szCs w:val="24"/>
              </w:rPr>
            </w:r>
            <w:r/>
          </w:p>
        </w:tc>
      </w:tr>
      <w:tr>
        <w:trPr>
          <w:trHeight w:val="322"/>
        </w:trPr>
        <w:tc>
          <w:tcPr>
            <w:tcW w:w="819" w:type="dxa"/>
            <w:vAlign w:val="center"/>
            <w:textDirection w:val="lrTb"/>
            <w:noWrap w:val="false"/>
          </w:tcPr>
          <w:p>
            <w:pPr>
              <w:pStyle w:val="731"/>
              <w:jc w:val="center"/>
              <w:spacing w:after="160" w:line="320" w:lineRule="exact"/>
              <w:rPr>
                <w:rFonts w:hint="eastAsia" w:cs="Calibri"/>
                <w:sz w:val="24"/>
                <w:szCs w:val="24"/>
              </w:rPr>
            </w:pPr>
            <w:r>
              <w:rPr>
                <w:rFonts w:hint="eastAsia" w:cs="Calibri"/>
                <w:sz w:val="24"/>
                <w:szCs w:val="24"/>
              </w:rPr>
              <w:t xml:space="preserve">8</w:t>
            </w:r>
            <w:r/>
          </w:p>
        </w:tc>
        <w:tc>
          <w:tcPr>
            <w:tcW w:w="2150" w:type="dxa"/>
            <w:vAlign w:val="center"/>
            <w:textDirection w:val="lrTb"/>
            <w:noWrap w:val="false"/>
          </w:tcPr>
          <w:p>
            <w:pPr>
              <w:pStyle w:val="731"/>
              <w:jc w:val="center"/>
              <w:spacing w:after="0" w:line="320" w:lineRule="exact"/>
              <w:rPr>
                <w:sz w:val="24"/>
                <w:szCs w:val="24"/>
              </w:rPr>
            </w:pPr>
            <w:r>
              <w:rPr>
                <w:sz w:val="24"/>
                <w:szCs w:val="24"/>
              </w:rPr>
              <w:t xml:space="preserve">产业行业</w:t>
            </w:r>
            <w:r/>
          </w:p>
          <w:p>
            <w:pPr>
              <w:pStyle w:val="731"/>
              <w:jc w:val="center"/>
              <w:spacing w:after="160" w:line="320" w:lineRule="exact"/>
              <w:rPr>
                <w:rFonts w:hint="eastAsia" w:cs="Calibri"/>
                <w:sz w:val="24"/>
                <w:szCs w:val="24"/>
              </w:rPr>
            </w:pPr>
            <w:r>
              <w:rPr>
                <w:sz w:val="24"/>
                <w:szCs w:val="24"/>
              </w:rPr>
              <w:t xml:space="preserve">了解情况</w:t>
            </w:r>
            <w:r>
              <w:rPr>
                <w:rFonts w:hint="eastAsia" w:cs="Calibri"/>
                <w:sz w:val="24"/>
                <w:szCs w:val="24"/>
              </w:rPr>
            </w:r>
            <w:r/>
          </w:p>
        </w:tc>
        <w:tc>
          <w:tcPr>
            <w:tcW w:w="6676" w:type="dxa"/>
            <w:vAlign w:val="center"/>
            <w:textDirection w:val="lrTb"/>
            <w:noWrap w:val="false"/>
          </w:tcPr>
          <w:p>
            <w:pPr>
              <w:pStyle w:val="731"/>
              <w:spacing w:after="160" w:line="320" w:lineRule="exact"/>
              <w:rPr>
                <w:rFonts w:hint="eastAsia" w:cs="Calibri"/>
                <w:sz w:val="24"/>
                <w:szCs w:val="24"/>
              </w:rPr>
            </w:pPr>
            <w:r>
              <w:rPr>
                <w:sz w:val="24"/>
                <w:szCs w:val="24"/>
                <w:lang w:val="zh-CN"/>
              </w:rPr>
              <w:t xml:space="preserve">内容需包含产业分布状况、监测产品产业当前状态、专业</w:t>
            </w:r>
            <w:r>
              <w:rPr>
                <w:sz w:val="24"/>
                <w:szCs w:val="24"/>
                <w:lang w:val="zh-CN"/>
              </w:rPr>
              <w:t xml:space="preserve">市场现状、产品的质量现状、存在的风险点、应用前景和发展趋势</w:t>
            </w:r>
            <w:r>
              <w:rPr>
                <w:sz w:val="24"/>
                <w:szCs w:val="24"/>
              </w:rPr>
              <w:t xml:space="preserve">等</w:t>
            </w:r>
            <w:r>
              <w:rPr>
                <w:rFonts w:hint="eastAsia"/>
                <w:sz w:val="24"/>
                <w:szCs w:val="24"/>
              </w:rPr>
              <w:t xml:space="preserve">。</w:t>
            </w:r>
            <w:r>
              <w:rPr>
                <w:rFonts w:hint="eastAsia" w:cs="Calibri"/>
                <w:sz w:val="24"/>
                <w:szCs w:val="24"/>
              </w:rPr>
            </w:r>
            <w:r/>
          </w:p>
        </w:tc>
      </w:tr>
      <w:tr>
        <w:trPr>
          <w:trHeight w:val="322"/>
        </w:trPr>
        <w:tc>
          <w:tcPr>
            <w:tcW w:w="819" w:type="dxa"/>
            <w:vAlign w:val="center"/>
            <w:textDirection w:val="lrTb"/>
            <w:noWrap w:val="false"/>
          </w:tcPr>
          <w:p>
            <w:pPr>
              <w:pStyle w:val="731"/>
              <w:jc w:val="center"/>
              <w:spacing w:after="160" w:line="320" w:lineRule="exact"/>
              <w:rPr>
                <w:rFonts w:hint="eastAsia" w:cs="Calibri"/>
                <w:sz w:val="24"/>
                <w:szCs w:val="24"/>
              </w:rPr>
            </w:pPr>
            <w:r>
              <w:rPr>
                <w:rFonts w:hint="eastAsia" w:cs="Calibri"/>
                <w:sz w:val="24"/>
                <w:szCs w:val="24"/>
              </w:rPr>
              <w:t xml:space="preserve">9</w:t>
            </w:r>
            <w:r/>
          </w:p>
        </w:tc>
        <w:tc>
          <w:tcPr>
            <w:tcW w:w="2150" w:type="dxa"/>
            <w:vAlign w:val="center"/>
            <w:textDirection w:val="lrTb"/>
            <w:noWrap w:val="false"/>
          </w:tcPr>
          <w:p>
            <w:pPr>
              <w:pStyle w:val="731"/>
              <w:jc w:val="center"/>
              <w:spacing w:after="0" w:line="320" w:lineRule="exact"/>
              <w:rPr>
                <w:sz w:val="24"/>
                <w:szCs w:val="24"/>
              </w:rPr>
            </w:pPr>
            <w:r>
              <w:rPr>
                <w:rFonts w:hint="eastAsia"/>
                <w:sz w:val="24"/>
                <w:szCs w:val="24"/>
              </w:rPr>
              <w:t xml:space="preserve">仪器设备配备</w:t>
            </w:r>
            <w:r>
              <w:rPr>
                <w:sz w:val="24"/>
                <w:szCs w:val="24"/>
              </w:rPr>
            </w:r>
            <w:r/>
          </w:p>
        </w:tc>
        <w:tc>
          <w:tcPr>
            <w:tcW w:w="6676" w:type="dxa"/>
            <w:vAlign w:val="center"/>
            <w:textDirection w:val="lrTb"/>
            <w:noWrap w:val="false"/>
          </w:tcPr>
          <w:p>
            <w:pPr>
              <w:pStyle w:val="731"/>
              <w:spacing w:after="160" w:line="320" w:lineRule="exact"/>
              <w:rPr>
                <w:sz w:val="24"/>
                <w:szCs w:val="24"/>
                <w:lang w:val="zh-CN"/>
              </w:rPr>
            </w:pPr>
            <w:r>
              <w:rPr>
                <w:rFonts w:hint="eastAsia"/>
                <w:sz w:val="24"/>
                <w:szCs w:val="24"/>
              </w:rPr>
              <w:t xml:space="preserve">供应商应承诺在服务期间投入的所有仪器设备在计量（校准）有效期内，覆盖所投采购包风险动态监测产品全部检验项目，精度适宜、数量充足，能够满足所投采购包产品所有检验项目的检测需要。</w:t>
            </w:r>
            <w:r>
              <w:rPr>
                <w:sz w:val="24"/>
                <w:szCs w:val="24"/>
                <w:lang w:val="zh-CN"/>
              </w:rPr>
            </w:r>
            <w:r/>
          </w:p>
        </w:tc>
      </w:tr>
    </w:tbl>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4.2.5管理考核</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在服务周期内，供应商应确保其能力水平持续满足法律法规、标准、规范性文件和采购人的要求，并接受采购人组织的数据质量考核、日常考核和技术考核等。</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4.2.5.1 数据质量考核</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采购人对供应商报送的抽样检验数据的准确性、规范性、及时性等进行抽查。</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4.2.5.2 日常考核</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采购人对供应商在任务执行过程中开展的管理考核，包括任务完成时效、均衡推进、问题发现率、抽样方案和分析报告质量、重大问题及时报告、应急服务响应等相关情况。</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4.2.5.3 技术考核</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采购人对供应商在任务执行过程中开展的专项考核，包括飞行检查、报告抽查等。</w:t>
      </w:r>
      <w:r/>
    </w:p>
    <w:p>
      <w:pPr>
        <w:pStyle w:val="731"/>
        <w:ind w:firstLine="482"/>
        <w:jc w:val="both"/>
        <w:spacing w:before="312" w:after="160" w:line="360" w:lineRule="auto"/>
        <w:widowControl w:val="off"/>
        <w:rPr>
          <w:rFonts w:hint="eastAsia" w:ascii="宋体" w:hAnsi="宋体" w:cs="宋体"/>
          <w:b/>
          <w:sz w:val="24"/>
          <w:szCs w:val="24"/>
        </w:rPr>
        <w:outlineLvl w:val="0"/>
      </w:pPr>
      <w:r>
        <w:rPr>
          <w:rFonts w:hint="eastAsia" w:ascii="宋体" w:hAnsi="宋体" w:cs="宋体"/>
          <w:b/>
          <w:sz w:val="24"/>
          <w:szCs w:val="24"/>
        </w:rPr>
        <w:t xml:space="preserve">5.商务要求</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5.1 服务期限：</w:t>
      </w:r>
      <w:bookmarkStart w:id="103" w:name="_Hlk227075967"/>
      <w:r>
        <w:rPr>
          <w:rFonts w:hint="eastAsia" w:ascii="宋体" w:hAnsi="宋体" w:cs="宋体"/>
          <w:sz w:val="24"/>
          <w:szCs w:val="24"/>
        </w:rPr>
        <w:t xml:space="preserve">自合同签订之日起至202</w:t>
      </w:r>
      <w:r>
        <w:rPr>
          <w:rFonts w:ascii="宋体" w:hAnsi="宋体" w:cs="宋体"/>
          <w:sz w:val="24"/>
          <w:szCs w:val="24"/>
        </w:rPr>
        <w:t xml:space="preserve">6</w:t>
      </w:r>
      <w:r>
        <w:rPr>
          <w:rFonts w:hint="eastAsia" w:ascii="宋体" w:hAnsi="宋体" w:cs="宋体"/>
          <w:sz w:val="24"/>
          <w:szCs w:val="24"/>
        </w:rPr>
        <w:t xml:space="preserve">年11月30日完成。</w:t>
      </w:r>
      <w:bookmarkEnd w:id="103"/>
      <w:r>
        <w:rPr>
          <w:rFonts w:hint="eastAsia" w:ascii="宋体" w:hAnsi="宋体" w:cs="宋体"/>
          <w:sz w:val="24"/>
          <w:szCs w:val="24"/>
        </w:rPr>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5.2 服务范围：</w:t>
      </w:r>
      <w:r>
        <w:rPr>
          <w:rFonts w:hint="eastAsia"/>
          <w:sz w:val="24"/>
          <w:szCs w:val="24"/>
        </w:rPr>
        <w:t xml:space="preserve">江苏省</w:t>
      </w:r>
      <w:r>
        <w:rPr>
          <w:rFonts w:hint="eastAsia" w:ascii="宋体" w:hAnsi="宋体" w:cs="宋体"/>
          <w:sz w:val="24"/>
          <w:szCs w:val="24"/>
        </w:rPr>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 付款进度和方式</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5.3.1付款进度和方式：合同签订后30个工作日内，甲方向乙方预付服务费用的50%；甲方确</w:t>
      </w:r>
      <w:r>
        <w:rPr>
          <w:rFonts w:hint="eastAsia" w:ascii="宋体" w:hAnsi="宋体" w:cs="宋体"/>
          <w:sz w:val="24"/>
          <w:szCs w:val="24"/>
        </w:rPr>
        <w:t xml:space="preserve">认乙方按合同约定完成任务，验收合格后30个工作日内，向乙方支付剩余服务费用。</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5.3.2 本服务经费包括购样费、人员费用(交通费、住宿费、劳务费)、检测费、报告文本费（检测报告、质量分析报告等的编制打印）、相关文书的邮寄费、样品处置费、税金等各项全部费用。除双方另有约定，乙方不得再以其他任何理由向甲方主张其他费用。</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 履约验收</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5.4.1验收程序</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原则上按照通知验收、机构自查、验收评审、整改复查的流程组织开展验收工作。</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5.4.2验收内容</w:t>
      </w:r>
      <w:r/>
    </w:p>
    <w:p>
      <w:pPr>
        <w:pStyle w:val="731"/>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验收内容包括：计划执行情况、任务完成质量、分析报告质量、机构综合考核情况以及合同规定的其他履约情况等。履约验收的内容和标准如</w:t>
      </w:r>
      <w:r>
        <w:rPr>
          <w:rFonts w:hint="eastAsia" w:ascii="宋体" w:hAnsi="宋体" w:cs="宋体"/>
          <w:sz w:val="24"/>
          <w:szCs w:val="24"/>
        </w:rPr>
        <w:t xml:space="preserve">下：</w:t>
      </w:r>
      <w:r/>
    </w:p>
    <w:p>
      <w:pPr>
        <w:pStyle w:val="731"/>
        <w:jc w:val="center"/>
        <w:spacing w:after="160" w:line="560" w:lineRule="exact"/>
        <w:rPr>
          <w:rFonts w:hint="eastAsia" w:ascii="宋体" w:hAnsi="宋体" w:cs="宋体"/>
          <w:sz w:val="24"/>
          <w:szCs w:val="24"/>
        </w:rPr>
      </w:pPr>
      <w:r>
        <w:rPr>
          <w:rFonts w:hint="eastAsia" w:ascii="宋体" w:hAnsi="宋体" w:cs="宋体"/>
          <w:sz w:val="24"/>
          <w:szCs w:val="24"/>
        </w:rPr>
        <w:t xml:space="preserve">表5 履约验收项目表</w:t>
      </w:r>
      <w:r/>
    </w:p>
    <w:tbl>
      <w:tblPr>
        <w:tblW w:w="89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00"/>
        <w:gridCol w:w="4510"/>
        <w:gridCol w:w="1185"/>
      </w:tblGrid>
      <w:tr>
        <w:trPr>
          <w:trHeight w:val="513"/>
        </w:trPr>
        <w:tc>
          <w:tcPr>
            <w:tcW w:w="932" w:type="dxa"/>
            <w:vAlign w:val="center"/>
            <w:textDirection w:val="lrTb"/>
            <w:noWrap w:val="false"/>
          </w:tcPr>
          <w:p>
            <w:pPr>
              <w:pStyle w:val="731"/>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序号</w:t>
            </w:r>
            <w:r/>
          </w:p>
        </w:tc>
        <w:tc>
          <w:tcPr>
            <w:tcW w:w="2300" w:type="dxa"/>
            <w:vAlign w:val="center"/>
            <w:textDirection w:val="lrTb"/>
            <w:noWrap w:val="false"/>
          </w:tcPr>
          <w:p>
            <w:pPr>
              <w:pStyle w:val="731"/>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验收内容</w:t>
            </w:r>
            <w:r/>
          </w:p>
        </w:tc>
        <w:tc>
          <w:tcPr>
            <w:tcW w:w="4510" w:type="dxa"/>
            <w:vAlign w:val="center"/>
            <w:textDirection w:val="lrTb"/>
            <w:noWrap w:val="false"/>
          </w:tcPr>
          <w:p>
            <w:pPr>
              <w:pStyle w:val="731"/>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验收标准</w:t>
            </w:r>
            <w:r/>
          </w:p>
        </w:tc>
        <w:tc>
          <w:tcPr>
            <w:tcW w:w="1185" w:type="dxa"/>
            <w:vAlign w:val="center"/>
            <w:textDirection w:val="lrTb"/>
            <w:noWrap w:val="false"/>
          </w:tcPr>
          <w:p>
            <w:pPr>
              <w:pStyle w:val="731"/>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证明材料</w:t>
            </w:r>
            <w:r/>
          </w:p>
        </w:tc>
      </w:tr>
      <w:tr>
        <w:trPr>
          <w:trHeight w:val="443"/>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1</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计划执行情况</w:t>
            </w:r>
            <w:r/>
          </w:p>
        </w:tc>
        <w:tc>
          <w:tcPr>
            <w:tcW w:w="4510" w:type="dxa"/>
            <w:vAlign w:val="center"/>
            <w:textDirection w:val="lrTb"/>
            <w:noWrap w:val="false"/>
          </w:tcPr>
          <w:p>
            <w:pPr>
              <w:pStyle w:val="731"/>
              <w:spacing w:after="160" w:line="320" w:lineRule="exact"/>
              <w:rPr>
                <w:rFonts w:hint="eastAsia" w:ascii="宋体" w:hAnsi="宋体" w:cs="Calibri"/>
                <w:sz w:val="24"/>
                <w:szCs w:val="24"/>
              </w:rPr>
            </w:pPr>
            <w:r>
              <w:rPr>
                <w:rFonts w:hint="eastAsia" w:ascii="宋体" w:hAnsi="宋体" w:cs="Calibri"/>
                <w:sz w:val="24"/>
                <w:szCs w:val="24"/>
              </w:rPr>
              <w:t xml:space="preserve">抽查品种、批次、抽样区域、场所等符合采购人的要求；抽查批次数是否达到合同约定批次的95%以上。</w:t>
            </w:r>
            <w:r>
              <w:rPr>
                <w:rFonts w:ascii="宋体" w:hAnsi="宋体" w:cs="Calibri"/>
                <w:sz w:val="24"/>
                <w:szCs w:val="24"/>
              </w:rPr>
              <w:t xml:space="preserve"> </w:t>
            </w:r>
            <w:r>
              <w:rPr>
                <w:rFonts w:hint="eastAsia" w:ascii="宋体" w:hAnsi="宋体" w:cs="Calibri"/>
                <w:sz w:val="24"/>
                <w:szCs w:val="24"/>
              </w:rPr>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756"/>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2</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任务完成时限</w:t>
            </w:r>
            <w:r/>
          </w:p>
        </w:tc>
        <w:tc>
          <w:tcPr>
            <w:tcW w:w="4510" w:type="dxa"/>
            <w:vAlign w:val="center"/>
            <w:textDirection w:val="lrTb"/>
            <w:noWrap w:val="false"/>
          </w:tcPr>
          <w:p>
            <w:pPr>
              <w:pStyle w:val="731"/>
              <w:spacing w:after="160" w:line="320" w:lineRule="exact"/>
              <w:rPr>
                <w:rFonts w:hint="eastAsia" w:ascii="宋体" w:hAnsi="宋体" w:cs="Calibri"/>
                <w:sz w:val="24"/>
                <w:szCs w:val="24"/>
              </w:rPr>
            </w:pPr>
            <w:r>
              <w:rPr>
                <w:rFonts w:hint="eastAsia" w:ascii="宋体" w:hAnsi="宋体" w:cs="Calibri"/>
                <w:sz w:val="24"/>
                <w:szCs w:val="24"/>
              </w:rPr>
              <w:t xml:space="preserve">是否及时完成，抽样信息、检验数据、检验检测报告、质量分析报告是否及时报送。</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1392"/>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4</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任务完成质量</w:t>
            </w:r>
            <w:r/>
          </w:p>
        </w:tc>
        <w:tc>
          <w:tcPr>
            <w:tcW w:w="4510" w:type="dxa"/>
            <w:vAlign w:val="center"/>
            <w:textDirection w:val="lrTb"/>
            <w:noWrap w:val="false"/>
          </w:tcPr>
          <w:p>
            <w:pPr>
              <w:pStyle w:val="731"/>
              <w:spacing w:after="160" w:line="320" w:lineRule="exact"/>
              <w:rPr>
                <w:rFonts w:hint="eastAsia" w:ascii="宋体" w:hAnsi="宋体" w:cs="Calibri"/>
                <w:sz w:val="24"/>
                <w:szCs w:val="24"/>
              </w:rPr>
            </w:pPr>
            <w:r>
              <w:rPr>
                <w:rFonts w:hint="eastAsia" w:ascii="宋体" w:hAnsi="宋体" w:cs="Calibri"/>
                <w:sz w:val="24"/>
                <w:szCs w:val="24"/>
              </w:rPr>
              <w:t xml:space="preserve">抽样信息.检验数据的准确性、规范性等相关法律法规要求。</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838"/>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5</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ascii="宋体" w:hAnsi="宋体" w:cs="宋体"/>
                <w:sz w:val="24"/>
                <w:szCs w:val="24"/>
              </w:rPr>
              <w:t xml:space="preserve">分析报告质量</w:t>
            </w:r>
            <w:r>
              <w:rPr>
                <w:rFonts w:hint="eastAsia" w:ascii="宋体" w:hAnsi="宋体" w:cs="Calibri"/>
                <w:sz w:val="24"/>
                <w:szCs w:val="24"/>
              </w:rPr>
            </w:r>
            <w:r/>
          </w:p>
        </w:tc>
        <w:tc>
          <w:tcPr>
            <w:tcW w:w="4510" w:type="dxa"/>
            <w:vAlign w:val="center"/>
            <w:textDirection w:val="lrTb"/>
            <w:noWrap w:val="false"/>
          </w:tcPr>
          <w:p>
            <w:pPr>
              <w:pStyle w:val="731"/>
              <w:spacing w:after="160" w:line="320" w:lineRule="exact"/>
              <w:rPr>
                <w:rFonts w:hint="eastAsia" w:ascii="宋体" w:hAnsi="宋体" w:cs="Calibri"/>
                <w:sz w:val="24"/>
                <w:szCs w:val="24"/>
              </w:rPr>
            </w:pPr>
            <w:r>
              <w:rPr>
                <w:rFonts w:hint="eastAsia" w:ascii="宋体" w:hAnsi="宋体" w:cs="Calibri"/>
                <w:sz w:val="24"/>
                <w:szCs w:val="24"/>
              </w:rPr>
              <w:t xml:space="preserve">质量分析报告、不合格诊断建议书是否</w:t>
            </w:r>
            <w:r>
              <w:rPr>
                <w:rFonts w:ascii="宋体" w:hAnsi="宋体" w:cs="宋体"/>
                <w:sz w:val="24"/>
                <w:szCs w:val="24"/>
              </w:rPr>
              <w:t xml:space="preserve">全面、详实、有针对性</w:t>
            </w:r>
            <w:r>
              <w:rPr>
                <w:rFonts w:hint="eastAsia" w:ascii="宋体" w:hAnsi="宋体" w:cs="宋体"/>
                <w:sz w:val="24"/>
                <w:szCs w:val="24"/>
              </w:rPr>
              <w:t xml:space="preserve">，</w:t>
            </w:r>
            <w:r>
              <w:rPr>
                <w:rFonts w:ascii="宋体" w:hAnsi="宋体" w:cs="宋体"/>
                <w:sz w:val="24"/>
                <w:szCs w:val="24"/>
              </w:rPr>
              <w:t xml:space="preserve">建议切实可行</w:t>
            </w:r>
            <w:r>
              <w:rPr>
                <w:rFonts w:hint="eastAsia" w:ascii="宋体" w:hAnsi="宋体" w:cs="Calibri"/>
                <w:sz w:val="24"/>
                <w:szCs w:val="24"/>
              </w:rPr>
              <w:t xml:space="preserve">。</w:t>
            </w:r>
            <w:r>
              <w:rPr>
                <w:rFonts w:hint="eastAsia" w:ascii="宋体" w:hAnsi="宋体" w:cs="Calibri"/>
                <w:sz w:val="24"/>
                <w:szCs w:val="24"/>
              </w:rPr>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841"/>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6</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服务保障支撑监管的情况</w:t>
            </w:r>
            <w:r/>
          </w:p>
        </w:tc>
        <w:tc>
          <w:tcPr>
            <w:tcW w:w="4510" w:type="dxa"/>
            <w:vAlign w:val="center"/>
            <w:textDirection w:val="lrTb"/>
            <w:noWrap w:val="false"/>
          </w:tcPr>
          <w:p>
            <w:pPr>
              <w:pStyle w:val="731"/>
              <w:spacing w:after="160" w:line="320" w:lineRule="exact"/>
              <w:rPr>
                <w:rFonts w:hint="eastAsia" w:ascii="宋体" w:hAnsi="宋体" w:cs="Calibri"/>
                <w:sz w:val="24"/>
                <w:szCs w:val="24"/>
              </w:rPr>
            </w:pPr>
            <w:r>
              <w:rPr>
                <w:rFonts w:hint="eastAsia" w:ascii="宋体" w:hAnsi="宋体" w:cs="Calibri"/>
                <w:sz w:val="24"/>
                <w:szCs w:val="24"/>
                <w:lang w:bidi="ar"/>
              </w:rPr>
              <w:t xml:space="preserve">应急响应、服务保障等监管特殊要求</w:t>
            </w:r>
            <w:r>
              <w:rPr>
                <w:rFonts w:hint="eastAsia" w:ascii="宋体" w:hAnsi="宋体" w:cs="Calibri"/>
                <w:sz w:val="24"/>
                <w:szCs w:val="24"/>
              </w:rPr>
              <w:t xml:space="preserve">符合采购人的要求。</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841"/>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7</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工作纪律情况</w:t>
            </w:r>
            <w:r/>
          </w:p>
        </w:tc>
        <w:tc>
          <w:tcPr>
            <w:tcW w:w="4510" w:type="dxa"/>
            <w:vAlign w:val="center"/>
            <w:textDirection w:val="lrTb"/>
            <w:noWrap w:val="false"/>
          </w:tcPr>
          <w:p>
            <w:pPr>
              <w:pStyle w:val="731"/>
              <w:spacing w:after="160" w:line="278" w:lineRule="auto"/>
              <w:widowControl w:val="off"/>
              <w:rPr>
                <w:rFonts w:hint="eastAsia" w:ascii="宋体" w:hAnsi="宋体" w:cs="Calibri"/>
                <w:sz w:val="24"/>
                <w:szCs w:val="24"/>
              </w:rPr>
            </w:pPr>
            <w:r>
              <w:rPr>
                <w:rFonts w:hint="eastAsia" w:ascii="宋体" w:hAnsi="宋体" w:cs="Calibri"/>
                <w:sz w:val="24"/>
                <w:szCs w:val="24"/>
              </w:rPr>
              <w:t xml:space="preserve">遵守法律法规、抽样和检验纪律等情况, 承担风险动态监测任务期间，有无事先通知被抽查企业，直接或间接参与企业接待等违法违规行为，有无与被抽查企业签订同类产品的有偿服务协议或者接受被抽查企业对同一产品的委托检验、有无企业反映的其他违规情况。</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711"/>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8</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合同规定的其他履约情况</w:t>
            </w:r>
            <w:r/>
          </w:p>
        </w:tc>
        <w:tc>
          <w:tcPr>
            <w:tcW w:w="451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符合合同书要求。</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trHeight w:val="679"/>
        </w:trPr>
        <w:tc>
          <w:tcPr>
            <w:tcW w:w="932"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9</w:t>
            </w:r>
            <w:r/>
          </w:p>
        </w:tc>
        <w:tc>
          <w:tcPr>
            <w:tcW w:w="230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pacing w:val="-10"/>
                <w:sz w:val="24"/>
                <w:szCs w:val="24"/>
              </w:rPr>
              <w:t xml:space="preserve">采购人认为需要的其他验收内容</w:t>
            </w:r>
            <w:r>
              <w:rPr>
                <w:rFonts w:hint="eastAsia" w:ascii="宋体" w:hAnsi="宋体" w:cs="Calibri"/>
                <w:sz w:val="24"/>
                <w:szCs w:val="24"/>
              </w:rPr>
            </w:r>
            <w:r/>
          </w:p>
        </w:tc>
        <w:tc>
          <w:tcPr>
            <w:tcW w:w="4510"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t xml:space="preserve">/</w:t>
            </w:r>
            <w:r/>
          </w:p>
        </w:tc>
        <w:tc>
          <w:tcPr>
            <w:tcW w:w="1185" w:type="dxa"/>
            <w:vAlign w:val="center"/>
            <w:textDirection w:val="lrTb"/>
            <w:noWrap w:val="false"/>
          </w:tcPr>
          <w:p>
            <w:pPr>
              <w:pStyle w:val="731"/>
              <w:jc w:val="center"/>
              <w:spacing w:after="160" w:line="320" w:lineRule="exact"/>
              <w:rPr>
                <w:rFonts w:hint="eastAsia" w:ascii="宋体" w:hAnsi="宋体" w:cs="Calibri"/>
                <w:sz w:val="24"/>
                <w:szCs w:val="24"/>
              </w:rPr>
            </w:pPr>
            <w:r>
              <w:rPr>
                <w:rFonts w:hint="eastAsia" w:ascii="宋体" w:hAnsi="宋体" w:cs="Calibri"/>
                <w:sz w:val="24"/>
                <w:szCs w:val="24"/>
              </w:rPr>
            </w:r>
            <w:r/>
          </w:p>
        </w:tc>
      </w:tr>
    </w:tbl>
    <w:p>
      <w:pPr>
        <w:pStyle w:val="731"/>
        <w:jc w:val="both"/>
        <w:spacing w:after="0" w:line="360" w:lineRule="auto"/>
        <w:widowControl w:val="off"/>
        <w:rPr>
          <w:rFonts w:hint="eastAsia" w:ascii="宋体" w:hAnsi="宋体"/>
          <w:b/>
          <w:sz w:val="24"/>
          <w:szCs w:val="24"/>
        </w:rPr>
      </w:pPr>
      <w:r>
        <w:rPr>
          <w:rFonts w:hint="eastAsia" w:ascii="宋体" w:hAnsi="宋体"/>
          <w:b/>
          <w:sz w:val="24"/>
          <w:szCs w:val="24"/>
        </w:rPr>
        <w:t xml:space="preserve">★5.5保密要求</w:t>
      </w:r>
      <w:r/>
    </w:p>
    <w:p>
      <w:pPr>
        <w:pStyle w:val="731"/>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5.5.1供应商及其服务人员应做好保密工作，对抽检信息、数据等负有保密义务。在项目实施过程中要建立工作登</w:t>
      </w:r>
      <w:r>
        <w:rPr>
          <w:rFonts w:hint="eastAsia" w:ascii="宋体" w:hAnsi="宋体"/>
          <w:bCs/>
          <w:sz w:val="24"/>
          <w:szCs w:val="24"/>
        </w:rPr>
        <w:t xml:space="preserve">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p>
    <w:p>
      <w:pPr>
        <w:pStyle w:val="731"/>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5.5.2服务人员不得以任何形式将档案资料（包括纸质档和电子档）带出指定工作现场，不得以任何形式进行泄漏、传播。</w:t>
      </w:r>
      <w:r/>
    </w:p>
    <w:p>
      <w:pPr>
        <w:pStyle w:val="731"/>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5.5.3供应商应对其服务人员保密义务承担责任，如因其服务人员违反保密义务导致采购</w:t>
      </w:r>
      <w:r>
        <w:rPr>
          <w:rFonts w:hint="eastAsia" w:ascii="宋体" w:hAnsi="宋体"/>
          <w:bCs/>
          <w:sz w:val="24"/>
          <w:szCs w:val="24"/>
        </w:rPr>
        <w:t xml:space="preserve">人产生损失或支出费用的，采购人有权要求供应商承担责任。</w:t>
      </w:r>
      <w:r/>
    </w:p>
    <w:p>
      <w:pPr>
        <w:pStyle w:val="731"/>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5.5.4供应商及其服务人员的保密期限为永久，不因本项目所签订的文件或合同的终止而终止。</w:t>
      </w:r>
      <w:r/>
    </w:p>
    <w:p>
      <w:pPr>
        <w:pStyle w:val="731"/>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针对上述保密要求内容，供应商须提供书面承诺函原件并加盖CA电子公章，格式自拟，内容应完全响应招标文件要求。</w:t>
      </w:r>
      <w:r/>
    </w:p>
    <w:p>
      <w:pPr>
        <w:pStyle w:val="731"/>
        <w:jc w:val="both"/>
        <w:spacing w:after="0" w:line="360" w:lineRule="auto"/>
        <w:widowControl w:val="off"/>
        <w:rPr>
          <w:rFonts w:hint="eastAsia" w:ascii="宋体" w:hAnsi="宋体"/>
          <w:b/>
          <w:sz w:val="24"/>
          <w:szCs w:val="24"/>
        </w:rPr>
      </w:pPr>
      <w:r>
        <w:rPr>
          <w:rFonts w:hint="eastAsia" w:ascii="宋体" w:hAnsi="宋体"/>
          <w:b/>
          <w:sz w:val="24"/>
          <w:szCs w:val="24"/>
        </w:rPr>
        <w:t xml:space="preserve">★5.6履约形式</w:t>
      </w:r>
      <w:r/>
    </w:p>
    <w:p>
      <w:pPr>
        <w:pStyle w:val="731"/>
        <w:ind w:firstLine="480"/>
        <w:jc w:val="both"/>
        <w:spacing w:after="0" w:line="360" w:lineRule="auto"/>
        <w:widowControl w:val="off"/>
        <w:rPr>
          <w:rFonts w:ascii="宋体" w:hAnsi="宋体"/>
          <w:bCs/>
          <w:sz w:val="24"/>
          <w:szCs w:val="24"/>
        </w:rPr>
      </w:pPr>
      <w:r>
        <w:rPr>
          <w:rFonts w:ascii="宋体" w:hAnsi="宋体"/>
          <w:bCs/>
          <w:sz w:val="24"/>
          <w:szCs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r/>
    </w:p>
    <w:p>
      <w:pPr>
        <w:pStyle w:val="731"/>
        <w:ind w:firstLine="480"/>
        <w:jc w:val="both"/>
        <w:spacing w:after="0" w:line="360" w:lineRule="auto"/>
        <w:widowControl w:val="off"/>
      </w:pPr>
      <w:r>
        <w:rPr>
          <w:rFonts w:ascii="宋体" w:hAnsi="宋体"/>
          <w:bCs/>
          <w:sz w:val="24"/>
          <w:szCs w:val="24"/>
        </w:rPr>
        <w:t xml:space="preserve">供应商应提供不予分包转包书面承诺函并加盖公章，内容需满足采购文件要求，格式自拟</w:t>
      </w:r>
      <w:r/>
    </w:p>
    <w:p>
      <w:pPr>
        <w:pStyle w:val="731"/>
        <w:jc w:val="both"/>
        <w:spacing w:after="0" w:line="360" w:lineRule="auto"/>
        <w:widowControl w:val="off"/>
        <w:rPr>
          <w:rFonts w:hint="eastAsia" w:ascii="宋体" w:hAnsi="宋体"/>
          <w:b/>
          <w:sz w:val="24"/>
          <w:szCs w:val="24"/>
        </w:rPr>
      </w:pPr>
      <w:r>
        <w:rPr>
          <w:rFonts w:hint="eastAsia" w:ascii="宋体" w:hAnsi="宋体"/>
          <w:b/>
          <w:sz w:val="24"/>
          <w:szCs w:val="24"/>
        </w:rPr>
        <w:t xml:space="preserve">★5.7.成果归属要求</w:t>
      </w:r>
      <w:r/>
    </w:p>
    <w:p>
      <w:pPr>
        <w:pStyle w:val="731"/>
        <w:ind w:firstLine="480"/>
        <w:jc w:val="both"/>
        <w:spacing w:after="0" w:line="360" w:lineRule="auto"/>
        <w:widowControl w:val="off"/>
        <w:rPr>
          <w:rFonts w:ascii="宋体" w:hAnsi="宋体"/>
          <w:bCs/>
          <w:sz w:val="24"/>
          <w:szCs w:val="24"/>
        </w:rPr>
      </w:pPr>
      <w:r>
        <w:rPr>
          <w:rFonts w:ascii="宋体" w:hAnsi="宋体"/>
          <w:bCs/>
          <w:sz w:val="24"/>
          <w:szCs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p>
    <w:p>
      <w:pPr>
        <w:pStyle w:val="731"/>
        <w:ind w:firstLine="480"/>
        <w:jc w:val="both"/>
        <w:spacing w:after="0" w:line="360" w:lineRule="auto"/>
        <w:widowControl w:val="off"/>
        <w:rPr>
          <w:rFonts w:ascii="宋体" w:hAnsi="宋体"/>
          <w:bCs/>
          <w:sz w:val="24"/>
          <w:szCs w:val="24"/>
        </w:rPr>
      </w:pPr>
      <w:r>
        <w:rPr>
          <w:rFonts w:ascii="宋体" w:hAnsi="宋体"/>
          <w:bCs/>
          <w:sz w:val="24"/>
          <w:szCs w:val="24"/>
        </w:rPr>
        <w:t xml:space="preserve">针对此项成果归属内容，供应商须提供书面承诺函原件并加盖公章，格式自拟。</w:t>
      </w:r>
      <w:r/>
    </w:p>
    <w:p>
      <w:pPr>
        <w:pStyle w:val="731"/>
        <w:jc w:val="both"/>
        <w:spacing w:after="0" w:line="360" w:lineRule="auto"/>
        <w:widowControl w:val="off"/>
        <w:rPr>
          <w:rFonts w:ascii="宋体" w:hAnsi="宋体" w:cs="微软雅黑"/>
          <w:b/>
          <w:sz w:val="24"/>
          <w:szCs w:val="24"/>
        </w:rPr>
      </w:pPr>
      <w:r>
        <w:rPr>
          <w:rFonts w:hint="eastAsia" w:ascii="宋体" w:hAnsi="宋体"/>
          <w:b/>
          <w:sz w:val="24"/>
          <w:szCs w:val="24"/>
        </w:rPr>
        <w:t xml:space="preserve">5.8</w:t>
      </w:r>
      <w:r>
        <w:rPr>
          <w:rFonts w:hint="eastAsia" w:ascii="宋体" w:hAnsi="宋体" w:cs="微软雅黑"/>
          <w:b/>
          <w:sz w:val="24"/>
          <w:szCs w:val="24"/>
        </w:rPr>
        <w:t xml:space="preserve">报价要求</w:t>
      </w:r>
      <w:r>
        <w:rPr>
          <w:rFonts w:ascii="宋体" w:hAnsi="宋体" w:cs="微软雅黑"/>
          <w:b/>
          <w:sz w:val="24"/>
          <w:szCs w:val="24"/>
        </w:rPr>
      </w:r>
      <w:r/>
    </w:p>
    <w:p>
      <w:pPr>
        <w:pStyle w:val="731"/>
        <w:ind w:firstLine="480"/>
        <w:spacing w:after="0" w:line="560" w:lineRule="exact"/>
        <w:rPr>
          <w:rFonts w:ascii="宋体" w:hAnsi="宋体" w:cs="微软雅黑"/>
          <w:bCs/>
          <w:sz w:val="24"/>
          <w:szCs w:val="24"/>
        </w:rPr>
      </w:pPr>
      <w:r>
        <w:rPr>
          <w:rFonts w:hint="eastAsia" w:ascii="宋体" w:hAnsi="宋体" w:cs="微软雅黑"/>
          <w:bCs/>
          <w:sz w:val="24"/>
          <w:szCs w:val="24"/>
        </w:rPr>
        <w:t xml:space="preserve">5.8</w:t>
      </w:r>
      <w:r>
        <w:rPr>
          <w:rFonts w:ascii="宋体" w:hAnsi="宋体" w:cs="微软雅黑"/>
          <w:bCs/>
          <w:sz w:val="24"/>
          <w:szCs w:val="24"/>
        </w:rPr>
        <w:t xml:space="preserve">.</w:t>
      </w:r>
      <w:r>
        <w:rPr>
          <w:rFonts w:hint="eastAsia" w:ascii="宋体" w:hAnsi="宋体" w:cs="微软雅黑"/>
          <w:bCs/>
          <w:sz w:val="24"/>
          <w:szCs w:val="24"/>
        </w:rPr>
        <w:t xml:space="preserve">1该项目预算为全口径预算，包含了本项目所需的服务提供过程中可能发生的所有费用，包括但不限于样品购置费、检测费、实验室及</w:t>
      </w:r>
      <w:r>
        <w:rPr>
          <w:rFonts w:hint="eastAsia" w:ascii="宋体" w:hAnsi="宋体" w:cs="微软雅黑"/>
          <w:bCs/>
          <w:sz w:val="24"/>
          <w:szCs w:val="24"/>
        </w:rPr>
        <w:t xml:space="preserve">检测设备使用费用、耗材、</w:t>
      </w:r>
      <w:bookmarkStart w:id="104" w:name="OLE_LINK5"/>
      <w:r>
        <w:rPr>
          <w:rFonts w:hint="eastAsia" w:ascii="宋体" w:hAnsi="宋体" w:cs="微软雅黑"/>
          <w:bCs/>
          <w:sz w:val="24"/>
          <w:szCs w:val="24"/>
        </w:rPr>
        <w:t xml:space="preserve">报告文本费（检测报告、质量分析报告等的编制打印）、相关文书的邮寄费、样品处置费、</w:t>
      </w:r>
      <w:bookmarkEnd w:id="104"/>
      <w:r>
        <w:rPr>
          <w:rFonts w:hint="eastAsia" w:ascii="宋体" w:hAnsi="宋体" w:cs="微软雅黑"/>
          <w:bCs/>
          <w:sz w:val="24"/>
          <w:szCs w:val="24"/>
        </w:rPr>
        <w:t xml:space="preserve">各种税费、利润、税金、人员工资（含各类保险、加班费、交通费、过节费等所有与人员相关费用）、培训及合同包含的所有风险、责任等各项相关费用。本次采购供应商的报价应包括完成本项目发生的上述</w:t>
      </w:r>
      <w:r>
        <w:rPr>
          <w:rFonts w:hint="eastAsia" w:ascii="宋体" w:hAnsi="宋体" w:cs="微软雅黑"/>
          <w:bCs/>
          <w:sz w:val="24"/>
          <w:szCs w:val="24"/>
        </w:rPr>
        <w:t xml:space="preserve">所有</w:t>
      </w:r>
      <w:r>
        <w:rPr>
          <w:rFonts w:hint="eastAsia" w:ascii="宋体" w:hAnsi="宋体" w:cs="微软雅黑"/>
          <w:bCs/>
          <w:iCs/>
          <w:sz w:val="24"/>
          <w:szCs w:val="24"/>
        </w:rPr>
        <w:t xml:space="preserve">费用及采购代理服务费用（无需单独报价也无需单列）</w:t>
      </w:r>
      <w:r>
        <w:rPr>
          <w:rFonts w:hint="eastAsia" w:ascii="宋体" w:hAnsi="宋体" w:cs="微软雅黑"/>
          <w:bCs/>
          <w:sz w:val="24"/>
          <w:szCs w:val="24"/>
        </w:rPr>
        <w:t xml:space="preserve">，中标后采购人按中标价格结算支付采购资金，不再变更结算价格。</w:t>
      </w:r>
      <w:r>
        <w:rPr>
          <w:rFonts w:ascii="宋体" w:hAnsi="宋体" w:cs="微软雅黑"/>
          <w:bCs/>
          <w:sz w:val="24"/>
          <w:szCs w:val="24"/>
        </w:rPr>
      </w:r>
      <w:r/>
    </w:p>
    <w:p>
      <w:pPr>
        <w:pStyle w:val="731"/>
        <w:ind w:firstLine="480"/>
        <w:spacing w:after="0" w:line="560" w:lineRule="exact"/>
        <w:rPr>
          <w:rFonts w:hint="eastAsia" w:ascii="宋体" w:hAnsi="宋体" w:cs="微软雅黑"/>
          <w:bCs/>
          <w:iCs/>
          <w:sz w:val="24"/>
          <w:szCs w:val="24"/>
        </w:rPr>
      </w:pPr>
      <w:r>
        <w:rPr>
          <w:rFonts w:hint="eastAsia" w:ascii="宋体" w:hAnsi="宋体" w:cs="微软雅黑"/>
          <w:bCs/>
          <w:sz w:val="24"/>
          <w:szCs w:val="24"/>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w:t>
      </w:r>
      <w:r>
        <w:rPr>
          <w:rFonts w:hint="eastAsia" w:ascii="宋体" w:hAnsi="宋体" w:cs="微软雅黑"/>
          <w:bCs/>
          <w:sz w:val="24"/>
          <w:szCs w:val="24"/>
        </w:rPr>
        <w:t xml:space="preserve">争，确保采购人检测质量。请仔细阅读本文件“第二章  投标人须知”第26.8条、第26.9条、第27.1.10条内容，如投标供应商报价触发异常低价审核程序，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r/>
    </w:p>
    <w:p>
      <w:pPr>
        <w:pStyle w:val="731"/>
        <w:ind w:firstLine="480"/>
        <w:spacing w:after="0" w:line="360" w:lineRule="auto"/>
        <w:rPr>
          <w:rFonts w:hint="eastAsia" w:ascii="宋体" w:hAnsi="宋体" w:cs="宋体"/>
          <w:sz w:val="24"/>
          <w:szCs w:val="24"/>
        </w:rPr>
      </w:pPr>
      <w:r>
        <w:rPr>
          <w:rFonts w:hint="eastAsia" w:ascii="宋体" w:hAnsi="宋体" w:cs="宋体"/>
          <w:sz w:val="24"/>
          <w:szCs w:val="24"/>
        </w:rPr>
        <w:t xml:space="preserve">5.8.3供应商应按</w:t>
      </w:r>
      <w:r>
        <w:rPr>
          <w:rFonts w:hint="eastAsia" w:ascii="宋体" w:hAnsi="宋体" w:cs="宋体"/>
          <w:b/>
          <w:bCs/>
          <w:sz w:val="24"/>
          <w:szCs w:val="24"/>
        </w:rPr>
        <w:t xml:space="preserve">总价</w:t>
      </w:r>
      <w:r>
        <w:rPr>
          <w:rFonts w:hint="eastAsia" w:ascii="宋体" w:hAnsi="宋体" w:cs="宋体"/>
          <w:sz w:val="24"/>
          <w:szCs w:val="24"/>
        </w:rPr>
        <w:t xml:space="preserve">予以报价。供应商中标后在合同履约期内，不得以任何理由要求对其投标报价、运营方式、运营质</w:t>
      </w:r>
      <w:r>
        <w:rPr>
          <w:rFonts w:hint="eastAsia" w:ascii="宋体" w:hAnsi="宋体" w:cs="宋体"/>
          <w:sz w:val="24"/>
          <w:szCs w:val="24"/>
        </w:rPr>
        <w:t xml:space="preserve">量、人员数量、人员质量评估项目、服务内容、服务条件、服务质量等降低要求、变更要求或拒绝服务。</w:t>
      </w:r>
      <w:r/>
    </w:p>
    <w:p>
      <w:pPr>
        <w:pStyle w:val="731"/>
        <w:jc w:val="both"/>
        <w:spacing w:after="160" w:line="360" w:lineRule="auto"/>
        <w:widowControl w:val="off"/>
        <w:rPr>
          <w:rFonts w:hint="eastAsia" w:ascii="宋体" w:hAnsi="宋体" w:cs="方正黑体_GBK"/>
          <w:b/>
          <w:sz w:val="24"/>
          <w:szCs w:val="24"/>
        </w:rPr>
      </w:pPr>
      <w:r>
        <w:rPr>
          <w:rFonts w:hint="eastAsia" w:ascii="宋体" w:hAnsi="宋体" w:cs="方正黑体_GBK"/>
          <w:b/>
          <w:sz w:val="24"/>
          <w:szCs w:val="24"/>
        </w:rPr>
        <w:br w:type="page" w:clear="all"/>
        <w:t xml:space="preserve">附件1</w:t>
      </w:r>
      <w:r/>
    </w:p>
    <w:p>
      <w:pPr>
        <w:pStyle w:val="731"/>
        <w:jc w:val="center"/>
        <w:spacing w:after="160" w:line="360" w:lineRule="auto"/>
        <w:widowControl w:val="off"/>
        <w:rPr>
          <w:rFonts w:ascii="宋体" w:hAnsi="宋体" w:cs="方正黑体_GBK"/>
          <w:bCs/>
          <w:sz w:val="24"/>
          <w:szCs w:val="24"/>
        </w:rPr>
      </w:pPr>
      <w:r>
        <w:rPr>
          <w:rFonts w:hint="eastAsia" w:ascii="宋体" w:hAnsi="宋体" w:cs="方正黑体_GBK"/>
          <w:bCs/>
          <w:sz w:val="24"/>
          <w:szCs w:val="24"/>
        </w:rPr>
        <w:t xml:space="preserve">202</w:t>
      </w:r>
      <w:r>
        <w:rPr>
          <w:rFonts w:ascii="宋体" w:hAnsi="宋体" w:cs="方正黑体_GBK"/>
          <w:bCs/>
          <w:sz w:val="24"/>
          <w:szCs w:val="24"/>
        </w:rPr>
        <w:t xml:space="preserve">6</w:t>
      </w:r>
      <w:r>
        <w:rPr>
          <w:rFonts w:hint="eastAsia" w:ascii="宋体" w:hAnsi="宋体" w:cs="方正黑体_GBK"/>
          <w:bCs/>
          <w:sz w:val="24"/>
          <w:szCs w:val="24"/>
        </w:rPr>
        <w:t xml:space="preserve">年江苏省</w:t>
      </w:r>
      <w:r>
        <w:rPr>
          <w:rFonts w:hint="eastAsia" w:ascii="宋体" w:hAnsi="宋体" w:cs="宋体"/>
          <w:sz w:val="24"/>
          <w:szCs w:val="24"/>
        </w:rPr>
        <w:t xml:space="preserve">重点工业产品质量安全隐患风险动态监测</w:t>
      </w:r>
      <w:r>
        <w:rPr>
          <w:rFonts w:hint="eastAsia" w:ascii="宋体" w:hAnsi="宋体" w:cs="方正黑体_GBK"/>
          <w:bCs/>
          <w:sz w:val="24"/>
          <w:szCs w:val="24"/>
        </w:rPr>
        <w:t xml:space="preserve">对象</w:t>
      </w:r>
      <w:r>
        <w:rPr>
          <w:rFonts w:ascii="宋体" w:hAnsi="宋体" w:cs="方正黑体_GBK"/>
          <w:bCs/>
          <w:sz w:val="24"/>
          <w:szCs w:val="24"/>
        </w:rPr>
      </w:r>
      <w:r/>
    </w:p>
    <w:p>
      <w:pPr>
        <w:pStyle w:val="731"/>
        <w:jc w:val="center"/>
        <w:spacing w:after="160" w:line="360" w:lineRule="auto"/>
        <w:widowControl w:val="off"/>
        <w:rPr>
          <w:rFonts w:hint="eastAsia" w:ascii="宋体" w:hAnsi="宋体" w:cs="方正黑体_GBK"/>
          <w:bCs/>
          <w:sz w:val="24"/>
          <w:szCs w:val="24"/>
        </w:rPr>
      </w:pPr>
      <w:r>
        <w:rPr>
          <w:rFonts w:hint="eastAsia" w:ascii="宋体" w:hAnsi="宋体" w:cs="方正黑体_GBK"/>
          <w:bCs/>
          <w:sz w:val="24"/>
          <w:szCs w:val="24"/>
        </w:rPr>
      </w:r>
      <w:r/>
    </w:p>
    <w:tbl>
      <w:tblPr>
        <w:tblpPr w:horzAnchor="text" w:tblpXSpec="center" w:vertAnchor="text" w:tblpY="1" w:leftFromText="180" w:topFromText="0" w:rightFromText="180" w:bottomFromText="0"/>
        <w:tblW w:w="5089" w:type="pct"/>
        <w:tblInd w:w="0" w:type="dxa"/>
        <w:tblLayout w:type="autofit"/>
        <w:tblCellMar>
          <w:left w:w="108" w:type="dxa"/>
          <w:top w:w="0" w:type="dxa"/>
          <w:right w:w="108" w:type="dxa"/>
          <w:bottom w:w="0" w:type="dxa"/>
        </w:tblCellMar>
        <w:tblLook w:val="04A0" w:firstRow="1" w:lastRow="0" w:firstColumn="1" w:lastColumn="0" w:noHBand="0" w:noVBand="1"/>
      </w:tblPr>
      <w:tblGrid>
        <w:gridCol w:w="728"/>
        <w:gridCol w:w="1020"/>
        <w:gridCol w:w="2767"/>
        <w:gridCol w:w="4159"/>
      </w:tblGrid>
      <w:tr>
        <w:trPr>
          <w:cantSplit/>
          <w:trHeight w:val="454"/>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采购包序号</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产品类别</w:t>
            </w:r>
            <w:r/>
          </w:p>
        </w:tc>
        <w:tc>
          <w:tcPr>
            <w:tcBorders>
              <w:top w:val="single" w:color="000000" w:sz="4" w:space="0"/>
              <w:left w:val="single" w:color="000000" w:sz="4" w:space="0"/>
              <w:bottom w:val="single" w:color="000000" w:sz="4" w:space="0"/>
              <w:right w:val="single" w:color="000000" w:sz="4" w:space="0"/>
            </w:tcBorders>
            <w:tcW w:w="26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动态监测产品品种</w:t>
            </w:r>
            <w:r/>
          </w:p>
        </w:tc>
        <w:tc>
          <w:tcPr>
            <w:tcBorders>
              <w:top w:val="single" w:color="000000" w:sz="4" w:space="0"/>
              <w:left w:val="single" w:color="000000" w:sz="4" w:space="0"/>
              <w:bottom w:val="single" w:color="000000" w:sz="4" w:space="0"/>
              <w:right w:val="single" w:color="000000" w:sz="4" w:space="0"/>
            </w:tcBorders>
            <w:tcW w:w="4048"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产品销售集聚市场</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31"/>
              <w:jc w:val="center"/>
              <w:spacing w:after="160" w:line="240" w:lineRule="exact"/>
              <w:rPr>
                <w:rFonts w:hint="eastAsia" w:ascii="宋体" w:hAnsi="宋体"/>
                <w:sz w:val="21"/>
                <w:szCs w:val="21"/>
              </w:rPr>
              <w:framePr w:hSpace="180" w:wrap="around" w:vAnchor="text" w:hAnchor="text" w:xAlign="center" w:y="1"/>
            </w:pPr>
            <w:r>
              <w:rPr>
                <w:rFonts w:ascii="宋体" w:hAnsi="宋体"/>
                <w:sz w:val="21"/>
                <w:szCs w:val="21"/>
              </w:rPr>
              <w:t xml:space="preserve">1</w:t>
            </w: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电动自行车</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电动自行车</w:t>
            </w:r>
            <w:r/>
          </w:p>
        </w:tc>
        <w:tc>
          <w:tcPr>
            <w:tcBorders>
              <w:top w:val="none" w:color="000000" w:sz="4" w:space="0"/>
              <w:left w:val="single" w:color="000000" w:sz="4" w:space="0"/>
              <w:bottom w:val="single" w:color="000000" w:sz="4" w:space="0"/>
              <w:right w:val="single" w:color="000000" w:sz="4" w:space="0"/>
            </w:tcBorders>
            <w:tcW w:w="4048" w:type="dxa"/>
            <w:vAlign w:val="center"/>
            <w:vMerge w:val="restart"/>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无锡市锡山区南方国际电动车城、南京市机器马车辆城、常州市新北区太阳城电动车市场、南通市中华车城</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电动自行车用充电器</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电动自行车用锂离子蓄电池</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31"/>
              <w:jc w:val="center"/>
              <w:spacing w:after="160" w:line="240" w:lineRule="exact"/>
              <w:rPr>
                <w:rFonts w:hint="eastAsia" w:ascii="宋体" w:hAnsi="宋体"/>
                <w:sz w:val="21"/>
                <w:szCs w:val="21"/>
              </w:rPr>
              <w:framePr w:hSpace="180" w:wrap="around" w:vAnchor="text" w:hAnchor="text" w:xAlign="center" w:y="1"/>
            </w:pPr>
            <w:r>
              <w:rPr>
                <w:rFonts w:ascii="宋体" w:hAnsi="宋体"/>
                <w:sz w:val="21"/>
                <w:szCs w:val="21"/>
              </w:rPr>
              <w:t xml:space="preserve">2</w:t>
            </w:r>
            <w:r>
              <w:rPr>
                <w:rFonts w:hint="eastAsia" w:ascii="宋体" w:hAnsi="宋体"/>
                <w:sz w:val="21"/>
                <w:szCs w:val="21"/>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建筑用钢筋</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钢筋混凝土用热轧钢筋、冷轧带肋钢筋</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常州市新北区龙成钢材城、徐州市新沂市苏北钢材市场、苏州长三角钢材市场、南通纪</w:t>
            </w:r>
            <w:r>
              <w:rPr>
                <w:rFonts w:hint="eastAsia" w:ascii="宋体" w:hAnsi="宋体" w:cs="宋体"/>
                <w:sz w:val="21"/>
                <w:szCs w:val="21"/>
              </w:rPr>
              <w:t xml:space="preserve">氏钢材市场、中储南京物流有限公司</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建筑保温材料</w:t>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岩棉板、模塑聚苯乙烯泡沫板（XPS）、挤塑聚苯乙烯泡沫板（XPS）、橡塑保温板、聚氨酯泡沫（PU）</w:t>
            </w:r>
            <w:r/>
          </w:p>
        </w:tc>
        <w:tc>
          <w:tcPr>
            <w:shd w:val="clear" w:color="000000" w:fill="ffffff"/>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南京市雨花台区红太阳装饰城、无锡市新吴区五洲国际工业博览城、苏州市华东装饰城、徐州市云龙区东兴物资市场</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人造板</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胶合板、细木工板</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南京市雨花台区弘阳装饰城、无锡市新世界国际家居建材城、常州市长江自由贸易中心</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电线电缆</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电线电缆</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苏州市华夏五金机电城、常州市江南五金机电城、盐城市区盐城五金机电城</w:t>
            </w:r>
            <w:r/>
          </w:p>
        </w:tc>
      </w:tr>
      <w:tr>
        <w:trPr>
          <w:trHeight w:val="45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731"/>
              <w:jc w:val="center"/>
              <w:spacing w:after="160" w:line="240" w:lineRule="exact"/>
              <w:rPr>
                <w:rFonts w:hint="eastAsia" w:ascii="宋体" w:hAnsi="宋体"/>
                <w:sz w:val="21"/>
                <w:szCs w:val="21"/>
              </w:rPr>
              <w:framePr w:hSpace="180" w:wrap="around" w:vAnchor="text" w:hAnchor="text" w:xAlign="center" w:y="1"/>
            </w:pPr>
            <w:r>
              <w:rPr>
                <w:rFonts w:ascii="宋体" w:hAnsi="宋体"/>
                <w:sz w:val="21"/>
                <w:szCs w:val="21"/>
              </w:rPr>
              <w:t xml:space="preserve">3</w:t>
            </w:r>
            <w:r>
              <w:rPr>
                <w:rFonts w:hint="eastAsia" w:ascii="宋体" w:hAnsi="宋体"/>
                <w:sz w:val="21"/>
                <w:szCs w:val="21"/>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化肥</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磷肥、</w:t>
            </w:r>
            <w:r>
              <w:rPr>
                <w:rFonts w:hint="eastAsia" w:ascii="宋体" w:hAnsi="宋体" w:cs="宋体"/>
                <w:sz w:val="21"/>
                <w:szCs w:val="21"/>
              </w:rPr>
              <w:t xml:space="preserve">复肥、氮肥</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宿迁市泗洪县华东金谷农资城、徐州市新沂市农资市场</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31"/>
              <w:jc w:val="center"/>
              <w:spacing w:after="160" w:line="240" w:lineRule="exact"/>
              <w:rPr>
                <w:rFonts w:hint="eastAsia" w:ascii="宋体" w:hAnsi="宋体"/>
                <w:sz w:val="21"/>
                <w:szCs w:val="21"/>
              </w:rPr>
              <w:framePr w:hSpace="180" w:wrap="around" w:vAnchor="text" w:hAnchor="text" w:xAlign="center" w:y="1"/>
            </w:pPr>
            <w:r>
              <w:rPr>
                <w:rFonts w:ascii="宋体" w:hAnsi="宋体"/>
                <w:sz w:val="21"/>
                <w:szCs w:val="21"/>
              </w:rPr>
              <w:t xml:space="preserve">4</w:t>
            </w: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燃气用具</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家用燃气灶</w:t>
            </w:r>
            <w:r/>
          </w:p>
        </w:tc>
        <w:tc>
          <w:tcPr>
            <w:tcBorders>
              <w:top w:val="none" w:color="000000" w:sz="4" w:space="0"/>
              <w:left w:val="single" w:color="000000" w:sz="4" w:space="0"/>
              <w:bottom w:val="single" w:color="000000" w:sz="4" w:space="0"/>
              <w:right w:val="single" w:color="000000" w:sz="4" w:space="0"/>
            </w:tcBorders>
            <w:tcW w:w="4048" w:type="dxa"/>
            <w:vAlign w:val="center"/>
            <w:vMerge w:val="restart"/>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南京市鼓楼区金桥市场、徐州市泉山区新黄河建材装饰城、淮安市淮阴区苏北温州大市场、宿迁市义乌商贸城、泰州市海陵区温泰市场、镇江市丹阳市云阳镇千家乐市场</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家用燃气快速热水器</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燃气用具连接用软管</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瓶装液化石油气调压器</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商用燃气燃烧器具</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电磁式燃气紧急切断阀</w:t>
            </w:r>
            <w:r/>
          </w:p>
        </w:tc>
        <w:tc>
          <w:tcPr>
            <w:tcBorders>
              <w:top w:val="none" w:color="000000" w:sz="4" w:space="0"/>
              <w:left w:val="single" w:color="000000" w:sz="4" w:space="0"/>
              <w:bottom w:val="single" w:color="000000" w:sz="4" w:space="0"/>
              <w:right w:val="single" w:color="000000" w:sz="4" w:space="0"/>
            </w:tcBorders>
            <w:tcW w:w="4048"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消防产品</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手提式灭火器</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无锡市新吴区无锡国际招商城、苏州市吴中区华夏五金机电城</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过滤式消防自救呼吸器</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无锡市新吴区无锡国际招商城、苏州市吴</w:t>
            </w:r>
            <w:r>
              <w:rPr>
                <w:rFonts w:hint="eastAsia" w:ascii="宋体" w:hAnsi="宋体" w:cs="宋体"/>
                <w:sz w:val="21"/>
                <w:szCs w:val="21"/>
              </w:rPr>
              <w:t xml:space="preserve">中区华夏五金机电城</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消防水带</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无锡市新吴区无锡国际招商城、苏州市吴中区华夏五金机电城</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ascii="宋体" w:hAnsi="宋体" w:cs="宋体"/>
                <w:sz w:val="21"/>
                <w:szCs w:val="21"/>
              </w:rPr>
              <w:framePr w:hSpace="180" w:wrap="around" w:vAnchor="text" w:hAnchor="text" w:xAlign="center" w:y="1"/>
            </w:pPr>
            <w:r>
              <w:rPr>
                <w:rFonts w:hint="eastAsia" w:ascii="宋体" w:hAnsi="宋体" w:cs="宋体"/>
                <w:sz w:val="21"/>
                <w:szCs w:val="21"/>
              </w:rPr>
              <w:t xml:space="preserve">电气火灾监控探测器</w:t>
            </w:r>
            <w:r>
              <w:rPr>
                <w:rFonts w:ascii="宋体" w:hAnsi="宋体" w:cs="宋体"/>
                <w:sz w:val="21"/>
                <w:szCs w:val="21"/>
              </w:rPr>
            </w:r>
            <w:r/>
          </w:p>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无锡市新吴区无锡国际招商城、苏州市吴中区华夏五金机电城</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移动电源</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移动电源</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苏州市赛格电子市场、苏州市吴江赛格广场</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31"/>
              <w:jc w:val="center"/>
              <w:spacing w:after="160" w:line="240" w:lineRule="exact"/>
              <w:rPr>
                <w:rFonts w:hint="eastAsia" w:ascii="宋体" w:hAnsi="宋体"/>
                <w:sz w:val="21"/>
                <w:szCs w:val="21"/>
              </w:rPr>
              <w:framePr w:hSpace="180" w:wrap="around" w:vAnchor="text" w:hAnchor="text" w:xAlign="center" w:y="1"/>
            </w:pPr>
            <w:r>
              <w:rPr>
                <w:rFonts w:ascii="宋体" w:hAnsi="宋体"/>
                <w:sz w:val="21"/>
                <w:szCs w:val="21"/>
              </w:rPr>
              <w:t xml:space="preserve">5</w:t>
            </w: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731"/>
              <w:jc w:val="center"/>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食品相关产品</w:t>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婴幼儿用奶瓶</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徐州市上海国际孕婴城、南京鑫桥市场等商超</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婴幼儿用奶嘴</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徐州市上海国际孕婴城、南京鑫桥市场等商超</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竹木砧板等竹木制品</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苏州东壹元酒店用品市场、盐城高力酒店用品城等商超</w:t>
            </w:r>
            <w:r/>
          </w:p>
        </w:tc>
      </w:tr>
      <w:tr>
        <w:trPr>
          <w:cantSplit/>
          <w:trHeight w:val="454"/>
        </w:trPr>
        <w:tc>
          <w:tcPr>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31"/>
              <w:spacing w:after="160" w:line="240" w:lineRule="exact"/>
              <w:rPr>
                <w:rFonts w:hint="eastAsia" w:ascii="宋体" w:hAnsi="宋体"/>
                <w:sz w:val="21"/>
                <w:szCs w:val="21"/>
              </w:rPr>
              <w:framePr w:hSpace="180" w:wrap="around" w:vAnchor="text" w:hAnchor="text" w:xAlign="center" w:y="1"/>
            </w:pPr>
            <w:r>
              <w:rPr>
                <w:rFonts w:hint="eastAsia" w:ascii="宋体" w:hAnsi="宋体"/>
                <w:sz w:val="21"/>
                <w:szCs w:val="21"/>
              </w:rPr>
            </w:r>
            <w:r/>
          </w:p>
        </w:tc>
        <w:tc>
          <w:tcPr>
            <w:tcBorders>
              <w:top w:val="non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一次性餐饮具</w:t>
            </w:r>
            <w:r/>
          </w:p>
        </w:tc>
        <w:tc>
          <w:tcPr>
            <w:tcBorders>
              <w:top w:val="none" w:color="000000" w:sz="4" w:space="0"/>
              <w:left w:val="none" w:color="000000" w:sz="4" w:space="0"/>
              <w:bottom w:val="single" w:color="000000" w:sz="4" w:space="0"/>
              <w:right w:val="single" w:color="000000" w:sz="4" w:space="0"/>
            </w:tcBorders>
            <w:tcW w:w="4048" w:type="dxa"/>
            <w:vAlign w:val="center"/>
            <w:textDirection w:val="lrTb"/>
            <w:noWrap w:val="false"/>
          </w:tcPr>
          <w:p>
            <w:pPr>
              <w:pStyle w:val="731"/>
              <w:spacing w:after="160" w:line="240" w:lineRule="exact"/>
              <w:rPr>
                <w:rFonts w:hint="eastAsia" w:ascii="宋体" w:hAnsi="宋体" w:cs="宋体"/>
                <w:sz w:val="21"/>
                <w:szCs w:val="21"/>
              </w:rPr>
              <w:framePr w:hSpace="180" w:wrap="around" w:vAnchor="text" w:hAnchor="text" w:xAlign="center" w:y="1"/>
            </w:pPr>
            <w:r>
              <w:rPr>
                <w:rFonts w:hint="eastAsia" w:ascii="宋体" w:hAnsi="宋体" w:cs="宋体"/>
                <w:sz w:val="21"/>
                <w:szCs w:val="21"/>
              </w:rPr>
              <w:t xml:space="preserve">苏州东壹元酒店用品市</w:t>
            </w:r>
            <w:r>
              <w:rPr>
                <w:rFonts w:hint="eastAsia" w:ascii="宋体" w:hAnsi="宋体" w:cs="宋体"/>
                <w:sz w:val="21"/>
                <w:szCs w:val="21"/>
              </w:rPr>
              <w:t xml:space="preserve">场、盐城高力酒店用品城等商超</w:t>
            </w:r>
            <w:r/>
          </w:p>
        </w:tc>
      </w:tr>
    </w:tbl>
    <w:p>
      <w:pPr>
        <w:pStyle w:val="731"/>
        <w:jc w:val="center"/>
        <w:spacing w:after="160" w:line="56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方正黑体_GBK"/>
          <w:b/>
          <w:sz w:val="24"/>
          <w:szCs w:val="24"/>
        </w:rPr>
        <w:t xml:space="preserve">附件2  </w:t>
      </w: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年江苏省重点工业产品质量安全隐患风险动态监测内容</w:t>
      </w:r>
      <w:r>
        <w:rPr>
          <w:rFonts w:ascii="宋体" w:hAnsi="宋体" w:cs="宋体"/>
          <w:sz w:val="24"/>
          <w:szCs w:val="24"/>
        </w:rPr>
      </w:r>
      <w:r/>
    </w:p>
    <w:tbl>
      <w:tblPr>
        <w:tblW w:w="464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111"/>
        <w:gridCol w:w="2138"/>
        <w:gridCol w:w="1670"/>
        <w:gridCol w:w="2304"/>
        <w:gridCol w:w="15"/>
      </w:tblGrid>
      <w:tr>
        <w:trPr>
          <w:gridAfter w:val="1"/>
          <w:trHeight w:val="1971"/>
        </w:trPr>
        <w:tc>
          <w:tcPr>
            <w:tcW w:w="681" w:type="dxa"/>
            <w:vAlign w:val="center"/>
            <w:textDirection w:val="lrTb"/>
            <w:noWrap w:val="false"/>
          </w:tcPr>
          <w:p>
            <w:pPr>
              <w:pStyle w:val="731"/>
              <w:jc w:val="center"/>
              <w:spacing w:after="160" w:line="300" w:lineRule="exact"/>
              <w:rPr>
                <w:rFonts w:hint="eastAsia" w:ascii="宋体" w:hAnsi="宋体" w:cs="宋体"/>
                <w:sz w:val="21"/>
                <w:szCs w:val="21"/>
              </w:rPr>
            </w:pPr>
            <w:r>
              <w:rPr>
                <w:rFonts w:hint="eastAsia" w:ascii="宋体" w:hAnsi="宋体" w:cs="宋体"/>
                <w:sz w:val="21"/>
                <w:szCs w:val="21"/>
              </w:rPr>
              <w:t xml:space="preserve">采购包序号</w:t>
            </w:r>
            <w:r/>
          </w:p>
        </w:tc>
        <w:tc>
          <w:tcPr>
            <w:tcW w:w="1111" w:type="dxa"/>
            <w:vAlign w:val="center"/>
            <w:textDirection w:val="lrTb"/>
            <w:noWrap w:val="false"/>
          </w:tcPr>
          <w:p>
            <w:pPr>
              <w:pStyle w:val="731"/>
              <w:jc w:val="center"/>
              <w:spacing w:after="160" w:line="300" w:lineRule="exact"/>
              <w:rPr>
                <w:rFonts w:hint="eastAsia" w:ascii="宋体" w:hAnsi="宋体" w:cs="宋体"/>
                <w:sz w:val="21"/>
                <w:szCs w:val="21"/>
              </w:rPr>
            </w:pPr>
            <w:r>
              <w:rPr>
                <w:rFonts w:hint="eastAsia" w:ascii="宋体" w:hAnsi="宋体" w:cs="宋体"/>
                <w:sz w:val="21"/>
                <w:szCs w:val="21"/>
              </w:rPr>
              <w:t xml:space="preserve">产品类别</w:t>
            </w:r>
            <w:r/>
          </w:p>
        </w:tc>
        <w:tc>
          <w:tcPr>
            <w:tcW w:w="2138" w:type="dxa"/>
            <w:vAlign w:val="center"/>
            <w:textDirection w:val="lrTb"/>
            <w:noWrap w:val="false"/>
          </w:tcPr>
          <w:p>
            <w:pPr>
              <w:pStyle w:val="731"/>
              <w:jc w:val="center"/>
              <w:spacing w:after="160" w:line="300" w:lineRule="exact"/>
              <w:rPr>
                <w:rFonts w:hint="eastAsia" w:ascii="宋体" w:hAnsi="宋体" w:cs="宋体"/>
                <w:sz w:val="21"/>
                <w:szCs w:val="21"/>
              </w:rPr>
            </w:pPr>
            <w:r>
              <w:rPr>
                <w:rFonts w:hint="eastAsia" w:ascii="宋体" w:hAnsi="宋体" w:cs="宋体"/>
                <w:sz w:val="21"/>
                <w:szCs w:val="21"/>
              </w:rPr>
              <w:t xml:space="preserve">动态监测产品品种</w:t>
            </w:r>
            <w:r/>
          </w:p>
        </w:tc>
        <w:tc>
          <w:tcPr>
            <w:tcW w:w="1670" w:type="dxa"/>
            <w:vAlign w:val="center"/>
            <w:textDirection w:val="lrTb"/>
            <w:noWrap w:val="false"/>
          </w:tcPr>
          <w:p>
            <w:pPr>
              <w:pStyle w:val="731"/>
              <w:jc w:val="center"/>
              <w:spacing w:after="160" w:line="300" w:lineRule="exact"/>
              <w:rPr>
                <w:rFonts w:hint="eastAsia" w:ascii="宋体" w:hAnsi="宋体" w:cs="宋体"/>
                <w:sz w:val="21"/>
                <w:szCs w:val="21"/>
              </w:rPr>
            </w:pPr>
            <w:r>
              <w:rPr>
                <w:rFonts w:hint="eastAsia" w:ascii="宋体" w:hAnsi="宋体" w:cs="宋体"/>
                <w:sz w:val="21"/>
                <w:szCs w:val="21"/>
              </w:rPr>
              <w:t xml:space="preserve">动态监测数量（批次）</w:t>
            </w:r>
            <w:r/>
          </w:p>
        </w:tc>
        <w:tc>
          <w:tcPr>
            <w:tcW w:w="2304" w:type="dxa"/>
            <w:vAlign w:val="center"/>
            <w:textDirection w:val="lrTb"/>
            <w:noWrap w:val="false"/>
          </w:tcPr>
          <w:p>
            <w:pPr>
              <w:pStyle w:val="731"/>
              <w:jc w:val="center"/>
              <w:spacing w:after="160" w:line="300" w:lineRule="exact"/>
              <w:rPr>
                <w:rFonts w:hint="eastAsia" w:ascii="宋体" w:hAnsi="宋体" w:cs="宋体"/>
                <w:sz w:val="21"/>
                <w:szCs w:val="21"/>
              </w:rPr>
            </w:pPr>
            <w:r>
              <w:rPr>
                <w:rFonts w:hint="eastAsia" w:ascii="宋体" w:hAnsi="宋体" w:cs="宋体"/>
                <w:sz w:val="21"/>
                <w:szCs w:val="21"/>
              </w:rPr>
              <w:t xml:space="preserve">采购预算</w:t>
              <w:br w:type="textWrapping" w:clear="all"/>
              <w:t xml:space="preserve">（人民币：元）</w:t>
            </w:r>
            <w:r/>
          </w:p>
        </w:tc>
      </w:tr>
      <w:tr>
        <w:trPr>
          <w:cantSplit/>
          <w:gridAfter w:val="1"/>
          <w:trHeight w:val="454"/>
        </w:trPr>
        <w:tc>
          <w:tcPr>
            <w:tcW w:w="681" w:type="dxa"/>
            <w:vAlign w:val="center"/>
            <w:vMerge w:val="restart"/>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1</w:t>
            </w:r>
            <w:r>
              <w:rPr>
                <w:rFonts w:hint="eastAsia" w:ascii="宋体" w:hAnsi="宋体"/>
                <w:sz w:val="21"/>
                <w:szCs w:val="21"/>
              </w:rPr>
            </w:r>
            <w:r/>
          </w:p>
        </w:tc>
        <w:tc>
          <w:tcPr>
            <w:tcW w:w="1111" w:type="dxa"/>
            <w:vAlign w:val="center"/>
            <w:vMerge w:val="restart"/>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电动自行车</w:t>
            </w:r>
            <w:r/>
          </w:p>
        </w:tc>
        <w:tc>
          <w:tcPr>
            <w:tcW w:w="2138"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电动自行车</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30</w:t>
            </w:r>
            <w:r>
              <w:rPr>
                <w:rFonts w:hint="eastAsia" w:ascii="宋体" w:hAnsi="宋体"/>
                <w:sz w:val="21"/>
                <w:szCs w:val="21"/>
              </w:rPr>
            </w:r>
            <w:r/>
          </w:p>
        </w:tc>
        <w:tc>
          <w:tcPr>
            <w:tcW w:w="2304" w:type="dxa"/>
            <w:vAlign w:val="center"/>
            <w:vMerge w:val="restart"/>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329</w:t>
            </w:r>
            <w:r>
              <w:rPr>
                <w:rFonts w:hint="eastAsia" w:ascii="宋体" w:hAnsi="宋体"/>
                <w:sz w:val="21"/>
                <w:szCs w:val="21"/>
              </w:rPr>
              <w:t xml:space="preserve">000</w:t>
            </w:r>
            <w:r/>
          </w:p>
        </w:tc>
      </w:tr>
      <w:tr>
        <w:trPr>
          <w:cantSplit/>
          <w:gridAfter w:val="1"/>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电动自行车用充电器</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30</w:t>
            </w:r>
            <w:r>
              <w:rPr>
                <w:rFonts w:hint="eastAsia" w:ascii="宋体" w:hAnsi="宋体"/>
                <w:sz w:val="21"/>
                <w:szCs w:val="21"/>
              </w:rPr>
            </w:r>
            <w:r/>
          </w:p>
        </w:tc>
        <w:tc>
          <w:tcPr>
            <w:tcW w:w="2304"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gridAfter w:val="1"/>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电动自行车用锂离子蓄电池</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tcW w:w="2304"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restart"/>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c>
          <w:tcPr>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建筑用钢筋</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钢筋混凝土用热轧钢筋、冷轧带肋钢筋</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30</w:t>
            </w:r>
            <w:r>
              <w:rPr>
                <w:rFonts w:hint="eastAsia" w:ascii="宋体" w:hAnsi="宋体"/>
                <w:sz w:val="21"/>
                <w:szCs w:val="21"/>
              </w:rPr>
            </w:r>
            <w:r/>
          </w:p>
        </w:tc>
        <w:tc>
          <w:tcPr>
            <w:gridSpan w:val="2"/>
            <w:tcW w:w="2319" w:type="dxa"/>
            <w:vAlign w:val="center"/>
            <w:vMerge w:val="restart"/>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494</w:t>
            </w:r>
            <w:r>
              <w:rPr>
                <w:rFonts w:hint="eastAsia" w:ascii="宋体" w:hAnsi="宋体"/>
                <w:sz w:val="21"/>
                <w:szCs w:val="21"/>
              </w:rPr>
              <w:t xml:space="preserve">000</w:t>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shd w:val="clear" w:color="000000" w:fill="ffffff"/>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建筑保温材料</w:t>
            </w:r>
            <w:r/>
          </w:p>
        </w:tc>
        <w:tc>
          <w:tcPr>
            <w:shd w:val="clear" w:color="000000" w:fill="ffffff"/>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岩棉板、模塑聚苯乙烯泡沫板（XPS）、挤塑聚苯乙烯泡沫板（XPS）、橡塑保温板、聚氨酯泡沫（PU）</w:t>
            </w:r>
            <w:r/>
          </w:p>
        </w:tc>
        <w:tc>
          <w:tcPr>
            <w:shd w:val="clear" w:color="000000" w:fill="ffffff"/>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40</w:t>
            </w:r>
            <w:r>
              <w:rPr>
                <w:rFonts w:hint="eastAsia" w:ascii="宋体" w:hAnsi="宋体"/>
                <w:sz w:val="21"/>
                <w:szCs w:val="21"/>
              </w:rPr>
            </w:r>
            <w:r/>
          </w:p>
        </w:tc>
        <w:tc>
          <w:tcPr>
            <w:gridSpan w:val="2"/>
            <w:shd w:val="clear" w:color="000000" w:fill="ffffff"/>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人造板</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胶合板、细木工板</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trHeight w:val="454"/>
        </w:trPr>
        <w:tc>
          <w:tcPr>
            <w:tcW w:w="681" w:type="dxa"/>
            <w:vAlign w:val="center"/>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r>
            <w:r/>
          </w:p>
        </w:tc>
        <w:tc>
          <w:tcPr>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化肥</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磷肥、复肥、氮肥</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60</w:t>
            </w:r>
            <w:r>
              <w:rPr>
                <w:rFonts w:hint="eastAsia" w:ascii="宋体" w:hAnsi="宋体"/>
                <w:sz w:val="21"/>
                <w:szCs w:val="21"/>
              </w:rPr>
            </w:r>
            <w:r/>
          </w:p>
        </w:tc>
        <w:tc>
          <w:tcPr>
            <w:gridSpan w:val="2"/>
            <w:tcW w:w="2319"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168</w:t>
            </w:r>
            <w:r>
              <w:rPr>
                <w:rFonts w:hint="eastAsia" w:ascii="宋体" w:hAnsi="宋体"/>
                <w:sz w:val="21"/>
                <w:szCs w:val="21"/>
              </w:rPr>
              <w:t xml:space="preserve">000</w:t>
            </w:r>
            <w:r/>
          </w:p>
        </w:tc>
      </w:tr>
      <w:tr>
        <w:trPr>
          <w:cantSplit/>
          <w:trHeight w:val="454"/>
        </w:trPr>
        <w:tc>
          <w:tcPr>
            <w:tcW w:w="681" w:type="dxa"/>
            <w:vAlign w:val="center"/>
            <w:vMerge w:val="restart"/>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r>
            <w:r/>
          </w:p>
        </w:tc>
        <w:tc>
          <w:tcPr>
            <w:tcW w:w="1111" w:type="dxa"/>
            <w:vAlign w:val="center"/>
            <w:vMerge w:val="restart"/>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燃气用具</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家用燃气灶</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restart"/>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805</w:t>
            </w:r>
            <w:r>
              <w:rPr>
                <w:rFonts w:hint="eastAsia" w:ascii="宋体" w:hAnsi="宋体"/>
                <w:sz w:val="21"/>
                <w:szCs w:val="21"/>
              </w:rPr>
              <w:t xml:space="preserve">000</w:t>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家用燃气快速热水器</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燃气用具连接用软管</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瓶装液化石油气调压器</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商用燃气燃烧器具</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15</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电磁式燃气紧急切断阀</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5</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restart"/>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消防产品</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手提式灭火器</w:t>
            </w:r>
            <w:r/>
          </w:p>
        </w:tc>
        <w:tc>
          <w:tcPr>
            <w:tcW w:w="1670" w:type="dxa"/>
            <w:vAlign w:val="center"/>
            <w:textDirection w:val="lrTb"/>
            <w:noWrap w:val="false"/>
          </w:tcPr>
          <w:p>
            <w:pPr>
              <w:pStyle w:val="731"/>
              <w:jc w:val="center"/>
              <w:spacing w:after="160" w:line="240" w:lineRule="exact"/>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过滤式消防自救呼吸器</w:t>
            </w:r>
            <w:r/>
          </w:p>
        </w:tc>
        <w:tc>
          <w:tcPr>
            <w:tcW w:w="1670" w:type="dxa"/>
            <w:vAlign w:val="center"/>
            <w:textDirection w:val="lrTb"/>
            <w:noWrap w:val="false"/>
          </w:tcPr>
          <w:p>
            <w:pPr>
              <w:pStyle w:val="731"/>
              <w:jc w:val="center"/>
              <w:spacing w:after="160" w:line="240" w:lineRule="exact"/>
              <w:rPr>
                <w:rFonts w:hint="eastAsia" w:ascii="宋体" w:hAnsi="宋体"/>
                <w:color w:val="000000"/>
                <w:sz w:val="21"/>
                <w:szCs w:val="21"/>
              </w:rPr>
            </w:pPr>
            <w:r>
              <w:rPr>
                <w:rFonts w:ascii="宋体" w:hAnsi="宋体"/>
                <w:color w:val="000000"/>
                <w:sz w:val="21"/>
                <w:szCs w:val="21"/>
              </w:rPr>
              <w:t xml:space="preserve">20</w:t>
            </w:r>
            <w:r>
              <w:rPr>
                <w:rFonts w:hint="eastAsia" w:ascii="宋体" w:hAnsi="宋体"/>
                <w:color w:val="000000"/>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消防水带</w:t>
            </w:r>
            <w:r/>
          </w:p>
        </w:tc>
        <w:tc>
          <w:tcPr>
            <w:tcW w:w="1670" w:type="dxa"/>
            <w:vAlign w:val="center"/>
            <w:textDirection w:val="lrTb"/>
            <w:noWrap w:val="false"/>
          </w:tcPr>
          <w:p>
            <w:pPr>
              <w:pStyle w:val="731"/>
              <w:jc w:val="center"/>
              <w:spacing w:after="160" w:line="240" w:lineRule="exact"/>
              <w:rPr>
                <w:rFonts w:hint="eastAsia" w:ascii="宋体" w:hAnsi="宋体"/>
                <w:color w:val="000000"/>
                <w:sz w:val="21"/>
                <w:szCs w:val="21"/>
              </w:rPr>
            </w:pPr>
            <w:r>
              <w:rPr>
                <w:rFonts w:ascii="宋体" w:hAnsi="宋体"/>
                <w:color w:val="000000"/>
                <w:sz w:val="21"/>
                <w:szCs w:val="21"/>
              </w:rPr>
              <w:t xml:space="preserve">20</w:t>
            </w:r>
            <w:r>
              <w:rPr>
                <w:rFonts w:hint="eastAsia" w:ascii="宋体" w:hAnsi="宋体"/>
                <w:color w:val="000000"/>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电气火灾监控探测器</w:t>
            </w:r>
            <w:r/>
          </w:p>
        </w:tc>
        <w:tc>
          <w:tcPr>
            <w:tcW w:w="1670" w:type="dxa"/>
            <w:vAlign w:val="center"/>
            <w:textDirection w:val="lrTb"/>
            <w:noWrap w:val="false"/>
          </w:tcPr>
          <w:p>
            <w:pPr>
              <w:pStyle w:val="731"/>
              <w:jc w:val="center"/>
              <w:spacing w:after="160" w:line="240" w:lineRule="exact"/>
              <w:rPr>
                <w:rFonts w:hint="eastAsia" w:ascii="宋体" w:hAnsi="宋体"/>
                <w:color w:val="000000"/>
                <w:sz w:val="21"/>
                <w:szCs w:val="21"/>
              </w:rPr>
            </w:pPr>
            <w:r>
              <w:rPr>
                <w:rFonts w:ascii="宋体" w:hAnsi="宋体"/>
                <w:color w:val="000000"/>
                <w:sz w:val="21"/>
                <w:szCs w:val="21"/>
              </w:rPr>
              <w:t xml:space="preserve">10</w:t>
            </w:r>
            <w:r>
              <w:rPr>
                <w:rFonts w:hint="eastAsia" w:ascii="宋体" w:hAnsi="宋体"/>
                <w:color w:val="000000"/>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20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restart"/>
            <w:textDirection w:val="lrTb"/>
            <w:noWrap w:val="false"/>
          </w:tcPr>
          <w:p>
            <w:pPr>
              <w:pStyle w:val="731"/>
              <w:jc w:val="center"/>
              <w:spacing w:after="160" w:line="278"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r>
            <w:r/>
          </w:p>
        </w:tc>
        <w:tc>
          <w:tcPr>
            <w:tcW w:w="1111" w:type="dxa"/>
            <w:vAlign w:val="center"/>
            <w:vMerge w:val="restart"/>
            <w:textDirection w:val="lrTb"/>
            <w:noWrap w:val="false"/>
          </w:tcPr>
          <w:p>
            <w:pPr>
              <w:pStyle w:val="731"/>
              <w:jc w:val="center"/>
              <w:spacing w:after="160" w:line="240" w:lineRule="exact"/>
              <w:rPr>
                <w:rFonts w:hint="eastAsia" w:ascii="宋体" w:hAnsi="宋体" w:cs="宋体"/>
                <w:sz w:val="21"/>
                <w:szCs w:val="21"/>
              </w:rPr>
            </w:pPr>
            <w:r>
              <w:rPr>
                <w:rFonts w:hint="eastAsia" w:ascii="宋体" w:hAnsi="宋体" w:cs="宋体"/>
                <w:sz w:val="21"/>
                <w:szCs w:val="21"/>
              </w:rPr>
              <w:t xml:space="preserve">食品相关</w:t>
            </w:r>
            <w:r>
              <w:rPr>
                <w:rFonts w:hint="eastAsia" w:ascii="宋体" w:hAnsi="宋体" w:cs="宋体"/>
                <w:sz w:val="21"/>
                <w:szCs w:val="21"/>
              </w:rPr>
              <w:t xml:space="preserve">产品</w:t>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婴幼儿用奶瓶</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319" w:type="dxa"/>
            <w:vAlign w:val="center"/>
            <w:vMerge w:val="restart"/>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196</w:t>
            </w:r>
            <w:r>
              <w:rPr>
                <w:rFonts w:hint="eastAsia" w:ascii="宋体" w:hAnsi="宋体"/>
                <w:sz w:val="21"/>
                <w:szCs w:val="21"/>
              </w:rPr>
              <w:t xml:space="preserve">000</w:t>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婴幼儿用奶嘴</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竹木砧板等竹木制品</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r>
        <w:trPr>
          <w:cantSplit/>
          <w:trHeight w:val="454"/>
        </w:trPr>
        <w:tc>
          <w:tcPr>
            <w:tcW w:w="681"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pStyle w:val="731"/>
              <w:spacing w:after="160" w:line="240" w:lineRule="exact"/>
              <w:rPr>
                <w:rFonts w:hint="eastAsia" w:ascii="宋体" w:hAnsi="宋体" w:cs="宋体"/>
                <w:sz w:val="21"/>
                <w:szCs w:val="21"/>
              </w:rPr>
            </w:pPr>
            <w:r>
              <w:rPr>
                <w:rFonts w:hint="eastAsia" w:ascii="宋体" w:hAnsi="宋体" w:cs="宋体"/>
                <w:sz w:val="21"/>
                <w:szCs w:val="21"/>
              </w:rPr>
              <w:t xml:space="preserve">一次性餐饮具</w:t>
            </w:r>
            <w:r/>
          </w:p>
        </w:tc>
        <w:tc>
          <w:tcPr>
            <w:tcW w:w="1670" w:type="dxa"/>
            <w:vAlign w:val="center"/>
            <w:textDirection w:val="lrTb"/>
            <w:noWrap w:val="false"/>
          </w:tcPr>
          <w:p>
            <w:pPr>
              <w:pStyle w:val="731"/>
              <w:jc w:val="center"/>
              <w:spacing w:after="160" w:line="240" w:lineRule="exact"/>
              <w:rPr>
                <w:rFonts w:hint="eastAsia" w:ascii="宋体" w:hAnsi="宋体"/>
                <w:sz w:val="21"/>
                <w:szCs w:val="21"/>
              </w:rPr>
            </w:pPr>
            <w:r>
              <w:rPr>
                <w:rFonts w:ascii="宋体" w:hAnsi="宋体"/>
                <w:sz w:val="21"/>
                <w:szCs w:val="21"/>
              </w:rPr>
              <w:t xml:space="preserve">30</w:t>
            </w:r>
            <w:r>
              <w:rPr>
                <w:rFonts w:hint="eastAsia" w:ascii="宋体" w:hAnsi="宋体"/>
                <w:sz w:val="21"/>
                <w:szCs w:val="21"/>
              </w:rPr>
            </w:r>
            <w:r/>
          </w:p>
        </w:tc>
        <w:tc>
          <w:tcPr>
            <w:gridSpan w:val="2"/>
            <w:tcW w:w="2319" w:type="dxa"/>
            <w:vAlign w:val="center"/>
            <w:vMerge w:val="continue"/>
            <w:textDirection w:val="lrTb"/>
            <w:noWrap w:val="false"/>
          </w:tcPr>
          <w:p>
            <w:pPr>
              <w:pStyle w:val="731"/>
              <w:spacing w:after="160" w:line="278" w:lineRule="auto"/>
              <w:rPr>
                <w:rFonts w:hint="eastAsia" w:ascii="宋体" w:hAnsi="宋体"/>
                <w:sz w:val="21"/>
                <w:szCs w:val="21"/>
              </w:rPr>
            </w:pPr>
            <w:r>
              <w:rPr>
                <w:rFonts w:hint="eastAsia" w:ascii="宋体" w:hAnsi="宋体"/>
                <w:sz w:val="21"/>
                <w:szCs w:val="21"/>
              </w:rPr>
            </w:r>
            <w:r/>
          </w:p>
        </w:tc>
      </w:tr>
    </w:tbl>
    <w:p>
      <w:pPr>
        <w:pStyle w:val="731"/>
        <w:spacing w:after="160" w:line="560" w:lineRule="exact"/>
        <w:rPr>
          <w:rFonts w:ascii="宋体" w:hAnsi="宋体" w:cs="宋体"/>
          <w:sz w:val="24"/>
          <w:szCs w:val="24"/>
        </w:rPr>
      </w:pPr>
      <w:r>
        <w:rPr>
          <w:rFonts w:ascii="宋体" w:hAnsi="宋体" w:cs="宋体"/>
          <w:sz w:val="24"/>
          <w:szCs w:val="24"/>
        </w:rPr>
      </w:r>
      <w:r/>
    </w:p>
    <w:p>
      <w:pPr>
        <w:pStyle w:val="731"/>
        <w:spacing w:after="160" w:line="560" w:lineRule="exact"/>
        <w:rPr>
          <w:rFonts w:hint="eastAsia" w:ascii="宋体" w:hAnsi="宋体" w:cs="宋体"/>
          <w:sz w:val="24"/>
          <w:szCs w:val="24"/>
        </w:rPr>
      </w:pPr>
      <w:r>
        <w:rPr>
          <w:rFonts w:hint="eastAsia" w:ascii="宋体" w:hAnsi="宋体" w:cs="宋体"/>
          <w:sz w:val="24"/>
          <w:szCs w:val="24"/>
        </w:rPr>
      </w:r>
      <w:r/>
    </w:p>
    <w:p>
      <w:pPr>
        <w:pStyle w:val="731"/>
        <w:jc w:val="both"/>
        <w:spacing w:after="160" w:line="360" w:lineRule="auto"/>
        <w:widowControl w:val="off"/>
        <w:rPr>
          <w:rFonts w:hint="eastAsia" w:ascii="宋体" w:hAnsi="宋体" w:cs="方正黑体_GBK"/>
          <w:b/>
          <w:sz w:val="24"/>
          <w:szCs w:val="24"/>
        </w:rPr>
      </w:pPr>
      <w:r>
        <w:rPr>
          <w:rFonts w:hint="eastAsia" w:ascii="宋体" w:hAnsi="宋体" w:cs="方正黑体_GBK"/>
          <w:b/>
          <w:sz w:val="24"/>
          <w:szCs w:val="24"/>
        </w:rPr>
        <w:br w:type="page" w:clear="all"/>
        <w:t xml:space="preserve">附件3</w:t>
      </w:r>
      <w:r/>
    </w:p>
    <w:p>
      <w:pPr>
        <w:pStyle w:val="731"/>
        <w:jc w:val="center"/>
        <w:spacing w:after="160" w:line="360" w:lineRule="auto"/>
        <w:widowControl w:val="off"/>
        <w:rPr>
          <w:rFonts w:hint="eastAsia" w:ascii="宋体" w:hAnsi="宋体" w:cs="方正黑体_GBK"/>
          <w:bCs/>
          <w:sz w:val="24"/>
          <w:szCs w:val="24"/>
        </w:rPr>
      </w:pPr>
      <w:r>
        <w:rPr>
          <w:rFonts w:hint="eastAsia" w:ascii="宋体" w:hAnsi="宋体" w:cs="方正黑体_GBK"/>
          <w:bCs/>
          <w:sz w:val="24"/>
          <w:szCs w:val="24"/>
        </w:rPr>
        <w:t xml:space="preserve">202</w:t>
      </w:r>
      <w:r>
        <w:rPr>
          <w:rFonts w:ascii="宋体" w:hAnsi="宋体" w:cs="方正黑体_GBK"/>
          <w:bCs/>
          <w:sz w:val="24"/>
          <w:szCs w:val="24"/>
        </w:rPr>
        <w:t xml:space="preserve">6</w:t>
      </w:r>
      <w:r>
        <w:rPr>
          <w:rFonts w:hint="eastAsia" w:ascii="宋体" w:hAnsi="宋体" w:cs="方正黑体_GBK"/>
          <w:bCs/>
          <w:sz w:val="24"/>
          <w:szCs w:val="24"/>
        </w:rPr>
        <w:t xml:space="preserve">年江苏省</w:t>
      </w:r>
      <w:r>
        <w:rPr>
          <w:rFonts w:hint="eastAsia" w:ascii="宋体" w:hAnsi="宋体" w:cs="宋体"/>
          <w:sz w:val="24"/>
          <w:szCs w:val="24"/>
        </w:rPr>
        <w:t xml:space="preserve">重点工业产品质量安全隐患风险动态监测</w:t>
      </w:r>
      <w:r>
        <w:rPr>
          <w:rFonts w:hint="eastAsia" w:ascii="宋体" w:hAnsi="宋体" w:cs="方正黑体_GBK"/>
          <w:bCs/>
          <w:sz w:val="24"/>
          <w:szCs w:val="24"/>
        </w:rPr>
        <w:t xml:space="preserve">需求明细</w:t>
      </w:r>
      <w:r/>
    </w:p>
    <w:p>
      <w:pPr>
        <w:pStyle w:val="731"/>
        <w:spacing w:after="160" w:line="360" w:lineRule="auto"/>
        <w:widowControl w:val="off"/>
        <w:rPr>
          <w:rFonts w:hint="eastAsia" w:ascii="宋体" w:hAnsi="宋体" w:cs="宋体"/>
          <w:sz w:val="21"/>
          <w:szCs w:val="21"/>
        </w:rPr>
      </w:pPr>
      <w:r>
        <w:rPr>
          <w:rFonts w:hint="eastAsia"/>
          <w:b/>
          <w:bCs/>
          <w:color w:val="0d0d0d"/>
          <w:sz w:val="28"/>
          <w:szCs w:val="28"/>
        </w:rPr>
        <w:t xml:space="preserve">1、电动自行车</w:t>
      </w:r>
      <w:r>
        <w:rPr>
          <w:rFonts w:hint="eastAsia" w:ascii="宋体" w:hAnsi="宋体" w:cs="宋体"/>
          <w:sz w:val="21"/>
          <w:szCs w:val="21"/>
        </w:rPr>
      </w:r>
      <w:r/>
    </w:p>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电动自行车产品检验检测项目、依据及方法</w:t>
      </w:r>
      <w:r/>
    </w:p>
    <w:tbl>
      <w:tblPr>
        <w:tblW w:w="51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08"/>
        <w:gridCol w:w="2591"/>
        <w:gridCol w:w="2221"/>
      </w:tblGrid>
      <w:tr>
        <w:trPr>
          <w:trHeight w:val="38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序号</w:t>
            </w:r>
            <w:r>
              <w:rPr>
                <w:rFonts w:cs="Calibri"/>
                <w:sz w:val="21"/>
                <w:szCs w:val="21"/>
              </w:rPr>
            </w:r>
            <w:r/>
          </w:p>
        </w:tc>
        <w:tc>
          <w:tcPr>
            <w:tcW w:w="310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检验项目</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检验依据</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检验方法</w:t>
            </w:r>
            <w:r>
              <w:rPr>
                <w:rFonts w:cs="Calibri"/>
                <w:sz w:val="21"/>
                <w:szCs w:val="21"/>
              </w:rPr>
            </w:r>
            <w:r/>
          </w:p>
        </w:tc>
      </w:tr>
      <w:tr>
        <w:trPr>
          <w:trHeight w:val="47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1</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互认协同充电</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42295—202</w:t>
            </w:r>
            <w:r>
              <w:rPr>
                <w:rFonts w:hint="eastAsia" w:cs="Calibri"/>
                <w:sz w:val="21"/>
                <w:szCs w:val="21"/>
              </w:rPr>
              <w:t xml:space="preserve">2</w:t>
            </w:r>
            <w:r>
              <w:rPr>
                <w:rFonts w:cs="Calibri"/>
                <w:sz w:val="21"/>
                <w:szCs w:val="21"/>
              </w:rPr>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42295—2022 </w:t>
            </w:r>
            <w:r/>
          </w:p>
        </w:tc>
      </w:tr>
      <w:tr>
        <w:trPr>
          <w:trHeight w:val="42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2</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标识与警示语</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42295—2022</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42295—2022 </w:t>
            </w:r>
            <w:r/>
          </w:p>
        </w:tc>
      </w:tr>
      <w:tr>
        <w:trPr>
          <w:trHeight w:val="413"/>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3</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整车质量</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w:t>
            </w:r>
            <w:r>
              <w:rPr>
                <w:rFonts w:cs="Calibri"/>
                <w:sz w:val="21"/>
                <w:szCs w:val="21"/>
              </w:rPr>
              <w:t xml:space="preserve">7761—2024</w:t>
            </w:r>
            <w:r/>
          </w:p>
        </w:tc>
      </w:tr>
      <w:tr>
        <w:trPr>
          <w:trHeight w:val="40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4</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反射器</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p>
            <w:pPr>
              <w:pStyle w:val="731"/>
              <w:jc w:val="center"/>
              <w:spacing w:after="160" w:line="300" w:lineRule="exact"/>
              <w:widowControl w:val="off"/>
              <w:rPr>
                <w:rFonts w:cs="Calibri"/>
                <w:sz w:val="21"/>
                <w:szCs w:val="21"/>
              </w:rPr>
            </w:pPr>
            <w:r>
              <w:rPr>
                <w:rFonts w:cs="Calibri"/>
                <w:sz w:val="21"/>
                <w:szCs w:val="21"/>
              </w:rPr>
              <w:t xml:space="preserve">GB/T 31887.2—2019</w:t>
            </w:r>
            <w:r/>
          </w:p>
        </w:tc>
      </w:tr>
      <w:tr>
        <w:trPr>
          <w:trHeight w:val="424"/>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5</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淋水涉水</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r>
      <w:tr>
        <w:trPr>
          <w:trHeight w:val="424"/>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6</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车速限值</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17761—2024</w:t>
            </w:r>
            <w:r/>
          </w:p>
        </w:tc>
      </w:tr>
    </w:tbl>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r>
      <w:r/>
    </w:p>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电动自行车用充电器产品检验检测项目、依据及方法</w:t>
      </w:r>
      <w:r/>
    </w:p>
    <w:tbl>
      <w:tblPr>
        <w:tblW w:w="51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08"/>
        <w:gridCol w:w="2591"/>
        <w:gridCol w:w="2221"/>
      </w:tblGrid>
      <w:tr>
        <w:trPr>
          <w:trHeight w:val="38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序号</w:t>
            </w:r>
            <w:r>
              <w:rPr>
                <w:rFonts w:cs="Calibri"/>
                <w:sz w:val="21"/>
                <w:szCs w:val="21"/>
              </w:rPr>
            </w:r>
            <w:r/>
          </w:p>
        </w:tc>
        <w:tc>
          <w:tcPr>
            <w:tcW w:w="310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检验项目</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检验依据</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检验方法</w:t>
            </w:r>
            <w:r>
              <w:rPr>
                <w:rFonts w:cs="Calibri"/>
                <w:sz w:val="21"/>
                <w:szCs w:val="21"/>
              </w:rPr>
            </w:r>
            <w:r/>
          </w:p>
        </w:tc>
      </w:tr>
      <w:tr>
        <w:trPr>
          <w:trHeight w:val="47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1</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编码</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color w:val="000000"/>
                <w:sz w:val="21"/>
                <w:szCs w:val="21"/>
              </w:rPr>
            </w:pPr>
            <w:r>
              <w:rPr>
                <w:rFonts w:cs="Calibri"/>
                <w:color w:val="000000"/>
                <w:sz w:val="21"/>
                <w:szCs w:val="21"/>
              </w:rPr>
              <w:t xml:space="preserve">GB 42296—2022及第 1 号修改单</w:t>
            </w:r>
            <w:r/>
          </w:p>
        </w:tc>
        <w:tc>
          <w:tcPr>
            <w:tcW w:w="2221" w:type="dxa"/>
            <w:vAlign w:val="center"/>
            <w:textDirection w:val="lrTb"/>
            <w:noWrap w:val="false"/>
          </w:tcPr>
          <w:p>
            <w:pPr>
              <w:pStyle w:val="731"/>
              <w:jc w:val="center"/>
              <w:spacing w:after="160" w:line="300" w:lineRule="exact"/>
              <w:widowControl w:val="off"/>
              <w:rPr>
                <w:rFonts w:cs="Calibri"/>
                <w:color w:val="000000"/>
                <w:sz w:val="21"/>
                <w:szCs w:val="21"/>
              </w:rPr>
            </w:pPr>
            <w:r>
              <w:rPr>
                <w:rFonts w:cs="Calibri"/>
                <w:color w:val="000000"/>
                <w:sz w:val="21"/>
                <w:szCs w:val="21"/>
              </w:rPr>
              <w:t xml:space="preserve">GB 42296—2022及第 1 号修改单</w:t>
            </w:r>
            <w:r/>
          </w:p>
        </w:tc>
      </w:tr>
      <w:tr>
        <w:trPr>
          <w:trHeight w:val="42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2</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超温保护</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w:t>
            </w:r>
            <w:r>
              <w:rPr>
                <w:rFonts w:cs="Calibri"/>
                <w:sz w:val="21"/>
                <w:szCs w:val="21"/>
              </w:rPr>
              <w:t xml:space="preserve"> 42296</w:t>
            </w:r>
            <w:r>
              <w:rPr>
                <w:rFonts w:cs="Calibri"/>
                <w:color w:val="000000"/>
                <w:sz w:val="21"/>
                <w:szCs w:val="21"/>
              </w:rPr>
              <w:t xml:space="preserve">—</w:t>
            </w:r>
            <w:r>
              <w:rPr>
                <w:rFonts w:cs="Calibri"/>
                <w:sz w:val="21"/>
                <w:szCs w:val="21"/>
              </w:rPr>
              <w:t xml:space="preserve">2022 </w:t>
            </w:r>
            <w:r/>
          </w:p>
        </w:tc>
      </w:tr>
      <w:tr>
        <w:trPr>
          <w:trHeight w:val="413"/>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3</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过充切断</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r>
      <w:tr>
        <w:trPr>
          <w:trHeight w:val="40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4</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非正常工作（仅测5.2.5.1、5.2.5.2）</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r>
      <w:tr>
        <w:trPr>
          <w:trHeight w:val="424"/>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5</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电气强度</w:t>
            </w:r>
            <w:r>
              <w:rPr>
                <w:rFonts w:cs="Calibri"/>
                <w:sz w:val="21"/>
                <w:szCs w:val="21"/>
              </w:rPr>
            </w:r>
            <w:r/>
          </w:p>
        </w:tc>
        <w:tc>
          <w:tcPr>
            <w:tcW w:w="259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c>
          <w:tcPr>
            <w:tcW w:w="2221" w:type="dxa"/>
            <w:vAlign w:val="center"/>
            <w:textDirection w:val="lrTb"/>
            <w:noWrap w:val="false"/>
          </w:tcPr>
          <w:p>
            <w:pPr>
              <w:pStyle w:val="731"/>
              <w:jc w:val="center"/>
              <w:spacing w:after="160" w:line="300" w:lineRule="exact"/>
              <w:widowControl w:val="off"/>
              <w:rPr>
                <w:rFonts w:cs="Calibri"/>
                <w:sz w:val="21"/>
                <w:szCs w:val="21"/>
              </w:rPr>
            </w:pPr>
            <w:r>
              <w:rPr>
                <w:rFonts w:cs="Calibri"/>
                <w:sz w:val="21"/>
                <w:szCs w:val="21"/>
              </w:rPr>
              <w:t xml:space="preserve">GB 42296</w:t>
            </w:r>
            <w:r>
              <w:rPr>
                <w:rFonts w:cs="Calibri"/>
                <w:color w:val="000000"/>
                <w:sz w:val="21"/>
                <w:szCs w:val="21"/>
              </w:rPr>
              <w:t xml:space="preserve">—</w:t>
            </w:r>
            <w:r>
              <w:rPr>
                <w:rFonts w:cs="Calibri"/>
                <w:sz w:val="21"/>
                <w:szCs w:val="21"/>
              </w:rPr>
              <w:t xml:space="preserve">2022 </w:t>
            </w:r>
            <w:r/>
          </w:p>
        </w:tc>
      </w:tr>
    </w:tbl>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r>
      <w:r/>
    </w:p>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电动自行车用锂离子蓄电池产品检验检测项目、依据及方法</w:t>
      </w:r>
      <w:r/>
    </w:p>
    <w:tbl>
      <w:tblPr>
        <w:tblW w:w="51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108"/>
        <w:gridCol w:w="2591"/>
        <w:gridCol w:w="2221"/>
      </w:tblGrid>
      <w:tr>
        <w:trPr>
          <w:trHeight w:val="38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序号</w:t>
            </w:r>
            <w:r>
              <w:rPr>
                <w:rFonts w:cs="Calibri"/>
                <w:sz w:val="21"/>
                <w:szCs w:val="21"/>
              </w:rPr>
            </w:r>
            <w:r/>
          </w:p>
        </w:tc>
        <w:tc>
          <w:tcPr>
            <w:tcW w:w="3108"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检验项目</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检验依据</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hint="eastAsia" w:ascii="宋体" w:hAnsi="宋体" w:cs="宋体"/>
                <w:sz w:val="21"/>
                <w:szCs w:val="21"/>
              </w:rPr>
              <w:t xml:space="preserve">检验方法</w:t>
            </w:r>
            <w:r>
              <w:rPr>
                <w:rFonts w:cs="Calibri"/>
                <w:sz w:val="21"/>
                <w:szCs w:val="21"/>
              </w:rPr>
            </w:r>
            <w:r/>
          </w:p>
        </w:tc>
      </w:tr>
      <w:tr>
        <w:trPr>
          <w:trHeight w:val="47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1</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I2(A)放电</w:t>
            </w:r>
            <w:r>
              <w:rPr>
                <w:rFonts w:cs="Calibri"/>
                <w:sz w:val="21"/>
                <w:szCs w:val="21"/>
              </w:rPr>
            </w:r>
            <w:r/>
          </w:p>
        </w:tc>
        <w:tc>
          <w:tcPr>
            <w:tcW w:w="2591" w:type="dxa"/>
            <w:vAlign w:val="center"/>
            <w:textDirection w:val="lrTb"/>
            <w:noWrap w:val="false"/>
          </w:tcPr>
          <w:p>
            <w:pPr>
              <w:pStyle w:val="731"/>
              <w:jc w:val="center"/>
              <w:spacing w:before="186" w:after="160" w:line="234"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c>
          <w:tcPr>
            <w:tcW w:w="2221" w:type="dxa"/>
            <w:vAlign w:val="center"/>
            <w:textDirection w:val="lrTb"/>
            <w:noWrap w:val="false"/>
          </w:tcPr>
          <w:p>
            <w:pPr>
              <w:pStyle w:val="731"/>
              <w:jc w:val="center"/>
              <w:spacing w:before="186" w:after="160" w:line="234"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r>
      <w:tr>
        <w:trPr>
          <w:trHeight w:val="420"/>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2</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过放电</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r>
      <w:tr>
        <w:trPr>
          <w:trHeight w:val="413"/>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3</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过充电</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r>
      <w:tr>
        <w:trPr>
          <w:trHeight w:val="405"/>
        </w:trPr>
        <w:tc>
          <w:tcPr>
            <w:tcW w:w="818" w:type="dxa"/>
            <w:vAlign w:val="center"/>
            <w:textDirection w:val="lrTb"/>
            <w:noWrap w:val="false"/>
          </w:tcPr>
          <w:p>
            <w:pPr>
              <w:pStyle w:val="731"/>
              <w:jc w:val="center"/>
              <w:spacing w:after="160" w:line="278" w:lineRule="auto"/>
              <w:widowControl w:val="off"/>
              <w:rPr>
                <w:rFonts w:cs="Calibri"/>
                <w:sz w:val="21"/>
                <w:szCs w:val="21"/>
              </w:rPr>
            </w:pPr>
            <w:r>
              <w:rPr>
                <w:rFonts w:hint="eastAsia" w:cs="Calibri"/>
                <w:sz w:val="21"/>
                <w:szCs w:val="21"/>
              </w:rPr>
              <w:t xml:space="preserve">4</w:t>
            </w:r>
            <w:r>
              <w:rPr>
                <w:rFonts w:cs="Calibri"/>
                <w:sz w:val="21"/>
                <w:szCs w:val="21"/>
              </w:rPr>
            </w:r>
            <w:r/>
          </w:p>
        </w:tc>
        <w:tc>
          <w:tcPr>
            <w:tcW w:w="3108" w:type="dxa"/>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阻燃性（外壳）</w:t>
            </w:r>
            <w:r>
              <w:rPr>
                <w:rFonts w:cs="Calibri"/>
                <w:sz w:val="21"/>
                <w:szCs w:val="21"/>
              </w:rPr>
            </w:r>
            <w:r/>
          </w:p>
        </w:tc>
        <w:tc>
          <w:tcPr>
            <w:tcW w:w="259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c>
          <w:tcPr>
            <w:tcW w:w="2221" w:type="dxa"/>
            <w:vAlign w:val="center"/>
            <w:textDirection w:val="lrTb"/>
            <w:noWrap w:val="false"/>
          </w:tcPr>
          <w:p>
            <w:pPr>
              <w:pStyle w:val="731"/>
              <w:jc w:val="center"/>
              <w:spacing w:after="160" w:line="278" w:lineRule="auto"/>
              <w:widowControl w:val="off"/>
              <w:rPr>
                <w:rFonts w:cs="Calibri"/>
                <w:sz w:val="21"/>
                <w:szCs w:val="21"/>
              </w:rPr>
            </w:pPr>
            <w:r>
              <w:rPr>
                <w:rFonts w:ascii="微软雅黑" w:hAnsi="微软雅黑" w:eastAsia="微软雅黑" w:cs="微软雅黑"/>
                <w:sz w:val="19"/>
                <w:szCs w:val="19"/>
              </w:rPr>
              <w:t xml:space="preserve">GB</w:t>
            </w:r>
            <w:r>
              <w:rPr>
                <w:rFonts w:ascii="微软雅黑" w:hAnsi="微软雅黑" w:eastAsia="微软雅黑" w:cs="微软雅黑"/>
                <w:spacing w:val="35"/>
                <w:sz w:val="19"/>
                <w:szCs w:val="19"/>
              </w:rPr>
              <w:t xml:space="preserve"> </w:t>
            </w:r>
            <w:r>
              <w:rPr>
                <w:rFonts w:ascii="微软雅黑" w:hAnsi="微软雅黑" w:eastAsia="微软雅黑" w:cs="微软雅黑"/>
                <w:sz w:val="19"/>
                <w:szCs w:val="19"/>
              </w:rPr>
              <w:t xml:space="preserve">43854—2024</w:t>
            </w:r>
            <w:r>
              <w:rPr>
                <w:rFonts w:cs="Calibri"/>
                <w:sz w:val="21"/>
                <w:szCs w:val="21"/>
              </w:rPr>
            </w:r>
            <w:r/>
          </w:p>
        </w:tc>
      </w:tr>
    </w:tbl>
    <w:p>
      <w:pPr>
        <w:pStyle w:val="731"/>
        <w:spacing w:after="160" w:line="360" w:lineRule="auto"/>
        <w:widowControl w:val="off"/>
        <w:rPr>
          <w:b/>
          <w:bCs/>
          <w:color w:val="0d0d0d"/>
          <w:sz w:val="28"/>
          <w:szCs w:val="28"/>
        </w:rPr>
      </w:pPr>
      <w:r>
        <w:rPr>
          <w:b/>
          <w:bCs/>
          <w:color w:val="0d0d0d"/>
          <w:sz w:val="28"/>
          <w:szCs w:val="28"/>
        </w:rPr>
      </w:r>
      <w:r/>
    </w:p>
    <w:p>
      <w:pPr>
        <w:pStyle w:val="731"/>
        <w:spacing w:after="160" w:line="360" w:lineRule="auto"/>
        <w:widowControl w:val="off"/>
        <w:rPr>
          <w:b/>
          <w:bCs/>
          <w:color w:val="0d0d0d"/>
          <w:sz w:val="28"/>
          <w:szCs w:val="28"/>
        </w:rPr>
      </w:pPr>
      <w:r>
        <w:rPr>
          <w:rFonts w:hint="eastAsia"/>
          <w:b/>
          <w:bCs/>
          <w:color w:val="0d0d0d"/>
          <w:sz w:val="28"/>
          <w:szCs w:val="28"/>
        </w:rPr>
        <w:t xml:space="preserve">2、建筑用钢筋</w:t>
      </w:r>
      <w:r>
        <w:rPr>
          <w:b/>
          <w:bCs/>
          <w:color w:val="0d0d0d"/>
          <w:sz w:val="28"/>
          <w:szCs w:val="28"/>
        </w:rPr>
      </w:r>
      <w:r/>
    </w:p>
    <w:p>
      <w:pPr>
        <w:pStyle w:val="731"/>
        <w:jc w:val="both"/>
        <w:spacing w:after="160" w:line="278" w:lineRule="auto"/>
        <w:widowControl w:val="off"/>
        <w:rPr>
          <w:rFonts w:cs="Calibri"/>
          <w:sz w:val="21"/>
          <w:szCs w:val="21"/>
        </w:rPr>
      </w:pPr>
      <w:r>
        <w:rPr>
          <w:rFonts w:hint="eastAsia" w:cs="Calibri"/>
          <w:sz w:val="21"/>
          <w:szCs w:val="21"/>
        </w:rPr>
        <w:t xml:space="preserve">钢筋混凝土用热轧钢筋产品检验检测项目、依据及方法</w:t>
      </w:r>
      <w:r>
        <w:rPr>
          <w:rFonts w:cs="Calibri"/>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522"/>
        <w:gridCol w:w="3330"/>
        <w:gridCol w:w="2044"/>
        <w:gridCol w:w="2044"/>
      </w:tblGrid>
      <w:tr>
        <w:trPr>
          <w:trHeight w:val="340"/>
          <w:tblHeader/>
        </w:trPr>
        <w:tc>
          <w:tcPr>
            <w:tcW w:w="342"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序号</w:t>
            </w:r>
            <w:r>
              <w:rPr>
                <w:rFonts w:cs="Calibri"/>
                <w:sz w:val="21"/>
                <w:szCs w:val="21"/>
              </w:rPr>
            </w:r>
            <w:r/>
          </w:p>
        </w:tc>
        <w:tc>
          <w:tcPr>
            <w:gridSpan w:val="2"/>
            <w:tcW w:w="2260"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检验项目</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检验依据</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检验方法</w:t>
            </w:r>
            <w:r>
              <w:rPr>
                <w:rFonts w:cs="Calibri"/>
                <w:sz w:val="21"/>
                <w:szCs w:val="21"/>
              </w:rPr>
            </w:r>
            <w:r/>
          </w:p>
        </w:tc>
      </w:tr>
      <w:tr>
        <w:trPr>
          <w:cantSplit/>
          <w:trHeight w:val="340"/>
        </w:trPr>
        <w:tc>
          <w:tcPr>
            <w:tcW w:w="342"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1</w:t>
            </w:r>
            <w:r>
              <w:rPr>
                <w:rFonts w:cs="Calibri"/>
                <w:sz w:val="21"/>
                <w:szCs w:val="21"/>
              </w:rPr>
            </w:r>
            <w:r/>
          </w:p>
        </w:tc>
        <w:tc>
          <w:tcPr>
            <w:tcW w:w="306"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力学性能</w:t>
            </w: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下屈服强度ReL</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28900—2022</w:t>
            </w:r>
            <w:r>
              <w:rPr>
                <w:rFonts w:cs="Calibri"/>
                <w:sz w:val="21"/>
                <w:szCs w:val="21"/>
              </w:rPr>
            </w:r>
            <w:r/>
          </w:p>
        </w:tc>
      </w:tr>
      <w:tr>
        <w:trPr>
          <w:cantSplit/>
          <w:trHeight w:val="9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抗拉强度Rm</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断后伸长率A</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实测抗拉强度与实测屈服强度之比Rom/ RoeL</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实测屈服强度与屈服强度特征值之比RoeL/ ReL</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最大力总延伸率Agt</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2</w:t>
            </w:r>
            <w:r>
              <w:rPr>
                <w:rFonts w:cs="Calibri"/>
                <w:sz w:val="21"/>
                <w:szCs w:val="21"/>
              </w:rPr>
            </w:r>
            <w:r/>
          </w:p>
        </w:tc>
        <w:tc>
          <w:tcPr>
            <w:tcW w:w="306"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工艺性能</w:t>
            </w: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弯曲性能</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28900—2022</w:t>
            </w: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反向弯曲性能</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28900—2022</w:t>
            </w:r>
            <w:r>
              <w:rPr>
                <w:rFonts w:cs="Calibri"/>
                <w:sz w:val="21"/>
                <w:szCs w:val="21"/>
              </w:rPr>
            </w:r>
            <w:r/>
          </w:p>
        </w:tc>
      </w:tr>
      <w:tr>
        <w:trPr>
          <w:cantSplit/>
          <w:trHeight w:val="340"/>
        </w:trPr>
        <w:tc>
          <w:tcPr>
            <w:tcW w:w="342"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3</w:t>
            </w:r>
            <w:r>
              <w:rPr>
                <w:rFonts w:cs="Calibri"/>
                <w:sz w:val="21"/>
                <w:szCs w:val="21"/>
              </w:rPr>
            </w:r>
            <w:r/>
          </w:p>
        </w:tc>
        <w:tc>
          <w:tcPr>
            <w:tcW w:w="306"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化学</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成分</w:t>
            </w: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C</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w:t>
            </w:r>
            <w:r>
              <w:rPr>
                <w:rFonts w:hint="eastAsia" w:cs="Calibri"/>
                <w:sz w:val="21"/>
                <w:szCs w:val="21"/>
              </w:rPr>
              <w:t xml:space="preserve">4</w:t>
            </w:r>
            <w:r>
              <w:rPr>
                <w:rFonts w:cs="Calibri"/>
                <w:sz w:val="21"/>
                <w:szCs w:val="21"/>
              </w:rPr>
            </w:r>
            <w:r/>
          </w:p>
        </w:tc>
        <w:tc>
          <w:tcPr>
            <w:tcW w:w="1199"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GB/T 223.5—2008</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223.11—2025</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223.12—1991</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223.14—2000</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223.19—1989</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223.23—2008</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223.26—2008</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223.40—2007</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223.59—2008</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223.63—2022</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223.85—2009</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223.86—2009</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4336—2016（含第1号修改单）</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20123—2006</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20125—</w:t>
            </w:r>
            <w:r>
              <w:rPr>
                <w:rFonts w:hint="eastAsia" w:cs="Calibri"/>
                <w:sz w:val="21"/>
                <w:szCs w:val="21"/>
              </w:rPr>
              <w:t xml:space="preserve">2006</w:t>
            </w: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Si</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Mn</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P</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S</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4</w:t>
            </w:r>
            <w:r>
              <w:rPr>
                <w:rFonts w:cs="Calibri"/>
                <w:sz w:val="21"/>
                <w:szCs w:val="21"/>
              </w:rPr>
            </w:r>
            <w:r/>
          </w:p>
        </w:tc>
        <w:tc>
          <w:tcPr>
            <w:gridSpan w:val="2"/>
            <w:tcW w:w="2260"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碳当量Ceq</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2"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5</w:t>
            </w:r>
            <w:r>
              <w:rPr>
                <w:rFonts w:cs="Calibri"/>
                <w:sz w:val="21"/>
                <w:szCs w:val="21"/>
              </w:rPr>
            </w:r>
            <w:r/>
          </w:p>
        </w:tc>
        <w:tc>
          <w:tcPr>
            <w:tcW w:w="306"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尺寸外形</w:t>
            </w: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横肋高h</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间距l</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横肋末端最大间隙fi</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cantSplit/>
          <w:trHeight w:val="340"/>
        </w:trPr>
        <w:tc>
          <w:tcPr>
            <w:tcW w:w="342"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每米弯曲度</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w:t>
            </w:r>
            <w:r>
              <w:rPr>
                <w:rFonts w:hint="eastAsia" w:cs="Calibri"/>
                <w:sz w:val="21"/>
                <w:szCs w:val="21"/>
              </w:rPr>
              <w:t xml:space="preserve">9.2—2024</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trHeight w:val="340"/>
        </w:trPr>
        <w:tc>
          <w:tcPr>
            <w:tcW w:w="342"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6</w:t>
            </w:r>
            <w:r>
              <w:rPr>
                <w:rFonts w:cs="Calibri"/>
                <w:sz w:val="21"/>
                <w:szCs w:val="21"/>
              </w:rPr>
            </w:r>
            <w:r/>
          </w:p>
        </w:tc>
        <w:tc>
          <w:tcPr>
            <w:gridSpan w:val="2"/>
            <w:tcW w:w="2260"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重量偏差</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top"/>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trHeight w:val="340"/>
        </w:trPr>
        <w:tc>
          <w:tcPr>
            <w:tcW w:w="342"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7</w:t>
            </w:r>
            <w:r>
              <w:rPr>
                <w:rFonts w:cs="Calibri"/>
                <w:sz w:val="21"/>
                <w:szCs w:val="21"/>
              </w:rPr>
            </w:r>
            <w:r/>
          </w:p>
        </w:tc>
        <w:tc>
          <w:tcPr>
            <w:gridSpan w:val="2"/>
            <w:tcW w:w="2260"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金相组织</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top"/>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r>
        <w:trPr>
          <w:trHeight w:val="340"/>
        </w:trPr>
        <w:tc>
          <w:tcPr>
            <w:tcW w:w="342"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8</w:t>
            </w:r>
            <w:r>
              <w:rPr>
                <w:rFonts w:cs="Calibri"/>
                <w:sz w:val="21"/>
                <w:szCs w:val="21"/>
              </w:rPr>
            </w:r>
            <w:r/>
          </w:p>
        </w:tc>
        <w:tc>
          <w:tcPr>
            <w:gridSpan w:val="2"/>
            <w:tcW w:w="2260"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表面标志</w:t>
            </w:r>
            <w:r>
              <w:rPr>
                <w:rFonts w:cs="Calibri"/>
                <w:sz w:val="21"/>
                <w:szCs w:val="21"/>
              </w:rPr>
            </w:r>
            <w:r/>
          </w:p>
        </w:tc>
        <w:tc>
          <w:tcPr>
            <w:tcW w:w="1199"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c>
          <w:tcPr>
            <w:tcW w:w="1199" w:type="pct"/>
            <w:vAlign w:val="top"/>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1499.2—2024</w:t>
            </w:r>
            <w:r>
              <w:rPr>
                <w:rFonts w:cs="Calibri"/>
                <w:sz w:val="21"/>
                <w:szCs w:val="21"/>
              </w:rPr>
            </w:r>
            <w:r/>
          </w:p>
        </w:tc>
      </w:tr>
    </w:tbl>
    <w:p>
      <w:pPr>
        <w:pStyle w:val="731"/>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冷轧带肋钢筋产品检验检测项目、依据及方法</w:t>
      </w:r>
      <w:r>
        <w:rPr>
          <w:rFonts w:cs="Calibri"/>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997"/>
        <w:gridCol w:w="2851"/>
        <w:gridCol w:w="2040"/>
        <w:gridCol w:w="2040"/>
      </w:tblGrid>
      <w:tr>
        <w:trPr>
          <w:trHeight w:val="340"/>
          <w:tblHeader/>
        </w:trPr>
        <w:tc>
          <w:tcPr>
            <w:tcW w:w="34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序号</w:t>
            </w:r>
            <w:r>
              <w:rPr>
                <w:rFonts w:cs="Calibri"/>
                <w:sz w:val="21"/>
                <w:szCs w:val="21"/>
              </w:rPr>
            </w:r>
            <w:r/>
          </w:p>
        </w:tc>
        <w:tc>
          <w:tcPr>
            <w:gridSpan w:val="2"/>
            <w:tcW w:w="225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检验项目</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检验依据</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检验方法</w:t>
            </w:r>
            <w:r>
              <w:rPr>
                <w:rFonts w:cs="Calibri"/>
                <w:sz w:val="21"/>
                <w:szCs w:val="21"/>
              </w:rPr>
            </w:r>
            <w:r/>
          </w:p>
        </w:tc>
      </w:tr>
      <w:tr>
        <w:trPr>
          <w:cantSplit/>
          <w:trHeight w:val="340"/>
        </w:trPr>
        <w:tc>
          <w:tcPr>
            <w:tcW w:w="348"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1</w:t>
            </w:r>
            <w:r>
              <w:rPr>
                <w:rFonts w:cs="Calibri"/>
                <w:sz w:val="21"/>
                <w:szCs w:val="21"/>
              </w:rPr>
            </w:r>
            <w:r/>
          </w:p>
        </w:tc>
        <w:tc>
          <w:tcPr>
            <w:tcW w:w="585"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力学性能</w:t>
            </w: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规定塑性延伸强度Rp0.2</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28900—2022</w:t>
            </w:r>
            <w:r>
              <w:rPr>
                <w:rFonts w:cs="Calibri"/>
                <w:sz w:val="21"/>
                <w:szCs w:val="21"/>
              </w:rPr>
            </w:r>
            <w:r/>
          </w:p>
        </w:tc>
      </w:tr>
      <w:tr>
        <w:trPr>
          <w:cantSplit/>
          <w:trHeight w:val="340"/>
        </w:trPr>
        <w:tc>
          <w:tcPr>
            <w:tcW w:w="348"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抗拉强度Rm</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w:t>
            </w:r>
            <w:r>
              <w:rPr>
                <w:rFonts w:hint="eastAsia" w:cs="Calibri"/>
                <w:sz w:val="21"/>
                <w:szCs w:val="21"/>
              </w:rPr>
              <w:t xml:space="preserve">B 13788—2024</w:t>
            </w:r>
            <w:r>
              <w:rPr>
                <w:rFonts w:cs="Calibri"/>
                <w:sz w:val="21"/>
                <w:szCs w:val="21"/>
              </w:rPr>
            </w:r>
            <w:r/>
          </w:p>
        </w:tc>
        <w:tc>
          <w:tcPr>
            <w:tcW w:w="1197"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8"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断后伸长率A</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8"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Rm/ Rp0.2</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cantSplit/>
          <w:trHeight w:val="340"/>
        </w:trPr>
        <w:tc>
          <w:tcPr>
            <w:tcW w:w="348"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最大力总延伸率 Agt</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r>
      <w:tr>
        <w:trPr>
          <w:trHeight w:val="340"/>
        </w:trPr>
        <w:tc>
          <w:tcPr>
            <w:tcW w:w="34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2</w:t>
            </w:r>
            <w:r>
              <w:rPr>
                <w:rFonts w:cs="Calibri"/>
                <w:sz w:val="21"/>
                <w:szCs w:val="21"/>
              </w:rPr>
            </w:r>
            <w:r/>
          </w:p>
        </w:tc>
        <w:tc>
          <w:tcPr>
            <w:tcW w:w="585"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工艺性能</w:t>
            </w: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弯曲试验</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GB/T 28900—2022</w:t>
            </w:r>
            <w:r>
              <w:rPr>
                <w:rFonts w:cs="Calibri"/>
                <w:sz w:val="21"/>
                <w:szCs w:val="21"/>
              </w:rPr>
            </w:r>
            <w:r/>
          </w:p>
        </w:tc>
      </w:tr>
      <w:tr>
        <w:trPr>
          <w:cantSplit/>
          <w:trHeight w:val="340"/>
        </w:trPr>
        <w:tc>
          <w:tcPr>
            <w:tcW w:w="348"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3</w:t>
            </w:r>
            <w:r>
              <w:rPr>
                <w:rFonts w:cs="Calibri"/>
                <w:sz w:val="21"/>
                <w:szCs w:val="21"/>
              </w:rPr>
            </w:r>
            <w:r/>
          </w:p>
        </w:tc>
        <w:tc>
          <w:tcPr>
            <w:tcW w:w="585" w:type="pct"/>
            <w:vAlign w:val="center"/>
            <w:vMerge w:val="restart"/>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尺寸偏差</w:t>
            </w: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横肋中点高</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r>
      <w:tr>
        <w:trPr>
          <w:cantSplit/>
          <w:trHeight w:val="340"/>
        </w:trPr>
        <w:tc>
          <w:tcPr>
            <w:tcW w:w="348"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pStyle w:val="731"/>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横肋间距</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r>
      <w:tr>
        <w:trPr>
          <w:trHeight w:val="340"/>
        </w:trPr>
        <w:tc>
          <w:tcPr>
            <w:tcW w:w="34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4</w:t>
            </w:r>
            <w:r>
              <w:rPr>
                <w:rFonts w:cs="Calibri"/>
                <w:sz w:val="21"/>
                <w:szCs w:val="21"/>
              </w:rPr>
            </w:r>
            <w:r/>
          </w:p>
        </w:tc>
        <w:tc>
          <w:tcPr>
            <w:gridSpan w:val="2"/>
            <w:tcW w:w="225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重量偏差</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w:t>
            </w:r>
            <w:r>
              <w:rPr>
                <w:rFonts w:hint="eastAsia" w:cs="Calibri"/>
                <w:sz w:val="21"/>
                <w:szCs w:val="21"/>
              </w:rPr>
              <w:t xml:space="preserve"> 13788—2024</w:t>
            </w:r>
            <w:r>
              <w:rPr>
                <w:rFonts w:cs="Calibri"/>
                <w:sz w:val="21"/>
                <w:szCs w:val="21"/>
              </w:rPr>
            </w:r>
            <w:r/>
          </w:p>
        </w:tc>
      </w:tr>
      <w:tr>
        <w:trPr>
          <w:trHeight w:val="340"/>
        </w:trPr>
        <w:tc>
          <w:tcPr>
            <w:tcW w:w="34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5</w:t>
            </w:r>
            <w:r>
              <w:rPr>
                <w:rFonts w:cs="Calibri"/>
                <w:sz w:val="21"/>
                <w:szCs w:val="21"/>
              </w:rPr>
            </w:r>
            <w:r/>
          </w:p>
        </w:tc>
        <w:tc>
          <w:tcPr>
            <w:gridSpan w:val="2"/>
            <w:tcW w:w="2258"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标志</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c>
          <w:tcPr>
            <w:tcW w:w="1197" w:type="pct"/>
            <w:vAlign w:val="center"/>
            <w:textDirection w:val="lrTb"/>
            <w:noWrap w:val="false"/>
          </w:tcPr>
          <w:p>
            <w:pPr>
              <w:pStyle w:val="731"/>
              <w:jc w:val="both"/>
              <w:spacing w:after="160" w:line="278" w:lineRule="auto"/>
              <w:widowControl w:val="off"/>
              <w:rPr>
                <w:rFonts w:cs="Calibri"/>
                <w:sz w:val="21"/>
                <w:szCs w:val="21"/>
              </w:rPr>
            </w:pPr>
            <w:r>
              <w:rPr>
                <w:rFonts w:hint="eastAsia" w:cs="Calibri"/>
                <w:sz w:val="21"/>
                <w:szCs w:val="21"/>
              </w:rPr>
              <w:t xml:space="preserve">GB 13788—2024</w:t>
            </w:r>
            <w:r>
              <w:rPr>
                <w:rFonts w:cs="Calibri"/>
                <w:sz w:val="21"/>
                <w:szCs w:val="21"/>
              </w:rPr>
            </w:r>
            <w:r/>
          </w:p>
        </w:tc>
      </w:tr>
    </w:tbl>
    <w:p>
      <w:pPr>
        <w:pStyle w:val="731"/>
        <w:spacing w:after="160" w:line="360" w:lineRule="auto"/>
        <w:widowControl w:val="off"/>
        <w:rPr>
          <w:b/>
          <w:bCs/>
          <w:color w:val="0d0d0d"/>
          <w:sz w:val="28"/>
          <w:szCs w:val="28"/>
        </w:rPr>
      </w:pPr>
      <w:r>
        <w:rPr>
          <w:b/>
          <w:bCs/>
          <w:color w:val="0d0d0d"/>
          <w:sz w:val="28"/>
          <w:szCs w:val="28"/>
        </w:rPr>
      </w:r>
      <w:r/>
    </w:p>
    <w:p>
      <w:pPr>
        <w:pStyle w:val="731"/>
        <w:spacing w:after="160" w:line="360" w:lineRule="auto"/>
        <w:widowControl w:val="off"/>
        <w:rPr>
          <w:b/>
          <w:bCs/>
          <w:color w:val="0d0d0d"/>
          <w:sz w:val="28"/>
          <w:szCs w:val="28"/>
        </w:rPr>
      </w:pPr>
      <w:r>
        <w:rPr>
          <w:rFonts w:hint="eastAsia"/>
          <w:b/>
          <w:bCs/>
          <w:color w:val="0d0d0d"/>
          <w:sz w:val="28"/>
          <w:szCs w:val="28"/>
        </w:rPr>
        <w:t xml:space="preserve">3、建筑保温材料</w:t>
      </w:r>
      <w:r>
        <w:rPr>
          <w:b/>
          <w:bCs/>
          <w:color w:val="0d0d0d"/>
          <w:sz w:val="28"/>
          <w:szCs w:val="28"/>
        </w:rPr>
      </w:r>
      <w:r/>
    </w:p>
    <w:p>
      <w:pPr>
        <w:pStyle w:val="731"/>
        <w:spacing w:after="160" w:line="360" w:lineRule="auto"/>
        <w:widowControl w:val="off"/>
        <w:rPr>
          <w:color w:val="0d0d0d"/>
          <w:sz w:val="21"/>
          <w:szCs w:val="21"/>
        </w:rPr>
      </w:pPr>
      <w:r>
        <w:rPr>
          <w:rFonts w:hint="eastAsia"/>
          <w:color w:val="0d0d0d"/>
          <w:sz w:val="21"/>
          <w:szCs w:val="21"/>
        </w:rPr>
        <w:t xml:space="preserve">绝热用挤塑聚苯乙烯泡沫塑料（XPS）</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343"/>
        <w:gridCol w:w="2333"/>
        <w:gridCol w:w="3129"/>
      </w:tblGrid>
      <w:tr>
        <w:trPr>
          <w:trHeight w:val="306"/>
        </w:trPr>
        <w:tc>
          <w:tcPr>
            <w:tcW w:w="42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74"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368"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83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1</w:t>
            </w:r>
            <w:r>
              <w:rPr>
                <w:color w:val="0d0d0d"/>
                <w:sz w:val="21"/>
                <w:szCs w:val="21"/>
              </w:rPr>
            </w:r>
            <w:r/>
          </w:p>
        </w:tc>
        <w:tc>
          <w:tcPr>
            <w:tcW w:w="1374"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w:t>
            </w:r>
            <w:r/>
          </w:p>
        </w:tc>
        <w:tc>
          <w:tcPr>
            <w:tcW w:w="1368"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10801.2-2018</w:t>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10801.2</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2018</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10294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val="de-DE" w:eastAsia="en-US"/>
              </w:rPr>
              <w:t xml:space="preserve"> GB/T 10295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rPr>
                <w:rFonts w:hint="eastAsia" w:ascii="宋体" w:hAnsi="宋体" w:cs="宋体"/>
                <w:color w:val="000000"/>
                <w:sz w:val="21"/>
                <w:szCs w:val="21"/>
              </w:rPr>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2</w:t>
            </w:r>
            <w:r>
              <w:rPr>
                <w:color w:val="0d0d0d"/>
                <w:sz w:val="21"/>
                <w:szCs w:val="21"/>
              </w:rPr>
            </w:r>
            <w:r/>
          </w:p>
        </w:tc>
        <w:tc>
          <w:tcPr>
            <w:tcW w:w="1374"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燃烧性能</w:t>
            </w:r>
            <w:r>
              <w:rPr>
                <w:rFonts w:hint="eastAsia" w:ascii="宋体" w:hAnsi="宋体" w:cs="宋体"/>
                <w:color w:val="000000"/>
                <w:sz w:val="21"/>
                <w:szCs w:val="21"/>
              </w:rPr>
            </w:r>
            <w:r/>
          </w:p>
        </w:tc>
        <w:tc>
          <w:tcPr>
            <w:tcW w:w="1368"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10801.2-2018</w:t>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 8624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2012</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20284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2006</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11785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2005 </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2406.2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2009</w:t>
            </w:r>
            <w:r/>
          </w:p>
        </w:tc>
      </w:tr>
    </w:tbl>
    <w:p>
      <w:pPr>
        <w:pStyle w:val="731"/>
        <w:jc w:val="both"/>
        <w:spacing w:after="160" w:line="360" w:lineRule="auto"/>
        <w:widowControl w:val="off"/>
        <w:rPr>
          <w:color w:val="0d0d0d"/>
          <w:sz w:val="21"/>
          <w:szCs w:val="21"/>
        </w:rPr>
      </w:pPr>
      <w:r>
        <w:rPr>
          <w:color w:val="0d0d0d"/>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绝热用模塑聚苯乙烯泡沫塑料（EPS）</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353"/>
        <w:gridCol w:w="2371"/>
        <w:gridCol w:w="3076"/>
      </w:tblGrid>
      <w:tr>
        <w:trPr>
          <w:trHeight w:val="558"/>
        </w:trPr>
        <w:tc>
          <w:tcPr>
            <w:tcW w:w="424"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80"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390"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804"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397"/>
        </w:trPr>
        <w:tc>
          <w:tcPr>
            <w:tcW w:w="424"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1</w:t>
            </w:r>
            <w:r>
              <w:rPr>
                <w:color w:val="0d0d0d"/>
                <w:sz w:val="21"/>
                <w:szCs w:val="21"/>
              </w:rPr>
            </w:r>
            <w:r/>
          </w:p>
        </w:tc>
        <w:tc>
          <w:tcPr>
            <w:tcW w:w="1380"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导热系数（平均温度25℃）</w:t>
            </w:r>
            <w:r/>
          </w:p>
        </w:tc>
        <w:tc>
          <w:tcPr>
            <w:tcW w:w="1390"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10801.1-2021</w:t>
            </w:r>
            <w:r/>
          </w:p>
        </w:tc>
        <w:tc>
          <w:tcPr>
            <w:tcW w:w="1804" w:type="pct"/>
            <w:vAlign w:val="center"/>
            <w:textDirection w:val="lrTb"/>
            <w:noWrap w:val="false"/>
          </w:tcPr>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10801.1</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2021</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10294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val="de-DE" w:eastAsia="en-US"/>
              </w:rPr>
              <w:t xml:space="preserve">GB/T 10295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rPr>
                <w:rFonts w:hint="eastAsia" w:ascii="宋体" w:hAnsi="宋体" w:cs="宋体"/>
                <w:color w:val="000000"/>
                <w:sz w:val="21"/>
                <w:szCs w:val="21"/>
              </w:rPr>
            </w:r>
            <w:r/>
          </w:p>
        </w:tc>
      </w:tr>
      <w:tr>
        <w:trPr>
          <w:trHeight w:val="397"/>
        </w:trPr>
        <w:tc>
          <w:tcPr>
            <w:tcW w:w="424"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2</w:t>
            </w:r>
            <w:r>
              <w:rPr>
                <w:color w:val="0d0d0d"/>
                <w:sz w:val="21"/>
                <w:szCs w:val="21"/>
              </w:rPr>
            </w:r>
            <w:r/>
          </w:p>
        </w:tc>
        <w:tc>
          <w:tcPr>
            <w:tcW w:w="1380"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390"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10801.1-2021</w:t>
            </w:r>
            <w:r/>
          </w:p>
        </w:tc>
        <w:tc>
          <w:tcPr>
            <w:tcW w:w="1804" w:type="pct"/>
            <w:vAlign w:val="center"/>
            <w:textDirection w:val="lrTb"/>
            <w:noWrap w:val="false"/>
          </w:tcPr>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 8624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2012</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20284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2006</w:t>
            </w:r>
            <w:r/>
          </w:p>
          <w:p>
            <w:pPr>
              <w:pStyle w:val="731"/>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11785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2005 </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w:t>
            </w:r>
            <w:r>
              <w:rPr>
                <w:rFonts w:hint="eastAsia" w:ascii="宋体" w:hAnsi="宋体" w:cs="宋体"/>
                <w:color w:val="000000"/>
                <w:sz w:val="21"/>
                <w:szCs w:val="21"/>
                <w:lang w:eastAsia="en-US"/>
              </w:rPr>
              <w:t xml:space="preserve">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2406.2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2009</w:t>
            </w:r>
            <w:r/>
          </w:p>
        </w:tc>
      </w:tr>
    </w:tbl>
    <w:p>
      <w:pPr>
        <w:pStyle w:val="731"/>
        <w:jc w:val="both"/>
        <w:spacing w:after="160" w:line="360" w:lineRule="auto"/>
        <w:widowControl w:val="off"/>
        <w:rPr>
          <w:color w:val="0d0d0d"/>
          <w:sz w:val="21"/>
          <w:szCs w:val="21"/>
        </w:rPr>
      </w:pPr>
      <w:r>
        <w:rPr>
          <w:color w:val="0d0d0d"/>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硬质聚氨酯保温板</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330"/>
        <w:gridCol w:w="2499"/>
        <w:gridCol w:w="2971"/>
      </w:tblGrid>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67"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466"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74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1</w:t>
            </w:r>
            <w:r>
              <w:rPr>
                <w:color w:val="0d0d0d"/>
                <w:sz w:val="21"/>
                <w:szCs w:val="21"/>
              </w:rPr>
            </w:r>
            <w:r/>
          </w:p>
        </w:tc>
        <w:tc>
          <w:tcPr>
            <w:tcW w:w="1367"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初期导热系数（23℃、28d）</w:t>
            </w:r>
            <w:r/>
          </w:p>
        </w:tc>
        <w:tc>
          <w:tcPr>
            <w:tcW w:w="1466"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21558-2008</w:t>
            </w:r>
            <w:r/>
          </w:p>
        </w:tc>
        <w:tc>
          <w:tcPr>
            <w:tcW w:w="1743"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10294-1988</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或GB/T 10295-1988</w:t>
            </w:r>
            <w:r/>
          </w:p>
        </w:tc>
      </w:tr>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2</w:t>
            </w:r>
            <w:r>
              <w:rPr>
                <w:color w:val="0d0d0d"/>
                <w:sz w:val="21"/>
                <w:szCs w:val="21"/>
              </w:rPr>
            </w:r>
            <w:r/>
          </w:p>
        </w:tc>
        <w:tc>
          <w:tcPr>
            <w:tcW w:w="1367"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466"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21558-2008</w:t>
            </w:r>
            <w:r/>
          </w:p>
        </w:tc>
        <w:tc>
          <w:tcPr>
            <w:tcW w:w="1743"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8626-2007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8624-2012</w:t>
            </w:r>
            <w:r/>
          </w:p>
        </w:tc>
      </w:tr>
    </w:tbl>
    <w:p>
      <w:pPr>
        <w:pStyle w:val="731"/>
        <w:jc w:val="both"/>
        <w:spacing w:after="160" w:line="360" w:lineRule="auto"/>
        <w:widowControl w:val="off"/>
        <w:rPr>
          <w:color w:val="0d0d0d"/>
          <w:sz w:val="21"/>
          <w:szCs w:val="21"/>
        </w:rPr>
      </w:pPr>
      <w:r>
        <w:rPr>
          <w:color w:val="0d0d0d"/>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柔性泡沫橡塑绝热制品</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330"/>
        <w:gridCol w:w="2499"/>
        <w:gridCol w:w="2971"/>
      </w:tblGrid>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67"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466"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74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1</w:t>
            </w:r>
            <w:r/>
          </w:p>
        </w:tc>
        <w:tc>
          <w:tcPr>
            <w:tcW w:w="1367"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导热系数（平均温度25℃）</w:t>
            </w:r>
            <w:r/>
          </w:p>
        </w:tc>
        <w:tc>
          <w:tcPr>
            <w:tcW w:w="1466"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GB/T 17794-2021</w:t>
            </w:r>
            <w:r>
              <w:rPr>
                <w:rFonts w:hint="eastAsia" w:ascii="宋体" w:hAnsi="宋体" w:cs="宋体"/>
                <w:color w:val="000000"/>
                <w:sz w:val="21"/>
                <w:szCs w:val="21"/>
                <w:lang w:eastAsia="en-US"/>
              </w:rPr>
            </w:r>
            <w:r/>
          </w:p>
        </w:tc>
        <w:tc>
          <w:tcPr>
            <w:tcW w:w="1743"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GB/T 10294-2008</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或GB/T 10295-2008</w:t>
            </w:r>
            <w:r>
              <w:rPr>
                <w:rFonts w:hint="eastAsia" w:ascii="宋体" w:hAnsi="宋体" w:cs="宋体"/>
                <w:color w:val="000000"/>
                <w:sz w:val="21"/>
                <w:szCs w:val="21"/>
                <w:lang w:eastAsia="en-US"/>
              </w:rPr>
            </w:r>
            <w:r/>
          </w:p>
        </w:tc>
      </w:tr>
      <w:tr>
        <w:trPr>
          <w:trHeight w:val="20"/>
        </w:trPr>
        <w:tc>
          <w:tcPr>
            <w:tcW w:w="423"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2</w:t>
            </w:r>
            <w:r/>
          </w:p>
        </w:tc>
        <w:tc>
          <w:tcPr>
            <w:tcW w:w="1367" w:type="pct"/>
            <w:vAlign w:val="center"/>
            <w:textDirection w:val="lrTb"/>
            <w:noWrap w:val="false"/>
          </w:tcPr>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燃烧性能</w:t>
            </w:r>
            <w:r/>
          </w:p>
        </w:tc>
        <w:tc>
          <w:tcPr>
            <w:tcW w:w="1466"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GB/T 17794-2021</w:t>
            </w:r>
            <w:r>
              <w:rPr>
                <w:rFonts w:hint="eastAsia" w:ascii="宋体" w:hAnsi="宋体" w:cs="宋体"/>
                <w:color w:val="000000"/>
                <w:sz w:val="21"/>
                <w:szCs w:val="21"/>
                <w:lang w:eastAsia="en-US"/>
              </w:rPr>
            </w:r>
            <w:r/>
          </w:p>
        </w:tc>
        <w:tc>
          <w:tcPr>
            <w:tcW w:w="1743"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8624-2012</w:t>
            </w:r>
            <w:r/>
          </w:p>
        </w:tc>
      </w:tr>
    </w:tbl>
    <w:p>
      <w:pPr>
        <w:pStyle w:val="731"/>
        <w:jc w:val="both"/>
        <w:spacing w:after="160" w:line="278" w:lineRule="auto"/>
        <w:widowControl w:val="off"/>
        <w:rPr>
          <w:sz w:val="21"/>
          <w:szCs w:val="21"/>
        </w:rPr>
      </w:pPr>
      <w:r>
        <w:rPr>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建筑用岩棉板</w:t>
      </w:r>
      <w:r>
        <w:rPr>
          <w:rFonts w:hint="eastAsia" w:ascii="宋体" w:hAnsi="宋体" w:cs="宋体"/>
          <w:sz w:val="21"/>
          <w:szCs w:val="21"/>
        </w:rPr>
        <w:t xml:space="preserve">产品检验检测项目、依据及方法</w:t>
      </w:r>
      <w:r>
        <w:rPr>
          <w:color w:val="0d0d0d"/>
          <w:sz w:val="21"/>
          <w:szCs w:val="21"/>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2208"/>
        <w:gridCol w:w="2816"/>
        <w:gridCol w:w="2816"/>
      </w:tblGrid>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29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652"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652"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1</w:t>
            </w:r>
            <w:r>
              <w:rPr>
                <w:color w:val="0d0d0d"/>
                <w:sz w:val="21"/>
                <w:szCs w:val="21"/>
              </w:rPr>
            </w:r>
            <w:r/>
          </w:p>
        </w:tc>
        <w:tc>
          <w:tcPr>
            <w:tcW w:w="129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导热系数</w:t>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19686-</w:t>
            </w:r>
            <w:r>
              <w:rPr>
                <w:rFonts w:hint="eastAsia" w:ascii="宋体" w:hAnsi="宋体" w:cs="宋体"/>
                <w:color w:val="000000"/>
                <w:sz w:val="21"/>
                <w:szCs w:val="21"/>
                <w:lang w:eastAsia="en-US"/>
              </w:rPr>
              <w:t xml:space="preserve">201</w:t>
            </w:r>
            <w:r>
              <w:rPr>
                <w:rFonts w:hint="eastAsia" w:ascii="宋体" w:hAnsi="宋体" w:cs="宋体"/>
                <w:color w:val="000000"/>
                <w:sz w:val="21"/>
                <w:szCs w:val="21"/>
              </w:rPr>
              <w:t xml:space="preserve">5</w:t>
            </w:r>
            <w:r>
              <w:rPr>
                <w:rFonts w:hint="eastAsia" w:ascii="宋体" w:hAnsi="宋体" w:cs="宋体"/>
                <w:color w:val="000000"/>
                <w:sz w:val="21"/>
                <w:szCs w:val="21"/>
                <w:lang w:eastAsia="en-US"/>
              </w:rPr>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10295</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tc>
      </w:tr>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2</w:t>
            </w:r>
            <w:r>
              <w:rPr>
                <w:color w:val="0d0d0d"/>
                <w:sz w:val="21"/>
                <w:szCs w:val="21"/>
              </w:rPr>
            </w:r>
            <w:r/>
          </w:p>
        </w:tc>
        <w:tc>
          <w:tcPr>
            <w:tcW w:w="129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19686-</w:t>
            </w:r>
            <w:r>
              <w:rPr>
                <w:rFonts w:hint="eastAsia" w:ascii="宋体" w:hAnsi="宋体" w:cs="宋体"/>
                <w:color w:val="000000"/>
                <w:sz w:val="21"/>
                <w:szCs w:val="21"/>
                <w:lang w:eastAsia="en-US"/>
              </w:rPr>
              <w:t xml:space="preserve">201</w:t>
            </w:r>
            <w:r>
              <w:rPr>
                <w:rFonts w:hint="eastAsia" w:ascii="宋体" w:hAnsi="宋体" w:cs="宋体"/>
                <w:color w:val="000000"/>
                <w:sz w:val="21"/>
                <w:szCs w:val="21"/>
              </w:rPr>
              <w:t xml:space="preserve">5</w:t>
            </w:r>
            <w:r>
              <w:rPr>
                <w:rFonts w:hint="eastAsia" w:ascii="宋体" w:hAnsi="宋体" w:cs="宋体"/>
                <w:color w:val="000000"/>
                <w:sz w:val="21"/>
                <w:szCs w:val="21"/>
                <w:lang w:eastAsia="en-US"/>
              </w:rPr>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2012</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5464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2010</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14402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 </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20284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2006</w:t>
            </w:r>
            <w:r/>
          </w:p>
        </w:tc>
      </w:tr>
    </w:tbl>
    <w:p>
      <w:pPr>
        <w:pStyle w:val="731"/>
        <w:jc w:val="both"/>
        <w:spacing w:after="120" w:line="278" w:lineRule="auto"/>
        <w:widowControl w:val="off"/>
        <w:rPr>
          <w:rFonts w:ascii="Calibri" w:hAnsi="Calibri" w:cs="Calibri"/>
          <w:sz w:val="21"/>
          <w:szCs w:val="21"/>
        </w:rPr>
      </w:pPr>
      <w:r>
        <w:rPr>
          <w:rFonts w:ascii="Calibri" w:hAnsi="Calibri" w:cs="Calibri"/>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建筑外墙外保温用岩棉板</w:t>
      </w:r>
      <w:r>
        <w:rPr>
          <w:rFonts w:hint="eastAsia" w:ascii="宋体" w:hAnsi="宋体" w:cs="宋体"/>
          <w:sz w:val="21"/>
          <w:szCs w:val="21"/>
        </w:rPr>
        <w:t xml:space="preserve">产品检验检测项目、依据及方法</w:t>
      </w:r>
      <w:r>
        <w:rPr>
          <w:color w:val="0d0d0d"/>
          <w:sz w:val="21"/>
          <w:szCs w:val="21"/>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2208"/>
        <w:gridCol w:w="2816"/>
        <w:gridCol w:w="2816"/>
      </w:tblGrid>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29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652"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652"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1</w:t>
            </w:r>
            <w:r>
              <w:rPr>
                <w:color w:val="0d0d0d"/>
                <w:sz w:val="21"/>
                <w:szCs w:val="21"/>
              </w:rPr>
            </w:r>
            <w:r/>
          </w:p>
        </w:tc>
        <w:tc>
          <w:tcPr>
            <w:tcW w:w="129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导热系数</w:t>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25975-2018</w:t>
            </w:r>
            <w:r>
              <w:rPr>
                <w:rFonts w:hint="eastAsia" w:ascii="宋体" w:hAnsi="宋体" w:cs="宋体"/>
                <w:color w:val="000000"/>
                <w:sz w:val="21"/>
                <w:szCs w:val="21"/>
                <w:lang w:eastAsia="en-US"/>
              </w:rPr>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10295</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tc>
      </w:tr>
      <w:tr>
        <w:trPr>
          <w:trHeight w:val="20"/>
        </w:trPr>
        <w:tc>
          <w:tcPr>
            <w:tcW w:w="39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2</w:t>
            </w:r>
            <w:r>
              <w:rPr>
                <w:color w:val="0d0d0d"/>
                <w:sz w:val="21"/>
                <w:szCs w:val="21"/>
              </w:rPr>
            </w:r>
            <w:r/>
          </w:p>
        </w:tc>
        <w:tc>
          <w:tcPr>
            <w:tcW w:w="129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25975-2018</w:t>
            </w:r>
            <w:r>
              <w:rPr>
                <w:rFonts w:hint="eastAsia" w:ascii="宋体" w:hAnsi="宋体" w:cs="宋体"/>
                <w:color w:val="000000"/>
                <w:sz w:val="21"/>
                <w:szCs w:val="21"/>
                <w:lang w:eastAsia="en-US"/>
              </w:rPr>
            </w:r>
            <w:r/>
          </w:p>
        </w:tc>
        <w:tc>
          <w:tcPr>
            <w:tcW w:w="1652"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2012</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5464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2010</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14402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w:t>
            </w:r>
            <w:r/>
          </w:p>
        </w:tc>
      </w:tr>
    </w:tbl>
    <w:p>
      <w:pPr>
        <w:pStyle w:val="731"/>
        <w:spacing w:after="160" w:line="360" w:lineRule="auto"/>
        <w:widowControl w:val="off"/>
        <w:rPr>
          <w:b/>
          <w:bCs/>
          <w:color w:val="0d0d0d"/>
          <w:sz w:val="28"/>
          <w:szCs w:val="28"/>
        </w:rPr>
      </w:pPr>
      <w:r>
        <w:rPr>
          <w:b/>
          <w:bCs/>
          <w:color w:val="0d0d0d"/>
          <w:sz w:val="28"/>
          <w:szCs w:val="28"/>
        </w:rPr>
      </w:r>
      <w:r/>
    </w:p>
    <w:p>
      <w:pPr>
        <w:pStyle w:val="731"/>
        <w:spacing w:after="160" w:line="360" w:lineRule="auto"/>
        <w:widowControl w:val="off"/>
        <w:rPr>
          <w:b/>
          <w:bCs/>
          <w:color w:val="0d0d0d"/>
          <w:sz w:val="28"/>
          <w:szCs w:val="28"/>
        </w:rPr>
      </w:pPr>
      <w:r/>
      <w:bookmarkStart w:id="105" w:name="OLE_LINK1"/>
      <w:r>
        <w:rPr>
          <w:rFonts w:hint="eastAsia"/>
          <w:b/>
          <w:bCs/>
          <w:color w:val="0d0d0d"/>
          <w:sz w:val="28"/>
          <w:szCs w:val="28"/>
        </w:rPr>
        <w:t xml:space="preserve">4、人造板</w:t>
      </w:r>
      <w:r>
        <w:rPr>
          <w:b/>
          <w:bCs/>
          <w:color w:val="0d0d0d"/>
          <w:sz w:val="28"/>
          <w:szCs w:val="28"/>
        </w:rPr>
      </w:r>
      <w:r/>
    </w:p>
    <w:p>
      <w:pPr>
        <w:pStyle w:val="731"/>
        <w:spacing w:after="160" w:line="360" w:lineRule="auto"/>
        <w:widowControl w:val="off"/>
        <w:rPr>
          <w:color w:val="0d0d0d"/>
          <w:sz w:val="21"/>
          <w:szCs w:val="21"/>
        </w:rPr>
      </w:pPr>
      <w:r/>
      <w:bookmarkEnd w:id="105"/>
      <w:r>
        <w:rPr>
          <w:rFonts w:hint="eastAsia"/>
          <w:color w:val="0d0d0d"/>
          <w:sz w:val="21"/>
          <w:szCs w:val="21"/>
        </w:rPr>
        <w:t xml:space="preserve">胶合板</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344"/>
        <w:gridCol w:w="2333"/>
        <w:gridCol w:w="3128"/>
      </w:tblGrid>
      <w:tr>
        <w:trPr>
          <w:trHeight w:val="306"/>
        </w:trPr>
        <w:tc>
          <w:tcPr>
            <w:tcW w:w="42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83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35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含水率</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209"/>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胶合强度</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3</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浸渍剥离</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rPr>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4</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静曲强度</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5</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弹性模量</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6</w:t>
            </w:r>
            <w:r>
              <w:rPr>
                <w:color w:val="0d0d0d"/>
                <w:sz w:val="21"/>
                <w:szCs w:val="21"/>
              </w:rPr>
            </w:r>
            <w:r/>
          </w:p>
        </w:tc>
        <w:tc>
          <w:tcPr>
            <w:tcW w:w="137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color w:val="000000"/>
                <w:sz w:val="21"/>
                <w:szCs w:val="21"/>
              </w:rPr>
              <w:t xml:space="preserve">甲醛释放量</w:t>
            </w:r>
            <w:r>
              <w:rPr>
                <w:rFonts w:hint="eastAsia" w:ascii="宋体" w:hAnsi="宋体" w:cs="宋体"/>
                <w:color w:val="000000"/>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w:t>
            </w:r>
            <w:r>
              <w:rPr>
                <w:rFonts w:ascii="宋体" w:hAnsi="宋体" w:cs="宋体"/>
                <w:color w:val="000000"/>
                <w:sz w:val="21"/>
                <w:szCs w:val="21"/>
                <w:lang w:eastAsia="en-US"/>
              </w:rPr>
              <w:t xml:space="preserve">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trHeight w:val="90"/>
        </w:trPr>
        <w:tc>
          <w:tcPr>
            <w:gridSpan w:val="4"/>
            <w:tcW w:w="5000" w:type="pct"/>
            <w:vAlign w:val="center"/>
            <w:textDirection w:val="lrTb"/>
            <w:noWrap w:val="false"/>
          </w:tcPr>
          <w:p>
            <w:pPr>
              <w:pStyle w:val="731"/>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w:t>
            </w:r>
            <w:r>
              <w:rPr>
                <w:rFonts w:ascii="宋体" w:hAnsi="宋体"/>
                <w:color w:val="0d0d0d"/>
                <w:sz w:val="21"/>
                <w:szCs w:val="21"/>
              </w:rPr>
              <w:t xml:space="preserve"> 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rPr>
                <w:rFonts w:hint="eastAsia" w:ascii="宋体" w:hAnsi="宋体" w:cs="宋体"/>
                <w:color w:val="000000"/>
                <w:sz w:val="21"/>
                <w:szCs w:val="21"/>
              </w:rPr>
            </w:r>
            <w:r/>
          </w:p>
        </w:tc>
      </w:tr>
    </w:tbl>
    <w:p>
      <w:pPr>
        <w:pStyle w:val="731"/>
        <w:jc w:val="both"/>
        <w:spacing w:after="160" w:line="278" w:lineRule="auto"/>
        <w:widowControl w:val="off"/>
        <w:rPr>
          <w:rFonts w:cs="Calibri"/>
          <w:sz w:val="21"/>
          <w:szCs w:val="21"/>
        </w:rPr>
      </w:pPr>
      <w:r>
        <w:rPr>
          <w:rFonts w:cs="Calibri"/>
          <w:sz w:val="21"/>
          <w:szCs w:val="21"/>
        </w:rPr>
      </w:r>
      <w:r/>
    </w:p>
    <w:p>
      <w:pPr>
        <w:pStyle w:val="731"/>
        <w:jc w:val="both"/>
        <w:spacing w:after="120" w:line="278" w:lineRule="auto"/>
        <w:widowControl w:val="off"/>
        <w:rPr>
          <w:color w:val="0d0d0d"/>
          <w:sz w:val="21"/>
          <w:szCs w:val="21"/>
        </w:rPr>
      </w:pPr>
      <w:r>
        <w:rPr>
          <w:rFonts w:hint="eastAsia"/>
          <w:color w:val="0d0d0d"/>
          <w:sz w:val="21"/>
          <w:szCs w:val="21"/>
        </w:rPr>
        <w:t xml:space="preserve">细木工板</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344"/>
        <w:gridCol w:w="2333"/>
        <w:gridCol w:w="3128"/>
      </w:tblGrid>
      <w:tr>
        <w:trPr>
          <w:trHeight w:val="306"/>
        </w:trPr>
        <w:tc>
          <w:tcPr>
            <w:tcW w:w="42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83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35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pStyle w:val="731"/>
              <w:jc w:val="center"/>
              <w:spacing w:after="160" w:line="300" w:lineRule="exact"/>
              <w:widowControl w:val="off"/>
              <w:rPr>
                <w:rFonts w:hint="eastAsia" w:ascii="宋体" w:hAnsi="宋体" w:cs="宋体"/>
                <w:color w:val="000000"/>
                <w:sz w:val="21"/>
                <w:szCs w:val="21"/>
              </w:rPr>
            </w:pPr>
            <w:r>
              <w:rPr>
                <w:color w:val="000000"/>
                <w:sz w:val="21"/>
                <w:szCs w:val="21"/>
              </w:rPr>
              <w:t xml:space="preserve">含水率</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209"/>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pStyle w:val="731"/>
              <w:jc w:val="center"/>
              <w:spacing w:after="160" w:line="300" w:lineRule="exact"/>
              <w:widowControl w:val="off"/>
              <w:rPr>
                <w:rFonts w:hint="eastAsia" w:ascii="宋体" w:hAnsi="宋体" w:cs="宋体"/>
                <w:color w:val="000000"/>
                <w:sz w:val="21"/>
                <w:szCs w:val="21"/>
              </w:rPr>
            </w:pPr>
            <w:r>
              <w:rPr>
                <w:sz w:val="21"/>
                <w:szCs w:val="21"/>
              </w:rPr>
              <w:t xml:space="preserve">横向静曲强度</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3</w:t>
            </w:r>
            <w:r/>
          </w:p>
        </w:tc>
        <w:tc>
          <w:tcPr>
            <w:tcW w:w="1375" w:type="pct"/>
            <w:vAlign w:val="center"/>
            <w:textDirection w:val="lrTb"/>
            <w:noWrap w:val="false"/>
          </w:tcPr>
          <w:p>
            <w:pPr>
              <w:pStyle w:val="731"/>
              <w:jc w:val="center"/>
              <w:spacing w:after="160" w:line="300" w:lineRule="exact"/>
              <w:widowControl w:val="off"/>
              <w:rPr>
                <w:rFonts w:hint="eastAsia" w:ascii="宋体" w:hAnsi="宋体" w:cs="宋体"/>
                <w:color w:val="000000"/>
                <w:sz w:val="21"/>
                <w:szCs w:val="21"/>
              </w:rPr>
            </w:pPr>
            <w:r>
              <w:rPr>
                <w:sz w:val="21"/>
                <w:szCs w:val="21"/>
              </w:rPr>
              <w:t xml:space="preserve">浸渍剥离性能</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rPr>
            </w:r>
            <w:r/>
          </w:p>
        </w:tc>
      </w:tr>
      <w:tr>
        <w:trPr>
          <w:trHeight w:val="421"/>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4</w:t>
            </w:r>
            <w:r>
              <w:rPr>
                <w:color w:val="0d0d0d"/>
                <w:sz w:val="21"/>
                <w:szCs w:val="21"/>
              </w:rPr>
            </w:r>
            <w:r/>
          </w:p>
        </w:tc>
        <w:tc>
          <w:tcPr>
            <w:tcW w:w="1375" w:type="pct"/>
            <w:vAlign w:val="center"/>
            <w:textDirection w:val="lrTb"/>
            <w:noWrap w:val="false"/>
          </w:tcPr>
          <w:p>
            <w:pPr>
              <w:pStyle w:val="731"/>
              <w:jc w:val="center"/>
              <w:spacing w:after="160" w:line="300" w:lineRule="exact"/>
              <w:widowControl w:val="off"/>
              <w:rPr>
                <w:rFonts w:hint="eastAsia" w:ascii="宋体" w:hAnsi="宋体" w:cs="宋体"/>
                <w:color w:val="000000"/>
                <w:sz w:val="21"/>
                <w:szCs w:val="21"/>
              </w:rPr>
            </w:pPr>
            <w:r>
              <w:rPr>
                <w:sz w:val="21"/>
                <w:szCs w:val="21"/>
              </w:rPr>
              <w:t xml:space="preserve">表面胶合强度</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5</w:t>
            </w:r>
            <w:r>
              <w:rPr>
                <w:color w:val="0d0d0d"/>
                <w:sz w:val="21"/>
                <w:szCs w:val="21"/>
              </w:rPr>
            </w:r>
            <w:r/>
          </w:p>
        </w:tc>
        <w:tc>
          <w:tcPr>
            <w:tcW w:w="1375" w:type="pct"/>
            <w:vAlign w:val="center"/>
            <w:textDirection w:val="lrTb"/>
            <w:noWrap w:val="false"/>
          </w:tcPr>
          <w:p>
            <w:pPr>
              <w:pStyle w:val="731"/>
              <w:jc w:val="center"/>
              <w:spacing w:after="160" w:line="300" w:lineRule="exact"/>
              <w:widowControl w:val="off"/>
              <w:rPr>
                <w:rFonts w:hint="eastAsia" w:ascii="宋体" w:hAnsi="宋体" w:cs="宋体"/>
                <w:color w:val="000000"/>
                <w:sz w:val="21"/>
                <w:szCs w:val="21"/>
              </w:rPr>
            </w:pPr>
            <w:r>
              <w:rPr>
                <w:color w:val="000000"/>
                <w:sz w:val="21"/>
                <w:szCs w:val="21"/>
              </w:rPr>
              <w:t xml:space="preserve">甲醛释放量</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rPr>
                <w:rFonts w:hint="eastAsia" w:ascii="宋体" w:hAnsi="宋体" w:cs="宋体"/>
                <w:color w:val="000000"/>
                <w:sz w:val="21"/>
                <w:szCs w:val="21"/>
                <w:lang w:eastAsia="en-US"/>
              </w:rPr>
            </w:r>
            <w:r/>
          </w:p>
        </w:tc>
        <w:tc>
          <w:tcPr>
            <w:tcW w:w="1835"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trHeight w:val="90"/>
        </w:trPr>
        <w:tc>
          <w:tcPr>
            <w:gridSpan w:val="4"/>
            <w:tcW w:w="5000" w:type="pct"/>
            <w:vAlign w:val="center"/>
            <w:textDirection w:val="lrTb"/>
            <w:noWrap w:val="false"/>
          </w:tcPr>
          <w:p>
            <w:pPr>
              <w:pStyle w:val="731"/>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w:t>
            </w:r>
            <w:r>
              <w:rPr>
                <w:rFonts w:ascii="宋体" w:hAnsi="宋体"/>
                <w:color w:val="0d0d0d"/>
                <w:sz w:val="21"/>
                <w:szCs w:val="21"/>
              </w:rPr>
              <w:t xml:space="preserve"> G</w:t>
            </w:r>
            <w:r>
              <w:rPr>
                <w:rFonts w:ascii="宋体" w:hAnsi="宋体" w:cs="宋体"/>
                <w:color w:val="000000"/>
                <w:sz w:val="21"/>
                <w:szCs w:val="21"/>
              </w:rPr>
              <w:t xml:space="preserve">B 185</w:t>
            </w:r>
            <w:r>
              <w:rPr>
                <w:rFonts w:ascii="宋体" w:hAnsi="宋体" w:cs="宋体"/>
                <w:color w:val="000000"/>
                <w:sz w:val="21"/>
                <w:szCs w:val="21"/>
              </w:rPr>
              <w:t xml:space="preserve">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rPr>
                <w:rFonts w:hint="eastAsia" w:ascii="宋体" w:hAnsi="宋体" w:cs="宋体"/>
                <w:color w:val="000000"/>
                <w:sz w:val="21"/>
                <w:szCs w:val="21"/>
              </w:rPr>
            </w:r>
            <w:r/>
          </w:p>
        </w:tc>
      </w:tr>
    </w:tbl>
    <w:p>
      <w:pPr>
        <w:pStyle w:val="731"/>
        <w:jc w:val="both"/>
        <w:spacing w:after="120" w:line="278" w:lineRule="auto"/>
        <w:widowControl w:val="off"/>
        <w:rPr>
          <w:color w:val="0d0d0d"/>
          <w:sz w:val="21"/>
          <w:szCs w:val="21"/>
        </w:rPr>
      </w:pPr>
      <w:r>
        <w:rPr>
          <w:color w:val="0d0d0d"/>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浸渍胶膜纸饰面胶合板</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344"/>
        <w:gridCol w:w="2333"/>
        <w:gridCol w:w="3128"/>
      </w:tblGrid>
      <w:tr>
        <w:trPr>
          <w:trHeight w:val="306"/>
        </w:trPr>
        <w:tc>
          <w:tcPr>
            <w:tcW w:w="42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836"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35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含水率</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trHeight w:val="209"/>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胶合强度</w:t>
            </w:r>
            <w:r>
              <w:rPr>
                <w:rFonts w:hint="eastAsia" w:ascii="宋体" w:hAnsi="宋体" w:cs="宋体"/>
                <w:color w:val="000000"/>
                <w:sz w:val="21"/>
                <w:szCs w:val="21"/>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3</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rFonts w:hint="eastAsia"/>
                <w:sz w:val="21"/>
                <w:szCs w:val="21"/>
              </w:rPr>
              <w:t xml:space="preserve">表面耐磨</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4</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表面耐干热</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w:t>
            </w:r>
            <w:r>
              <w:rPr>
                <w:rFonts w:ascii="宋体" w:hAnsi="宋体" w:cs="宋体"/>
                <w:color w:val="000000"/>
                <w:sz w:val="21"/>
                <w:szCs w:val="21"/>
                <w:lang w:eastAsia="en-US"/>
              </w:rPr>
              <w:t xml:space="preserve">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5</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表面耐冷热循环</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6</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表面耐龟裂</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7</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耐光色牢</w:t>
            </w:r>
            <w:r>
              <w:rPr>
                <w:rFonts w:hint="eastAsia"/>
                <w:sz w:val="21"/>
                <w:szCs w:val="21"/>
              </w:rPr>
              <w:t xml:space="preserve">度</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8</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甲醛释放量</w:t>
            </w:r>
            <w:r>
              <w:rPr>
                <w:sz w:val="21"/>
                <w:szCs w:val="21"/>
                <w:lang w:eastAsia="en-US"/>
              </w:rPr>
            </w:r>
            <w:r/>
          </w:p>
        </w:tc>
        <w:tc>
          <w:tcPr>
            <w:tcW w:w="1369"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836"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gridSpan w:val="4"/>
            <w:tcW w:w="5000" w:type="pct"/>
            <w:vAlign w:val="center"/>
            <w:textDirection w:val="lrTb"/>
            <w:noWrap w:val="false"/>
          </w:tcPr>
          <w:p>
            <w:pPr>
              <w:pStyle w:val="731"/>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备注：2025年12月1日前生产的产品检验</w:t>
            </w:r>
            <w:r>
              <w:rPr>
                <w:rFonts w:ascii="宋体" w:hAnsi="宋体"/>
                <w:color w:val="0d0d0d"/>
                <w:sz w:val="21"/>
                <w:szCs w:val="21"/>
              </w:rPr>
              <w:t xml:space="preserve">依据为</w:t>
            </w:r>
            <w:r>
              <w:rPr>
                <w:rFonts w:hint="eastAsia" w:ascii="宋体" w:hAnsi="宋体"/>
                <w:color w:val="0d0d0d"/>
                <w:sz w:val="21"/>
                <w:szCs w:val="21"/>
              </w:rPr>
              <w:t xml:space="preserve">GB/T 34722-2017，2025年12月1日起生产的产品检验</w:t>
            </w:r>
            <w:r>
              <w:rPr>
                <w:rFonts w:ascii="宋体" w:hAnsi="宋体"/>
                <w:color w:val="0d0d0d"/>
                <w:sz w:val="21"/>
                <w:szCs w:val="21"/>
              </w:rPr>
              <w:t xml:space="preserve">依据为</w:t>
            </w:r>
            <w:r>
              <w:rPr>
                <w:rFonts w:hint="eastAsia" w:ascii="宋体" w:hAnsi="宋体"/>
                <w:color w:val="0d0d0d"/>
                <w:sz w:val="21"/>
                <w:szCs w:val="21"/>
              </w:rPr>
              <w:t xml:space="preserve">GB/T 347</w:t>
            </w:r>
            <w:r>
              <w:rPr>
                <w:rFonts w:hint="eastAsia" w:ascii="宋体" w:hAnsi="宋体"/>
                <w:color w:val="0d0d0d"/>
                <w:sz w:val="21"/>
                <w:szCs w:val="21"/>
              </w:rPr>
              <w:t xml:space="preserve">22-2025。</w:t>
            </w:r>
            <w:r>
              <w:rPr>
                <w:rFonts w:ascii="宋体" w:hAnsi="宋体"/>
                <w:color w:val="0d0d0d"/>
                <w:sz w:val="21"/>
                <w:szCs w:val="21"/>
              </w:rPr>
              <w:t xml:space="preserve">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rPr>
                <w:rFonts w:hint="eastAsia" w:ascii="宋体" w:hAnsi="宋体" w:cs="宋体"/>
                <w:color w:val="000000"/>
                <w:sz w:val="21"/>
                <w:szCs w:val="21"/>
              </w:rPr>
            </w:r>
            <w:r/>
          </w:p>
        </w:tc>
      </w:tr>
    </w:tbl>
    <w:p>
      <w:pPr>
        <w:pStyle w:val="731"/>
        <w:spacing w:after="160" w:line="360" w:lineRule="auto"/>
        <w:widowControl w:val="off"/>
        <w:rPr>
          <w:color w:val="0d0d0d"/>
          <w:sz w:val="21"/>
          <w:szCs w:val="21"/>
        </w:rPr>
      </w:pPr>
      <w:r>
        <w:rPr>
          <w:color w:val="0d0d0d"/>
          <w:sz w:val="21"/>
          <w:szCs w:val="21"/>
        </w:rPr>
      </w:r>
      <w:r/>
    </w:p>
    <w:p>
      <w:pPr>
        <w:pStyle w:val="731"/>
        <w:spacing w:after="160" w:line="360" w:lineRule="auto"/>
        <w:widowControl w:val="off"/>
        <w:rPr>
          <w:color w:val="0d0d0d"/>
          <w:sz w:val="21"/>
          <w:szCs w:val="21"/>
        </w:rPr>
      </w:pPr>
      <w:r>
        <w:rPr>
          <w:rFonts w:hint="eastAsia"/>
          <w:color w:val="0d0d0d"/>
          <w:sz w:val="21"/>
          <w:szCs w:val="21"/>
        </w:rPr>
        <w:t xml:space="preserve">浸渍胶膜纸饰面细木工板</w:t>
      </w:r>
      <w:r>
        <w:rPr>
          <w:rFonts w:hint="eastAsia" w:ascii="宋体" w:hAnsi="宋体" w:cs="宋体"/>
          <w:sz w:val="21"/>
          <w:szCs w:val="21"/>
        </w:rPr>
        <w:t xml:space="preserve">产品检验检测项目、依据及方法</w:t>
      </w:r>
      <w:r>
        <w:rPr>
          <w:color w:val="0d0d0d"/>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344"/>
        <w:gridCol w:w="2613"/>
        <w:gridCol w:w="2848"/>
      </w:tblGrid>
      <w:tr>
        <w:trPr>
          <w:trHeight w:val="306"/>
        </w:trPr>
        <w:tc>
          <w:tcPr>
            <w:tcW w:w="42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检验项目</w:t>
            </w:r>
            <w:r/>
          </w:p>
        </w:tc>
        <w:tc>
          <w:tcPr>
            <w:tcW w:w="1533" w:type="pct"/>
            <w:vAlign w:val="center"/>
            <w:textDirection w:val="lrTb"/>
            <w:noWrap w:val="false"/>
          </w:tcPr>
          <w:p>
            <w:pPr>
              <w:pStyle w:val="731"/>
              <w:jc w:val="center"/>
              <w:spacing w:after="160" w:line="440" w:lineRule="exact"/>
              <w:widowControl w:val="off"/>
              <w:rPr>
                <w:color w:val="0d0d0d"/>
                <w:sz w:val="21"/>
                <w:szCs w:val="21"/>
              </w:rPr>
            </w:pPr>
            <w:r>
              <w:rPr>
                <w:rFonts w:hint="eastAsia"/>
                <w:color w:val="0d0d0d"/>
                <w:sz w:val="21"/>
                <w:szCs w:val="21"/>
              </w:rPr>
              <w:t xml:space="preserve">检验依据</w:t>
            </w:r>
            <w:r>
              <w:rPr>
                <w:color w:val="0d0d0d"/>
                <w:sz w:val="21"/>
                <w:szCs w:val="21"/>
              </w:rPr>
            </w:r>
            <w:r/>
          </w:p>
        </w:tc>
        <w:tc>
          <w:tcPr>
            <w:tcW w:w="1671" w:type="pct"/>
            <w:vAlign w:val="center"/>
            <w:textDirection w:val="lrTb"/>
            <w:noWrap w:val="false"/>
          </w:tcPr>
          <w:p>
            <w:pPr>
              <w:pStyle w:val="731"/>
              <w:jc w:val="center"/>
              <w:spacing w:after="160" w:line="440" w:lineRule="exact"/>
              <w:widowControl w:val="off"/>
              <w:rPr>
                <w:color w:val="0d0d0d"/>
                <w:sz w:val="21"/>
                <w:szCs w:val="21"/>
              </w:rPr>
            </w:pPr>
            <w:r>
              <w:rPr>
                <w:color w:val="0d0d0d"/>
                <w:sz w:val="21"/>
                <w:szCs w:val="21"/>
              </w:rPr>
              <w:t xml:space="preserve">检验方法</w:t>
            </w:r>
            <w:r/>
          </w:p>
        </w:tc>
      </w:tr>
      <w:tr>
        <w:trPr>
          <w:trHeight w:val="351"/>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sz w:val="21"/>
                <w:szCs w:val="21"/>
              </w:rPr>
              <w:t xml:space="preserve">含水率</w:t>
            </w:r>
            <w:r>
              <w:rPr>
                <w:rFonts w:hint="eastAsia" w:ascii="宋体" w:hAnsi="宋体" w:cs="宋体"/>
                <w:color w:val="000000"/>
                <w:sz w:val="21"/>
                <w:szCs w:val="21"/>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trHeight w:val="209"/>
        </w:trPr>
        <w:tc>
          <w:tcPr>
            <w:tcW w:w="421" w:type="pct"/>
            <w:vAlign w:val="center"/>
            <w:textDirection w:val="lrTb"/>
            <w:noWrap w:val="false"/>
          </w:tcPr>
          <w:p>
            <w:pPr>
              <w:pStyle w:val="731"/>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pStyle w:val="731"/>
              <w:jc w:val="center"/>
              <w:spacing w:after="160" w:line="278" w:lineRule="auto"/>
              <w:widowControl w:val="off"/>
              <w:rPr>
                <w:rFonts w:hint="eastAsia" w:ascii="宋体" w:hAnsi="宋体" w:cs="宋体"/>
                <w:color w:val="000000"/>
                <w:sz w:val="21"/>
                <w:szCs w:val="21"/>
              </w:rPr>
            </w:pPr>
            <w:r>
              <w:rPr>
                <w:rFonts w:ascii="宋体" w:hAnsi="宋体"/>
                <w:color w:val="000000"/>
                <w:sz w:val="21"/>
                <w:szCs w:val="21"/>
              </w:rPr>
              <w:t xml:space="preserve">浸渍剥离</w:t>
            </w:r>
            <w:r>
              <w:rPr>
                <w:rFonts w:hint="eastAsia" w:ascii="宋体" w:hAnsi="宋体" w:cs="宋体"/>
                <w:color w:val="000000"/>
                <w:sz w:val="21"/>
                <w:szCs w:val="21"/>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3</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rFonts w:hint="eastAsia"/>
                <w:sz w:val="21"/>
                <w:szCs w:val="21"/>
              </w:rPr>
              <w:t xml:space="preserve">表面耐磨</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4</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表面耐干热</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w:t>
            </w:r>
            <w:r>
              <w:rPr>
                <w:rFonts w:hint="eastAsia" w:ascii="宋体" w:hAnsi="宋体" w:cs="宋体"/>
                <w:color w:val="000000"/>
                <w:sz w:val="21"/>
                <w:szCs w:val="21"/>
              </w:rPr>
              <w:t xml:space="preserve">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5</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表面耐冷热循环</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6</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表面耐龟裂</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7</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耐光色牢</w:t>
            </w:r>
            <w:r>
              <w:rPr>
                <w:rFonts w:hint="eastAsia"/>
                <w:sz w:val="21"/>
                <w:szCs w:val="21"/>
              </w:rPr>
              <w:t xml:space="preserve">度</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sz w:val="21"/>
                <w:szCs w:val="21"/>
              </w:rPr>
              <w:t xml:space="preserve">GB/T 17657-2013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tcW w:w="421" w:type="pct"/>
            <w:vAlign w:val="center"/>
            <w:textDirection w:val="lrTb"/>
            <w:noWrap w:val="false"/>
          </w:tcPr>
          <w:p>
            <w:pPr>
              <w:pStyle w:val="731"/>
              <w:jc w:val="center"/>
              <w:spacing w:after="160" w:line="278" w:lineRule="auto"/>
              <w:widowControl w:val="off"/>
              <w:rPr>
                <w:color w:val="0d0d0d"/>
                <w:sz w:val="21"/>
                <w:szCs w:val="21"/>
              </w:rPr>
            </w:pPr>
            <w:r>
              <w:rPr>
                <w:rFonts w:hint="eastAsia"/>
                <w:color w:val="0d0d0d"/>
                <w:sz w:val="21"/>
                <w:szCs w:val="21"/>
              </w:rPr>
              <w:t xml:space="preserve">8</w:t>
            </w:r>
            <w:r>
              <w:rPr>
                <w:color w:val="0d0d0d"/>
                <w:sz w:val="21"/>
                <w:szCs w:val="21"/>
              </w:rPr>
            </w:r>
            <w:r/>
          </w:p>
        </w:tc>
        <w:tc>
          <w:tcPr>
            <w:tcW w:w="1375" w:type="pct"/>
            <w:vAlign w:val="center"/>
            <w:textDirection w:val="lrTb"/>
            <w:noWrap w:val="false"/>
          </w:tcPr>
          <w:p>
            <w:pPr>
              <w:pStyle w:val="731"/>
              <w:jc w:val="center"/>
              <w:spacing w:after="160" w:line="278" w:lineRule="auto"/>
              <w:widowControl w:val="off"/>
              <w:rPr>
                <w:sz w:val="21"/>
                <w:szCs w:val="21"/>
                <w:lang w:eastAsia="en-US"/>
              </w:rPr>
            </w:pPr>
            <w:r>
              <w:rPr>
                <w:sz w:val="21"/>
                <w:szCs w:val="21"/>
              </w:rPr>
              <w:t xml:space="preserve">甲醛释放量</w:t>
            </w:r>
            <w:r>
              <w:rPr>
                <w:sz w:val="21"/>
                <w:szCs w:val="21"/>
                <w:lang w:eastAsia="en-US"/>
              </w:rPr>
            </w:r>
            <w:r/>
          </w:p>
        </w:tc>
        <w:tc>
          <w:tcPr>
            <w:tcW w:w="1533" w:type="pct"/>
            <w:vAlign w:val="center"/>
            <w:textDirection w:val="lrTb"/>
            <w:noWrap w:val="false"/>
          </w:tcPr>
          <w:p>
            <w:pPr>
              <w:pStyle w:val="731"/>
              <w:jc w:val="center"/>
              <w:spacing w:after="160" w:line="278" w:lineRule="auto"/>
              <w:rPr>
                <w:rFonts w:hint="eastAsia" w:ascii="宋体" w:hAnsi="宋体" w:cs="宋体"/>
                <w:sz w:val="21"/>
                <w:szCs w:val="21"/>
              </w:rPr>
            </w:pPr>
            <w:r>
              <w:rPr>
                <w:rFonts w:hint="eastAsia" w:ascii="宋体" w:hAnsi="宋体" w:cs="宋体"/>
                <w:sz w:val="21"/>
                <w:szCs w:val="21"/>
              </w:rPr>
              <w:t xml:space="preserve">GB/T 34722-2017</w:t>
            </w:r>
            <w:r/>
          </w:p>
          <w:p>
            <w:pPr>
              <w:pStyle w:val="731"/>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rPr>
                <w:rFonts w:hint="eastAsia" w:ascii="宋体" w:hAnsi="宋体" w:cs="宋体"/>
                <w:color w:val="000000"/>
                <w:sz w:val="21"/>
                <w:szCs w:val="21"/>
                <w:lang w:eastAsia="en-US"/>
              </w:rPr>
            </w:r>
            <w:r/>
          </w:p>
        </w:tc>
        <w:tc>
          <w:tcPr>
            <w:tcW w:w="1671" w:type="pct"/>
            <w:vAlign w:val="center"/>
            <w:textDirection w:val="lrTb"/>
            <w:noWrap w:val="false"/>
          </w:tcPr>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rPr>
                <w:rFonts w:hint="eastAsia" w:ascii="宋体" w:hAnsi="宋体" w:cs="宋体"/>
                <w:color w:val="000000"/>
                <w:sz w:val="21"/>
                <w:szCs w:val="21"/>
                <w:lang w:eastAsia="en-US"/>
              </w:rPr>
            </w:r>
            <w:r/>
          </w:p>
          <w:p>
            <w:pPr>
              <w:pStyle w:val="731"/>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rPr>
                <w:rFonts w:hint="eastAsia" w:ascii="宋体" w:hAnsi="宋体" w:cs="宋体"/>
                <w:color w:val="000000"/>
                <w:sz w:val="21"/>
                <w:szCs w:val="21"/>
                <w:lang w:eastAsia="en-US"/>
              </w:rPr>
            </w:r>
            <w:r/>
          </w:p>
        </w:tc>
      </w:tr>
      <w:tr>
        <w:trPr>
          <w:trHeight w:val="90"/>
        </w:trPr>
        <w:tc>
          <w:tcPr>
            <w:gridSpan w:val="4"/>
            <w:tcW w:w="5000" w:type="pct"/>
            <w:vAlign w:val="center"/>
            <w:textDirection w:val="lrTb"/>
            <w:noWrap w:val="false"/>
          </w:tcPr>
          <w:p>
            <w:pPr>
              <w:pStyle w:val="731"/>
              <w:spacing w:after="160" w:line="360" w:lineRule="auto"/>
              <w:widowControl w:val="off"/>
              <w:rPr>
                <w:rFonts w:hint="eastAsia" w:ascii="宋体" w:hAnsi="宋体"/>
                <w:color w:val="0d0d0d"/>
                <w:sz w:val="21"/>
                <w:szCs w:val="21"/>
              </w:rPr>
            </w:pPr>
            <w:r>
              <w:rPr>
                <w:rFonts w:hint="eastAsia" w:ascii="宋体" w:hAnsi="宋体"/>
                <w:color w:val="0d0d0d"/>
                <w:sz w:val="21"/>
                <w:szCs w:val="21"/>
              </w:rPr>
              <w:t xml:space="preserve">备注：2025年12月1日前生产的产品检验</w:t>
            </w:r>
            <w:r>
              <w:rPr>
                <w:rFonts w:ascii="宋体" w:hAnsi="宋体"/>
                <w:color w:val="0d0d0d"/>
                <w:sz w:val="21"/>
                <w:szCs w:val="21"/>
              </w:rPr>
              <w:t xml:space="preserve">依据为</w:t>
            </w:r>
            <w:r>
              <w:rPr>
                <w:rFonts w:hint="eastAsia" w:ascii="宋体" w:hAnsi="宋体"/>
                <w:color w:val="0d0d0d"/>
                <w:sz w:val="21"/>
                <w:szCs w:val="21"/>
              </w:rPr>
              <w:t xml:space="preserve">GB/T 34722-2017，2025年12月1日起生产的</w:t>
            </w:r>
            <w:r>
              <w:rPr>
                <w:rFonts w:hint="eastAsia" w:ascii="宋体" w:hAnsi="宋体"/>
                <w:color w:val="0d0d0d"/>
                <w:sz w:val="21"/>
                <w:szCs w:val="21"/>
              </w:rPr>
              <w:t xml:space="preserve">产品检验</w:t>
            </w:r>
            <w:r>
              <w:rPr>
                <w:rFonts w:ascii="宋体" w:hAnsi="宋体"/>
                <w:color w:val="0d0d0d"/>
                <w:sz w:val="21"/>
                <w:szCs w:val="21"/>
              </w:rPr>
              <w:t xml:space="preserve">依据为</w:t>
            </w:r>
            <w:r>
              <w:rPr>
                <w:rFonts w:hint="eastAsia" w:ascii="宋体" w:hAnsi="宋体"/>
                <w:color w:val="0d0d0d"/>
                <w:sz w:val="21"/>
                <w:szCs w:val="21"/>
              </w:rPr>
              <w:t xml:space="preserve">GB/T 34722-2025。</w:t>
            </w:r>
            <w:r>
              <w:rPr>
                <w:rFonts w:ascii="宋体" w:hAnsi="宋体"/>
                <w:color w:val="0d0d0d"/>
                <w:sz w:val="21"/>
                <w:szCs w:val="21"/>
              </w:rPr>
              <w:t xml:space="preserve">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rPr>
                <w:rFonts w:hint="eastAsia" w:ascii="宋体" w:hAnsi="宋体"/>
                <w:color w:val="0d0d0d"/>
                <w:sz w:val="21"/>
                <w:szCs w:val="21"/>
              </w:rPr>
            </w:r>
            <w:r/>
          </w:p>
        </w:tc>
      </w:tr>
    </w:tbl>
    <w:p>
      <w:pPr>
        <w:pStyle w:val="731"/>
        <w:ind w:firstLine="210"/>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pStyle w:val="731"/>
        <w:spacing w:after="160" w:line="360" w:lineRule="auto"/>
        <w:widowControl w:val="off"/>
        <w:rPr>
          <w:b/>
          <w:bCs/>
          <w:color w:val="0d0d0d"/>
          <w:sz w:val="28"/>
          <w:szCs w:val="28"/>
        </w:rPr>
      </w:pPr>
      <w:r>
        <w:rPr>
          <w:rFonts w:hint="eastAsia"/>
          <w:b/>
          <w:bCs/>
          <w:color w:val="0d0d0d"/>
          <w:sz w:val="28"/>
          <w:szCs w:val="28"/>
        </w:rPr>
        <w:t xml:space="preserve">5、电线电缆</w:t>
      </w:r>
      <w:r>
        <w:rPr>
          <w:b/>
          <w:bCs/>
          <w:color w:val="0d0d0d"/>
          <w:sz w:val="28"/>
          <w:szCs w:val="28"/>
        </w:rPr>
      </w:r>
      <w:r/>
    </w:p>
    <w:p>
      <w:pPr>
        <w:pStyle w:val="731"/>
        <w:jc w:val="both"/>
        <w:spacing w:after="160" w:line="278" w:lineRule="auto"/>
        <w:widowControl w:val="off"/>
        <w:rPr>
          <w:rFonts w:cs="Calibri"/>
          <w:sz w:val="21"/>
          <w:szCs w:val="21"/>
        </w:rPr>
      </w:pPr>
      <w:r>
        <w:rPr>
          <w:rFonts w:hint="eastAsia" w:ascii="宋体" w:hAnsi="宋体" w:cs="宋体"/>
          <w:sz w:val="21"/>
          <w:szCs w:val="21"/>
        </w:rPr>
        <w:t xml:space="preserve">额定电压 450/750V 及以下聚氯乙烯绝缘电线电缆产品检验项目、依据及方法</w:t>
      </w:r>
      <w:r>
        <w:rPr>
          <w:rFonts w:cs="Calibri"/>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616"/>
        <w:gridCol w:w="2386"/>
        <w:gridCol w:w="2661"/>
      </w:tblGrid>
      <w:tr>
        <w:trPr>
          <w:trHeight w:val="563"/>
          <w:tblHeader/>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1018"/>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trHeight w:val="819"/>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cantSplit/>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400"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w:t>
            </w:r>
            <w:r>
              <w:rPr>
                <w:rFonts w:hint="eastAsia" w:ascii="宋体" w:hAnsi="宋体" w:cs="宋体"/>
                <w:sz w:val="21"/>
                <w:szCs w:val="21"/>
              </w:rPr>
              <w:t xml:space="preserve">2008</w:t>
            </w:r>
            <w:r/>
          </w:p>
        </w:tc>
      </w:tr>
      <w:tr>
        <w:trPr>
          <w:cantSplit/>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绝缘老化后拉力试验</w:t>
            </w:r>
            <w:r/>
          </w:p>
        </w:tc>
        <w:tc>
          <w:tcPr>
            <w:tcW w:w="1400"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cantSplit/>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400"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cantSplit/>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护套老化后拉力试验</w:t>
            </w:r>
            <w:r/>
          </w:p>
        </w:tc>
        <w:tc>
          <w:tcPr>
            <w:tcW w:w="1400"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曲挠试验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8734.1—2016</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不延燃试验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18380.12—2008</w:t>
            </w:r>
            <w:r/>
          </w:p>
        </w:tc>
      </w:tr>
      <w:tr>
        <w:trPr>
          <w:trHeight w:val="1128"/>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成束阻燃性能</w:t>
            </w:r>
            <w:r>
              <w:rPr>
                <w:rFonts w:hint="eastAsia" w:ascii="宋体" w:hAnsi="宋体" w:cs="宋体"/>
                <w:sz w:val="21"/>
                <w:szCs w:val="21"/>
                <w:vertAlign w:val="superscript"/>
              </w:rPr>
              <w:t xml:space="preserve">a</w:t>
            </w:r>
            <w:r>
              <w:rPr>
                <w:rFonts w:hint="eastAsia" w:ascii="宋体" w:hAnsi="宋体" w:cs="宋体"/>
                <w:sz w:val="21"/>
                <w:szCs w:val="21"/>
              </w:rPr>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19666—2019</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trHeight w:val="478"/>
        </w:trPr>
        <w:tc>
          <w:tcPr>
            <w:gridSpan w:val="4"/>
            <w:tcW w:w="5000" w:type="pct"/>
            <w:vAlign w:val="center"/>
            <w:textDirection w:val="lrTb"/>
            <w:noWrap w:val="false"/>
          </w:tcPr>
          <w:p>
            <w:pPr>
              <w:pStyle w:val="731"/>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该试验仅适用于成束阻燃产品。</w:t>
            </w:r>
            <w:r/>
          </w:p>
        </w:tc>
      </w:tr>
    </w:tbl>
    <w:p>
      <w:pPr>
        <w:pStyle w:val="731"/>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额定电压 450/750V 及以下橡皮绝缘电线电缆产品检</w:t>
      </w:r>
      <w:r>
        <w:rPr>
          <w:rFonts w:hint="eastAsia" w:ascii="宋体" w:hAnsi="宋体" w:cs="宋体"/>
          <w:sz w:val="21"/>
          <w:szCs w:val="21"/>
        </w:rPr>
        <w:t xml:space="preserve">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618"/>
        <w:gridCol w:w="2381"/>
        <w:gridCol w:w="2662"/>
      </w:tblGrid>
      <w:tr>
        <w:trPr>
          <w:trHeight w:val="563"/>
          <w:tblHeader/>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58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trHeight w:val="50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绝缘空气烘箱老化后拉力试验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绝缘空气弹老化后拉力试验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w:t>
            </w:r>
            <w:r>
              <w:rPr>
                <w:rFonts w:hint="eastAsia" w:ascii="宋体" w:hAnsi="宋体" w:cs="宋体"/>
                <w:sz w:val="21"/>
                <w:szCs w:val="21"/>
              </w:rPr>
              <w:t xml:space="preserve">1—2008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护套空气烘箱老化后拉力试验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护套热延伸试验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曲挠试验及试验后的浸水电压试验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bl>
    <w:p>
      <w:pPr>
        <w:pStyle w:val="731"/>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架空绝缘电缆产品检验项目、依据及方法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618"/>
        <w:gridCol w:w="2381"/>
        <w:gridCol w:w="2662"/>
      </w:tblGrid>
      <w:tr>
        <w:trPr>
          <w:trHeight w:val="563"/>
          <w:tblHeader/>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tc>
      </w:tr>
      <w:tr>
        <w:trPr>
          <w:trHeight w:val="614"/>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3048.4—2007</w:t>
            </w:r>
            <w:r/>
          </w:p>
        </w:tc>
      </w:tr>
      <w:tr>
        <w:trPr>
          <w:cantSplit/>
          <w:trHeight w:val="614"/>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绝缘原始性能</w:t>
            </w:r>
            <w:r/>
          </w:p>
        </w:tc>
        <w:tc>
          <w:tcPr>
            <w:tcW w:w="1397"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w:t>
            </w:r>
            <w:r>
              <w:rPr>
                <w:rFonts w:hint="eastAsia" w:ascii="宋体" w:hAnsi="宋体" w:cs="宋体"/>
                <w:sz w:val="21"/>
                <w:szCs w:val="21"/>
              </w:rPr>
              <w:t xml:space="preserve"> 12527—2008</w:t>
            </w:r>
            <w:r/>
          </w:p>
        </w:tc>
        <w:tc>
          <w:tcPr>
            <w:tcW w:w="1562"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tc>
      </w:tr>
      <w:tr>
        <w:trPr>
          <w:cantSplit/>
          <w:trHeight w:val="614"/>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绝缘空气烘箱老化试验</w:t>
            </w:r>
            <w:r/>
          </w:p>
        </w:tc>
        <w:tc>
          <w:tcPr>
            <w:tcW w:w="1397"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2"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cantSplit/>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绝缘老化前机械性能</w:t>
            </w:r>
            <w:r/>
          </w:p>
        </w:tc>
        <w:tc>
          <w:tcPr>
            <w:tcW w:w="1397"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tc>
      </w:tr>
      <w:tr>
        <w:trPr>
          <w:cantSplit/>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绝缘空气老化后机械性能</w:t>
            </w:r>
            <w:r/>
          </w:p>
        </w:tc>
        <w:tc>
          <w:tcPr>
            <w:tcW w:w="1397"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2"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trHeight w:val="590"/>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收缩试验</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2951.3—1997</w:t>
            </w:r>
            <w:r/>
          </w:p>
        </w:tc>
      </w:tr>
      <w:tr>
        <w:trPr>
          <w:trHeight w:val="635"/>
        </w:trPr>
        <w:tc>
          <w:tcPr>
            <w:tcW w:w="50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6"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热延伸</w:t>
            </w:r>
            <w:r/>
          </w:p>
        </w:tc>
        <w:tc>
          <w:tcPr>
            <w:tcW w:w="1397"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tc>
      </w:tr>
    </w:tbl>
    <w:p>
      <w:pPr>
        <w:pStyle w:val="731"/>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塑料绝缘控制电缆产品检验项目、依据及方法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616"/>
        <w:gridCol w:w="2386"/>
        <w:gridCol w:w="2661"/>
      </w:tblGrid>
      <w:tr>
        <w:trPr>
          <w:trHeight w:val="563"/>
          <w:tblHeader/>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绝缘厚度测量</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护套厚度测量</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屏蔽层结构尺寸检查</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4909.2—2009</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导体直流电阻测量</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3048.4—2007</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w:t>
            </w:r>
            <w:r>
              <w:rPr>
                <w:rFonts w:hint="eastAsia" w:ascii="宋体" w:hAnsi="宋体" w:cs="宋体"/>
                <w:sz w:val="21"/>
                <w:szCs w:val="21"/>
              </w:rPr>
              <w:t xml:space="preserve">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绝缘空气箱老化后拉力试验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绝缘收缩试验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护套空气箱老化后拉力试验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护套失重试验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成品电缆单根燃烧试验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18380.13—2022</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成品电缆成束燃烧试验</w:t>
            </w:r>
            <w:r>
              <w:rPr>
                <w:rFonts w:hint="eastAsia" w:ascii="宋体" w:hAnsi="宋体" w:cs="宋体"/>
                <w:sz w:val="21"/>
                <w:szCs w:val="21"/>
                <w:vertAlign w:val="superscript"/>
              </w:rPr>
              <w:t xml:space="preserve">a</w:t>
            </w:r>
            <w:r>
              <w:rPr>
                <w:rFonts w:hint="eastAsia" w:ascii="宋体" w:hAnsi="宋体" w:cs="宋体"/>
                <w:sz w:val="21"/>
                <w:szCs w:val="21"/>
              </w:rPr>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trHeight w:val="590"/>
        </w:trPr>
        <w:tc>
          <w:tcPr>
            <w:gridSpan w:val="4"/>
            <w:tcW w:w="5000" w:type="pct"/>
            <w:vAlign w:val="center"/>
            <w:textDirection w:val="lrTb"/>
            <w:noWrap w:val="false"/>
          </w:tcPr>
          <w:p>
            <w:pPr>
              <w:pStyle w:val="731"/>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该试验仅适用于成束阻燃产品。</w:t>
            </w:r>
            <w:r/>
          </w:p>
        </w:tc>
      </w:tr>
    </w:tbl>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pStyle w:val="731"/>
        <w:jc w:val="both"/>
        <w:spacing w:after="160" w:line="278" w:lineRule="auto"/>
        <w:widowControl w:val="off"/>
        <w:rPr>
          <w:rFonts w:hint="eastAsia" w:ascii="宋体" w:hAnsi="宋体" w:cs="宋体"/>
          <w:color w:val="000000"/>
          <w:sz w:val="21"/>
          <w:szCs w:val="21"/>
        </w:rPr>
      </w:pPr>
      <w:r>
        <w:rPr>
          <w:rFonts w:hint="eastAsia" w:ascii="宋体" w:hAnsi="宋体" w:cs="宋体"/>
          <w:sz w:val="21"/>
          <w:szCs w:val="21"/>
        </w:rPr>
        <w:t xml:space="preserve">电力电缆产品检验项目、依据及方法</w:t>
      </w:r>
      <w:r>
        <w:rPr>
          <w:rFonts w:hint="eastAsia" w:ascii="宋体" w:hAnsi="宋体" w:cs="宋体"/>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616"/>
        <w:gridCol w:w="2386"/>
        <w:gridCol w:w="2661"/>
      </w:tblGrid>
      <w:tr>
        <w:trPr>
          <w:trHeight w:val="590"/>
          <w:tblHeader/>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厚度测量</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金属铠装</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r>
      <w:tr>
        <w:trPr>
          <w:trHeight w:val="893"/>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3956—2008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绝缘老化前机械性能</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绝缘空气烘箱老化后机械性能</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w:t>
            </w:r>
            <w:r>
              <w:rPr>
                <w:rFonts w:hint="eastAsia" w:ascii="宋体" w:hAnsi="宋体" w:cs="宋体"/>
                <w:sz w:val="21"/>
                <w:szCs w:val="21"/>
              </w:rPr>
              <w:t xml:space="preserve">—2020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28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绝缘收缩试验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护套老化前机械性能</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护套空气烘箱老化后机械性能</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护套空气烘箱中失重试验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2951.32—2008</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电缆的单根阻燃试验</w:t>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w:t>
            </w:r>
            <w:r>
              <w:rPr>
                <w:rFonts w:hint="eastAsia" w:ascii="宋体" w:hAnsi="宋体" w:cs="宋体"/>
                <w:sz w:val="21"/>
                <w:szCs w:val="21"/>
              </w:rPr>
              <w:t xml:space="preserve">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18380.13—2022</w:t>
            </w:r>
            <w:r/>
          </w:p>
        </w:tc>
      </w:tr>
      <w:tr>
        <w:trPr>
          <w:trHeight w:val="59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电缆的成束阻燃试验</w:t>
            </w:r>
            <w:r>
              <w:rPr>
                <w:rFonts w:hint="eastAsia" w:ascii="宋体" w:hAnsi="宋体" w:cs="宋体"/>
                <w:sz w:val="21"/>
                <w:szCs w:val="21"/>
                <w:vertAlign w:val="superscript"/>
              </w:rPr>
              <w:t xml:space="preserve">a</w:t>
            </w:r>
            <w:r>
              <w:rPr>
                <w:rFonts w:hint="eastAsia" w:ascii="宋体" w:hAnsi="宋体" w:cs="宋体"/>
                <w:sz w:val="21"/>
                <w:szCs w:val="21"/>
              </w:rPr>
            </w:r>
            <w:r/>
          </w:p>
        </w:tc>
        <w:tc>
          <w:tcPr>
            <w:tcW w:w="1400"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trHeight w:val="590"/>
        </w:trPr>
        <w:tc>
          <w:tcPr>
            <w:gridSpan w:val="4"/>
            <w:tcW w:w="5000" w:type="pct"/>
            <w:vAlign w:val="center"/>
            <w:textDirection w:val="lrTb"/>
            <w:noWrap w:val="false"/>
          </w:tcPr>
          <w:p>
            <w:pPr>
              <w:pStyle w:val="731"/>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该试验仅适用于成束阻燃产品。</w:t>
            </w:r>
            <w:r/>
          </w:p>
        </w:tc>
      </w:tr>
    </w:tbl>
    <w:p>
      <w:pPr>
        <w:pStyle w:val="731"/>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额定电压450/750V及以下交联聚烯烃绝缘电线和电缆产品检验项目、依据及方法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616"/>
        <w:gridCol w:w="2084"/>
        <w:gridCol w:w="2962"/>
      </w:tblGrid>
      <w:tr>
        <w:trPr>
          <w:trHeight w:val="510"/>
          <w:tblHeader/>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cantSplit/>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vMerge w:val="restart"/>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cantSplit/>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vMerge w:val="continue"/>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绝缘老化后拉力试验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w:t>
            </w:r>
            <w:r>
              <w:rPr>
                <w:rFonts w:hint="eastAsia" w:ascii="宋体" w:hAnsi="宋体" w:cs="宋体"/>
                <w:sz w:val="21"/>
                <w:szCs w:val="21"/>
              </w:rPr>
              <w:t xml:space="preserve">951.12—2008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绝缘热收缩试验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护套老化后拉力试验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护套热延伸试验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曲挠试验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单根电线或电缆的阻燃性试验</w:t>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tc>
      </w:tr>
      <w:tr>
        <w:trPr>
          <w:trHeight w:val="510"/>
        </w:trPr>
        <w:tc>
          <w:tcPr>
            <w:tcW w:w="504"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13</w:t>
            </w:r>
            <w:r/>
          </w:p>
        </w:tc>
        <w:tc>
          <w:tcPr>
            <w:tcW w:w="1535"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成束电线或电缆的阻燃性试验</w:t>
            </w:r>
            <w:r>
              <w:rPr>
                <w:rFonts w:hint="eastAsia" w:ascii="宋体" w:hAnsi="宋体" w:cs="宋体"/>
                <w:sz w:val="21"/>
                <w:szCs w:val="21"/>
                <w:vertAlign w:val="superscript"/>
              </w:rPr>
              <w:t xml:space="preserve">a</w:t>
            </w:r>
            <w:r>
              <w:rPr>
                <w:rFonts w:hint="eastAsia" w:ascii="宋体" w:hAnsi="宋体" w:cs="宋体"/>
                <w:sz w:val="21"/>
                <w:szCs w:val="21"/>
              </w:rPr>
            </w:r>
            <w:r/>
          </w:p>
        </w:tc>
        <w:tc>
          <w:tcPr>
            <w:tcW w:w="1223"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pStyle w:val="731"/>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trHeight w:val="510"/>
        </w:trPr>
        <w:tc>
          <w:tcPr>
            <w:gridSpan w:val="4"/>
            <w:tcW w:w="5000" w:type="pct"/>
            <w:vAlign w:val="center"/>
            <w:textDirection w:val="lrTb"/>
            <w:noWrap w:val="false"/>
          </w:tcPr>
          <w:p>
            <w:pPr>
              <w:pStyle w:val="731"/>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该试验仅适用于成束阻燃产品。</w:t>
            </w:r>
            <w:r/>
          </w:p>
        </w:tc>
      </w:tr>
    </w:tbl>
    <w:p>
      <w:pPr>
        <w:pStyle w:val="731"/>
        <w:spacing w:after="0" w:line="278" w:lineRule="auto"/>
        <w:rPr>
          <w:rFonts w:hint="eastAsia" w:ascii="仿宋" w:hAnsi="仿宋" w:eastAsia="仿宋" w:cs="仿宋"/>
          <w:sz w:val="21"/>
          <w:szCs w:val="21"/>
        </w:rPr>
      </w:pPr>
      <w:r>
        <w:rPr>
          <w:rFonts w:hint="eastAsia" w:ascii="仿宋" w:hAnsi="仿宋" w:eastAsia="仿宋" w:cs="仿宋"/>
          <w:sz w:val="21"/>
          <w:szCs w:val="21"/>
        </w:rPr>
      </w:r>
      <w:r/>
    </w:p>
    <w:p>
      <w:pPr>
        <w:pStyle w:val="731"/>
        <w:numPr>
          <w:ilvl w:val="0"/>
          <w:numId w:val="5"/>
        </w:numPr>
        <w:jc w:val="both"/>
        <w:spacing w:after="160" w:line="360" w:lineRule="auto"/>
        <w:widowControl w:val="off"/>
        <w:rPr>
          <w:b/>
          <w:bCs/>
          <w:color w:val="0d0d0d"/>
          <w:sz w:val="28"/>
          <w:szCs w:val="28"/>
        </w:rPr>
      </w:pPr>
      <w:r>
        <w:rPr>
          <w:rFonts w:hint="eastAsia"/>
          <w:b/>
          <w:bCs/>
          <w:color w:val="0d0d0d"/>
          <w:sz w:val="28"/>
          <w:szCs w:val="28"/>
        </w:rPr>
        <w:t xml:space="preserve">化肥</w:t>
      </w:r>
      <w:r>
        <w:rPr>
          <w:b/>
          <w:bCs/>
          <w:color w:val="0d0d0d"/>
          <w:sz w:val="28"/>
          <w:szCs w:val="28"/>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复合肥料产品检验项目、依据及方法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896"/>
        <w:gridCol w:w="2480"/>
        <w:gridCol w:w="2476"/>
      </w:tblGrid>
      <w:tr>
        <w:trPr>
          <w:trHeight w:val="20"/>
          <w:tblHeader/>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bookmarkStart w:id="106" w:name="_Hlk225153416"/>
            <w:r>
              <w:rPr>
                <w:rFonts w:hint="eastAsia" w:ascii="宋体" w:hAnsi="宋体" w:cs="方正仿宋_GBK"/>
                <w:bCs/>
                <w:color w:val="000000"/>
                <w:sz w:val="21"/>
                <w:szCs w:val="21"/>
              </w:rPr>
              <w:t xml:space="preserve">序号</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检验项</w:t>
            </w:r>
            <w:r>
              <w:rPr>
                <w:rFonts w:hint="eastAsia" w:ascii="宋体" w:hAnsi="宋体" w:cs="方正仿宋_GBK"/>
                <w:bCs/>
                <w:color w:val="000000"/>
                <w:sz w:val="21"/>
                <w:szCs w:val="21"/>
              </w:rPr>
              <w:t xml:space="preserve">目</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检验依据</w:t>
            </w:r>
            <w:r/>
          </w:p>
        </w:tc>
        <w:tc>
          <w:tcPr>
            <w:tcW w:w="2681"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检验检测方法</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总氮(N)的质量分数</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8572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2</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有效磷(P</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w:t>
            </w:r>
            <w:r>
              <w:rPr>
                <w:rFonts w:hint="eastAsia" w:ascii="宋体" w:hAnsi="宋体" w:cs="方正仿宋_GBK"/>
                <w:sz w:val="21"/>
                <w:szCs w:val="21"/>
                <w:vertAlign w:val="subscript"/>
              </w:rPr>
              <w:t xml:space="preserve">5</w:t>
            </w:r>
            <w:r>
              <w:rPr>
                <w:rFonts w:hint="eastAsia" w:ascii="宋体" w:hAnsi="宋体" w:cs="方正仿宋_GBK"/>
                <w:sz w:val="21"/>
                <w:szCs w:val="21"/>
              </w:rPr>
              <w:t xml:space="preserve">)的质量分数</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3</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氧化钾(K</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O)的质量分数</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8574—2024</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4</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总养分(N+P</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w:t>
            </w:r>
            <w:r>
              <w:rPr>
                <w:rFonts w:hint="eastAsia" w:ascii="宋体" w:hAnsi="宋体" w:cs="方正仿宋_GBK"/>
                <w:bCs/>
                <w:color w:val="000000"/>
                <w:sz w:val="21"/>
                <w:szCs w:val="21"/>
                <w:vertAlign w:val="subscript"/>
              </w:rPr>
              <w:t xml:space="preserve">5</w:t>
            </w:r>
            <w:r>
              <w:rPr>
                <w:rFonts w:hint="eastAsia" w:ascii="宋体" w:hAnsi="宋体" w:cs="方正仿宋_GBK"/>
                <w:bCs/>
                <w:color w:val="000000"/>
                <w:sz w:val="21"/>
                <w:szCs w:val="21"/>
              </w:rPr>
              <w:t xml:space="preserve">+K</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O)的质量分数</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5</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水溶性磷占有效磷百分率</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c>
          <w:tcPr>
            <w:tcW w:w="2681"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6</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氯离子的质量分数</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24890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7</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总砷</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c>
          <w:tcPr>
            <w:tcW w:w="2681"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8</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总镉</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9</w:t>
            </w:r>
            <w:r/>
          </w:p>
        </w:tc>
        <w:tc>
          <w:tcPr>
            <w:tcW w:w="3139"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总铅</w:t>
            </w:r>
            <w:r>
              <w:rPr>
                <w:rFonts w:hint="eastAsia" w:ascii="宋体" w:hAnsi="宋体" w:cs="方正仿宋_GBK"/>
                <w:color w:val="0c0c0c"/>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10</w:t>
            </w:r>
            <w:r/>
          </w:p>
        </w:tc>
        <w:tc>
          <w:tcPr>
            <w:tcW w:w="3139"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总铬</w:t>
            </w:r>
            <w:r>
              <w:rPr>
                <w:rFonts w:hint="eastAsia" w:ascii="宋体" w:hAnsi="宋体" w:cs="方正仿宋_GBK"/>
                <w:color w:val="0c0c0c"/>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11</w:t>
            </w:r>
            <w:r/>
          </w:p>
        </w:tc>
        <w:tc>
          <w:tcPr>
            <w:tcW w:w="3139"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总汞</w:t>
            </w:r>
            <w:r>
              <w:rPr>
                <w:rFonts w:hint="eastAsia" w:ascii="宋体" w:hAnsi="宋体" w:cs="方正仿宋_GBK"/>
                <w:color w:val="0c0c0c"/>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15063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12</w:t>
            </w:r>
            <w:r/>
          </w:p>
        </w:tc>
        <w:tc>
          <w:tcPr>
            <w:tcW w:w="3139"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总铊</w:t>
            </w:r>
            <w:r>
              <w:rPr>
                <w:rFonts w:hint="eastAsia" w:ascii="宋体" w:hAnsi="宋体" w:cs="方正仿宋_GBK"/>
                <w:color w:val="0c0c0c"/>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1506</w:t>
            </w:r>
            <w:r>
              <w:rPr>
                <w:rFonts w:hint="eastAsia" w:ascii="宋体" w:hAnsi="宋体" w:cs="方正仿宋_GBK"/>
                <w:color w:val="000000"/>
                <w:sz w:val="21"/>
                <w:szCs w:val="21"/>
              </w:rPr>
              <w:t xml:space="preserve">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color w:val="0c0c0c"/>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c0c0c"/>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13</w:t>
            </w:r>
            <w:r/>
          </w:p>
        </w:tc>
        <w:tc>
          <w:tcPr>
            <w:tcW w:w="3139" w:type="dxa"/>
            <w:vAlign w:val="center"/>
            <w:textDirection w:val="lrTb"/>
            <w:noWrap/>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bCs/>
                <w:color w:val="000000"/>
                <w:sz w:val="21"/>
                <w:szCs w:val="21"/>
              </w:rPr>
              <w:t xml:space="preserve">包装标识（养分含量、含氯标识、警示语、名称中的禁用语等）</w:t>
            </w:r>
            <w:r>
              <w:rPr>
                <w:rFonts w:hint="eastAsia" w:ascii="宋体" w:hAnsi="宋体" w:cs="方正仿宋_GBK"/>
                <w:color w:val="0c0c0c"/>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15063—2020</w:t>
            </w:r>
            <w:r>
              <w:rPr>
                <w:rFonts w:hint="eastAsia" w:ascii="宋体" w:hAnsi="宋体" w:cs="方正仿宋_GBK"/>
                <w:color w:val="0c0c0c"/>
                <w:sz w:val="21"/>
                <w:szCs w:val="21"/>
              </w:rPr>
            </w:r>
            <w:r/>
          </w:p>
        </w:tc>
        <w:tc>
          <w:tcPr>
            <w:tcW w:w="2681" w:type="dxa"/>
            <w:vAlign w:val="center"/>
            <w:textDirection w:val="lrTb"/>
            <w:noWrap/>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18382—2021</w:t>
            </w:r>
            <w:r/>
          </w:p>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GB/T 15063—2020</w:t>
            </w:r>
            <w:r>
              <w:rPr>
                <w:rFonts w:hint="eastAsia" w:ascii="宋体" w:hAnsi="宋体" w:cs="方正仿宋_GBK"/>
                <w:color w:val="0c0c0c"/>
                <w:sz w:val="21"/>
                <w:szCs w:val="21"/>
              </w:rPr>
            </w:r>
            <w:r/>
          </w:p>
        </w:tc>
      </w:tr>
    </w:tbl>
    <w:p>
      <w:pPr>
        <w:pStyle w:val="731"/>
        <w:jc w:val="both"/>
        <w:spacing w:after="160" w:line="278" w:lineRule="auto"/>
        <w:widowControl w:val="off"/>
        <w:rPr>
          <w:rFonts w:hint="eastAsia" w:ascii="宋体" w:hAnsi="宋体" w:cs="宋体"/>
          <w:sz w:val="21"/>
          <w:szCs w:val="21"/>
          <w:lang w:bidi="ar"/>
        </w:rPr>
      </w:pPr>
      <w:r/>
      <w:bookmarkEnd w:id="106"/>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bookmarkStart w:id="107" w:name="_Hlk225152789"/>
      <w:r>
        <w:rPr>
          <w:rFonts w:hint="eastAsia" w:ascii="宋体" w:hAnsi="宋体" w:cs="宋体"/>
          <w:sz w:val="21"/>
          <w:szCs w:val="21"/>
          <w:lang w:bidi="ar"/>
        </w:rPr>
        <w:t xml:space="preserve">掺混肥料</w:t>
      </w:r>
      <w:bookmarkEnd w:id="107"/>
      <w:r>
        <w:rPr>
          <w:rFonts w:hint="eastAsia" w:ascii="宋体" w:hAnsi="宋体" w:cs="宋体"/>
          <w:sz w:val="21"/>
          <w:szCs w:val="21"/>
          <w:lang w:bidi="ar"/>
        </w:rPr>
        <w:t xml:space="preserve">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903"/>
        <w:gridCol w:w="2453"/>
        <w:gridCol w:w="2497"/>
      </w:tblGrid>
      <w:tr>
        <w:trPr>
          <w:trHeight w:val="18"/>
          <w:tblHeader/>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序号</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检验项目</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检验依据</w:t>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检验检测方法</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总氮(N)的质量分数</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8572—2010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2</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有效磷(P</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w:t>
            </w:r>
            <w:r>
              <w:rPr>
                <w:rFonts w:hint="eastAsia" w:ascii="宋体" w:hAnsi="宋体" w:cs="方正仿宋_GBK"/>
                <w:sz w:val="21"/>
                <w:szCs w:val="21"/>
                <w:vertAlign w:val="subscript"/>
              </w:rPr>
              <w:t xml:space="preserve">5</w:t>
            </w:r>
            <w:r>
              <w:rPr>
                <w:rFonts w:hint="eastAsia" w:ascii="宋体" w:hAnsi="宋体" w:cs="方正仿宋_GBK"/>
                <w:sz w:val="21"/>
                <w:szCs w:val="21"/>
              </w:rPr>
              <w:t xml:space="preserve">)的质量分数</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15063—2020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3</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氧化钾(K</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O)的质量分数</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8574—2024</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4</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总养分(N+P</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w:t>
            </w:r>
            <w:r>
              <w:rPr>
                <w:rFonts w:hint="eastAsia" w:ascii="宋体" w:hAnsi="宋体" w:cs="方正仿宋_GBK"/>
                <w:bCs/>
                <w:color w:val="000000"/>
                <w:sz w:val="21"/>
                <w:szCs w:val="21"/>
                <w:vertAlign w:val="subscript"/>
              </w:rPr>
              <w:t xml:space="preserve">5</w:t>
            </w:r>
            <w:r>
              <w:rPr>
                <w:rFonts w:hint="eastAsia" w:ascii="宋体" w:hAnsi="宋体" w:cs="方正仿宋_GBK"/>
                <w:bCs/>
                <w:color w:val="000000"/>
                <w:sz w:val="21"/>
                <w:szCs w:val="21"/>
              </w:rPr>
              <w:t xml:space="preserve">+K</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O)的质量分数</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6</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水溶性磷占有效磷百分率</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15063—2020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7</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氯离子的质量分数</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24890—2010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8</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总砷</w:t>
            </w:r>
            <w:r>
              <w:rPr>
                <w:rFonts w:hint="eastAsia" w:ascii="宋体" w:hAnsi="宋体" w:cs="方正仿宋_GBK"/>
                <w:bCs/>
                <w:color w:val="000000"/>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23349—2020</w:t>
            </w:r>
            <w:r>
              <w:rPr>
                <w:rFonts w:hint="eastAsia" w:ascii="宋体" w:hAnsi="宋体" w:cs="方正仿宋_GBK"/>
                <w:bCs/>
                <w:color w:val="000000"/>
                <w:sz w:val="21"/>
                <w:szCs w:val="21"/>
              </w:rPr>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9</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总镉</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10</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总铅</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11</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总铬</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12</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总汞</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13</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总铊</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 38400—2019</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14</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包装标识（养分含量、含氯标识、其他、名称中的禁用语等）</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rPr>
                <w:rFonts w:hint="eastAsia" w:ascii="宋体" w:hAnsi="宋体" w:cs="方正仿宋_GBK"/>
                <w:color w:val="000000"/>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18382—2021</w:t>
            </w:r>
            <w:r/>
          </w:p>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21633—2020</w:t>
            </w:r>
            <w:r/>
          </w:p>
        </w:tc>
      </w:tr>
    </w:tbl>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有机无机复混肥料产品检验项目、依据及方法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903"/>
        <w:gridCol w:w="2439"/>
        <w:gridCol w:w="2510"/>
      </w:tblGrid>
      <w:tr>
        <w:trPr>
          <w:cantSplit/>
          <w:trHeight w:val="20"/>
          <w:tblHeader/>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序号</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检验项目</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检验依据</w:t>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检验检测方法</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总氮(N)的质量分数</w:t>
            </w:r>
            <w:r/>
          </w:p>
        </w:tc>
        <w:tc>
          <w:tcPr>
            <w:tcW w:w="2640" w:type="dxa"/>
            <w:vAlign w:val="center"/>
            <w:textDirection w:val="lrTb"/>
            <w:noWrap w:val="false"/>
          </w:tcPr>
          <w:p>
            <w:pPr>
              <w:pStyle w:val="731"/>
              <w:jc w:val="center"/>
              <w:spacing w:after="160" w:line="440" w:lineRule="exact"/>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GB/T 17767.1</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2008</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2</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有效五氧化二磷(P</w:t>
            </w:r>
            <w:r>
              <w:rPr>
                <w:rFonts w:hint="eastAsia" w:ascii="宋体" w:hAnsi="宋体" w:cs="方正仿宋_GBK"/>
                <w:color w:val="000000"/>
                <w:sz w:val="21"/>
                <w:szCs w:val="21"/>
                <w:vertAlign w:val="subscript"/>
              </w:rPr>
              <w:t xml:space="preserve">2</w:t>
            </w:r>
            <w:r>
              <w:rPr>
                <w:rFonts w:hint="eastAsia" w:ascii="宋体" w:hAnsi="宋体" w:cs="方正仿宋_GBK"/>
                <w:color w:val="000000"/>
                <w:sz w:val="21"/>
                <w:szCs w:val="21"/>
              </w:rPr>
              <w:t xml:space="preserve">O</w:t>
            </w:r>
            <w:r>
              <w:rPr>
                <w:rFonts w:hint="eastAsia" w:ascii="宋体" w:hAnsi="宋体" w:cs="方正仿宋_GBK"/>
                <w:color w:val="000000"/>
                <w:sz w:val="21"/>
                <w:szCs w:val="21"/>
                <w:vertAlign w:val="subscript"/>
              </w:rPr>
              <w:t xml:space="preserve">5</w:t>
            </w:r>
            <w:r>
              <w:rPr>
                <w:rFonts w:hint="eastAsia" w:ascii="宋体" w:hAnsi="宋体" w:cs="方正仿宋_GBK"/>
                <w:color w:val="000000"/>
                <w:sz w:val="21"/>
                <w:szCs w:val="21"/>
              </w:rPr>
              <w:t xml:space="preserve">)的质量分数</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15063—2020</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3</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总氧化钾</w:t>
            </w:r>
            <w:r>
              <w:rPr>
                <w:rFonts w:hint="eastAsia" w:ascii="宋体" w:hAnsi="宋体" w:cs="方正仿宋_GBK"/>
                <w:sz w:val="21"/>
                <w:szCs w:val="21"/>
              </w:rPr>
              <w:t xml:space="preserve">(K</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w:t>
            </w:r>
            <w:r>
              <w:rPr>
                <w:rFonts w:hint="eastAsia" w:ascii="宋体" w:hAnsi="宋体" w:cs="方正仿宋_GBK"/>
                <w:bCs/>
                <w:color w:val="000000"/>
                <w:sz w:val="21"/>
                <w:szCs w:val="21"/>
              </w:rPr>
              <w:t xml:space="preserve">的质量分数</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GB/T 17767.3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2010</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4</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总养分(N+P</w:t>
            </w:r>
            <w:r>
              <w:rPr>
                <w:rFonts w:hint="eastAsia" w:ascii="宋体" w:hAnsi="宋体" w:cs="方正仿宋_GBK"/>
                <w:color w:val="000000"/>
                <w:sz w:val="21"/>
                <w:szCs w:val="21"/>
                <w:vertAlign w:val="subscript"/>
              </w:rPr>
              <w:t xml:space="preserve">2</w:t>
            </w:r>
            <w:r>
              <w:rPr>
                <w:rFonts w:hint="eastAsia" w:ascii="宋体" w:hAnsi="宋体" w:cs="方正仿宋_GBK"/>
                <w:color w:val="000000"/>
                <w:sz w:val="21"/>
                <w:szCs w:val="21"/>
              </w:rPr>
              <w:t xml:space="preserve">O</w:t>
            </w:r>
            <w:r>
              <w:rPr>
                <w:rFonts w:hint="eastAsia" w:ascii="宋体" w:hAnsi="宋体" w:cs="方正仿宋_GBK"/>
                <w:color w:val="000000"/>
                <w:sz w:val="21"/>
                <w:szCs w:val="21"/>
                <w:vertAlign w:val="subscript"/>
              </w:rPr>
              <w:t xml:space="preserve">5</w:t>
            </w:r>
            <w:r>
              <w:rPr>
                <w:rFonts w:hint="eastAsia" w:ascii="宋体" w:hAnsi="宋体" w:cs="方正仿宋_GBK"/>
                <w:color w:val="000000"/>
                <w:sz w:val="21"/>
                <w:szCs w:val="21"/>
              </w:rPr>
              <w:t xml:space="preserve">+K</w:t>
            </w:r>
            <w:r>
              <w:rPr>
                <w:rFonts w:hint="eastAsia" w:ascii="宋体" w:hAnsi="宋体" w:cs="方正仿宋_GBK"/>
                <w:color w:val="000000"/>
                <w:sz w:val="21"/>
                <w:szCs w:val="21"/>
                <w:vertAlign w:val="subscript"/>
              </w:rPr>
              <w:t xml:space="preserve">2</w:t>
            </w:r>
            <w:r>
              <w:rPr>
                <w:rFonts w:hint="eastAsia" w:ascii="宋体" w:hAnsi="宋体" w:cs="方正仿宋_GBK"/>
                <w:color w:val="000000"/>
                <w:sz w:val="21"/>
                <w:szCs w:val="21"/>
              </w:rPr>
              <w:t xml:space="preserve">O)的质量分数</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w:t>
            </w:r>
            <w:r>
              <w:rPr>
                <w:rFonts w:hint="eastAsia" w:ascii="宋体" w:hAnsi="宋体" w:cs="方正仿宋_GBK"/>
                <w:color w:val="000000"/>
                <w:sz w:val="21"/>
                <w:szCs w:val="21"/>
              </w:rPr>
              <w:t xml:space="preserve">0（含第1号修改单）</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5</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有机质的质量分数</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6</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氯离子含量</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7</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总砷</w:t>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8</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总镉</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9</w:t>
            </w:r>
            <w:r/>
          </w:p>
        </w:tc>
        <w:tc>
          <w:tcPr>
            <w:tcW w:w="3147" w:type="dxa"/>
            <w:vAlign w:val="center"/>
            <w:textDirection w:val="lrTb"/>
            <w:noWrap w:val="false"/>
          </w:tcPr>
          <w:p>
            <w:pPr>
              <w:pStyle w:val="731"/>
              <w:jc w:val="center"/>
              <w:spacing w:after="160" w:line="300" w:lineRule="exact"/>
              <w:rPr>
                <w:rFonts w:hint="eastAsia" w:ascii="宋体" w:hAnsi="宋体" w:cs="方正仿宋_GBK"/>
                <w:bCs/>
                <w:color w:val="000000"/>
                <w:sz w:val="21"/>
                <w:szCs w:val="21"/>
              </w:rPr>
            </w:pPr>
            <w:r>
              <w:rPr>
                <w:rFonts w:hint="eastAsia" w:ascii="宋体" w:hAnsi="宋体" w:cs="方正仿宋_GBK"/>
                <w:color w:val="000000"/>
                <w:sz w:val="21"/>
                <w:szCs w:val="21"/>
              </w:rPr>
              <w:t xml:space="preserve">总铅</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10</w:t>
            </w:r>
            <w:r/>
          </w:p>
        </w:tc>
        <w:tc>
          <w:tcPr>
            <w:tcW w:w="3147" w:type="dxa"/>
            <w:vAlign w:val="center"/>
            <w:textDirection w:val="lrTb"/>
            <w:noWrap w:val="false"/>
          </w:tcPr>
          <w:p>
            <w:pPr>
              <w:pStyle w:val="731"/>
              <w:jc w:val="center"/>
              <w:spacing w:after="160" w:line="300" w:lineRule="exact"/>
              <w:rPr>
                <w:rFonts w:hint="eastAsia" w:ascii="宋体" w:hAnsi="宋体" w:cs="方正仿宋_GBK"/>
                <w:bCs/>
                <w:color w:val="000000"/>
                <w:sz w:val="21"/>
                <w:szCs w:val="21"/>
              </w:rPr>
            </w:pPr>
            <w:r>
              <w:rPr>
                <w:rFonts w:hint="eastAsia" w:ascii="宋体" w:hAnsi="宋体" w:cs="方正仿宋_GBK"/>
                <w:color w:val="000000"/>
                <w:sz w:val="21"/>
                <w:szCs w:val="21"/>
              </w:rPr>
              <w:t xml:space="preserve">总铬</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11</w:t>
            </w:r>
            <w:r/>
          </w:p>
        </w:tc>
        <w:tc>
          <w:tcPr>
            <w:tcW w:w="3147" w:type="dxa"/>
            <w:vAlign w:val="center"/>
            <w:textDirection w:val="lrTb"/>
            <w:noWrap w:val="false"/>
          </w:tcPr>
          <w:p>
            <w:pPr>
              <w:pStyle w:val="731"/>
              <w:jc w:val="center"/>
              <w:spacing w:after="160" w:line="300" w:lineRule="exact"/>
              <w:rPr>
                <w:rFonts w:hint="eastAsia" w:ascii="宋体" w:hAnsi="宋体" w:cs="方正仿宋_GBK"/>
                <w:bCs/>
                <w:color w:val="000000"/>
                <w:sz w:val="21"/>
                <w:szCs w:val="21"/>
              </w:rPr>
            </w:pPr>
            <w:r>
              <w:rPr>
                <w:rFonts w:hint="eastAsia" w:ascii="宋体" w:hAnsi="宋体" w:cs="方正仿宋_GBK"/>
                <w:color w:val="000000"/>
                <w:sz w:val="21"/>
                <w:szCs w:val="21"/>
              </w:rPr>
              <w:t xml:space="preserve">总汞</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t xml:space="preserve">（含第1号修改单）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12</w:t>
            </w:r>
            <w:r/>
          </w:p>
        </w:tc>
        <w:tc>
          <w:tcPr>
            <w:tcW w:w="3147" w:type="dxa"/>
            <w:vAlign w:val="center"/>
            <w:textDirection w:val="lrTb"/>
            <w:noWrap w:val="false"/>
          </w:tcPr>
          <w:p>
            <w:pPr>
              <w:pStyle w:val="731"/>
              <w:jc w:val="center"/>
              <w:spacing w:after="160" w:line="300" w:lineRule="exact"/>
              <w:rPr>
                <w:rFonts w:hint="eastAsia" w:ascii="宋体" w:hAnsi="宋体" w:cs="方正仿宋_GBK"/>
                <w:bCs/>
                <w:color w:val="000000"/>
                <w:sz w:val="21"/>
                <w:szCs w:val="21"/>
              </w:rPr>
            </w:pPr>
            <w:r>
              <w:rPr>
                <w:rFonts w:hint="eastAsia" w:ascii="宋体" w:hAnsi="宋体" w:cs="方正仿宋_GBK"/>
                <w:color w:val="000000"/>
                <w:sz w:val="21"/>
                <w:szCs w:val="21"/>
              </w:rPr>
              <w:t xml:space="preserve">总铊</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bCs/>
                <w:color w:val="000000"/>
                <w:sz w:val="21"/>
                <w:szCs w:val="21"/>
              </w:rPr>
            </w:r>
            <w:r/>
          </w:p>
        </w:tc>
      </w:tr>
      <w:tr>
        <w:trPr>
          <w:cantSplit/>
          <w:trHeight w:val="20"/>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13</w:t>
            </w:r>
            <w:r/>
          </w:p>
        </w:tc>
        <w:tc>
          <w:tcPr>
            <w:tcW w:w="3147" w:type="dxa"/>
            <w:vAlign w:val="center"/>
            <w:textDirection w:val="lrTb"/>
            <w:noWrap w:val="false"/>
          </w:tcPr>
          <w:p>
            <w:pPr>
              <w:pStyle w:val="731"/>
              <w:jc w:val="center"/>
              <w:spacing w:after="160" w:line="300" w:lineRule="exact"/>
              <w:rPr>
                <w:rFonts w:hint="eastAsia" w:ascii="宋体" w:hAnsi="宋体" w:cs="方正仿宋_GBK"/>
                <w:bCs/>
                <w:color w:val="000000"/>
                <w:sz w:val="21"/>
                <w:szCs w:val="21"/>
              </w:rPr>
            </w:pPr>
            <w:r>
              <w:rPr>
                <w:rFonts w:hint="eastAsia" w:ascii="宋体" w:hAnsi="宋体" w:cs="方正仿宋_GBK"/>
                <w:color w:val="000000"/>
                <w:sz w:val="21"/>
                <w:szCs w:val="21"/>
              </w:rPr>
              <w:t xml:space="preserve">包装标识（养分含量、含氯标识、其他、名称中的禁用语等）</w:t>
            </w:r>
            <w:r>
              <w:rPr>
                <w:rFonts w:hint="eastAsia" w:ascii="宋体" w:hAnsi="宋体" w:cs="方正仿宋_GBK"/>
                <w:bCs/>
                <w:color w:val="000000"/>
                <w:sz w:val="21"/>
                <w:szCs w:val="21"/>
              </w:rPr>
            </w:r>
            <w:r/>
          </w:p>
        </w:tc>
        <w:tc>
          <w:tcPr>
            <w:tcW w:w="2640"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18877—2020（含第1号修改单）</w:t>
            </w:r>
            <w:r>
              <w:rPr>
                <w:rFonts w:hint="eastAsia" w:ascii="宋体" w:hAnsi="宋体" w:cs="方正仿宋_GBK"/>
                <w:color w:val="000000"/>
                <w:sz w:val="21"/>
                <w:szCs w:val="21"/>
              </w:rPr>
            </w:r>
            <w:r/>
          </w:p>
        </w:tc>
        <w:tc>
          <w:tcPr>
            <w:tcW w:w="2718"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18382—2021</w:t>
            </w:r>
            <w:r/>
          </w:p>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18877—2020（含第1号修改单）</w:t>
            </w:r>
            <w:r>
              <w:rPr>
                <w:rFonts w:hint="eastAsia" w:ascii="宋体" w:hAnsi="宋体" w:cs="方正仿宋_GBK"/>
                <w:bCs/>
                <w:color w:val="000000"/>
                <w:sz w:val="21"/>
                <w:szCs w:val="21"/>
              </w:rPr>
            </w:r>
            <w:r/>
          </w:p>
        </w:tc>
      </w:tr>
    </w:tbl>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尿素产品检验项目、依</w:t>
      </w:r>
      <w:r>
        <w:rPr>
          <w:rFonts w:hint="eastAsia" w:ascii="宋体" w:hAnsi="宋体" w:cs="宋体"/>
          <w:sz w:val="21"/>
          <w:szCs w:val="21"/>
          <w:lang w:bidi="ar"/>
        </w:rPr>
        <w:t xml:space="preserve">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896"/>
        <w:gridCol w:w="2480"/>
        <w:gridCol w:w="2476"/>
      </w:tblGrid>
      <w:tr>
        <w:trPr>
          <w:trHeight w:val="20"/>
          <w:tblHeader/>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序号</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检验项目</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检验依据</w:t>
            </w:r>
            <w:r/>
          </w:p>
        </w:tc>
        <w:tc>
          <w:tcPr>
            <w:tcW w:w="2681"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检验检测方法</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w:t>
            </w:r>
            <w:r/>
          </w:p>
        </w:tc>
        <w:tc>
          <w:tcPr>
            <w:tcW w:w="3139" w:type="dxa"/>
            <w:vAlign w:val="center"/>
            <w:textDirection w:val="lrTb"/>
            <w:noWrap/>
          </w:tcPr>
          <w:p>
            <w:pPr>
              <w:pStyle w:val="731"/>
              <w:jc w:val="center"/>
              <w:spacing w:after="160" w:line="278" w:lineRule="auto"/>
              <w:rPr>
                <w:rFonts w:hint="eastAsia" w:ascii="宋体" w:hAnsi="宋体" w:cs="方正仿宋_GBK"/>
                <w:sz w:val="21"/>
                <w:szCs w:val="21"/>
              </w:rPr>
            </w:pPr>
            <w:r>
              <w:rPr>
                <w:rFonts w:hint="eastAsia" w:ascii="宋体" w:hAnsi="宋体" w:cs="方正仿宋_GBK"/>
                <w:color w:val="000000"/>
                <w:sz w:val="21"/>
                <w:szCs w:val="21"/>
              </w:rPr>
              <w:t xml:space="preserve">总氮（N）的质量分数</w:t>
            </w:r>
            <w:r>
              <w:rPr>
                <w:rFonts w:hint="eastAsia" w:ascii="宋体" w:hAnsi="宋体" w:cs="方正仿宋_GBK"/>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2440-2017</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GB/T 2440-2017</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2</w:t>
            </w:r>
            <w:r/>
          </w:p>
        </w:tc>
        <w:tc>
          <w:tcPr>
            <w:tcW w:w="3139"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总砷</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c>
          <w:tcPr>
            <w:tcW w:w="2681"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3</w:t>
            </w:r>
            <w:r/>
          </w:p>
        </w:tc>
        <w:tc>
          <w:tcPr>
            <w:tcW w:w="3139"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总镉</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c>
          <w:tcPr>
            <w:tcW w:w="2681"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4</w:t>
            </w:r>
            <w:r/>
          </w:p>
        </w:tc>
        <w:tc>
          <w:tcPr>
            <w:tcW w:w="3139"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总铅</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c>
          <w:tcPr>
            <w:tcW w:w="2681"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5</w:t>
            </w:r>
            <w:r/>
          </w:p>
        </w:tc>
        <w:tc>
          <w:tcPr>
            <w:tcW w:w="3139"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总铬</w:t>
            </w:r>
            <w:r>
              <w:rPr>
                <w:rFonts w:hint="eastAsia" w:ascii="宋体" w:hAnsi="宋体" w:cs="方正仿宋_GBK"/>
                <w:bCs/>
                <w:color w:val="000000"/>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6</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总汞</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7</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总铊</w:t>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rPr>
                <w:rFonts w:hint="eastAsia" w:ascii="宋体" w:hAnsi="宋体" w:cs="方正仿宋_GBK"/>
                <w:bCs/>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bCs/>
                <w:color w:val="000000"/>
                <w:sz w:val="21"/>
                <w:szCs w:val="21"/>
              </w:rPr>
            </w:r>
            <w:r/>
          </w:p>
        </w:tc>
      </w:tr>
      <w:tr>
        <w:trPr>
          <w:trHeight w:val="20"/>
        </w:trPr>
        <w:tc>
          <w:tcPr>
            <w:tcW w:w="709"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8</w:t>
            </w:r>
            <w:r/>
          </w:p>
        </w:tc>
        <w:tc>
          <w:tcPr>
            <w:tcW w:w="3139" w:type="dxa"/>
            <w:vAlign w:val="center"/>
            <w:textDirection w:val="lrTb"/>
            <w:noWrap/>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bCs/>
                <w:color w:val="000000"/>
                <w:sz w:val="21"/>
                <w:szCs w:val="21"/>
              </w:rPr>
              <w:t xml:space="preserve">包装标识（养分含量、警示语、名称中的禁用语等）</w:t>
            </w:r>
            <w:r>
              <w:rPr>
                <w:rFonts w:hint="eastAsia" w:ascii="宋体" w:hAnsi="宋体" w:cs="方正仿宋_GBK"/>
                <w:sz w:val="21"/>
                <w:szCs w:val="21"/>
              </w:rPr>
            </w:r>
            <w:r/>
          </w:p>
        </w:tc>
        <w:tc>
          <w:tcPr>
            <w:tcW w:w="2685"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2440-2017</w:t>
            </w:r>
            <w:r>
              <w:rPr>
                <w:rFonts w:hint="eastAsia" w:ascii="宋体" w:hAnsi="宋体" w:cs="方正仿宋_GBK"/>
                <w:color w:val="000000"/>
                <w:sz w:val="21"/>
                <w:szCs w:val="21"/>
              </w:rPr>
            </w:r>
            <w:r/>
          </w:p>
        </w:tc>
        <w:tc>
          <w:tcPr>
            <w:tcW w:w="2681"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 18382—2021</w:t>
            </w:r>
            <w:r/>
          </w:p>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GB/T 2440—2017</w:t>
            </w:r>
            <w:r/>
          </w:p>
        </w:tc>
      </w:tr>
    </w:tbl>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 农业用氯化铵产品检验项目、依据及方法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903"/>
        <w:gridCol w:w="2453"/>
        <w:gridCol w:w="2497"/>
      </w:tblGrid>
      <w:tr>
        <w:trPr>
          <w:trHeight w:val="18"/>
          <w:tblHeader/>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序号</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检验项目</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检验依据</w:t>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sz w:val="21"/>
                <w:szCs w:val="21"/>
              </w:rPr>
            </w:pPr>
            <w:r>
              <w:rPr>
                <w:rFonts w:hint="eastAsia" w:ascii="宋体" w:hAnsi="宋体" w:cs="方正仿宋_GBK"/>
                <w:sz w:val="21"/>
                <w:szCs w:val="21"/>
              </w:rPr>
              <w:t xml:space="preserve">检验检测方法</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1</w:t>
            </w:r>
            <w:r/>
          </w:p>
        </w:tc>
        <w:tc>
          <w:tcPr>
            <w:tcW w:w="31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总氮（N）的质量分数（以干基计）</w:t>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GB/T 2946—2018</w:t>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GB/T 2946—2018 </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2</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总砷</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2946</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3</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总镉</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2946</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w:t>
            </w:r>
            <w:r>
              <w:rPr>
                <w:rFonts w:hint="eastAsia" w:ascii="宋体" w:hAnsi="宋体" w:cs="方正仿宋_GBK"/>
                <w:color w:val="000000"/>
                <w:sz w:val="21"/>
                <w:szCs w:val="21"/>
              </w:rPr>
              <w:t xml:space="preserve">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4</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总铅</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2946</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6</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总铬</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2946</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7</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总汞</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GB/T 2946</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8</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color w:val="000000"/>
                <w:sz w:val="21"/>
                <w:szCs w:val="21"/>
              </w:rPr>
              <w:t xml:space="preserve">总铊</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r>
      <w:tr>
        <w:trPr>
          <w:trHeight w:val="18"/>
        </w:trPr>
        <w:tc>
          <w:tcPr>
            <w:tcW w:w="709"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9</w:t>
            </w:r>
            <w:r/>
          </w:p>
        </w:tc>
        <w:tc>
          <w:tcPr>
            <w:tcW w:w="3147" w:type="dxa"/>
            <w:vAlign w:val="center"/>
            <w:textDirection w:val="lrTb"/>
            <w:noWrap w:val="false"/>
          </w:tcPr>
          <w:p>
            <w:pPr>
              <w:pStyle w:val="731"/>
              <w:jc w:val="center"/>
              <w:spacing w:after="160" w:line="278" w:lineRule="auto"/>
              <w:rPr>
                <w:rFonts w:hint="eastAsia" w:ascii="宋体" w:hAnsi="宋体" w:cs="方正仿宋_GBK"/>
                <w:color w:val="0c0c0c"/>
                <w:sz w:val="21"/>
                <w:szCs w:val="21"/>
              </w:rPr>
            </w:pPr>
            <w:r>
              <w:rPr>
                <w:rFonts w:hint="eastAsia" w:ascii="宋体" w:hAnsi="宋体" w:cs="方正仿宋_GBK"/>
                <w:bCs/>
                <w:color w:val="000000"/>
                <w:sz w:val="21"/>
                <w:szCs w:val="21"/>
              </w:rPr>
              <w:t xml:space="preserve">包装标识（养分含量、名称中的禁用语等）</w:t>
            </w:r>
            <w:r>
              <w:rPr>
                <w:rFonts w:hint="eastAsia" w:ascii="宋体" w:hAnsi="宋体" w:cs="方正仿宋_GBK"/>
                <w:color w:val="0c0c0c"/>
                <w:sz w:val="21"/>
                <w:szCs w:val="21"/>
              </w:rPr>
            </w:r>
            <w:r/>
          </w:p>
        </w:tc>
        <w:tc>
          <w:tcPr>
            <w:tcW w:w="2655" w:type="dxa"/>
            <w:vAlign w:val="center"/>
            <w:textDirection w:val="lrTb"/>
            <w:noWrap w:val="false"/>
          </w:tcPr>
          <w:p>
            <w:pPr>
              <w:pStyle w:val="731"/>
              <w:jc w:val="center"/>
              <w:spacing w:after="160" w:line="278" w:lineRule="auto"/>
              <w:widowControl w:val="off"/>
              <w:rPr>
                <w:rFonts w:hint="eastAsia" w:ascii="宋体" w:hAnsi="宋体" w:cs="方正仿宋_GBK"/>
                <w:color w:val="0c0c0c"/>
                <w:sz w:val="21"/>
                <w:szCs w:val="21"/>
              </w:rPr>
            </w:pPr>
            <w:r>
              <w:rPr>
                <w:rFonts w:hint="eastAsia" w:ascii="宋体" w:hAnsi="宋体" w:cs="方正仿宋_GBK"/>
                <w:bCs/>
                <w:color w:val="000000"/>
                <w:sz w:val="21"/>
                <w:szCs w:val="21"/>
              </w:rPr>
              <w:t xml:space="preserve">GB/T 2946—2018</w:t>
            </w:r>
            <w:r>
              <w:rPr>
                <w:rFonts w:hint="eastAsia" w:ascii="宋体" w:hAnsi="宋体" w:cs="方正仿宋_GBK"/>
                <w:color w:val="0c0c0c"/>
                <w:sz w:val="21"/>
                <w:szCs w:val="21"/>
              </w:rPr>
            </w:r>
            <w:r/>
          </w:p>
        </w:tc>
        <w:tc>
          <w:tcPr>
            <w:tcW w:w="270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 18382—2021</w:t>
            </w:r>
            <w:r/>
          </w:p>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GB/T 2946—2018</w:t>
            </w:r>
            <w:r>
              <w:rPr>
                <w:rFonts w:hint="eastAsia" w:ascii="宋体" w:hAnsi="宋体" w:cs="方正仿宋_GBK"/>
                <w:color w:val="000000"/>
                <w:sz w:val="21"/>
                <w:szCs w:val="21"/>
              </w:rPr>
            </w:r>
            <w:r/>
          </w:p>
        </w:tc>
      </w:tr>
    </w:tbl>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过磷酸钙产品检验项目、依据及方法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724"/>
        <w:gridCol w:w="2490"/>
        <w:gridCol w:w="2490"/>
      </w:tblGrid>
      <w:tr>
        <w:trPr>
          <w:trHeight w:val="397"/>
          <w:tblHeader/>
        </w:trPr>
        <w:tc>
          <w:tcPr>
            <w:tcW w:w="870"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序号</w:t>
            </w:r>
            <w:r/>
          </w:p>
        </w:tc>
        <w:tc>
          <w:tcPr>
            <w:tcW w:w="2948" w:type="dxa"/>
            <w:vAlign w:val="center"/>
            <w:textDirection w:val="lrTb"/>
            <w:noWrap/>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检验项目</w:t>
            </w:r>
            <w:r/>
          </w:p>
        </w:tc>
        <w:tc>
          <w:tcPr>
            <w:tcW w:w="2693" w:type="dxa"/>
            <w:vAlign w:val="top"/>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检验依据</w:t>
            </w:r>
            <w:r/>
          </w:p>
        </w:tc>
        <w:tc>
          <w:tcPr>
            <w:tcW w:w="2693" w:type="dxa"/>
            <w:vAlign w:val="top"/>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检验检测方法</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有效磷（以P</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w:t>
            </w:r>
            <w:r>
              <w:rPr>
                <w:rFonts w:hint="eastAsia" w:ascii="宋体" w:hAnsi="宋体" w:cs="方正仿宋_GBK"/>
                <w:bCs/>
                <w:color w:val="000000"/>
                <w:sz w:val="21"/>
                <w:szCs w:val="21"/>
                <w:vertAlign w:val="subscript"/>
              </w:rPr>
              <w:t xml:space="preserve">5</w:t>
            </w:r>
            <w:r>
              <w:rPr>
                <w:rFonts w:hint="eastAsia" w:ascii="宋体" w:hAnsi="宋体" w:cs="方正仿宋_GBK"/>
                <w:bCs/>
                <w:color w:val="000000"/>
                <w:sz w:val="21"/>
                <w:szCs w:val="21"/>
              </w:rPr>
              <w:t xml:space="preserve">计）的质量分数</w:t>
            </w:r>
            <w:r>
              <w:rPr>
                <w:rFonts w:hint="eastAsia" w:ascii="宋体" w:hAnsi="宋体" w:cs="方正仿宋_GBK"/>
                <w:color w:val="000000"/>
                <w:sz w:val="21"/>
                <w:szCs w:val="21"/>
              </w:rPr>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水溶性磷（以P</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w:t>
            </w:r>
            <w:r>
              <w:rPr>
                <w:rFonts w:hint="eastAsia" w:ascii="宋体" w:hAnsi="宋体" w:cs="方正仿宋_GBK"/>
                <w:bCs/>
                <w:color w:val="000000"/>
                <w:sz w:val="21"/>
                <w:szCs w:val="21"/>
                <w:vertAlign w:val="subscript"/>
              </w:rPr>
              <w:t xml:space="preserve">5</w:t>
            </w:r>
            <w:r>
              <w:rPr>
                <w:rFonts w:hint="eastAsia" w:ascii="宋体" w:hAnsi="宋体" w:cs="方正仿宋_GBK"/>
                <w:bCs/>
                <w:color w:val="000000"/>
                <w:sz w:val="21"/>
                <w:szCs w:val="21"/>
              </w:rPr>
              <w:t xml:space="preserve">计）的质量分数</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硫（以S计）的质量分数</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19203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2003</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游离酸（以P</w:t>
            </w:r>
            <w:r>
              <w:rPr>
                <w:rFonts w:hint="eastAsia" w:ascii="宋体" w:hAnsi="宋体" w:cs="方正仿宋_GBK"/>
                <w:bCs/>
                <w:color w:val="000000"/>
                <w:sz w:val="21"/>
                <w:szCs w:val="21"/>
                <w:vertAlign w:val="subscript"/>
              </w:rPr>
              <w:t xml:space="preserve">2</w:t>
            </w:r>
            <w:r>
              <w:rPr>
                <w:rFonts w:hint="eastAsia" w:ascii="宋体" w:hAnsi="宋体" w:cs="方正仿宋_GBK"/>
                <w:bCs/>
                <w:color w:val="000000"/>
                <w:sz w:val="21"/>
                <w:szCs w:val="21"/>
              </w:rPr>
              <w:t xml:space="preserve">O</w:t>
            </w:r>
            <w:r>
              <w:rPr>
                <w:rFonts w:hint="eastAsia" w:ascii="宋体" w:hAnsi="宋体" w:cs="方正仿宋_GBK"/>
                <w:bCs/>
                <w:color w:val="000000"/>
                <w:sz w:val="21"/>
                <w:szCs w:val="21"/>
                <w:vertAlign w:val="subscript"/>
              </w:rPr>
              <w:t xml:space="preserve">5</w:t>
            </w:r>
            <w:r>
              <w:rPr>
                <w:rFonts w:hint="eastAsia" w:ascii="宋体" w:hAnsi="宋体" w:cs="方正仿宋_GBK"/>
                <w:bCs/>
                <w:color w:val="000000"/>
                <w:sz w:val="21"/>
                <w:szCs w:val="21"/>
              </w:rPr>
              <w:t xml:space="preserve">计）的质量分数</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总砷</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总镉</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w:t>
            </w:r>
            <w:r>
              <w:rPr>
                <w:rFonts w:hint="eastAsia" w:ascii="宋体" w:hAnsi="宋体" w:cs="方正仿宋_GBK"/>
                <w:color w:val="000000"/>
                <w:sz w:val="21"/>
                <w:szCs w:val="21"/>
              </w:rPr>
              <w:t xml:space="preserve">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总铅</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总铬</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总汞</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20413</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2017</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23349</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2020</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总铊</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 38400</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2019</w:t>
            </w:r>
            <w:r/>
          </w:p>
        </w:tc>
      </w:tr>
      <w:tr>
        <w:trPr>
          <w:trHeight w:val="397"/>
        </w:trPr>
        <w:tc>
          <w:tcPr>
            <w:tcW w:w="870" w:type="dxa"/>
            <w:vAlign w:val="center"/>
            <w:textDirection w:val="lrTb"/>
            <w:noWrap/>
          </w:tcPr>
          <w:p>
            <w:pPr>
              <w:pStyle w:val="731"/>
              <w:numPr>
                <w:ilvl w:val="0"/>
                <w:numId w:val="6"/>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8"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包装标识（养分含量、名称中的禁用语等）</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20413—2017</w:t>
            </w:r>
            <w:r>
              <w:rPr>
                <w:rFonts w:hint="eastAsia" w:ascii="宋体" w:hAnsi="宋体" w:cs="方正仿宋_GBK"/>
                <w:color w:val="000000"/>
                <w:sz w:val="21"/>
                <w:szCs w:val="21"/>
              </w:rPr>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 18382—2021</w:t>
            </w:r>
            <w:r/>
          </w:p>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20413—2017</w:t>
            </w:r>
            <w:r>
              <w:rPr>
                <w:rFonts w:hint="eastAsia" w:ascii="宋体" w:hAnsi="宋体" w:cs="方正仿宋_GBK"/>
                <w:color w:val="000000"/>
                <w:sz w:val="21"/>
                <w:szCs w:val="21"/>
              </w:rPr>
            </w:r>
            <w:r/>
          </w:p>
        </w:tc>
      </w:tr>
    </w:tbl>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r>
      <w:r/>
    </w:p>
    <w:p>
      <w:pPr>
        <w:pStyle w:val="731"/>
        <w:jc w:val="both"/>
        <w:spacing w:after="160" w:line="278" w:lineRule="auto"/>
        <w:widowControl w:val="off"/>
        <w:rPr>
          <w:rFonts w:hint="eastAsia" w:ascii="宋体" w:hAnsi="宋体" w:cs="宋体"/>
          <w:sz w:val="21"/>
          <w:szCs w:val="21"/>
          <w:lang w:bidi="ar"/>
        </w:rPr>
      </w:pPr>
      <w:r>
        <w:rPr>
          <w:rFonts w:hint="eastAsia" w:ascii="宋体" w:hAnsi="宋体" w:cs="宋体"/>
          <w:sz w:val="21"/>
          <w:szCs w:val="21"/>
          <w:lang w:bidi="ar"/>
        </w:rPr>
        <w:t xml:space="preserve">钙镁磷肥产品检验项目、依据及方法  </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733"/>
        <w:gridCol w:w="2483"/>
        <w:gridCol w:w="2483"/>
      </w:tblGrid>
      <w:tr>
        <w:trPr>
          <w:trHeight w:val="454"/>
          <w:tblHeader/>
        </w:trPr>
        <w:tc>
          <w:tcPr>
            <w:tcW w:w="871"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序号</w:t>
            </w:r>
            <w:r/>
          </w:p>
        </w:tc>
        <w:tc>
          <w:tcPr>
            <w:tcW w:w="2947"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检验项目</w:t>
            </w:r>
            <w:r/>
          </w:p>
        </w:tc>
        <w:tc>
          <w:tcPr>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检验依据</w:t>
            </w:r>
            <w:r/>
          </w:p>
        </w:tc>
        <w:tc>
          <w:tcPr>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color w:val="000000"/>
                <w:sz w:val="21"/>
                <w:szCs w:val="21"/>
              </w:rPr>
              <w:t xml:space="preserve">检验检测方法</w:t>
            </w:r>
            <w:r/>
          </w:p>
        </w:tc>
      </w:tr>
      <w:tr>
        <w:trPr>
          <w:trHeight w:val="490"/>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sz w:val="21"/>
                <w:szCs w:val="21"/>
              </w:rPr>
            </w:pPr>
            <w:r>
              <w:rPr>
                <w:rFonts w:hint="eastAsia" w:ascii="宋体" w:hAnsi="宋体" w:cs="方正仿宋_GBK"/>
                <w:sz w:val="21"/>
                <w:szCs w:val="21"/>
              </w:rPr>
              <w:t xml:space="preserve">有效五氧化二磷（P</w:t>
            </w:r>
            <w:r>
              <w:rPr>
                <w:rFonts w:hint="eastAsia" w:ascii="宋体" w:hAnsi="宋体" w:cs="方正仿宋_GBK"/>
                <w:sz w:val="21"/>
                <w:szCs w:val="21"/>
                <w:vertAlign w:val="subscript"/>
              </w:rPr>
              <w:t xml:space="preserve">2</w:t>
            </w:r>
            <w:r>
              <w:rPr>
                <w:rFonts w:hint="eastAsia" w:ascii="宋体" w:hAnsi="宋体" w:cs="方正仿宋_GBK"/>
                <w:sz w:val="21"/>
                <w:szCs w:val="21"/>
              </w:rPr>
              <w:t xml:space="preserve">O</w:t>
            </w:r>
            <w:r>
              <w:rPr>
                <w:rFonts w:hint="eastAsia" w:ascii="宋体" w:hAnsi="宋体" w:cs="方正仿宋_GBK"/>
                <w:sz w:val="21"/>
                <w:szCs w:val="21"/>
                <w:vertAlign w:val="subscript"/>
              </w:rPr>
              <w:t xml:space="preserve">5</w:t>
            </w:r>
            <w:r>
              <w:rPr>
                <w:rFonts w:hint="eastAsia" w:ascii="宋体" w:hAnsi="宋体" w:cs="方正仿宋_GBK"/>
                <w:sz w:val="21"/>
                <w:szCs w:val="21"/>
              </w:rPr>
              <w:t xml:space="preserve">）</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p>
        </w:tc>
      </w:tr>
      <w:tr>
        <w:trPr>
          <w:trHeight w:val="540"/>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sz w:val="21"/>
                <w:szCs w:val="21"/>
              </w:rPr>
            </w:pPr>
            <w:r>
              <w:rPr>
                <w:rFonts w:hint="eastAsia" w:ascii="宋体" w:hAnsi="宋体" w:cs="方正仿宋_GBK"/>
                <w:sz w:val="21"/>
                <w:szCs w:val="21"/>
              </w:rPr>
              <w:t xml:space="preserve">有效钙（Ca）</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p>
        </w:tc>
      </w:tr>
      <w:tr>
        <w:trPr>
          <w:trHeight w:val="405"/>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sz w:val="21"/>
                <w:szCs w:val="21"/>
              </w:rPr>
              <w:t xml:space="preserve">有效镁（Mg）</w:t>
            </w:r>
            <w:r>
              <w:rPr>
                <w:rFonts w:hint="eastAsia" w:ascii="宋体" w:hAnsi="宋体" w:cs="方正仿宋_GBK"/>
                <w:bCs/>
                <w:color w:val="000000"/>
                <w:sz w:val="21"/>
                <w:szCs w:val="21"/>
              </w:rPr>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rPr>
                <w:rFonts w:hint="eastAsia" w:ascii="宋体" w:hAnsi="宋体" w:cs="方正仿宋_GBK"/>
                <w:bCs/>
                <w:color w:val="000000"/>
                <w:sz w:val="21"/>
                <w:szCs w:val="21"/>
              </w:rPr>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color w:val="000000"/>
                <w:sz w:val="21"/>
                <w:szCs w:val="21"/>
              </w:rPr>
              <w:t xml:space="preserve">GB/T 20412</w:t>
            </w:r>
            <w:r>
              <w:rPr>
                <w:rFonts w:hint="eastAsia" w:ascii="宋体" w:hAnsi="宋体" w:cs="方正仿宋_GBK"/>
                <w:color w:val="000000"/>
                <w:sz w:val="21"/>
                <w:szCs w:val="21"/>
              </w:rPr>
              <w:t xml:space="preserve">—</w:t>
            </w:r>
            <w:r>
              <w:rPr>
                <w:rFonts w:hint="eastAsia" w:ascii="宋体" w:hAnsi="宋体" w:cs="方正仿宋_GBK"/>
                <w:color w:val="000000"/>
                <w:sz w:val="21"/>
                <w:szCs w:val="21"/>
              </w:rPr>
              <w:t xml:space="preserve">2021</w:t>
            </w:r>
            <w:r>
              <w:rPr>
                <w:rFonts w:hint="eastAsia" w:ascii="宋体" w:hAnsi="宋体" w:cs="方正仿宋_GBK"/>
                <w:bCs/>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总砷</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GB/T 23349—2020</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sz w:val="21"/>
                <w:szCs w:val="21"/>
              </w:rPr>
            </w:pPr>
            <w:r>
              <w:rPr>
                <w:rFonts w:hint="eastAsia" w:ascii="宋体" w:hAnsi="宋体" w:cs="方正仿宋_GBK"/>
                <w:bCs/>
                <w:color w:val="000000"/>
                <w:sz w:val="21"/>
                <w:szCs w:val="21"/>
              </w:rPr>
              <w:t xml:space="preserve">总镉</w:t>
            </w:r>
            <w:r>
              <w:rPr>
                <w:rFonts w:hint="eastAsia" w:ascii="宋体" w:hAnsi="宋体" w:cs="方正仿宋_GBK"/>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GB/T 23349—2020</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sz w:val="21"/>
                <w:szCs w:val="21"/>
              </w:rPr>
            </w:pPr>
            <w:r>
              <w:rPr>
                <w:rFonts w:hint="eastAsia" w:ascii="宋体" w:hAnsi="宋体" w:cs="方正仿宋_GBK"/>
                <w:bCs/>
                <w:color w:val="000000"/>
                <w:sz w:val="21"/>
                <w:szCs w:val="21"/>
              </w:rPr>
              <w:t xml:space="preserve">总铅</w:t>
            </w:r>
            <w:r>
              <w:rPr>
                <w:rFonts w:hint="eastAsia" w:ascii="宋体" w:hAnsi="宋体" w:cs="方正仿宋_GBK"/>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GB/T 2334</w:t>
            </w:r>
            <w:r>
              <w:rPr>
                <w:rFonts w:hint="eastAsia" w:ascii="宋体" w:hAnsi="宋体" w:cs="方正仿宋_GBK"/>
                <w:bCs/>
                <w:color w:val="000000"/>
                <w:sz w:val="21"/>
                <w:szCs w:val="21"/>
              </w:rPr>
              <w:t xml:space="preserve">9—2020</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sz w:val="21"/>
                <w:szCs w:val="21"/>
              </w:rPr>
            </w:pPr>
            <w:r>
              <w:rPr>
                <w:rFonts w:hint="eastAsia" w:ascii="宋体" w:hAnsi="宋体" w:cs="方正仿宋_GBK"/>
                <w:bCs/>
                <w:color w:val="000000"/>
                <w:sz w:val="21"/>
                <w:szCs w:val="21"/>
              </w:rPr>
              <w:t xml:space="preserve">总铬</w:t>
            </w:r>
            <w:r>
              <w:rPr>
                <w:rFonts w:hint="eastAsia" w:ascii="宋体" w:hAnsi="宋体" w:cs="方正仿宋_GBK"/>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GB/T 23349—2020</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rPr>
                <w:rFonts w:hint="eastAsia" w:ascii="宋体" w:hAnsi="宋体" w:cs="方正仿宋_GBK"/>
                <w:color w:val="000000"/>
                <w:sz w:val="21"/>
                <w:szCs w:val="21"/>
              </w:rPr>
            </w:pPr>
            <w:r>
              <w:rPr>
                <w:rFonts w:hint="eastAsia" w:ascii="宋体" w:hAnsi="宋体" w:cs="方正仿宋_GBK"/>
                <w:bCs/>
                <w:color w:val="000000"/>
                <w:sz w:val="21"/>
                <w:szCs w:val="21"/>
              </w:rPr>
              <w:t xml:space="preserve">总汞</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23349—2020</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总铊</w:t>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GB/T 20412—2021</w:t>
            </w:r>
            <w:r>
              <w:rPr>
                <w:rFonts w:hint="eastAsia" w:ascii="宋体" w:hAnsi="宋体" w:cs="方正仿宋_GBK"/>
                <w:color w:val="000000"/>
                <w:sz w:val="21"/>
                <w:szCs w:val="21"/>
              </w:rPr>
            </w:r>
            <w:r/>
          </w:p>
        </w:tc>
        <w:tc>
          <w:tcPr>
            <w:shd w:val="clear" w:color="auto" w:fill="ffffff"/>
            <w:tcW w:w="2693" w:type="dxa"/>
            <w:vAlign w:val="center"/>
            <w:textDirection w:val="lrTb"/>
            <w:noWrap w:val="false"/>
          </w:tcPr>
          <w:p>
            <w:pPr>
              <w:pStyle w:val="731"/>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bCs/>
                <w:color w:val="000000"/>
                <w:sz w:val="21"/>
                <w:szCs w:val="21"/>
              </w:rPr>
              <w:t xml:space="preserve">GB 38400—2019</w:t>
            </w:r>
            <w:r>
              <w:rPr>
                <w:rFonts w:hint="eastAsia" w:ascii="宋体" w:hAnsi="宋体" w:cs="方正仿宋_GBK"/>
                <w:color w:val="000000"/>
                <w:sz w:val="21"/>
                <w:szCs w:val="21"/>
              </w:rPr>
            </w:r>
            <w:r/>
          </w:p>
        </w:tc>
      </w:tr>
      <w:tr>
        <w:trPr>
          <w:trHeight w:val="454"/>
        </w:trPr>
        <w:tc>
          <w:tcPr>
            <w:tcW w:w="871" w:type="dxa"/>
            <w:vAlign w:val="center"/>
            <w:textDirection w:val="lrTb"/>
            <w:noWrap w:val="false"/>
          </w:tcPr>
          <w:p>
            <w:pPr>
              <w:pStyle w:val="731"/>
              <w:numPr>
                <w:ilvl w:val="0"/>
                <w:numId w:val="7"/>
              </w:numPr>
              <w:jc w:val="center"/>
              <w:spacing w:after="160" w:line="278" w:lineRule="auto"/>
              <w:widowControl w:val="off"/>
              <w:rPr>
                <w:rFonts w:hint="eastAsia" w:ascii="宋体" w:hAnsi="宋体" w:cs="方正仿宋_GBK"/>
                <w:color w:val="000000"/>
                <w:sz w:val="21"/>
                <w:szCs w:val="21"/>
              </w:rPr>
            </w:pPr>
            <w:r>
              <w:rPr>
                <w:rFonts w:hint="eastAsia" w:ascii="宋体" w:hAnsi="宋体" w:cs="方正仿宋_GBK"/>
                <w:color w:val="000000"/>
                <w:sz w:val="21"/>
                <w:szCs w:val="21"/>
              </w:rPr>
            </w:r>
            <w:r/>
          </w:p>
        </w:tc>
        <w:tc>
          <w:tcPr>
            <w:tcW w:w="2947"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包装标识（养分含量、名称中的禁用语等）</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GB/T 20412—2021</w:t>
            </w:r>
            <w:r/>
          </w:p>
        </w:tc>
        <w:tc>
          <w:tcPr>
            <w:tcW w:w="2693" w:type="dxa"/>
            <w:vAlign w:val="center"/>
            <w:textDirection w:val="lrTb"/>
            <w:noWrap w:val="false"/>
          </w:tcPr>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 18382—2021</w:t>
            </w:r>
            <w:r/>
          </w:p>
          <w:p>
            <w:pPr>
              <w:pStyle w:val="731"/>
              <w:jc w:val="center"/>
              <w:spacing w:after="160" w:line="278" w:lineRule="auto"/>
              <w:widowControl w:val="off"/>
              <w:rPr>
                <w:rFonts w:hint="eastAsia" w:ascii="宋体" w:hAnsi="宋体" w:cs="方正仿宋_GBK"/>
                <w:bCs/>
                <w:color w:val="000000"/>
                <w:sz w:val="21"/>
                <w:szCs w:val="21"/>
              </w:rPr>
            </w:pPr>
            <w:r>
              <w:rPr>
                <w:rFonts w:hint="eastAsia" w:ascii="宋体" w:hAnsi="宋体" w:cs="方正仿宋_GBK"/>
                <w:bCs/>
                <w:color w:val="000000"/>
                <w:sz w:val="21"/>
                <w:szCs w:val="21"/>
              </w:rPr>
              <w:t xml:space="preserve">GB/T 20412—2021</w:t>
            </w:r>
            <w:r/>
          </w:p>
        </w:tc>
      </w:tr>
    </w:tbl>
    <w:p>
      <w:pPr>
        <w:pStyle w:val="731"/>
        <w:jc w:val="both"/>
        <w:spacing w:after="160" w:line="278" w:lineRule="auto"/>
        <w:widowControl w:val="off"/>
        <w:rPr>
          <w:rFonts w:hint="eastAsia" w:ascii="宋体" w:hAnsi="宋体" w:cs="Ari"/>
          <w:sz w:val="21"/>
          <w:szCs w:val="21"/>
          <w:lang w:bidi="ar"/>
        </w:rPr>
      </w:pPr>
      <w:r>
        <w:rPr>
          <w:rFonts w:hint="eastAsia" w:ascii="宋体" w:hAnsi="宋体" w:cs="Ari"/>
          <w:sz w:val="21"/>
          <w:szCs w:val="21"/>
          <w:lang w:bidi="ar"/>
        </w:rPr>
      </w:r>
      <w:r/>
    </w:p>
    <w:p>
      <w:pPr>
        <w:pStyle w:val="731"/>
        <w:spacing w:after="0" w:line="278" w:lineRule="auto"/>
        <w:rPr>
          <w:rFonts w:hint="eastAsia" w:ascii="仿宋" w:hAnsi="仿宋" w:eastAsia="仿宋" w:cs="仿宋"/>
          <w:sz w:val="21"/>
          <w:szCs w:val="21"/>
        </w:rPr>
      </w:pPr>
      <w:r>
        <w:rPr>
          <w:rFonts w:hint="eastAsia" w:ascii="仿宋" w:hAnsi="仿宋" w:eastAsia="仿宋" w:cs="仿宋"/>
          <w:sz w:val="21"/>
          <w:szCs w:val="21"/>
        </w:rPr>
      </w:r>
      <w:r/>
    </w:p>
    <w:p>
      <w:pPr>
        <w:pStyle w:val="731"/>
        <w:numPr>
          <w:ilvl w:val="0"/>
          <w:numId w:val="5"/>
        </w:numPr>
        <w:jc w:val="both"/>
        <w:spacing w:after="160" w:line="360" w:lineRule="auto"/>
        <w:widowControl w:val="off"/>
        <w:rPr>
          <w:b/>
          <w:bCs/>
          <w:color w:val="0d0d0d"/>
          <w:sz w:val="28"/>
          <w:szCs w:val="28"/>
        </w:rPr>
      </w:pPr>
      <w:r>
        <w:rPr>
          <w:rFonts w:hint="eastAsia"/>
          <w:b/>
          <w:bCs/>
          <w:color w:val="0d0d0d"/>
          <w:sz w:val="28"/>
          <w:szCs w:val="28"/>
        </w:rPr>
        <w:t xml:space="preserve">燃气用具</w:t>
      </w:r>
      <w:r>
        <w:rPr>
          <w:b/>
          <w:bCs/>
          <w:color w:val="0d0d0d"/>
          <w:sz w:val="28"/>
          <w:szCs w:val="28"/>
        </w:rPr>
      </w:r>
      <w:r/>
    </w:p>
    <w:p>
      <w:pPr>
        <w:pStyle w:val="731"/>
        <w:jc w:val="both"/>
        <w:spacing w:after="160" w:line="278" w:lineRule="auto"/>
        <w:widowControl w:val="off"/>
        <w:rPr>
          <w:rFonts w:cs="Calibri"/>
          <w:sz w:val="21"/>
          <w:szCs w:val="21"/>
        </w:rPr>
      </w:pPr>
      <w:r>
        <w:rPr>
          <w:rFonts w:hint="eastAsia" w:cs="Calibri"/>
          <w:sz w:val="21"/>
          <w:szCs w:val="21"/>
        </w:rPr>
        <w:t xml:space="preserve">家用燃气灶</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Height w:val="287"/>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热负荷</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干烟气中CO浓度（室内型）</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熄火保护装置</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结构的一般要求</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rPr>
                <w:rFonts w:ascii="Calibri" w:hAnsi="Calibri" w:cs="Calibri"/>
                <w:sz w:val="20"/>
                <w:szCs w:val="21"/>
              </w:rPr>
            </w:r>
            <w:r/>
          </w:p>
        </w:tc>
      </w:tr>
    </w:tbl>
    <w:p>
      <w:pPr>
        <w:pStyle w:val="731"/>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家用燃气快速热水器</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烟气中CO含量</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安全装置</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热水产率</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接地措施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rPr>
                <w:rFonts w:ascii="Calibri" w:hAnsi="Calibri" w:cs="Calibri"/>
                <w:sz w:val="20"/>
                <w:szCs w:val="21"/>
              </w:rPr>
            </w:r>
            <w:r/>
          </w:p>
        </w:tc>
      </w:tr>
    </w:tbl>
    <w:p>
      <w:pPr>
        <w:pStyle w:val="731"/>
        <w:ind w:left="360"/>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燃气用具连接用软管</w:t>
      </w:r>
      <w:r>
        <w:rPr>
          <w:rFonts w:hint="eastAsia" w:ascii="宋体" w:hAnsi="宋体" w:cs="宋体"/>
          <w:sz w:val="21"/>
          <w:szCs w:val="21"/>
          <w:lang w:bidi="ar"/>
        </w:rPr>
        <w:t xml:space="preserve">产品检验项目、依据及</w:t>
      </w:r>
      <w:r>
        <w:rPr>
          <w:rFonts w:hint="eastAsia" w:ascii="宋体" w:hAnsi="宋体" w:cs="宋体"/>
          <w:sz w:val="21"/>
          <w:szCs w:val="21"/>
          <w:lang w:bidi="ar"/>
        </w:rPr>
        <w:t xml:space="preserve">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气密性</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41317-2024</w:t>
            </w:r>
            <w:r>
              <w:rPr>
                <w:rFonts w:ascii="Calibri" w:hAnsi="Calibri" w:cs="Calibri"/>
                <w:sz w:val="20"/>
                <w:szCs w:val="21"/>
              </w:rPr>
            </w:r>
            <w:r/>
          </w:p>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44017-2024</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41317-2024</w:t>
            </w:r>
            <w:r>
              <w:rPr>
                <w:rFonts w:ascii="Calibri" w:hAnsi="Calibri" w:cs="Calibri"/>
                <w:sz w:val="20"/>
                <w:szCs w:val="21"/>
              </w:rPr>
            </w:r>
            <w:r/>
          </w:p>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44017-2024</w:t>
            </w:r>
            <w:r>
              <w:rPr>
                <w:rFonts w:ascii="Calibri" w:hAnsi="Calibri" w:cs="Calibri"/>
                <w:sz w:val="20"/>
                <w:szCs w:val="21"/>
              </w:rPr>
            </w:r>
            <w:r/>
          </w:p>
        </w:tc>
      </w:tr>
    </w:tbl>
    <w:p>
      <w:pPr>
        <w:pStyle w:val="731"/>
        <w:ind w:left="360"/>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瓶装液化石油气调压器</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35844-2018</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35844-2018</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气密性</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调压静特性</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pStyle w:val="731"/>
        <w:ind w:left="360"/>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商用燃气燃烧器具</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通用结构-一般要求</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35848-2024</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35848-2024</w:t>
            </w: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热负荷准确度</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干烟气中CO（α=1）含量</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熄火保护装置</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pStyle w:val="731"/>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电磁式燃气紧急切断阀</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紧急切断性能</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44016-2024</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44016-2024</w:t>
            </w:r>
            <w:r>
              <w:rPr>
                <w:rFonts w:ascii="Calibri" w:hAnsi="Calibri" w:cs="Calibri"/>
                <w:sz w:val="20"/>
                <w:szCs w:val="21"/>
              </w:rPr>
            </w:r>
            <w:r/>
          </w:p>
        </w:tc>
      </w:tr>
    </w:tbl>
    <w:p>
      <w:pPr>
        <w:pStyle w:val="731"/>
        <w:numPr>
          <w:ilvl w:val="0"/>
          <w:numId w:val="5"/>
        </w:numPr>
        <w:jc w:val="both"/>
        <w:spacing w:after="160" w:line="360" w:lineRule="auto"/>
        <w:widowControl w:val="off"/>
        <w:rPr>
          <w:b/>
          <w:bCs/>
          <w:color w:val="0d0d0d"/>
          <w:sz w:val="28"/>
          <w:szCs w:val="28"/>
        </w:rPr>
      </w:pPr>
      <w:r>
        <w:rPr>
          <w:rFonts w:hint="eastAsia"/>
          <w:b/>
          <w:bCs/>
          <w:color w:val="0d0d0d"/>
          <w:sz w:val="28"/>
          <w:szCs w:val="28"/>
        </w:rPr>
        <w:t xml:space="preserve">消防产品</w:t>
      </w:r>
      <w:r>
        <w:rPr>
          <w:b/>
          <w:bCs/>
          <w:color w:val="0d0d0d"/>
          <w:sz w:val="28"/>
          <w:szCs w:val="28"/>
        </w:rPr>
      </w:r>
      <w:r/>
    </w:p>
    <w:p>
      <w:pPr>
        <w:pStyle w:val="731"/>
        <w:jc w:val="both"/>
        <w:spacing w:after="160" w:line="278" w:lineRule="auto"/>
        <w:widowControl w:val="off"/>
        <w:rPr>
          <w:rFonts w:cs="Calibri"/>
          <w:sz w:val="21"/>
          <w:szCs w:val="21"/>
        </w:rPr>
      </w:pPr>
      <w:r>
        <w:rPr>
          <w:rFonts w:hint="eastAsia" w:ascii="宋体" w:hAnsi="宋体" w:cs="Calibri"/>
          <w:sz w:val="21"/>
          <w:szCs w:val="21"/>
        </w:rPr>
        <w:t xml:space="preserve">手提式灭火器</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20℃时喷射性能</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充装要求</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瓶体-爆破性能试验</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w:t>
            </w:r>
            <w:r>
              <w:rPr>
                <w:rFonts w:ascii="Calibri" w:hAnsi="Calibri" w:cs="Calibri"/>
                <w:sz w:val="20"/>
                <w:szCs w:val="21"/>
              </w:rPr>
              <w:t xml:space="preserve">2023</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灭火剂（干粉灭火剂）-第一主要组分含量</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4066-2017</w:t>
            </w:r>
            <w:r/>
          </w:p>
        </w:tc>
      </w:tr>
    </w:tbl>
    <w:p>
      <w:pPr>
        <w:pStyle w:val="731"/>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过滤式消防自救呼吸器</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材料阻燃性能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2626-2006</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一氧化碳</w:t>
            </w:r>
            <w:r>
              <w:rPr>
                <w:rFonts w:ascii="Calibri" w:hAnsi="Calibri" w:cs="Calibri"/>
                <w:sz w:val="20"/>
                <w:szCs w:val="21"/>
              </w:rPr>
              <w:t xml:space="preserve">防护</w:t>
            </w:r>
            <w:r>
              <w:rPr>
                <w:rFonts w:hint="eastAsia" w:ascii="Calibri" w:hAnsi="Calibri" w:cs="Calibri"/>
                <w:sz w:val="20"/>
                <w:szCs w:val="21"/>
              </w:rPr>
              <w:t xml:space="preserve">性能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滤烟性能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2890-2009</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连接强度</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bl>
    <w:p>
      <w:pPr>
        <w:pStyle w:val="731"/>
        <w:ind w:left="360"/>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消防水带</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水压试验</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爆破试验</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延伸率和膨胀率及扭转方向</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黏附性</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附着强度</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/T 532-2008</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6</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热空气老化性能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bl>
    <w:p>
      <w:pPr>
        <w:pStyle w:val="731"/>
        <w:ind w:left="360"/>
        <w:jc w:val="both"/>
        <w:spacing w:after="160" w:line="278" w:lineRule="auto"/>
        <w:widowControl w:val="off"/>
        <w:rPr>
          <w:rFonts w:cs="Calibri"/>
          <w:sz w:val="21"/>
          <w:szCs w:val="21"/>
        </w:rPr>
      </w:pPr>
      <w:r>
        <w:rPr>
          <w:rFonts w:cs="Calibri"/>
          <w:sz w:val="21"/>
          <w:szCs w:val="21"/>
        </w:rPr>
      </w:r>
      <w:r/>
    </w:p>
    <w:p>
      <w:pPr>
        <w:pStyle w:val="731"/>
        <w:jc w:val="both"/>
        <w:spacing w:after="160" w:line="278" w:lineRule="auto"/>
        <w:widowControl w:val="off"/>
        <w:rPr>
          <w:rFonts w:cs="Calibri"/>
          <w:sz w:val="21"/>
          <w:szCs w:val="21"/>
        </w:rPr>
      </w:pPr>
      <w:r>
        <w:rPr>
          <w:rFonts w:hint="eastAsia" w:cs="Calibri"/>
          <w:sz w:val="21"/>
          <w:szCs w:val="21"/>
        </w:rPr>
        <w:t xml:space="preserve">电气火灾监控探测器</w:t>
      </w:r>
      <w:r>
        <w:rPr>
          <w:rFonts w:hint="eastAsia" w:ascii="宋体" w:hAnsi="宋体" w:cs="宋体"/>
          <w:sz w:val="21"/>
          <w:szCs w:val="21"/>
          <w:lang w:bidi="ar"/>
        </w:rPr>
        <w:t xml:space="preserve">产品检验项目、依据及方法</w:t>
      </w:r>
      <w:r>
        <w:rPr>
          <w:rFonts w:cs="Calibri"/>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444"/>
        <w:gridCol w:w="2074"/>
        <w:gridCol w:w="2074"/>
      </w:tblGrid>
      <w:tr>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07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试验前检查</w:t>
            </w:r>
            <w:r>
              <w:rPr>
                <w:rFonts w:ascii="Calibri" w:hAnsi="Calibri" w:cs="Calibri"/>
                <w:sz w:val="20"/>
                <w:szCs w:val="21"/>
              </w:rPr>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14287.2-2014</w:t>
            </w:r>
            <w:r/>
          </w:p>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14287.3-2014</w:t>
            </w:r>
            <w:r/>
          </w:p>
        </w:tc>
        <w:tc>
          <w:tcPr>
            <w:tcW w:w="2074" w:type="dxa"/>
            <w:vAlign w:val="center"/>
            <w:vMerge w:val="restart"/>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14287.2-201</w:t>
            </w:r>
            <w:r>
              <w:rPr>
                <w:rFonts w:ascii="Calibri" w:hAnsi="Calibri" w:cs="Calibri"/>
                <w:sz w:val="20"/>
                <w:szCs w:val="21"/>
              </w:rPr>
              <w:t xml:space="preserve">4</w:t>
            </w:r>
            <w:r/>
          </w:p>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14287.3-2014</w:t>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监控报警功能</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r>
        <w:trPr>
          <w:cantSplit/>
        </w:trPr>
        <w:tc>
          <w:tcPr>
            <w:tcW w:w="70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3444"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绝缘电阻</w:t>
            </w: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pStyle w:val="731"/>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pStyle w:val="731"/>
        <w:spacing w:after="160" w:line="360" w:lineRule="auto"/>
        <w:widowControl w:val="off"/>
        <w:rPr>
          <w:b/>
          <w:bCs/>
          <w:color w:val="0d0d0d"/>
          <w:sz w:val="28"/>
          <w:szCs w:val="28"/>
        </w:rPr>
      </w:pPr>
      <w:r>
        <w:rPr>
          <w:b/>
          <w:bCs/>
          <w:color w:val="0d0d0d"/>
          <w:sz w:val="28"/>
          <w:szCs w:val="28"/>
        </w:rPr>
      </w:r>
      <w:r/>
    </w:p>
    <w:p>
      <w:pPr>
        <w:pStyle w:val="731"/>
        <w:spacing w:after="160" w:line="360" w:lineRule="auto"/>
        <w:widowControl w:val="off"/>
        <w:rPr>
          <w:b/>
          <w:bCs/>
          <w:color w:val="0d0d0d"/>
          <w:sz w:val="28"/>
          <w:szCs w:val="28"/>
        </w:rPr>
      </w:pPr>
      <w:r>
        <w:rPr>
          <w:rFonts w:hint="eastAsia"/>
          <w:b/>
          <w:bCs/>
          <w:color w:val="0d0d0d"/>
          <w:sz w:val="28"/>
          <w:szCs w:val="28"/>
        </w:rPr>
        <w:t xml:space="preserve">9、移动电源</w:t>
      </w:r>
      <w:r>
        <w:rPr>
          <w:b/>
          <w:bCs/>
          <w:color w:val="0d0d0d"/>
          <w:sz w:val="28"/>
          <w:szCs w:val="28"/>
        </w:rPr>
      </w:r>
      <w:r/>
    </w:p>
    <w:p>
      <w:pPr>
        <w:pStyle w:val="731"/>
        <w:jc w:val="both"/>
        <w:spacing w:after="160" w:line="278" w:lineRule="auto"/>
        <w:widowControl w:val="off"/>
        <w:rPr>
          <w:rFonts w:cs="Calibri"/>
          <w:sz w:val="21"/>
          <w:szCs w:val="21"/>
        </w:rPr>
      </w:pPr>
      <w:r>
        <w:rPr>
          <w:rFonts w:hint="eastAsia" w:cs="Calibri"/>
          <w:sz w:val="21"/>
          <w:szCs w:val="21"/>
        </w:rPr>
        <w:t xml:space="preserve">移动电源产品检测项目、依据及方法</w:t>
      </w:r>
      <w:r>
        <w:rPr>
          <w:rFonts w:cs="Calibri"/>
          <w:sz w:val="21"/>
          <w:szCs w:val="21"/>
        </w:rPr>
      </w:r>
      <w:r/>
    </w:p>
    <w:tbl>
      <w:tblPr>
        <w:tblW w:w="84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2050"/>
        <w:gridCol w:w="2629"/>
        <w:gridCol w:w="2996"/>
      </w:tblGrid>
      <w:tr>
        <w:trPr>
          <w:trHeight w:val="782"/>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检验方法</w:t>
            </w:r>
            <w:r>
              <w:rPr>
                <w:rFonts w:ascii="Calibri" w:hAnsi="Calibri" w:cs="Calibri"/>
                <w:sz w:val="20"/>
                <w:szCs w:val="21"/>
              </w:rPr>
            </w:r>
            <w:r/>
          </w:p>
        </w:tc>
      </w:tr>
      <w:tr>
        <w:trPr>
          <w:trHeight w:val="822"/>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热灼伤</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4943.1-2022</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4943.1-2022</w:t>
            </w:r>
            <w:r>
              <w:rPr>
                <w:rFonts w:ascii="Calibri" w:hAnsi="Calibri" w:cs="Calibri"/>
                <w:sz w:val="20"/>
                <w:szCs w:val="21"/>
              </w:rPr>
            </w:r>
            <w:r/>
          </w:p>
        </w:tc>
      </w:tr>
      <w:tr>
        <w:trPr>
          <w:trHeight w:val="706"/>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过充电</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r>
      <w:tr>
        <w:trPr>
          <w:trHeight w:val="702"/>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低气压</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r>
      <w:tr>
        <w:trPr>
          <w:trHeight w:val="684"/>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温度循环</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r>
      <w:tr>
        <w:trPr>
          <w:trHeight w:val="708"/>
        </w:trPr>
        <w:tc>
          <w:tcPr>
            <w:tcW w:w="742"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rPr>
                <w:rFonts w:ascii="Calibri" w:hAnsi="Calibri" w:cs="Calibri"/>
                <w:sz w:val="20"/>
                <w:szCs w:val="21"/>
              </w:rPr>
            </w:r>
            <w:r/>
          </w:p>
        </w:tc>
        <w:tc>
          <w:tcPr>
            <w:tcW w:w="2050"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热滥用</w:t>
            </w:r>
            <w:r>
              <w:rPr>
                <w:rFonts w:ascii="Calibri" w:hAnsi="Calibri" w:cs="Calibri"/>
                <w:sz w:val="20"/>
                <w:szCs w:val="21"/>
              </w:rPr>
            </w:r>
            <w:r/>
          </w:p>
        </w:tc>
        <w:tc>
          <w:tcPr>
            <w:tcW w:w="2629"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c>
          <w:tcPr>
            <w:tcW w:w="2996" w:type="dxa"/>
            <w:vAlign w:val="center"/>
            <w:textDirection w:val="lrTb"/>
            <w:noWrap w:val="false"/>
          </w:tcPr>
          <w:p>
            <w:pPr>
              <w:pStyle w:val="731"/>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rPr>
                <w:rFonts w:ascii="Calibri" w:hAnsi="Calibri" w:cs="Calibri"/>
                <w:sz w:val="20"/>
                <w:szCs w:val="21"/>
              </w:rPr>
            </w:r>
            <w:r/>
          </w:p>
        </w:tc>
      </w:tr>
    </w:tbl>
    <w:p>
      <w:pPr>
        <w:pStyle w:val="731"/>
        <w:spacing w:after="160" w:line="360" w:lineRule="auto"/>
        <w:widowControl w:val="off"/>
        <w:rPr>
          <w:b/>
          <w:bCs/>
          <w:color w:val="0d0d0d"/>
          <w:sz w:val="28"/>
          <w:szCs w:val="28"/>
        </w:rPr>
      </w:pPr>
      <w:r>
        <w:rPr>
          <w:b/>
          <w:bCs/>
          <w:color w:val="0d0d0d"/>
          <w:sz w:val="28"/>
          <w:szCs w:val="28"/>
        </w:rPr>
      </w:r>
      <w:r/>
    </w:p>
    <w:p>
      <w:pPr>
        <w:pStyle w:val="731"/>
        <w:spacing w:after="160" w:line="360" w:lineRule="auto"/>
        <w:widowControl w:val="off"/>
        <w:rPr>
          <w:rFonts w:hint="eastAsia" w:ascii="宋体" w:hAnsi="宋体" w:cs="宋体"/>
          <w:sz w:val="21"/>
          <w:szCs w:val="21"/>
        </w:rPr>
      </w:pPr>
      <w:r>
        <w:rPr>
          <w:rFonts w:hint="eastAsia"/>
          <w:b/>
          <w:bCs/>
          <w:color w:val="0d0d0d"/>
          <w:sz w:val="28"/>
          <w:szCs w:val="28"/>
        </w:rPr>
        <w:t xml:space="preserve">10、食品相关产品</w:t>
      </w:r>
      <w:r>
        <w:rPr>
          <w:rFonts w:hint="eastAsia" w:ascii="宋体" w:hAnsi="宋体" w:cs="宋体"/>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婴幼儿用奶瓶</w:t>
      </w:r>
      <w:r>
        <w:rPr>
          <w:rFonts w:hint="eastAsia" w:cs="Calibri"/>
          <w:sz w:val="21"/>
          <w:szCs w:val="21"/>
        </w:rPr>
        <w:t xml:space="preserve">产品检测项目、依据及方法</w:t>
      </w:r>
      <w:r>
        <w:rPr>
          <w:rFonts w:hint="eastAsia" w:ascii="宋体" w:hAnsi="宋体" w:cs="宋体"/>
          <w:sz w:val="21"/>
          <w:szCs w:val="21"/>
        </w:rPr>
      </w:r>
      <w:r/>
    </w:p>
    <w:tbl>
      <w:tblPr>
        <w:tblW w:w="505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3476"/>
        <w:gridCol w:w="2082"/>
        <w:gridCol w:w="2130"/>
      </w:tblGrid>
      <w:tr>
        <w:trPr>
          <w:trHeight w:val="454"/>
          <w:tblHeader/>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感官要求</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总迁移量</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31604.8-2021</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lang w:val="pt-BR"/>
              </w:rPr>
              <w:t xml:space="preserve">高锰酸钾消耗量</w:t>
            </w:r>
            <w:r>
              <w:rPr>
                <w:rFonts w:hint="eastAsia" w:ascii="宋体" w:hAnsi="宋体" w:cs="宋体"/>
                <w:sz w:val="21"/>
                <w:szCs w:val="21"/>
              </w:rPr>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31604.2-2016</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lang w:val="pt-BR"/>
              </w:rPr>
              <w:t xml:space="preserve">重金属（以Pb计）</w:t>
            </w:r>
            <w:r>
              <w:rPr>
                <w:rFonts w:hint="eastAsia" w:ascii="宋体" w:hAnsi="宋体" w:cs="宋体"/>
                <w:sz w:val="21"/>
                <w:szCs w:val="21"/>
              </w:rPr>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31604.9-2016</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芳香族伯胺迁移总量</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31604.5</w:t>
            </w:r>
            <w:r>
              <w:rPr>
                <w:rFonts w:hint="eastAsia" w:ascii="宋体" w:hAnsi="宋体" w:cs="宋体"/>
                <w:sz w:val="21"/>
                <w:szCs w:val="21"/>
              </w:rPr>
              <w:t xml:space="preserve">2-2021</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lang w:val="pt-BR"/>
              </w:rPr>
              <w:t xml:space="preserve">脱色试验</w:t>
            </w:r>
            <w:r>
              <w:rPr>
                <w:rFonts w:hint="eastAsia" w:ascii="宋体" w:hAnsi="宋体" w:cs="宋体"/>
                <w:sz w:val="21"/>
                <w:szCs w:val="21"/>
              </w:rPr>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31604.7-2023</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特定迁移总量（以己内酰胺计）（限PA材质）</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31604.19-2016</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特定迁移总量（以对苯二甲酸计）（限PET材质）</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31604.21-2025</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特定迁移总量（以乙二醇计）（限PET材质）</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31604.44-2016</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容量偏差</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抗压变形性能</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耐沸水性能</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r>
      <w:tr>
        <w:trPr>
          <w:trHeight w:val="454"/>
        </w:trPr>
        <w:tc>
          <w:tcPr>
            <w:tcW w:w="539"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017"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耐热冲击性能</w:t>
            </w:r>
            <w:r/>
          </w:p>
        </w:tc>
        <w:tc>
          <w:tcPr>
            <w:tcW w:w="1208"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c>
          <w:tcPr>
            <w:tcW w:w="123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38995-2020</w:t>
            </w:r>
            <w:r/>
          </w:p>
        </w:tc>
      </w:tr>
      <w:tr>
        <w:trPr>
          <w:trHeight w:val="454"/>
        </w:trPr>
        <w:tc>
          <w:tcPr>
            <w:gridSpan w:val="4"/>
            <w:tcW w:w="5000" w:type="pct"/>
            <w:vAlign w:val="center"/>
            <w:textDirection w:val="lrTb"/>
            <w:noWrap w:val="false"/>
          </w:tcPr>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注：</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1.高锰酸钾消耗量不适用生产日期在2024年9月6日之后的、且淀粉含量≥40%的淀粉基塑料材料及制品。</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2.芳香族伯胺迁移总量仅适用于生产日期在2024年9月6日及之后的、且含有芳香族异氰酸酯和偶氮类着色剂等可能产生芳香族伯胺类物质的产品。</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3.脱色试验仅适用于添加了着色</w:t>
            </w:r>
            <w:r>
              <w:rPr>
                <w:rFonts w:hint="eastAsia" w:ascii="宋体" w:hAnsi="宋体" w:cs="宋体"/>
                <w:sz w:val="21"/>
                <w:szCs w:val="21"/>
              </w:rPr>
              <w:t xml:space="preserve">剂的产品。</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4.流通领域迁移条件根据样品标签标识选择，若标签标识未规定的按照50%乙醇，70℃，2h执行。</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5.跟浸泡试验有关的检验项目（序号1中的浸泡液、2、3、4、5、7、8、9）仅对瓶身进行。</w:t>
            </w:r>
            <w:r/>
          </w:p>
        </w:tc>
      </w:tr>
    </w:tbl>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婴幼儿奶嘴产品</w:t>
      </w:r>
      <w:r>
        <w:rPr>
          <w:rFonts w:hint="eastAsia" w:cs="Calibri"/>
          <w:sz w:val="21"/>
          <w:szCs w:val="21"/>
        </w:rPr>
        <w:t xml:space="preserve">检测项目、依据及方法</w:t>
      </w:r>
      <w:r>
        <w:rPr>
          <w:rFonts w:hint="eastAsia" w:ascii="宋体" w:hAnsi="宋体" w:cs="宋体"/>
          <w:sz w:val="21"/>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3255"/>
        <w:gridCol w:w="2032"/>
        <w:gridCol w:w="2038"/>
      </w:tblGrid>
      <w:tr>
        <w:trPr>
          <w:trHeight w:val="397"/>
          <w:tblHeader/>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感官要求</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4806.2—2015</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总迁移量</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31604.8—2021</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高锰酸钾消耗量</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31604.2—2016</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重金属（以铅计）</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31604.9—2016</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锌(Zn)迁移量</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31604.42—2016或</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31604.49—2023</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N—亚硝胺和N—亚硝胺可生成物释放量 </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28482—2012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24153—2009</w:t>
            </w:r>
            <w:r/>
          </w:p>
        </w:tc>
      </w:tr>
      <w:tr>
        <w:trPr>
          <w:trHeight w:val="397"/>
        </w:trPr>
        <w:tc>
          <w:tcPr>
            <w:tcW w:w="70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1910"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挥发性物质a</w:t>
            </w:r>
            <w:r/>
          </w:p>
        </w:tc>
        <w:tc>
          <w:tcPr>
            <w:tcW w:w="1192" w:type="pct"/>
            <w:vAlign w:val="center"/>
            <w:textDirection w:val="lrTb"/>
            <w:noWrap w:val="false"/>
          </w:tcPr>
          <w:p>
            <w:pPr>
              <w:pStyle w:val="731"/>
              <w:jc w:val="center"/>
              <w:spacing w:after="160" w:line="278" w:lineRule="auto"/>
              <w:widowControl w:val="off"/>
              <w:rPr>
                <w:rFonts w:hint="eastAsia" w:ascii="宋体" w:hAnsi="宋体" w:cs="宋体"/>
                <w:sz w:val="21"/>
                <w:szCs w:val="21"/>
                <w:lang w:eastAsia="en-US"/>
              </w:rPr>
            </w:pPr>
            <w:r>
              <w:rPr>
                <w:rFonts w:hint="eastAsia" w:ascii="宋体" w:hAnsi="宋体" w:cs="宋体"/>
                <w:sz w:val="21"/>
                <w:szCs w:val="21"/>
              </w:rPr>
              <w:t xml:space="preserve">GB 4806.2-2015</w:t>
            </w:r>
            <w:r>
              <w:rPr>
                <w:rFonts w:hint="eastAsia" w:ascii="宋体" w:hAnsi="宋体" w:cs="宋体"/>
                <w:sz w:val="21"/>
                <w:szCs w:val="21"/>
                <w:lang w:eastAsia="en-US"/>
              </w:rPr>
            </w:r>
            <w:r/>
          </w:p>
        </w:tc>
        <w:tc>
          <w:tcPr>
            <w:tcW w:w="119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28482—2012</w:t>
            </w:r>
            <w:r/>
          </w:p>
        </w:tc>
      </w:tr>
      <w:tr>
        <w:trPr>
          <w:trHeight w:val="397"/>
        </w:trPr>
        <w:tc>
          <w:tcPr>
            <w:gridSpan w:val="4"/>
            <w:tcW w:w="5000" w:type="pct"/>
            <w:vAlign w:val="center"/>
            <w:textDirection w:val="lrTb"/>
            <w:noWrap w:val="false"/>
          </w:tcPr>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注：</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a：该项目仅适用于硅橡胶奶嘴。</w:t>
            </w:r>
            <w:r/>
          </w:p>
        </w:tc>
      </w:tr>
    </w:tbl>
    <w:p>
      <w:pPr>
        <w:pStyle w:val="731"/>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pStyle w:val="731"/>
        <w:jc w:val="both"/>
        <w:spacing w:after="160" w:line="580" w:lineRule="exact"/>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竹木砧板等竹木制品产品</w:t>
      </w:r>
      <w:r>
        <w:rPr>
          <w:rFonts w:hint="eastAsia" w:cs="Calibri"/>
          <w:sz w:val="21"/>
          <w:szCs w:val="21"/>
        </w:rPr>
        <w:t xml:space="preserve">检测项目、依据及方法</w:t>
      </w:r>
      <w:r>
        <w:rPr>
          <w:rFonts w:hint="eastAsia" w:ascii="宋体" w:hAnsi="宋体" w:cs="宋体"/>
          <w:sz w:val="21"/>
          <w:szCs w:val="21"/>
        </w:rPr>
      </w:r>
      <w:r/>
    </w:p>
    <w:tbl>
      <w:tblPr>
        <w:tblW w:w="501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3473"/>
        <w:gridCol w:w="3965"/>
        <w:gridCol w:w="7"/>
      </w:tblGrid>
      <w:tr>
        <w:trPr>
          <w:trHeight w:val="454"/>
          <w:tblHeader/>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检验项目</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感官要求</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总迁移量</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31604.8—2021</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甲醛</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31604.48—2016</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二氧化硫</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附录A</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五氯苯酚及其盐类（以五氯苯酚计）</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SN/T 2204—2015</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噻菌灵</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附录B</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邻苯基苯酚</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附录B</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抑霉唑</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附录B</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联苯</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4806.12—2022</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附录B</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大肠菌群a</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附录B</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沙门氏菌a</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附录C</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志贺氏菌b</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4789.5—2012</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金黄色葡萄球菌b</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4789.10—2016</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14</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溶血性链球菌b</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4789.11—2014</w:t>
            </w:r>
            <w:r/>
          </w:p>
        </w:tc>
      </w:tr>
      <w:tr>
        <w:trPr>
          <w:trHeight w:val="454"/>
        </w:trPr>
        <w:tc>
          <w:tcPr>
            <w:tcW w:w="642"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15</w:t>
            </w:r>
            <w:r/>
          </w:p>
        </w:tc>
        <w:tc>
          <w:tcPr>
            <w:tcW w:w="2033"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霉菌b</w:t>
            </w:r>
            <w:r/>
          </w:p>
        </w:tc>
        <w:tc>
          <w:tcPr>
            <w:gridSpan w:val="2"/>
            <w:tcW w:w="2324" w:type="pct"/>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4789.15—2016</w:t>
            </w:r>
            <w:r/>
          </w:p>
        </w:tc>
      </w:tr>
      <w:tr>
        <w:trPr>
          <w:gridAfter w:val="1"/>
          <w:trHeight w:val="454"/>
        </w:trPr>
        <w:tc>
          <w:tcPr>
            <w:gridSpan w:val="3"/>
            <w:tcW w:w="4996" w:type="pct"/>
            <w:vAlign w:val="top"/>
            <w:textDirection w:val="lrTb"/>
            <w:noWrap w:val="false"/>
          </w:tcPr>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注：</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a预期与食品直接接触，且不经过消毒或清洗直接使用的竹木材料及制品的微生物应符合GB 14934—2016的规定，与食用、烹饪或者加工前需经去皮、去</w:t>
            </w:r>
            <w:r>
              <w:rPr>
                <w:rFonts w:hint="eastAsia" w:ascii="宋体" w:hAnsi="宋体" w:cs="宋体"/>
                <w:sz w:val="21"/>
                <w:szCs w:val="21"/>
              </w:rPr>
              <w:t xml:space="preserve">壳或清洗的食品接触的竹木材料及制品除外。</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b仅适用于执行GB/T 19790.2—2005的产品。</w:t>
            </w:r>
            <w:r/>
          </w:p>
        </w:tc>
      </w:tr>
    </w:tbl>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r>
      <w:r/>
    </w:p>
    <w:p>
      <w:pPr>
        <w:pStyle w:val="731"/>
        <w:spacing w:after="160" w:line="278"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一次性餐饮具</w:t>
      </w:r>
      <w:r>
        <w:rPr>
          <w:rFonts w:hint="eastAsia" w:cs="Calibri"/>
          <w:sz w:val="21"/>
          <w:szCs w:val="21"/>
        </w:rPr>
        <w:t xml:space="preserve">产品检测项目、依据及方法</w:t>
      </w:r>
      <w:r>
        <w:rPr>
          <w:rFonts w:hint="eastAsia" w:ascii="宋体" w:hAnsi="宋体" w:cs="宋体"/>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766"/>
        <w:gridCol w:w="2338"/>
        <w:gridCol w:w="2692"/>
      </w:tblGrid>
      <w:tr>
        <w:trPr>
          <w:trHeight w:val="439"/>
          <w:tblHeader/>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序号</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检验项目</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检验依据</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检验方法</w:t>
            </w:r>
            <w:r/>
          </w:p>
        </w:tc>
      </w:tr>
      <w:tr>
        <w:trPr>
          <w:trHeight w:val="449"/>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感官要求</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r>
      <w:tr>
        <w:trPr>
          <w:trHeight w:val="432"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总迁移量</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31604.8—2021</w:t>
            </w:r>
            <w:r/>
          </w:p>
        </w:tc>
      </w:tr>
      <w:tr>
        <w:trPr>
          <w:trHeight w:val="567"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高锰酸钾消耗量1</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31604.2—2016 </w:t>
            </w:r>
            <w:r/>
          </w:p>
        </w:tc>
      </w:tr>
      <w:tr>
        <w:trPr>
          <w:trHeight w:val="483"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重金属（以Pb计）</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31604.9—2016 </w:t>
            </w:r>
            <w:r/>
          </w:p>
        </w:tc>
      </w:tr>
      <w:tr>
        <w:trPr>
          <w:trHeight w:val="433"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脱色试验3</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31604.7—2023</w:t>
            </w:r>
            <w:r/>
          </w:p>
        </w:tc>
      </w:tr>
      <w:tr>
        <w:trPr>
          <w:trHeight w:val="489"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芳香族伯胺迁移总量2</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31604.52—2021</w:t>
            </w:r>
            <w:r/>
          </w:p>
        </w:tc>
      </w:tr>
      <w:tr>
        <w:trPr>
          <w:trHeight w:val="635"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特定迁移总量（以己内酰胺计）（限PA材质）</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31604.19—2016 </w:t>
            </w:r>
            <w:r/>
          </w:p>
        </w:tc>
      </w:tr>
      <w:tr>
        <w:trPr>
          <w:trHeight w:val="645"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氯乙烯特定迁移量（限PVC、PVDC材质）</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31604.31—2025 </w:t>
            </w:r>
            <w:r/>
          </w:p>
        </w:tc>
      </w:tr>
      <w:tr>
        <w:trPr>
          <w:trHeight w:val="609"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大肠菌群</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 </w:t>
            </w:r>
            <w:r/>
          </w:p>
        </w:tc>
      </w:tr>
      <w:tr>
        <w:trPr>
          <w:trHeight w:val="560"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沙门氏菌</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14934—2016</w:t>
            </w:r>
            <w:r/>
          </w:p>
        </w:tc>
      </w:tr>
      <w:tr>
        <w:trPr>
          <w:trHeight w:val="583"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霉菌计数</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GB/T 18006.1—2009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4789.15—2016 </w:t>
            </w:r>
            <w:r/>
          </w:p>
        </w:tc>
      </w:tr>
      <w:tr>
        <w:trPr>
          <w:trHeight w:val="910"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特定迁移总量（以对苯二甲酸计）（限PET、PB(A)T材质）</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31604.21—2025</w:t>
            </w:r>
            <w:r/>
          </w:p>
        </w:tc>
      </w:tr>
      <w:tr>
        <w:trPr>
          <w:trHeight w:val="850"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特定迁移总量（以乙二醇计）（限PET材质）</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 </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31604.44—2016</w:t>
            </w:r>
            <w:r/>
          </w:p>
        </w:tc>
      </w:tr>
      <w:tr>
        <w:trPr>
          <w:trHeight w:val="850"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14</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特定迁移总量（以1,4-丁二醇计）（限PB(A)T材质）</w:t>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4806.7—2023</w:t>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31604.51—2021</w:t>
            </w:r>
            <w:r/>
          </w:p>
        </w:tc>
      </w:tr>
      <w:tr>
        <w:trPr>
          <w:trHeight w:val="620" w:hRule="exact"/>
        </w:trPr>
        <w:tc>
          <w:tcPr>
            <w:tcW w:w="72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15</w:t>
            </w:r>
            <w:r/>
          </w:p>
        </w:tc>
        <w:tc>
          <w:tcPr>
            <w:tcW w:w="2766"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1,3-丁二烯特定迁移量（限有丁二烯单体的聚合物）</w:t>
            </w:r>
            <w:r/>
          </w:p>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r>
            <w:r/>
          </w:p>
        </w:tc>
        <w:tc>
          <w:tcPr>
            <w:tcW w:w="2338"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bookmarkStart w:id="108" w:name="OLE_LINK232"/>
            <w:r/>
            <w:bookmarkStart w:id="109" w:name="OLE_LINK233"/>
            <w:r>
              <w:rPr>
                <w:rFonts w:hint="eastAsia" w:ascii="宋体" w:hAnsi="宋体" w:cs="宋体"/>
                <w:sz w:val="21"/>
                <w:szCs w:val="21"/>
              </w:rPr>
              <w:t xml:space="preserve">GB 4806.7—2023</w:t>
            </w:r>
            <w:bookmarkEnd w:id="108"/>
            <w:r/>
            <w:bookmarkEnd w:id="109"/>
            <w:r>
              <w:rPr>
                <w:rFonts w:hint="eastAsia" w:ascii="宋体" w:hAnsi="宋体" w:cs="宋体"/>
                <w:sz w:val="21"/>
                <w:szCs w:val="21"/>
              </w:rPr>
            </w:r>
            <w:r/>
          </w:p>
        </w:tc>
        <w:tc>
          <w:tcPr>
            <w:tcW w:w="2692" w:type="dxa"/>
            <w:vAlign w:val="center"/>
            <w:textDirection w:val="lrTb"/>
            <w:noWrap w:val="false"/>
          </w:tcPr>
          <w:p>
            <w:pPr>
              <w:pStyle w:val="731"/>
              <w:jc w:val="center"/>
              <w:spacing w:after="160" w:line="278" w:lineRule="auto"/>
              <w:widowControl w:val="off"/>
              <w:rPr>
                <w:rFonts w:hint="eastAsia" w:ascii="宋体" w:hAnsi="宋体" w:cs="宋体"/>
                <w:sz w:val="21"/>
                <w:szCs w:val="21"/>
              </w:rPr>
            </w:pPr>
            <w:r>
              <w:rPr>
                <w:rFonts w:hint="eastAsia" w:ascii="宋体" w:hAnsi="宋体" w:cs="宋体"/>
                <w:sz w:val="21"/>
                <w:szCs w:val="21"/>
              </w:rPr>
              <w:t xml:space="preserve">GB 31604.12—2016</w:t>
            </w:r>
            <w:r/>
          </w:p>
        </w:tc>
      </w:tr>
      <w:tr>
        <w:trPr>
          <w:trHeight w:val="3400" w:hRule="exact"/>
        </w:trPr>
        <w:tc>
          <w:tcPr>
            <w:gridSpan w:val="4"/>
            <w:tcW w:w="8522" w:type="dxa"/>
            <w:vAlign w:val="top"/>
            <w:textDirection w:val="lrTb"/>
            <w:noWrap w:val="false"/>
          </w:tcPr>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注：</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1.高锰酸钾消耗量不适用于执行标准为GB 4806.7—2023中的淀粉含量≥40%的淀粉基塑料材料及制品。</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2.芳香族伯胺迁移总量适用于执行标准为GB 4806.7—2023，且含有芳香族异氰酸酯和偶氮类着色剂等可能产生芳香族伯胺类物质的产品。</w:t>
            </w:r>
            <w:r/>
          </w:p>
          <w:p>
            <w:pPr>
              <w:pStyle w:val="731"/>
              <w:spacing w:after="160" w:line="278" w:lineRule="auto"/>
              <w:widowControl w:val="off"/>
              <w:rPr>
                <w:rFonts w:hint="eastAsia" w:ascii="宋体" w:hAnsi="宋体" w:cs="宋体"/>
                <w:sz w:val="21"/>
                <w:szCs w:val="21"/>
              </w:rPr>
            </w:pPr>
            <w:r>
              <w:rPr>
                <w:rFonts w:hint="eastAsia" w:ascii="宋体" w:hAnsi="宋体" w:cs="宋体"/>
                <w:sz w:val="21"/>
                <w:szCs w:val="21"/>
              </w:rPr>
              <w:t xml:space="preserve">3.脱色试验仅适用于添加了着色剂的产品。</w:t>
            </w:r>
            <w:r/>
          </w:p>
        </w:tc>
      </w:tr>
    </w:tbl>
    <w:p>
      <w:pPr>
        <w:pStyle w:val="731"/>
        <w:jc w:val="both"/>
        <w:spacing w:after="160" w:line="278" w:lineRule="auto"/>
        <w:widowControl w:val="off"/>
        <w:rPr>
          <w:rFonts w:hint="eastAsia" w:ascii="宋体" w:hAnsi="宋体" w:cs="方正黑体_GBK"/>
          <w:bCs/>
          <w:sz w:val="24"/>
          <w:szCs w:val="24"/>
        </w:rPr>
      </w:pPr>
      <w:r>
        <w:rPr>
          <w:rFonts w:hint="eastAsia" w:ascii="宋体" w:hAnsi="宋体" w:cs="方正黑体_GBK"/>
          <w:bCs/>
          <w:sz w:val="24"/>
          <w:szCs w:val="24"/>
        </w:rPr>
      </w:r>
      <w:r/>
    </w:p>
    <w:p>
      <w:pPr>
        <w:pStyle w:val="731"/>
        <w:jc w:val="both"/>
        <w:spacing w:after="160" w:line="278" w:lineRule="auto"/>
        <w:widowControl w:val="off"/>
        <w:rPr>
          <w:rFonts w:cs="Calibri"/>
          <w:sz w:val="21"/>
          <w:szCs w:val="21"/>
        </w:rPr>
      </w:pPr>
      <w:r/>
      <w:bookmarkEnd w:id="95"/>
      <w:r/>
      <w:bookmarkEnd w:id="96"/>
      <w:r>
        <w:rPr>
          <w:rFonts w:cs="Calibri"/>
          <w:sz w:val="21"/>
          <w:szCs w:val="21"/>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hint="eastAsia" w:ascii="宋体" w:hAnsi="宋体"/>
          <w:b/>
          <w:sz w:val="24"/>
          <w:szCs w:val="24"/>
        </w:rPr>
      </w:pPr>
      <w:r>
        <w:rPr>
          <w:rFonts w:hint="eastAsia"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1"/>
        <w:ind w:firstLine="482"/>
        <w:spacing w:after="0" w:line="560" w:lineRule="exact"/>
        <w:rPr>
          <w:rFonts w:ascii="宋体" w:hAnsi="宋体"/>
          <w:b/>
          <w:sz w:val="24"/>
          <w:szCs w:val="24"/>
        </w:rPr>
      </w:pPr>
      <w:r>
        <w:rPr>
          <w:rFonts w:ascii="宋体" w:hAnsi="宋体"/>
          <w:b/>
          <w:sz w:val="24"/>
          <w:szCs w:val="24"/>
        </w:rPr>
      </w:r>
      <w:r/>
    </w:p>
    <w:p>
      <w:pPr>
        <w:pStyle w:val="732"/>
        <w:jc w:val="center"/>
        <w:keepLines w:val="0"/>
        <w:spacing w:before="0" w:line="240" w:lineRule="auto"/>
        <w:widowControl w:val="off"/>
        <w:rPr>
          <w:rFonts w:hint="eastAsia"/>
        </w:rPr>
      </w:pPr>
      <w:r/>
      <w:bookmarkStart w:id="110" w:name="_Toc192946455"/>
      <w:r>
        <w:rPr>
          <w:rFonts w:hint="eastAsia" w:ascii="黑体" w:hAnsi="楷体_GB2312" w:eastAsia="黑体"/>
          <w:color w:val="000000"/>
          <w:sz w:val="44"/>
          <w:szCs w:val="44"/>
        </w:rPr>
        <w:t xml:space="preserve">第五章  评标方法与评标标准</w:t>
      </w:r>
      <w:bookmarkEnd w:id="110"/>
      <w:r>
        <w:rPr>
          <w:rFonts w:hint="eastAsia"/>
        </w:rPr>
      </w:r>
      <w:r/>
    </w:p>
    <w:p>
      <w:pPr>
        <w:pStyle w:val="731"/>
        <w:ind w:firstLine="480"/>
        <w:rPr>
          <w:rFonts w:ascii="Arial" w:hAnsi="Arial" w:cs="Arial"/>
          <w:b/>
          <w:bCs/>
          <w:sz w:val="24"/>
          <w:szCs w:val="24"/>
        </w:rPr>
      </w:pPr>
      <w:r/>
      <w:bookmarkEnd w:id="90"/>
      <w:r/>
      <w:bookmarkEnd w:id="91"/>
      <w:r>
        <w:rPr>
          <w:rFonts w:hint="eastAsia" w:ascii="Arial" w:hAnsi="Arial" w:cs="Arial"/>
          <w:sz w:val="24"/>
          <w:szCs w:val="24"/>
        </w:rPr>
        <w:t xml:space="preserve">本项目</w:t>
      </w:r>
      <w:r>
        <w:rPr>
          <w:rFonts w:ascii="Arial" w:hAnsi="Arial" w:cs="Arial"/>
          <w:sz w:val="24"/>
          <w:szCs w:val="24"/>
        </w:rPr>
        <w:t xml:space="preserve">采用综合</w:t>
      </w:r>
      <w:r>
        <w:rPr>
          <w:rFonts w:ascii="Arial" w:hAnsi="Arial" w:cs="Arial"/>
          <w:sz w:val="24"/>
          <w:szCs w:val="24"/>
        </w:rPr>
        <w:t xml:space="preserve">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rPr>
          <w:rFonts w:hint="eastAsia" w:ascii="Arial" w:hAnsi="Arial" w:cs="Arial"/>
          <w:b/>
          <w:bCs/>
          <w:sz w:val="24"/>
          <w:szCs w:val="24"/>
        </w:rPr>
        <w:t xml:space="preserve">本评分标准适用所有采购包，每个采购包选择1名中标供应商。</w:t>
      </w:r>
      <w:r>
        <w:rPr>
          <w:rFonts w:ascii="Arial" w:hAnsi="Arial" w:cs="Arial"/>
          <w:b/>
          <w:bCs/>
          <w:sz w:val="24"/>
          <w:szCs w:val="24"/>
        </w:rPr>
      </w:r>
      <w:r/>
    </w:p>
    <w:tbl>
      <w:tblPr>
        <w:tblW w:w="94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6238"/>
        <w:gridCol w:w="888"/>
        <w:gridCol w:w="566"/>
      </w:tblGrid>
      <w:tr>
        <w:trPr>
          <w:trHeight w:val="639"/>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b/>
                <w:sz w:val="21"/>
                <w:szCs w:val="21"/>
              </w:rPr>
              <w:outlineLvl w:val="1"/>
            </w:pPr>
            <w:r/>
            <w:bookmarkStart w:id="111" w:name="_Toc192946456"/>
            <w:r>
              <w:rPr>
                <w:rFonts w:hint="eastAsia" w:ascii="宋体" w:hAnsi="宋体" w:cs="宋体"/>
                <w:b/>
                <w:sz w:val="21"/>
                <w:szCs w:val="21"/>
              </w:rPr>
              <w:t xml:space="preserve">类别</w:t>
            </w:r>
            <w:bookmarkEnd w:id="111"/>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b/>
                <w:sz w:val="21"/>
                <w:szCs w:val="21"/>
              </w:rPr>
              <w:outlineLvl w:val="1"/>
            </w:pPr>
            <w:r/>
            <w:bookmarkStart w:id="112" w:name="_Toc192946457"/>
            <w:r>
              <w:rPr>
                <w:rFonts w:hint="eastAsia" w:ascii="宋体" w:hAnsi="宋体" w:cs="宋体"/>
                <w:b/>
                <w:sz w:val="21"/>
                <w:szCs w:val="21"/>
              </w:rPr>
              <w:t xml:space="preserve">评分内容</w:t>
            </w:r>
            <w:bookmarkEnd w:id="112"/>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center"/>
              <w:spacing w:after="0" w:line="240" w:lineRule="auto"/>
              <w:widowControl w:val="off"/>
              <w:rPr>
                <w:rFonts w:hint="eastAsia" w:ascii="宋体" w:hAnsi="宋体" w:cs="宋体"/>
                <w:b/>
                <w:sz w:val="21"/>
                <w:szCs w:val="21"/>
              </w:rPr>
              <w:outlineLvl w:val="1"/>
            </w:pPr>
            <w:r/>
            <w:bookmarkStart w:id="113" w:name="_Toc192946458"/>
            <w:r>
              <w:rPr>
                <w:rFonts w:hint="eastAsia" w:ascii="宋体" w:hAnsi="宋体" w:cs="宋体"/>
                <w:b/>
                <w:sz w:val="21"/>
                <w:szCs w:val="21"/>
              </w:rPr>
              <w:t xml:space="preserve">评分标准（适用所有采购包）</w:t>
            </w:r>
            <w:bookmarkEnd w:id="113"/>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hint="eastAsia" w:ascii="宋体" w:hAnsi="宋体" w:cs="宋体"/>
                <w:b/>
                <w:sz w:val="21"/>
                <w:szCs w:val="21"/>
              </w:rPr>
              <w:outlineLvl w:val="1"/>
            </w:pPr>
            <w:r/>
            <w:bookmarkStart w:id="114" w:name="_Toc192946459"/>
            <w:r>
              <w:rPr>
                <w:rFonts w:hint="eastAsia" w:ascii="宋体" w:hAnsi="宋体" w:cs="宋体"/>
                <w:b/>
                <w:sz w:val="21"/>
                <w:szCs w:val="21"/>
              </w:rPr>
              <w:t xml:space="preserve">分值</w:t>
            </w:r>
            <w:bookmarkEnd w:id="114"/>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t xml:space="preserve">备注</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6238" w:type="dxa"/>
            <w:vAlign w:val="top"/>
            <w:textDirection w:val="lrTb"/>
            <w:noWrap w:val="false"/>
          </w:tcPr>
          <w:p>
            <w:pPr>
              <w:pStyle w:val="731"/>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val="zh-CN" w:bidi="zh-CN"/>
              </w:rPr>
              <w:outlineLvl w:val="1"/>
            </w:pPr>
            <w:r/>
            <w:bookmarkStart w:id="115" w:name="_Toc192946460"/>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bookmarkEnd w:id="115"/>
            <w:r>
              <w:rPr>
                <w:rFonts w:hint="eastAsia" w:ascii="宋体" w:hAnsi="宋体" w:cs="宋体"/>
                <w:spacing w:val="-6"/>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r>
              <w:rPr>
                <w:rFonts w:ascii="宋体" w:hAnsi="宋体" w:cs="宋体"/>
                <w:spacing w:val="-6"/>
                <w:sz w:val="21"/>
                <w:szCs w:val="21"/>
                <w:lang w:bidi="zh-CN"/>
              </w:rPr>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bookmarkStart w:id="116" w:name="_Toc192946461"/>
            <w:r>
              <w:rPr>
                <w:rFonts w:hint="eastAsia" w:ascii="宋体" w:hAnsi="宋体" w:cs="宋体"/>
                <w:sz w:val="21"/>
                <w:szCs w:val="21"/>
                <w:lang w:bidi="zh-CN"/>
              </w:rPr>
              <w:t xml:space="preserve">2</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供应商履约信用情况</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从2023年1月1日起（以</w:t>
            </w:r>
            <w:r>
              <w:rPr>
                <w:rFonts w:hint="eastAsia" w:ascii="宋体" w:hAnsi="宋体" w:cs="宋体"/>
                <w:spacing w:val="-3"/>
                <w:sz w:val="21"/>
                <w:szCs w:val="21"/>
                <w:lang w:bidi="zh-CN"/>
              </w:rPr>
              <w:t xml:space="preserve">通报发布</w:t>
            </w:r>
            <w:r>
              <w:rPr>
                <w:rFonts w:hint="eastAsia" w:ascii="宋体" w:hAnsi="宋体" w:cs="宋体"/>
                <w:spacing w:val="-3"/>
                <w:sz w:val="21"/>
                <w:szCs w:val="21"/>
                <w:lang w:val="zh-CN" w:bidi="zh-CN"/>
              </w:rPr>
              <w:t xml:space="preserve">时间为准）至投标截止之日止，投标人在市场监管领域相关产品质量监督抽查任务中，没有因工作质量问题被通报的，得3分；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需提供承诺函，否则不得分。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从2023年1月1日起至投标截止之日止，投标人在市场监管领域无产品质量监督抽查任务的，视为无工作质量问题，得3分；需提供承诺函，否则不得分。</w:t>
            </w:r>
            <w:r/>
          </w:p>
          <w:p>
            <w:pPr>
              <w:pStyle w:val="731"/>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该评分点供应商如不实承诺，一经发现则按提供虚假材料</w:t>
            </w:r>
            <w:r>
              <w:rPr>
                <w:rFonts w:hint="eastAsia" w:ascii="宋体" w:hAnsi="宋体" w:cs="宋体"/>
                <w:spacing w:val="-3"/>
                <w:sz w:val="21"/>
                <w:szCs w:val="21"/>
                <w:lang w:val="zh-CN" w:bidi="zh-CN"/>
              </w:rPr>
              <w:t xml:space="preserve">谋取中标报财政监管部门。</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3分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bookmarkStart w:id="117" w:name="OLE_LINK4"/>
            <w:r>
              <w:rPr>
                <w:rFonts w:hint="eastAsia" w:ascii="宋体" w:hAnsi="宋体" w:cs="宋体"/>
                <w:spacing w:val="-6"/>
                <w:sz w:val="21"/>
                <w:szCs w:val="21"/>
                <w:lang w:bidi="zh-CN"/>
              </w:rPr>
              <w:t xml:space="preserve">客观分</w:t>
            </w:r>
            <w:bookmarkEnd w:id="117"/>
            <w:r>
              <w:rPr>
                <w:rFonts w:hint="eastAsia" w:ascii="宋体" w:hAnsi="宋体" w:cs="宋体"/>
                <w:spacing w:val="-6"/>
                <w:sz w:val="21"/>
                <w:szCs w:val="21"/>
                <w:lang w:bidi="zh-CN"/>
              </w:rPr>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3</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业绩</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从2023年1月1日起（以合同或合作协议签订时间为准）至投标截止之日止，投标人有承担过</w:t>
            </w:r>
            <w:r>
              <w:rPr>
                <w:rFonts w:hint="eastAsia" w:ascii="宋体" w:hAnsi="宋体" w:cs="宋体"/>
                <w:spacing w:val="-3"/>
                <w:sz w:val="21"/>
                <w:szCs w:val="21"/>
                <w:lang w:bidi="zh-CN"/>
              </w:rPr>
              <w:t xml:space="preserve">与本项目类似</w:t>
            </w:r>
            <w:r>
              <w:rPr>
                <w:rFonts w:hint="eastAsia" w:ascii="宋体" w:hAnsi="宋体" w:cs="宋体"/>
                <w:spacing w:val="-3"/>
                <w:sz w:val="21"/>
                <w:szCs w:val="21"/>
                <w:lang w:val="zh-CN" w:bidi="zh-CN"/>
              </w:rPr>
              <w:t xml:space="preserve">案例产品质量监督抽查</w:t>
            </w:r>
            <w:r>
              <w:rPr>
                <w:rFonts w:hint="eastAsia" w:ascii="宋体" w:hAnsi="宋体" w:cs="宋体"/>
                <w:spacing w:val="-3"/>
                <w:sz w:val="21"/>
                <w:szCs w:val="21"/>
                <w:lang w:bidi="zh-CN"/>
              </w:rPr>
              <w:t xml:space="preserve">业绩</w:t>
            </w:r>
            <w:r>
              <w:rPr>
                <w:rFonts w:hint="eastAsia" w:ascii="宋体" w:hAnsi="宋体" w:cs="宋体"/>
                <w:spacing w:val="-3"/>
                <w:sz w:val="21"/>
                <w:szCs w:val="21"/>
                <w:lang w:val="zh-CN" w:bidi="zh-CN"/>
              </w:rPr>
              <w:t xml:space="preserve">的，每例得3分，本项最高得9分。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相关项目合同（或合作协议）复印件并加盖投标供应商公章，需体现签约单位及盖章内容、合同（或合作协议）签订时间、主要服务内容及其他主要条款，未提供证明文件或者证明文件不清晰不完整或不符合要求的不得分。同一合同甲方的多份合同仅按一份计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9分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4</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项目团队负责人</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根据供应商拟投入本项目的项目负责人专业技术职称评分：</w:t>
            </w:r>
            <w:r/>
          </w:p>
          <w:p>
            <w:pPr>
              <w:pStyle w:val="731"/>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项目负责人具有副高级</w:t>
            </w:r>
            <w:bookmarkStart w:id="118" w:name="OLE_LINK9"/>
            <w:r>
              <w:rPr>
                <w:rFonts w:hint="eastAsia" w:ascii="宋体" w:hAnsi="宋体" w:cs="宋体"/>
                <w:spacing w:val="-3"/>
                <w:sz w:val="21"/>
                <w:szCs w:val="21"/>
                <w:lang w:val="zh-CN" w:bidi="zh-CN"/>
              </w:rPr>
              <w:t xml:space="preserve">(含)</w:t>
            </w:r>
            <w:bookmarkEnd w:id="118"/>
            <w:r>
              <w:rPr>
                <w:rFonts w:hint="eastAsia" w:ascii="宋体" w:hAnsi="宋体" w:cs="宋体"/>
                <w:spacing w:val="-3"/>
                <w:sz w:val="21"/>
                <w:szCs w:val="21"/>
                <w:lang w:bidi="zh-CN"/>
              </w:rPr>
              <w:t xml:space="preserve">以上</w:t>
            </w:r>
            <w:r>
              <w:rPr>
                <w:rFonts w:hint="eastAsia" w:ascii="宋体" w:hAnsi="宋体" w:cs="宋体"/>
                <w:spacing w:val="-3"/>
                <w:sz w:val="21"/>
                <w:szCs w:val="21"/>
                <w:lang w:val="zh-CN" w:bidi="zh-CN"/>
              </w:rPr>
              <w:t xml:space="preserve">专业技术职称，得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分；具有中级专业技术职称，得2</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rPr>
                <w:rFonts w:ascii="宋体" w:hAnsi="宋体" w:cs="宋体"/>
                <w:spacing w:val="-3"/>
                <w:sz w:val="21"/>
                <w:szCs w:val="21"/>
                <w:lang w:val="zh-CN" w:bidi="zh-CN"/>
              </w:rPr>
            </w:r>
            <w:r/>
          </w:p>
          <w:p>
            <w:pPr>
              <w:pStyle w:val="731"/>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w:t>
            </w:r>
            <w:r>
              <w:rPr>
                <w:rFonts w:ascii="宋体" w:hAnsi="宋体" w:cs="宋体"/>
                <w:spacing w:val="-3"/>
                <w:sz w:val="21"/>
                <w:szCs w:val="21"/>
                <w:lang w:val="zh-CN" w:bidi="zh-CN"/>
              </w:rPr>
              <w:t xml:space="preserve">名</w:t>
            </w:r>
            <w:r>
              <w:rPr>
                <w:rFonts w:hint="eastAsia" w:ascii="宋体" w:hAnsi="宋体" w:cs="宋体"/>
                <w:spacing w:val="-3"/>
                <w:sz w:val="21"/>
                <w:szCs w:val="21"/>
                <w:lang w:val="zh-CN" w:bidi="zh-CN"/>
              </w:rPr>
              <w:t xml:space="preserve">单 </w:t>
            </w:r>
            <w:r>
              <w:rPr>
                <w:rFonts w:hint="eastAsia" w:ascii="宋体" w:hAnsi="宋体" w:cs="宋体"/>
                <w:spacing w:val="-3"/>
                <w:sz w:val="21"/>
                <w:szCs w:val="21"/>
                <w:lang w:bidi="zh-CN"/>
              </w:rPr>
              <w:t xml:space="preserve">②</w:t>
            </w:r>
            <w:r>
              <w:rPr>
                <w:rFonts w:hint="eastAsia" w:ascii="宋体" w:hAnsi="宋体" w:cs="宋体"/>
                <w:spacing w:val="-3"/>
                <w:sz w:val="21"/>
                <w:szCs w:val="21"/>
                <w:lang w:val="zh-CN" w:bidi="zh-CN"/>
              </w:rPr>
              <w:t xml:space="preserve">职称证明材料复印件 </w:t>
            </w:r>
            <w:r>
              <w:rPr>
                <w:rFonts w:hint="eastAsia" w:ascii="宋体" w:hAnsi="宋体" w:cs="宋体"/>
                <w:spacing w:val="-3"/>
                <w:sz w:val="21"/>
                <w:szCs w:val="21"/>
                <w:lang w:bidi="zh-CN"/>
              </w:rPr>
              <w:t xml:space="preserve">③</w:t>
            </w:r>
            <w:r>
              <w:rPr>
                <w:rFonts w:hint="eastAsia" w:ascii="宋体" w:hAnsi="宋体" w:cs="宋体"/>
                <w:spacing w:val="-3"/>
                <w:sz w:val="21"/>
                <w:szCs w:val="21"/>
                <w:lang w:val="zh-CN" w:bidi="zh-CN"/>
              </w:rPr>
              <w:t xml:space="preserve">供应商为其缴纳社保的证明材料：如为供应商自有在职人员，需同时提供2026年01月至递交投标文件截止之日期间任意一月由投标人为其缴纳社保基金的证明材料；若为劳务派遣人员，需同时提供项目负责人个人的劳动合同、投标人与人事代理（劳务外包）公司签订的人事代理（劳务外包）合同、2026年01月至递交投标文件截止之日期间任意一月人事代理（劳务外包）公司为其缴纳社</w:t>
            </w:r>
            <w:r>
              <w:rPr>
                <w:rFonts w:hint="eastAsia" w:ascii="宋体" w:hAnsi="宋体" w:cs="宋体"/>
                <w:spacing w:val="-3"/>
                <w:sz w:val="21"/>
                <w:szCs w:val="21"/>
                <w:lang w:val="zh-CN" w:bidi="zh-CN"/>
              </w:rPr>
              <w:t xml:space="preserve">保证明材料。退休返聘人员不得分。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上述评分点证明资料不完整或不一致或不符合要求的不计分。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5分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5</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项目团队成员</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供应商拟投入本项目的项目组成员（</w:t>
            </w:r>
            <w:r>
              <w:rPr>
                <w:rFonts w:hint="eastAsia" w:ascii="宋体" w:hAnsi="宋体" w:cs="宋体"/>
                <w:spacing w:val="-3"/>
                <w:sz w:val="21"/>
                <w:szCs w:val="21"/>
                <w:lang w:bidi="zh-CN"/>
              </w:rPr>
              <w:t xml:space="preserve">不</w:t>
            </w:r>
            <w:r>
              <w:rPr>
                <w:rFonts w:hint="eastAsia" w:ascii="宋体" w:hAnsi="宋体" w:cs="宋体"/>
                <w:spacing w:val="-3"/>
                <w:sz w:val="21"/>
                <w:szCs w:val="21"/>
                <w:lang w:val="zh-CN" w:bidi="zh-CN"/>
              </w:rPr>
              <w:t xml:space="preserve">含项目负责人）</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（1）具有中级（含）以上专业技术职称的检验人员或具有8年以上所投包产品检验工作经历的人员数量≥8人，同时抽样人员数量≥10人，同时满足上述两点得</w:t>
            </w:r>
            <w:r>
              <w:rPr>
                <w:rFonts w:hint="eastAsia" w:ascii="宋体" w:hAnsi="宋体" w:cs="宋体"/>
                <w:spacing w:val="-3"/>
                <w:sz w:val="21"/>
                <w:szCs w:val="21"/>
                <w:lang w:bidi="zh-CN"/>
              </w:rPr>
              <w:t xml:space="preserve">7</w:t>
            </w:r>
            <w:r>
              <w:rPr>
                <w:rFonts w:hint="eastAsia" w:ascii="宋体" w:hAnsi="宋体" w:cs="宋体"/>
                <w:spacing w:val="-3"/>
                <w:sz w:val="21"/>
                <w:szCs w:val="21"/>
                <w:lang w:val="zh-CN" w:bidi="zh-CN"/>
              </w:rPr>
              <w:t xml:space="preserve">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（2）具有中级（含）以上专业技术职称的检验人员或具有8年以上所投包产品检验工作经历的人员数量介于5（含）人-7（含）人之间的，同时抽样人员数量在7（含）人-9（含）人之间的，同时满足上述两点得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（3）其他</w:t>
            </w:r>
            <w:r>
              <w:rPr>
                <w:rFonts w:hint="eastAsia" w:ascii="宋体" w:hAnsi="宋体" w:cs="宋体"/>
                <w:spacing w:val="-3"/>
                <w:sz w:val="21"/>
                <w:szCs w:val="21"/>
                <w:lang w:bidi="zh-CN"/>
              </w:rPr>
              <w:t xml:space="preserve">或未提供或不符合要求不得分</w:t>
            </w:r>
            <w:r>
              <w:rPr>
                <w:rFonts w:hint="eastAsia" w:ascii="宋体" w:hAnsi="宋体" w:cs="宋体"/>
                <w:spacing w:val="-3"/>
                <w:sz w:val="21"/>
                <w:szCs w:val="21"/>
                <w:lang w:val="zh-CN" w:bidi="zh-CN"/>
              </w:rPr>
              <w:t xml:space="preserve">。</w:t>
            </w:r>
            <w:r/>
          </w:p>
          <w:p>
            <w:pPr>
              <w:pStyle w:val="731"/>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31"/>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rPr>
                <w:rFonts w:ascii="宋体" w:hAnsi="宋体" w:cs="宋体"/>
                <w:spacing w:val="-3"/>
                <w:sz w:val="21"/>
                <w:szCs w:val="21"/>
                <w:lang w:val="zh-CN"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①人员清单 ②职称或工作经验证明材料 ③供应商为其缴纳社保的证明材料，所有参与评分的人员：如为供应商自有在职人员，均需同时提供一一对应的2026年01月至递交投标文件截止之日期间任意一月由投标人为其缴纳社保基金的证明材料；若为劳务派遣人员，均需同时提供一一对应的团队成员个人的劳动合同、投标人与人事代理（劳务外包）公司签订的人事代理（劳务外包）合同、2026年01月至递交投标文件截止之日期间任意一月人事代理（劳务外包）公司为团队成员缴纳社保</w:t>
            </w:r>
            <w:r>
              <w:rPr>
                <w:rFonts w:hint="eastAsia" w:ascii="宋体" w:hAnsi="宋体" w:cs="宋体"/>
                <w:spacing w:val="-3"/>
                <w:sz w:val="21"/>
                <w:szCs w:val="21"/>
                <w:lang w:val="zh-CN" w:bidi="zh-CN"/>
              </w:rPr>
              <w:t xml:space="preserve">证明材料。退休返聘人员不得分。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val="zh-CN" w:bidi="zh-CN"/>
              </w:rPr>
              <w:t xml:space="preserve">上述评分点证明资料不完整或不一致或不符合要求的不计分。</w:t>
            </w:r>
            <w:r>
              <w:rPr>
                <w:rFonts w:ascii="宋体" w:hAnsi="宋体" w:cs="宋体"/>
                <w:spacing w:val="-3"/>
                <w:sz w:val="21"/>
                <w:szCs w:val="21"/>
                <w:lang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此评分点中抽样人员与检验人员不得重复，如有重复在符合人员要求的前提下优先按检验人员计算，不重复计算。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7分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6</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快速响应服务时效</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供应商承诺在出现突发状况时2小时内予以响应，和采购人及时沟通情况，提出解决思路和初步措施的，得4分。</w:t>
            </w:r>
            <w:r>
              <w:rPr>
                <w:rFonts w:ascii="宋体" w:hAnsi="宋体" w:cs="宋体"/>
                <w:spacing w:val="-3"/>
                <w:sz w:val="21"/>
                <w:szCs w:val="21"/>
                <w:lang w:val="zh-CN"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提供书面承诺函，格式自拟，并加盖CA公章。</w:t>
            </w:r>
            <w:r>
              <w:rPr>
                <w:rFonts w:hint="eastAsia" w:ascii="宋体" w:hAnsi="宋体" w:cs="宋体"/>
                <w:sz w:val="21"/>
                <w:szCs w:val="21"/>
                <w:lang w:val="zh-CN" w:bidi="zh-CN"/>
              </w:rPr>
              <w:t xml:space="preserve">未提供或不符合要求者不得分。</w:t>
            </w:r>
            <w:r>
              <w:rPr>
                <w:rFonts w:hint="eastAsia" w:ascii="宋体" w:hAnsi="宋体" w:cs="宋体"/>
                <w:spacing w:val="-3"/>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4分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7</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实验室检测设备配置情况</w:t>
            </w:r>
            <w:r/>
          </w:p>
        </w:tc>
        <w:tc>
          <w:tcPr>
            <w:tcBorders>
              <w:top w:val="single" w:color="000000" w:sz="4" w:space="0"/>
              <w:left w:val="single" w:color="000000" w:sz="4" w:space="0"/>
              <w:bottom w:val="single" w:color="000000" w:sz="4" w:space="0"/>
              <w:right w:val="single" w:color="000000" w:sz="4" w:space="0"/>
            </w:tcBorders>
            <w:tcW w:w="6238" w:type="dxa"/>
            <w:vAlign w:val="top"/>
            <w:textDirection w:val="lrTb"/>
            <w:noWrap w:val="false"/>
          </w:tcPr>
          <w:p>
            <w:pPr>
              <w:pStyle w:val="731"/>
              <w:spacing w:after="0" w:line="240" w:lineRule="auto"/>
              <w:widowControl w:val="off"/>
              <w:rPr>
                <w:rFonts w:hint="eastAsia" w:ascii="宋体" w:hAnsi="宋体" w:cs="宋体"/>
                <w:sz w:val="21"/>
                <w:szCs w:val="21"/>
                <w:lang w:bidi="zh-CN"/>
              </w:rPr>
            </w:pPr>
            <w:r/>
            <w:bookmarkStart w:id="119" w:name="OLE_LINK11"/>
            <w:r>
              <w:rPr>
                <w:rFonts w:hint="eastAsia" w:ascii="宋体" w:hAnsi="宋体" w:cs="宋体"/>
                <w:sz w:val="21"/>
                <w:szCs w:val="21"/>
                <w:lang w:bidi="zh-CN"/>
              </w:rPr>
              <w:t xml:space="preserve">供应商应承诺在服务期间投入的所有仪器设备在计量（校准）有效期内，覆盖所投采购包风险动态监测产品全部检验项目，精度适宜、数量充足，能够满足所投采购包产品所有检验项目的检测需要。</w:t>
            </w:r>
            <w:bookmarkEnd w:id="119"/>
            <w:r>
              <w:rPr>
                <w:rFonts w:hint="eastAsia" w:ascii="宋体" w:hAnsi="宋体" w:cs="宋体"/>
                <w:sz w:val="21"/>
                <w:szCs w:val="21"/>
                <w:lang w:bidi="zh-CN"/>
              </w:rPr>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z w:val="21"/>
                <w:szCs w:val="21"/>
                <w:lang w:bidi="zh-CN"/>
              </w:rPr>
              <w:t xml:space="preserve">需提供书面承诺函并加盖CA公章。未提供或不符合要求者不得分。</w:t>
            </w:r>
            <w:r>
              <w:rPr>
                <w:rFonts w:hint="eastAsia" w:ascii="宋体" w:hAnsi="宋体" w:cs="宋体"/>
                <w:spacing w:val="-3"/>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3</w:t>
            </w:r>
            <w:r>
              <w:rPr>
                <w:rFonts w:hint="eastAsia" w:ascii="宋体" w:hAnsi="宋体" w:cs="宋体"/>
                <w:spacing w:val="-6"/>
                <w:sz w:val="21"/>
                <w:szCs w:val="21"/>
                <w:lang w:val="zh-CN" w:bidi="zh-CN"/>
              </w:rPr>
              <w:t xml:space="preserve">分</w:t>
            </w:r>
            <w:r>
              <w:rPr>
                <w:rFonts w:hint="eastAsia"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w:t>
            </w:r>
            <w:r>
              <w:rPr>
                <w:rFonts w:hint="eastAsia" w:ascii="宋体" w:hAnsi="宋体" w:cs="宋体"/>
                <w:spacing w:val="-6"/>
                <w:sz w:val="21"/>
                <w:szCs w:val="21"/>
                <w:lang w:val="zh-CN" w:bidi="zh-CN"/>
              </w:rPr>
              <w:t xml:space="preserve">观分</w:t>
            </w:r>
            <w:r>
              <w:rPr>
                <w:rFonts w:hint="eastAsia" w:ascii="宋体" w:hAnsi="宋体" w:cs="宋体"/>
                <w:spacing w:val="-6"/>
                <w:sz w:val="21"/>
                <w:szCs w:val="21"/>
                <w:lang w:bidi="zh-CN"/>
              </w:rPr>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bookmarkEnd w:id="116"/>
            <w:r>
              <w:rPr>
                <w:rFonts w:hint="eastAsia" w:ascii="宋体" w:hAnsi="宋体" w:cs="宋体"/>
                <w:sz w:val="21"/>
                <w:szCs w:val="21"/>
                <w:lang w:bidi="zh-CN"/>
              </w:rPr>
              <w:t xml:space="preserve">8</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抽样、检验工作管理制度</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根据需求响应方案中供应商针对本项目拟定的抽样、检验工作管理制度予以评审，</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6分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9</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样品管理、处置工作管理制度</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根据需求响应方案中供应商针对本项目拟定的样品管理、处置</w:t>
            </w:r>
            <w:r>
              <w:rPr>
                <w:rFonts w:hint="eastAsia" w:ascii="宋体" w:hAnsi="宋体" w:cs="宋体"/>
                <w:spacing w:val="-3"/>
                <w:sz w:val="21"/>
                <w:szCs w:val="21"/>
                <w:lang w:val="zh-CN" w:bidi="zh-CN"/>
              </w:rPr>
              <w:t xml:space="preserve">工作管理制度予以评审，</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6分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10</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结果上报管理制度</w:t>
            </w:r>
            <w:r/>
          </w:p>
          <w:p>
            <w:pPr>
              <w:pStyle w:val="731"/>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根据需求响应方案中供应商针对本项目拟定的结果上报管理制度予以评审，</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（3）内容有欠缺需进一步修改完善的得2分；</w:t>
            </w:r>
            <w:r/>
          </w:p>
          <w:p>
            <w:pPr>
              <w:pStyle w:val="731"/>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6分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1939"/>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11</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产业行业了解情况</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根据需求响应方案中供应商针对监测产品相关产业行业分析</w:t>
            </w:r>
            <w:r>
              <w:rPr>
                <w:rFonts w:hint="eastAsia" w:ascii="宋体" w:hAnsi="宋体" w:cs="宋体"/>
                <w:spacing w:val="-3"/>
                <w:sz w:val="21"/>
                <w:szCs w:val="21"/>
                <w:lang w:bidi="zh-CN"/>
              </w:rPr>
              <w:t xml:space="preserve">情况予以评审，</w:t>
            </w:r>
            <w:r>
              <w:rPr>
                <w:rFonts w:hint="eastAsia" w:ascii="宋体" w:hAnsi="宋体" w:cs="宋体"/>
                <w:spacing w:val="-3"/>
                <w:sz w:val="21"/>
                <w:szCs w:val="21"/>
                <w:lang w:val="zh-CN" w:bidi="zh-CN"/>
              </w:rPr>
              <w:t xml:space="preserve">内容需包含产业分布状况、监测产品产业当前状态、专业市场现状、产品的质量现状、存在的风险点、应用前景和发展趋势</w:t>
            </w:r>
            <w:r>
              <w:rPr>
                <w:rFonts w:hint="eastAsia" w:ascii="宋体" w:hAnsi="宋体" w:cs="宋体"/>
                <w:spacing w:val="-3"/>
                <w:sz w:val="21"/>
                <w:szCs w:val="21"/>
                <w:lang w:bidi="zh-CN"/>
              </w:rPr>
              <w:t xml:space="preserve">等。</w:t>
            </w:r>
            <w:r/>
          </w:p>
          <w:p>
            <w:pPr>
              <w:pStyle w:val="731"/>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1</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优于需求得</w:t>
            </w:r>
            <w:r>
              <w:rPr>
                <w:rFonts w:hint="eastAsia" w:ascii="宋体" w:hAnsi="宋体" w:cs="宋体"/>
                <w:spacing w:val="-3"/>
                <w:sz w:val="21"/>
                <w:szCs w:val="21"/>
                <w:lang w:bidi="zh-CN"/>
              </w:rPr>
              <w:t xml:space="preserve">9</w:t>
            </w:r>
            <w:r>
              <w:rPr>
                <w:rFonts w:ascii="宋体" w:hAnsi="宋体" w:cs="宋体"/>
                <w:spacing w:val="-3"/>
                <w:sz w:val="21"/>
                <w:szCs w:val="21"/>
                <w:lang w:bidi="zh-CN"/>
              </w:rPr>
              <w:t xml:space="preserve">分；</w:t>
            </w:r>
            <w:r/>
          </w:p>
          <w:p>
            <w:pPr>
              <w:pStyle w:val="731"/>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满足需求得</w:t>
            </w:r>
            <w:r>
              <w:rPr>
                <w:rFonts w:hint="eastAsia" w:ascii="宋体" w:hAnsi="宋体" w:cs="宋体"/>
                <w:spacing w:val="-3"/>
                <w:sz w:val="21"/>
                <w:szCs w:val="21"/>
                <w:lang w:bidi="zh-CN"/>
              </w:rPr>
              <w:t xml:space="preserve">6</w:t>
            </w:r>
            <w:r>
              <w:rPr>
                <w:rFonts w:ascii="宋体" w:hAnsi="宋体" w:cs="宋体"/>
                <w:spacing w:val="-3"/>
                <w:sz w:val="21"/>
                <w:szCs w:val="21"/>
                <w:lang w:bidi="zh-CN"/>
              </w:rPr>
              <w:t xml:space="preserve">分；</w:t>
            </w:r>
            <w:r/>
          </w:p>
          <w:p>
            <w:pPr>
              <w:pStyle w:val="731"/>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3</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内容有欠缺需进一步修改完善的得</w:t>
            </w: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分；</w:t>
            </w:r>
            <w:r/>
          </w:p>
          <w:p>
            <w:pPr>
              <w:pStyle w:val="731"/>
              <w:ind w:left="425" w:hanging="425"/>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4</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9分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12</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服务方案(前期准备工作)</w:t>
            </w:r>
            <w:r>
              <w:rPr>
                <w:rFonts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根据需求响应方案中供应商针对本次产品质量风险动态监测服务的前期准备工作予以评审，具体包括工作部署、抽样工作的详细内容及组织安排、样品购买、样品接收及核查方案等。</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w:t>
            </w:r>
            <w:r>
              <w:rPr>
                <w:rFonts w:ascii="宋体" w:hAnsi="宋体" w:cs="宋体"/>
                <w:spacing w:val="-3"/>
                <w:sz w:val="21"/>
                <w:szCs w:val="21"/>
                <w:lang w:bidi="zh-CN"/>
              </w:rPr>
              <w:t xml:space="preserve">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8分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13</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服务方案(后期准备工作)</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根据需求响应方案中供应商针对本次产品质量风险动态监测服务的后期准备工作予以评审，</w:t>
            </w:r>
            <w:bookmarkStart w:id="120" w:name="OLE_LINK19"/>
            <w:r>
              <w:rPr>
                <w:rFonts w:ascii="宋体" w:hAnsi="宋体" w:cs="宋体"/>
                <w:spacing w:val="-3"/>
                <w:sz w:val="21"/>
                <w:szCs w:val="21"/>
                <w:lang w:bidi="zh-CN"/>
              </w:rPr>
              <w:t xml:space="preserve">具体包括检验工作安排、检验结果报送、样品处置及保密工作等方案</w:t>
            </w:r>
            <w:r>
              <w:rPr>
                <w:rFonts w:hint="eastAsia" w:ascii="宋体" w:hAnsi="宋体" w:cs="宋体"/>
                <w:spacing w:val="-3"/>
                <w:sz w:val="21"/>
                <w:szCs w:val="21"/>
                <w:lang w:bidi="zh-CN"/>
              </w:rPr>
              <w:t xml:space="preserve">。</w:t>
            </w:r>
            <w:bookmarkEnd w:id="120"/>
            <w:r>
              <w:rPr>
                <w:rFonts w:hint="eastAsia" w:ascii="宋体" w:hAnsi="宋体" w:cs="宋体"/>
                <w:spacing w:val="-3"/>
                <w:sz w:val="21"/>
                <w:szCs w:val="21"/>
                <w:lang w:bidi="zh-CN"/>
              </w:rPr>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内容有欠缺需进一步修改完善的得2分；</w:t>
            </w:r>
            <w:r/>
          </w:p>
          <w:p>
            <w:pPr>
              <w:pStyle w:val="731"/>
              <w:jc w:val="both"/>
              <w:spacing w:after="0" w:line="240" w:lineRule="auto"/>
              <w:widowControl w:val="off"/>
              <w:rPr>
                <w:rFonts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8分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14</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重点难点问题分析及解决方案</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pStyle w:val="731"/>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根据需求响应方案中供应商针对本次产品质量风险动态监测服务的重点难点问题分析及解决方案予以评审。</w:t>
            </w:r>
            <w:r/>
          </w:p>
          <w:p>
            <w:pPr>
              <w:pStyle w:val="731"/>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（1）优于需求得8分；</w:t>
            </w:r>
            <w:r/>
          </w:p>
          <w:p>
            <w:pPr>
              <w:pStyle w:val="731"/>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（2）满足需求得5分；</w:t>
            </w:r>
            <w:r/>
          </w:p>
          <w:p>
            <w:pPr>
              <w:pStyle w:val="731"/>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（3）内容有欠缺需进一步修改完善的得2分；</w:t>
            </w:r>
            <w:r/>
          </w:p>
          <w:p>
            <w:pPr>
              <w:pStyle w:val="731"/>
              <w:jc w:val="both"/>
              <w:spacing w:after="0" w:line="240" w:lineRule="auto"/>
              <w:widowControl w:val="off"/>
              <w:tabs>
                <w:tab w:val="left" w:pos="720" w:leader="none"/>
              </w:tabs>
              <w:rPr>
                <w:rFonts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ascii="宋体" w:hAnsi="宋体" w:cs="宋体"/>
                <w:spacing w:val="-3"/>
                <w:sz w:val="21"/>
                <w:szCs w:val="21"/>
                <w:lang w:bidi="zh-CN"/>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8分</w:t>
            </w:r>
            <w:r>
              <w:rPr>
                <w:rFonts w:ascii="宋体" w:hAnsi="宋体" w:cs="宋体"/>
                <w:spacing w:val="-6"/>
                <w:sz w:val="21"/>
                <w:szCs w:val="21"/>
                <w:lang w:bidi="zh-CN"/>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90"/>
          <w:tblHeader/>
        </w:trPr>
        <w:tc>
          <w:tcPr>
            <w:tcBorders>
              <w:left w:val="single" w:color="000000" w:sz="4" w:space="0"/>
              <w:right w:val="single" w:color="000000" w:sz="4" w:space="0"/>
            </w:tcBorders>
            <w:tcW w:w="817" w:type="dxa"/>
            <w:vAlign w:val="center"/>
            <w:textDirection w:val="lrTb"/>
            <w:noWrap w:val="false"/>
          </w:tcPr>
          <w:p>
            <w:pPr>
              <w:pStyle w:val="731"/>
              <w:jc w:val="center"/>
              <w:rPr>
                <w:rFonts w:hint="eastAsia" w:ascii="宋体" w:hAnsi="宋体" w:cs="宋体"/>
                <w:sz w:val="21"/>
                <w:szCs w:val="21"/>
                <w:lang w:bidi="zh-CN"/>
              </w:rPr>
            </w:pPr>
            <w:r>
              <w:rPr>
                <w:rFonts w:hint="eastAsia" w:ascii="宋体" w:hAnsi="宋体" w:cs="宋体"/>
                <w:sz w:val="21"/>
                <w:szCs w:val="21"/>
                <w:lang w:bidi="zh-CN"/>
              </w:rPr>
              <w:t xml:space="preserve">15</w:t>
            </w:r>
            <w:r/>
          </w:p>
        </w:tc>
        <w:tc>
          <w:tcPr>
            <w:tcBorders>
              <w:top w:val="single" w:color="000000" w:sz="4" w:space="0"/>
              <w:left w:val="single" w:color="000000" w:sz="4" w:space="0"/>
              <w:right w:val="single" w:color="000000" w:sz="4" w:space="0"/>
            </w:tcBorders>
            <w:tcW w:w="954" w:type="dxa"/>
            <w:vAlign w:val="center"/>
            <w:textDirection w:val="lrTb"/>
            <w:noWrap w:val="false"/>
          </w:tcPr>
          <w:p>
            <w:pPr>
              <w:pStyle w:val="731"/>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突发事件应急处置预案</w:t>
            </w:r>
            <w:r/>
          </w:p>
        </w:tc>
        <w:tc>
          <w:tcPr>
            <w:tcBorders>
              <w:top w:val="single" w:color="000000" w:sz="4" w:space="0"/>
              <w:left w:val="single" w:color="000000" w:sz="4" w:space="0"/>
              <w:bottom w:val="single" w:color="000000" w:sz="4" w:space="0"/>
              <w:right w:val="single" w:color="000000" w:sz="4" w:space="0"/>
            </w:tcBorders>
            <w:tcW w:w="6238" w:type="dxa"/>
            <w:vAlign w:val="top"/>
            <w:textDirection w:val="lrTb"/>
            <w:noWrap w:val="false"/>
          </w:tcPr>
          <w:p>
            <w:pPr>
              <w:pStyle w:val="731"/>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根据供应商突发事件应急处置预案进行评分。突发事件应急处置预案</w:t>
            </w:r>
            <w:r>
              <w:rPr>
                <w:rFonts w:hint="eastAsia" w:ascii="宋体" w:hAnsi="宋体" w:cs="宋体"/>
                <w:sz w:val="21"/>
                <w:szCs w:val="21"/>
                <w:lang w:bidi="zh-CN"/>
              </w:rPr>
              <w:t xml:space="preserve">内容主要</w:t>
            </w:r>
            <w:r>
              <w:rPr>
                <w:rFonts w:hint="eastAsia" w:ascii="宋体" w:hAnsi="宋体" w:cs="宋体"/>
                <w:sz w:val="21"/>
                <w:szCs w:val="21"/>
                <w:lang w:val="zh-CN" w:bidi="zh-CN"/>
              </w:rPr>
              <w:t xml:space="preserve">包括抽检过程中可能遇到的各类突发情况，以及对应的应急解决处置措施。</w:t>
            </w:r>
            <w:r/>
          </w:p>
          <w:p>
            <w:pPr>
              <w:pStyle w:val="731"/>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优于需求得8分；</w:t>
            </w:r>
            <w:r/>
          </w:p>
          <w:p>
            <w:pPr>
              <w:pStyle w:val="731"/>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满足需求得5分；</w:t>
            </w:r>
            <w:r/>
          </w:p>
          <w:p>
            <w:pPr>
              <w:pStyle w:val="731"/>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内容有欠缺需进一步修改完善的得2分；</w:t>
            </w:r>
            <w:r/>
          </w:p>
          <w:p>
            <w:pPr>
              <w:pStyle w:val="731"/>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其他或未提供不得分。</w:t>
            </w:r>
            <w:r>
              <w:rPr>
                <w:rFonts w:hint="eastAsia" w:ascii="宋体" w:hAnsi="宋体" w:cs="宋体"/>
                <w:b/>
                <w:bCs/>
                <w:sz w:val="21"/>
                <w:szCs w:val="21"/>
                <w:lang w:val="zh-CN" w:bidi="zh-CN"/>
              </w:rPr>
            </w:r>
            <w:r/>
          </w:p>
        </w:tc>
        <w:tc>
          <w:tcPr>
            <w:tcBorders>
              <w:top w:val="single" w:color="000000" w:sz="4" w:space="0"/>
              <w:left w:val="single" w:color="000000" w:sz="4" w:space="0"/>
              <w:right w:val="single" w:color="000000" w:sz="4" w:space="0"/>
            </w:tcBorders>
            <w:tcW w:w="888"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val="zh-CN" w:bidi="zh-CN"/>
              </w:rPr>
              <w:outlineLvl w:val="1"/>
            </w:pPr>
            <w:r/>
            <w:bookmarkStart w:id="121" w:name="_Toc192946467"/>
            <w:r>
              <w:rPr>
                <w:rFonts w:hint="eastAsia" w:ascii="宋体" w:hAnsi="宋体" w:cs="宋体"/>
                <w:spacing w:val="-6"/>
                <w:sz w:val="21"/>
                <w:szCs w:val="21"/>
                <w:lang w:bidi="zh-CN"/>
              </w:rPr>
              <w:t xml:space="preserve">8</w:t>
            </w:r>
            <w:r>
              <w:rPr>
                <w:rFonts w:hint="eastAsia" w:ascii="宋体" w:hAnsi="宋体" w:cs="宋体"/>
                <w:spacing w:val="-6"/>
                <w:sz w:val="21"/>
                <w:szCs w:val="21"/>
                <w:lang w:val="zh-CN" w:bidi="zh-CN"/>
              </w:rPr>
              <w:t xml:space="preserve">分</w:t>
            </w:r>
            <w:bookmarkEnd w:id="121"/>
            <w:r>
              <w:rPr>
                <w:rFonts w:hint="eastAsia" w:ascii="宋体" w:hAnsi="宋体" w:cs="宋体"/>
                <w:spacing w:val="-6"/>
                <w:sz w:val="21"/>
                <w:szCs w:val="21"/>
                <w:lang w:val="zh-CN" w:bidi="zh-CN"/>
              </w:rPr>
            </w:r>
            <w:r/>
          </w:p>
        </w:tc>
        <w:tc>
          <w:tcPr>
            <w:tcBorders>
              <w:top w:val="single" w:color="000000" w:sz="4" w:space="0"/>
              <w:left w:val="single" w:color="000000" w:sz="4" w:space="0"/>
              <w:right w:val="single" w:color="000000" w:sz="4" w:space="0"/>
            </w:tcBorders>
            <w:tcW w:w="566" w:type="dxa"/>
            <w:vAlign w:val="center"/>
            <w:textDirection w:val="lrTb"/>
            <w:noWrap w:val="false"/>
          </w:tcPr>
          <w:p>
            <w:pPr>
              <w:pStyle w:val="731"/>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bl>
    <w:p>
      <w:pPr>
        <w:pStyle w:val="731"/>
        <w:spacing w:before="120" w:after="120" w:line="360" w:lineRule="auto"/>
        <w:widowControl w:val="off"/>
        <w:rPr>
          <w:rFonts w:ascii="Arial" w:hAnsi="Arial" w:cs="Arial"/>
          <w:sz w:val="24"/>
          <w:szCs w:val="24"/>
        </w:rPr>
      </w:pPr>
      <w:r>
        <w:rPr>
          <w:rFonts w:ascii="Arial" w:hAnsi="Arial" w:cs="Arial"/>
          <w:sz w:val="24"/>
          <w:szCs w:val="24"/>
        </w:rPr>
      </w:r>
      <w:r/>
    </w:p>
    <w:p>
      <w:pPr>
        <w:pStyle w:val="731"/>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31"/>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（2）供应</w:t>
      </w:r>
      <w:r>
        <w:rPr>
          <w:rFonts w:hint="eastAsia" w:ascii="宋体" w:hAnsi="Arial"/>
          <w:sz w:val="24"/>
          <w:szCs w:val="24"/>
        </w:rPr>
        <w:t xml:space="preserve">商需按照采购文件的要求提供相应的《中小企业声明函》。</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31"/>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w:t>
      </w:r>
      <w:r>
        <w:rPr>
          <w:rFonts w:hint="eastAsia" w:ascii="宋体" w:hAnsi="Arial"/>
          <w:sz w:val="24"/>
          <w:szCs w:val="24"/>
        </w:rPr>
        <w:t xml:space="preserve">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31"/>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w:t>
      </w:r>
      <w:r>
        <w:rPr>
          <w:rFonts w:hint="eastAsia" w:ascii="宋体" w:hAnsi="Arial"/>
          <w:sz w:val="24"/>
          <w:szCs w:val="24"/>
        </w:rPr>
        <w:t xml:space="preserve">品政府采购品目清单在中国政府采购网（http://www.ccgp.gov.cn/）上发布。</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31"/>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Arial" w:hAnsi="Arial" w:cs="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ascii="宋体" w:hAnsi="Arial"/>
          <w:sz w:val="24"/>
          <w:szCs w:val="24"/>
        </w:rPr>
      </w:pPr>
      <w:r>
        <w:rPr>
          <w:rFonts w:ascii="宋体" w:hAnsi="Arial"/>
          <w:sz w:val="24"/>
          <w:szCs w:val="24"/>
        </w:rPr>
      </w:r>
      <w:r/>
    </w:p>
    <w:p>
      <w:pPr>
        <w:pStyle w:val="731"/>
        <w:ind w:firstLine="480"/>
        <w:spacing w:before="120" w:after="120" w:line="400" w:lineRule="exact"/>
        <w:widowControl w:val="off"/>
        <w:rPr>
          <w:rFonts w:hint="eastAsia" w:ascii="宋体" w:hAnsi="Arial"/>
          <w:sz w:val="24"/>
          <w:szCs w:val="24"/>
        </w:rPr>
      </w:pPr>
      <w:r>
        <w:rPr>
          <w:rFonts w:hint="eastAsia" w:ascii="宋体" w:hAnsi="Arial"/>
          <w:sz w:val="24"/>
          <w:szCs w:val="24"/>
        </w:rPr>
      </w:r>
      <w:r/>
    </w:p>
    <w:p>
      <w:pPr>
        <w:pStyle w:val="732"/>
        <w:jc w:val="center"/>
        <w:keepLines w:val="0"/>
        <w:spacing w:before="0" w:line="240" w:lineRule="auto"/>
        <w:widowControl w:val="off"/>
        <w:rPr>
          <w:rFonts w:ascii="黑体" w:hAnsi="楷体_GB2312" w:eastAsia="黑体"/>
          <w:b w:val="0"/>
          <w:bCs w:val="0"/>
          <w:color w:val="000000"/>
          <w:sz w:val="44"/>
          <w:szCs w:val="44"/>
        </w:rPr>
      </w:pPr>
      <w:r/>
      <w:bookmarkEnd w:id="92"/>
      <w:r/>
      <w:bookmarkEnd w:id="93"/>
      <w:r/>
      <w:bookmarkEnd w:id="94"/>
      <w:r/>
      <w:bookmarkStart w:id="122" w:name="_Toc192946475"/>
      <w:r/>
      <w:bookmarkStart w:id="123" w:name="_Toc17291678"/>
      <w:r/>
      <w:bookmarkStart w:id="124" w:name="_Toc17291090"/>
      <w:r>
        <w:rPr>
          <w:rFonts w:hint="eastAsia" w:ascii="黑体" w:hAnsi="楷体_GB2312" w:eastAsia="黑体"/>
          <w:b w:val="0"/>
          <w:bCs w:val="0"/>
          <w:color w:val="000000"/>
          <w:sz w:val="44"/>
          <w:szCs w:val="44"/>
        </w:rPr>
        <w:t xml:space="preserve">第六章  投标文件格式</w:t>
      </w:r>
      <w:bookmarkEnd w:id="122"/>
      <w:r/>
      <w:bookmarkEnd w:id="123"/>
      <w:r/>
      <w:bookmarkEnd w:id="124"/>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31"/>
        <w:jc w:val="center"/>
        <w:spacing w:after="0" w:line="240" w:lineRule="auto"/>
        <w:widowControl w:val="off"/>
        <w:rPr>
          <w:rFonts w:ascii="宋体"/>
          <w:b/>
          <w:sz w:val="72"/>
        </w:rPr>
      </w:pPr>
      <w:r/>
      <w:bookmarkStart w:id="125" w:name="_Hlt26671244"/>
      <w:r/>
      <w:bookmarkEnd w:id="125"/>
      <w:r/>
      <w:bookmarkStart w:id="126" w:name="_Hlt26955039"/>
      <w:r/>
      <w:bookmarkEnd w:id="126"/>
      <w:r>
        <w:rPr>
          <w:rFonts w:ascii="宋体"/>
          <w:b/>
          <w:sz w:val="72"/>
        </w:rPr>
      </w:r>
      <w:r/>
    </w:p>
    <w:p>
      <w:pPr>
        <w:pStyle w:val="731"/>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31"/>
        <w:jc w:val="center"/>
        <w:spacing w:after="0" w:line="240" w:lineRule="auto"/>
        <w:widowControl w:val="off"/>
        <w:rPr>
          <w:rFonts w:ascii="宋体"/>
          <w:b/>
          <w:sz w:val="72"/>
        </w:rPr>
      </w:pPr>
      <w:r>
        <w:rPr>
          <w:rFonts w:ascii="宋体"/>
          <w:b/>
          <w:sz w:val="72"/>
        </w:rPr>
      </w:r>
      <w:r/>
    </w:p>
    <w:p>
      <w:pPr>
        <w:pStyle w:val="731"/>
        <w:jc w:val="center"/>
        <w:spacing w:after="0" w:line="240" w:lineRule="auto"/>
        <w:widowControl w:val="off"/>
        <w:rPr>
          <w:rFonts w:ascii="宋体"/>
          <w:b/>
          <w:sz w:val="72"/>
        </w:rPr>
      </w:pPr>
      <w:r>
        <w:rPr>
          <w:rFonts w:ascii="宋体"/>
          <w:b/>
          <w:sz w:val="72"/>
        </w:rPr>
      </w:r>
      <w:r/>
    </w:p>
    <w:p>
      <w:pPr>
        <w:pStyle w:val="731"/>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31"/>
        <w:jc w:val="center"/>
        <w:spacing w:after="0" w:line="240" w:lineRule="auto"/>
        <w:widowControl w:val="off"/>
        <w:rPr>
          <w:rFonts w:ascii="宋体"/>
          <w:b/>
          <w:sz w:val="36"/>
        </w:rPr>
      </w:pPr>
      <w:r>
        <w:rPr>
          <w:rFonts w:ascii="宋体"/>
          <w:b/>
          <w:sz w:val="36"/>
        </w:rPr>
      </w:r>
      <w:r/>
    </w:p>
    <w:p>
      <w:pPr>
        <w:pStyle w:val="731"/>
        <w:jc w:val="center"/>
        <w:spacing w:after="0" w:line="240" w:lineRule="auto"/>
        <w:widowControl w:val="off"/>
        <w:rPr>
          <w:rFonts w:ascii="宋体"/>
          <w:b/>
          <w:sz w:val="36"/>
        </w:rPr>
      </w:pPr>
      <w:r>
        <w:rPr>
          <w:rFonts w:ascii="宋体"/>
          <w:b/>
          <w:sz w:val="36"/>
        </w:rPr>
      </w:r>
      <w:r/>
    </w:p>
    <w:p>
      <w:pPr>
        <w:pStyle w:val="731"/>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31"/>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31"/>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w:t>
      </w:r>
      <w:r>
        <w:rPr>
          <w:rFonts w:hint="eastAsia" w:ascii="宋体"/>
          <w:b/>
          <w:sz w:val="36"/>
        </w:rPr>
        <w:t xml:space="preserve">购包号：</w:t>
      </w:r>
      <w:r>
        <w:rPr>
          <w:rFonts w:ascii="宋体"/>
          <w:b/>
          <w:sz w:val="36"/>
          <w:u w:val="single"/>
        </w:rPr>
        <w:t xml:space="preserve">                             </w:t>
      </w:r>
      <w:r>
        <w:rPr>
          <w:rFonts w:ascii="宋体" w:hAnsi="Arial" w:eastAsia="楷体_GB2312"/>
          <w:b/>
          <w:sz w:val="36"/>
          <w:szCs w:val="28"/>
          <w:lang w:val="zh-CN"/>
        </w:rPr>
      </w:r>
      <w:r/>
    </w:p>
    <w:p>
      <w:pPr>
        <w:pStyle w:val="731"/>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pStyle w:val="731"/>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31"/>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31"/>
        <w:jc w:val="center"/>
        <w:spacing w:after="0" w:line="440" w:lineRule="exact"/>
        <w:widowControl w:val="off"/>
        <w:rPr>
          <w:rFonts w:ascii="宋体"/>
          <w:b/>
          <w:bCs/>
          <w:sz w:val="32"/>
          <w:szCs w:val="32"/>
        </w:rPr>
      </w:pPr>
      <w:r>
        <w:rPr>
          <w:rFonts w:ascii="宋体"/>
          <w:b/>
          <w:bCs/>
          <w:sz w:val="32"/>
          <w:szCs w:val="32"/>
        </w:rPr>
      </w:r>
      <w:r/>
    </w:p>
    <w:p>
      <w:pPr>
        <w:pStyle w:val="731"/>
        <w:jc w:val="center"/>
        <w:spacing w:after="0" w:line="440" w:lineRule="exact"/>
        <w:widowControl w:val="off"/>
        <w:rPr>
          <w:rFonts w:ascii="宋体"/>
          <w:b/>
          <w:bCs/>
          <w:sz w:val="32"/>
          <w:szCs w:val="32"/>
        </w:rPr>
      </w:pPr>
      <w:r>
        <w:rPr>
          <w:rFonts w:ascii="宋体"/>
          <w:b/>
          <w:bCs/>
          <w:sz w:val="32"/>
          <w:szCs w:val="32"/>
        </w:rPr>
      </w:r>
      <w:r/>
    </w:p>
    <w:p>
      <w:pPr>
        <w:pStyle w:val="731"/>
        <w:jc w:val="center"/>
        <w:spacing w:after="0" w:line="440" w:lineRule="exact"/>
        <w:widowControl w:val="off"/>
        <w:rPr>
          <w:rFonts w:ascii="宋体"/>
          <w:b/>
          <w:bCs/>
          <w:sz w:val="32"/>
          <w:szCs w:val="32"/>
        </w:rPr>
      </w:pPr>
      <w:r>
        <w:rPr>
          <w:rFonts w:ascii="宋体"/>
          <w:b/>
          <w:bCs/>
          <w:sz w:val="32"/>
          <w:szCs w:val="32"/>
        </w:rPr>
      </w:r>
      <w:r/>
    </w:p>
    <w:p>
      <w:pPr>
        <w:pStyle w:val="731"/>
        <w:jc w:val="center"/>
        <w:spacing w:after="0" w:line="440" w:lineRule="exact"/>
        <w:widowControl w:val="off"/>
        <w:rPr>
          <w:rFonts w:ascii="宋体"/>
          <w:b/>
          <w:bCs/>
          <w:sz w:val="32"/>
          <w:szCs w:val="32"/>
        </w:rPr>
      </w:pPr>
      <w:r>
        <w:rPr>
          <w:rFonts w:ascii="宋体"/>
          <w:b/>
          <w:bCs/>
          <w:sz w:val="32"/>
          <w:szCs w:val="32"/>
        </w:rPr>
      </w:r>
      <w:r/>
    </w:p>
    <w:p>
      <w:pPr>
        <w:pStyle w:val="731"/>
        <w:spacing w:after="0" w:line="440" w:lineRule="exact"/>
        <w:widowControl w:val="off"/>
        <w:rPr>
          <w:rFonts w:ascii="宋体"/>
          <w:b/>
          <w:bCs/>
          <w:sz w:val="32"/>
          <w:szCs w:val="32"/>
        </w:rPr>
      </w:pPr>
      <w:r>
        <w:rPr>
          <w:rFonts w:ascii="宋体"/>
          <w:b/>
          <w:bCs/>
          <w:sz w:val="32"/>
          <w:szCs w:val="32"/>
        </w:rPr>
      </w:r>
      <w:r/>
    </w:p>
    <w:p>
      <w:pPr>
        <w:pStyle w:val="731"/>
        <w:spacing w:after="0" w:line="440" w:lineRule="exact"/>
        <w:widowControl w:val="off"/>
        <w:rPr>
          <w:rFonts w:ascii="宋体"/>
          <w:b/>
          <w:bCs/>
          <w:sz w:val="32"/>
          <w:szCs w:val="32"/>
        </w:rPr>
      </w:pPr>
      <w:r>
        <w:rPr>
          <w:rFonts w:ascii="宋体"/>
          <w:b/>
          <w:bCs/>
          <w:sz w:val="32"/>
          <w:szCs w:val="32"/>
        </w:rPr>
      </w:r>
      <w:r/>
    </w:p>
    <w:p>
      <w:pPr>
        <w:pStyle w:val="731"/>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31"/>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pStyle w:val="731"/>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31"/>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31"/>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pStyle w:val="731"/>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31"/>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pStyle w:val="731"/>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pStyle w:val="731"/>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pStyle w:val="731"/>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pStyle w:val="731"/>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31"/>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31"/>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31"/>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31"/>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31"/>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31"/>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31"/>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3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31"/>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3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3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000000" w:sz="4" w:space="0"/>
            </w:tcBorders>
            <w:tcW w:w="1110" w:type="dxa"/>
            <w:vAlign w:val="top"/>
            <w:textDirection w:val="lrTb"/>
            <w:noWrap w:val="false"/>
          </w:tcPr>
          <w:p>
            <w:pPr>
              <w:pStyle w:val="73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4560" w:type="dxa"/>
            <w:vAlign w:val="top"/>
            <w:textDirection w:val="lrTb"/>
            <w:noWrap w:val="false"/>
          </w:tcPr>
          <w:p>
            <w:pPr>
              <w:pStyle w:val="731"/>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3570" w:type="dxa"/>
            <w:vAlign w:val="top"/>
            <w:textDirection w:val="lrTb"/>
            <w:noWrap w:val="false"/>
          </w:tcPr>
          <w:p>
            <w:pPr>
              <w:pStyle w:val="731"/>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31"/>
        <w:jc w:val="both"/>
        <w:spacing w:after="0" w:line="240" w:lineRule="auto"/>
        <w:widowControl w:val="off"/>
        <w:rPr>
          <w:rFonts w:ascii="宋体"/>
          <w:sz w:val="21"/>
        </w:rPr>
      </w:pPr>
      <w:r>
        <w:rPr>
          <w:rFonts w:hint="eastAsia" w:ascii="宋体" w:hAnsi="宋体"/>
          <w:b/>
          <w:color w:val="000000"/>
          <w:sz w:val="28"/>
          <w:szCs w:val="28"/>
        </w:rPr>
        <w:t xml:space="preserve">注：请供应商仔细阅</w:t>
      </w:r>
      <w:r>
        <w:rPr>
          <w:rFonts w:hint="eastAsia" w:ascii="宋体" w:hAnsi="宋体"/>
          <w:b/>
          <w:color w:val="000000"/>
          <w:sz w:val="28"/>
          <w:szCs w:val="28"/>
        </w:rPr>
        <w:t xml:space="preserve">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31"/>
        <w:spacing w:after="0" w:line="240" w:lineRule="auto"/>
        <w:widowControl w:val="off"/>
        <w:rPr>
          <w:rFonts w:ascii="宋体"/>
          <w:sz w:val="21"/>
        </w:rPr>
      </w:pPr>
      <w:r>
        <w:rPr>
          <w:rFonts w:ascii="宋体"/>
          <w:sz w:val="21"/>
        </w:rPr>
      </w:r>
      <w:r/>
    </w:p>
    <w:p>
      <w:pPr>
        <w:pStyle w:val="731"/>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31"/>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3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pStyle w:val="73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pStyle w:val="731"/>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pStyle w:val="731"/>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31"/>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bookmarkStart w:id="127" w:name="_Hlk69968653"/>
            <w:r>
              <w:rPr>
                <w:rFonts w:hint="eastAsia" w:ascii="宋体" w:hAnsi="宋体"/>
                <w:iCs/>
                <w:color w:val="000000"/>
                <w:sz w:val="24"/>
                <w:szCs w:val="24"/>
              </w:rPr>
              <w:t xml:space="preserve">1</w:t>
            </w:r>
            <w:r/>
          </w:p>
        </w:tc>
        <w:tc>
          <w:tcPr>
            <w:tcW w:w="6663" w:type="dxa"/>
            <w:vAlign w:val="center"/>
            <w:textDirection w:val="lrTb"/>
            <w:noWrap w:val="false"/>
          </w:tcPr>
          <w:p>
            <w:pPr>
              <w:pStyle w:val="73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pStyle w:val="73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28" w:name="_Hlk108382233"/>
            <w:r>
              <w:rPr>
                <w:rFonts w:hint="eastAsia" w:ascii="宋体" w:hAnsi="宋体"/>
                <w:iCs/>
                <w:color w:val="000000"/>
                <w:sz w:val="24"/>
                <w:szCs w:val="24"/>
              </w:rPr>
              <w:t xml:space="preserve">仅需提供提交投标文件截止之日前的一个月的会计报表</w:t>
            </w:r>
            <w:bookmarkEnd w:id="128"/>
            <w:r>
              <w:rPr>
                <w:rFonts w:hint="eastAsia" w:ascii="宋体" w:hAnsi="宋体"/>
                <w:color w:val="000000"/>
                <w:sz w:val="24"/>
                <w:szCs w:val="24"/>
              </w:rPr>
              <w:t xml:space="preserve">）</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pStyle w:val="73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3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31"/>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w:t>
            </w:r>
            <w:r>
              <w:rPr>
                <w:rFonts w:hint="eastAsia" w:ascii="宋体" w:hAnsi="宋体"/>
                <w:color w:val="000000"/>
                <w:sz w:val="24"/>
                <w:szCs w:val="24"/>
              </w:rPr>
              <w:t xml:space="preserve">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31"/>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99"/>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3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3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pStyle w:val="73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pStyle w:val="731"/>
              <w:spacing w:after="0" w:line="240" w:lineRule="auto"/>
              <w:widowControl w:val="off"/>
              <w:rPr>
                <w:rFonts w:hint="eastAsia" w:ascii="宋体" w:hAnsi="宋体" w:cs="Arial"/>
                <w:sz w:val="24"/>
                <w:szCs w:val="32"/>
                <w:highlight w:val="yellow"/>
              </w:rPr>
            </w:pPr>
            <w:r>
              <w:rPr>
                <w:rFonts w:hint="eastAsia" w:ascii="宋体" w:hAnsi="宋体" w:cs="Arial"/>
                <w:sz w:val="24"/>
                <w:szCs w:val="32"/>
              </w:rPr>
              <w:t xml:space="preserve">8</w:t>
            </w:r>
            <w:r>
              <w:rPr>
                <w:rFonts w:hint="eastAsia" w:ascii="宋体" w:hAnsi="宋体" w:cs="Arial"/>
                <w:sz w:val="24"/>
                <w:szCs w:val="32"/>
                <w:highlight w:val="yellow"/>
              </w:rPr>
            </w:r>
            <w:r/>
          </w:p>
        </w:tc>
        <w:tc>
          <w:tcPr>
            <w:tcW w:w="6663" w:type="dxa"/>
            <w:vAlign w:val="center"/>
            <w:textDirection w:val="lrTb"/>
            <w:noWrap w:val="false"/>
          </w:tcPr>
          <w:p>
            <w:pPr>
              <w:pStyle w:val="731"/>
              <w:spacing w:line="560" w:lineRule="exact"/>
              <w:rPr>
                <w:rFonts w:ascii="宋体" w:hAnsi="宋体"/>
                <w:color w:val="000000"/>
                <w:sz w:val="24"/>
                <w:szCs w:val="24"/>
                <w:highlight w:val="yellow"/>
              </w:rPr>
            </w:pPr>
            <w:r>
              <w:rPr>
                <w:rFonts w:hint="eastAsia" w:ascii="宋体" w:hAnsi="宋体"/>
                <w:color w:val="000000"/>
                <w:sz w:val="24"/>
                <w:szCs w:val="24"/>
              </w:rPr>
              <w:t xml:space="preserve">本项目的特定资格要求</w:t>
            </w:r>
            <w:r>
              <w:rPr>
                <w:rFonts w:ascii="宋体" w:hAnsi="宋体"/>
                <w:color w:val="000000"/>
                <w:sz w:val="24"/>
                <w:szCs w:val="24"/>
                <w:highlight w:val="yellow"/>
              </w:rPr>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w:t>
            </w:r>
            <w:r>
              <w:rPr>
                <w:rFonts w:hint="eastAsia" w:ascii="宋体" w:hAnsi="宋体"/>
                <w:color w:val="000000"/>
                <w:sz w:val="24"/>
                <w:szCs w:val="24"/>
              </w:rPr>
              <w:t xml:space="preserve">旧证有效期 届满前下达并持续有效，保证资质能达到本次工作要求。</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p>
          <w:p>
            <w:pPr>
              <w:pStyle w:val="731"/>
              <w:spacing w:line="560" w:lineRule="exact"/>
              <w:rPr>
                <w:rFonts w:hint="eastAsia" w:ascii="Calibri" w:hAnsi="Calibri"/>
                <w:highlight w:val="yellow"/>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 </w:t>
            </w:r>
            <w:r>
              <w:rPr>
                <w:rFonts w:hint="eastAsia" w:ascii="Calibri" w:hAnsi="Calibri"/>
                <w:highlight w:val="yellow"/>
              </w:rPr>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31"/>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p>
        </w:tc>
        <w:tc>
          <w:tcPr>
            <w:tcW w:w="1275"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bookmarkEnd w:id="127"/>
            <w:r/>
            <w:bookmarkStart w:id="12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top"/>
            <w:textDirection w:val="lrTb"/>
            <w:noWrap w:val="false"/>
          </w:tcPr>
          <w:p>
            <w:pPr>
              <w:pStyle w:val="73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3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31"/>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31"/>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3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pStyle w:val="73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pStyle w:val="731"/>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31"/>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31"/>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top"/>
            <w:textDirection w:val="lrTb"/>
            <w:noWrap w:val="false"/>
          </w:tcPr>
          <w:p>
            <w:pPr>
              <w:pStyle w:val="731"/>
              <w:jc w:val="both"/>
              <w:spacing w:after="0" w:line="590" w:lineRule="atLeast"/>
              <w:widowControl w:val="off"/>
              <w:rPr>
                <w:rFonts w:hint="eastAsia" w:ascii="宋体" w:hAnsi="宋体"/>
                <w:color w:val="000000"/>
                <w:sz w:val="24"/>
                <w:szCs w:val="24"/>
              </w:rPr>
            </w:pPr>
            <w:r/>
            <w:bookmarkStart w:id="130" w:name="OLE_LINK8"/>
            <w:r/>
            <w:bookmarkStart w:id="131" w:name="_Hlk123886068"/>
            <w:r>
              <w:rPr>
                <w:rFonts w:hint="eastAsia" w:ascii="宋体" w:hAnsi="宋体"/>
                <w:color w:val="000000"/>
                <w:sz w:val="24"/>
                <w:szCs w:val="24"/>
              </w:rPr>
              <w:t xml:space="preserve">不予分包转包</w:t>
            </w:r>
            <w:bookmarkEnd w:id="130"/>
            <w:r>
              <w:rPr>
                <w:rFonts w:hint="eastAsia" w:ascii="宋体" w:hAnsi="宋体"/>
                <w:color w:val="000000"/>
                <w:sz w:val="24"/>
                <w:szCs w:val="24"/>
              </w:rPr>
              <w:t xml:space="preserve">书面承诺函（格式自拟，内容需满足采购文件要求，原件并加盖CA电子公章）</w:t>
            </w:r>
            <w:bookmarkEnd w:id="131"/>
            <w:r>
              <w:rPr>
                <w:rFonts w:hint="eastAsia" w:ascii="宋体" w:hAnsi="宋体"/>
                <w:color w:val="000000"/>
                <w:sz w:val="24"/>
                <w:szCs w:val="24"/>
              </w:rPr>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31"/>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vAlign w:val="top"/>
            <w:textDirection w:val="lrTb"/>
            <w:noWrap w:val="false"/>
          </w:tcPr>
          <w:p>
            <w:pPr>
              <w:pStyle w:val="731"/>
              <w:spacing w:after="0" w:line="240" w:lineRule="auto"/>
              <w:rPr>
                <w:rFonts w:hint="eastAsia" w:ascii="宋体" w:hAnsi="宋体"/>
                <w:color w:val="000000"/>
                <w:sz w:val="24"/>
                <w:szCs w:val="24"/>
              </w:rPr>
            </w:pPr>
            <w:r>
              <w:rPr>
                <w:rFonts w:hint="eastAsia" w:ascii="宋体" w:hAnsi="宋体" w:cs="宋体"/>
                <w:sz w:val="24"/>
              </w:rPr>
              <w:t xml:space="preserve">保密要求</w:t>
            </w:r>
            <w:r>
              <w:rPr>
                <w:rFonts w:hint="eastAsia" w:ascii="宋体" w:hAnsi="宋体"/>
                <w:color w:val="000000"/>
                <w:sz w:val="24"/>
                <w:szCs w:val="24"/>
              </w:rPr>
              <w:t xml:space="preserve">书面承诺函（格式自拟，内容需满足采购文件要求，原件并加盖CA电子公章）</w:t>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31"/>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top"/>
            <w:textDirection w:val="lrTb"/>
            <w:noWrap w:val="false"/>
          </w:tcPr>
          <w:p>
            <w:pPr>
              <w:pStyle w:val="731"/>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31"/>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top"/>
            <w:textDirection w:val="lrTb"/>
            <w:noWrap w:val="false"/>
          </w:tcPr>
          <w:p>
            <w:pPr>
              <w:pStyle w:val="731"/>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bookmarkEnd w:id="129"/>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pStyle w:val="731"/>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w:t>
      </w:r>
      <w:r>
        <w:rPr>
          <w:rFonts w:hint="eastAsia" w:ascii="宋体" w:hAnsi="宋体"/>
          <w:b/>
          <w:bCs/>
          <w:sz w:val="24"/>
          <w:szCs w:val="24"/>
        </w:rPr>
        <w:t xml:space="preserve">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pStyle w:val="731"/>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32" w:name="_Hlk69969156"/>
      <w:r>
        <w:rPr>
          <w:rFonts w:hint="eastAsia" w:ascii="宋体" w:hAnsi="宋体"/>
          <w:b/>
          <w:sz w:val="28"/>
          <w:szCs w:val="28"/>
          <w:u w:val="single"/>
        </w:rPr>
        <w:t xml:space="preserve">（自行添加内容）</w:t>
      </w:r>
      <w:bookmarkEnd w:id="132"/>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31"/>
        <w:rPr>
          <w:rFonts w:ascii="Arial" w:hAnsi="Arial"/>
        </w:rPr>
      </w:pPr>
      <w:r>
        <w:rPr>
          <w:rFonts w:ascii="Arial" w:hAnsi="Arial"/>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w:t>
      </w:r>
      <w:r>
        <w:rPr>
          <w:rFonts w:hint="eastAsia" w:ascii="宋体" w:hAnsi="宋体"/>
          <w:b/>
          <w:sz w:val="28"/>
          <w:szCs w:val="28"/>
          <w:u w:val="single"/>
        </w:rPr>
        <w:t xml:space="preserve">障资金的相关材料（距提交响应文件截止之日前的一年内任意一个月的相关证明材料复印件并加盖CA电子公章）</w:t>
      </w:r>
      <w:r/>
    </w:p>
    <w:p>
      <w:pPr>
        <w:pStyle w:val="731"/>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33" w:name="_Hlk126856116"/>
      <w:r>
        <w:rPr>
          <w:rFonts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bookmarkEnd w:id="133"/>
      <w:r>
        <w:rPr>
          <w:rFonts w:hint="eastAsia" w:ascii="宋体" w:hAnsi="宋体"/>
          <w:b/>
          <w:sz w:val="28"/>
          <w:szCs w:val="28"/>
          <w:u w:val="single"/>
        </w:rPr>
        <w:t xml:space="preserve">5、具备履行合同所必需的设备和专业技术能力的书面声明（格式如下，按要求填写，原件并加盖CA电子公章）</w:t>
      </w:r>
      <w:r/>
    </w:p>
    <w:p>
      <w:pPr>
        <w:pStyle w:val="731"/>
        <w:jc w:val="both"/>
        <w:spacing w:before="50" w:after="50" w:line="240" w:lineRule="auto"/>
        <w:widowControl w:val="off"/>
        <w:rPr>
          <w:rFonts w:ascii="Calibri" w:hAnsi="Calibri"/>
          <w:b/>
          <w:sz w:val="30"/>
          <w:szCs w:val="30"/>
        </w:rPr>
      </w:pPr>
      <w:r>
        <w:rPr>
          <w:rFonts w:ascii="Calibri" w:hAnsi="Calibri"/>
          <w:b/>
          <w:sz w:val="30"/>
          <w:szCs w:val="30"/>
        </w:rPr>
      </w:r>
      <w:r/>
    </w:p>
    <w:p>
      <w:pPr>
        <w:pStyle w:val="731"/>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31"/>
        <w:jc w:val="center"/>
        <w:rPr>
          <w:rFonts w:hint="eastAsia" w:ascii="黑体" w:hAnsi="黑体" w:eastAsia="黑体"/>
          <w:sz w:val="30"/>
          <w:szCs w:val="30"/>
        </w:rPr>
      </w:pPr>
      <w:r>
        <w:rPr>
          <w:rFonts w:hint="eastAsia" w:ascii="黑体" w:hAnsi="黑体" w:eastAsia="黑体"/>
          <w:sz w:val="30"/>
          <w:szCs w:val="30"/>
        </w:rPr>
        <w:t xml:space="preserve">声  明</w:t>
      </w:r>
      <w:r/>
    </w:p>
    <w:p>
      <w:pPr>
        <w:pStyle w:val="731"/>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pStyle w:val="731"/>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pStyle w:val="731"/>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731"/>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pStyle w:val="731"/>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pStyle w:val="731"/>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pStyle w:val="731"/>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pStyle w:val="731"/>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31"/>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1"/>
        </w:rPr>
        <w:t xml:space="preserve">供应商名称：（盖章）</w:t>
      </w:r>
      <w:r/>
    </w:p>
    <w:p>
      <w:pPr>
        <w:pStyle w:val="731"/>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31"/>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column"/>
      </w:r>
      <w:r>
        <w:rPr>
          <w:rFonts w:ascii="宋体" w:hAnsi="宋体"/>
          <w:b/>
          <w:sz w:val="28"/>
          <w:szCs w:val="28"/>
          <w:u w:val="single"/>
        </w:rPr>
        <w:t xml:space="preserve">8</w:t>
      </w:r>
      <w:r>
        <w:rPr>
          <w:rFonts w:hint="eastAsia" w:ascii="宋体" w:hAnsi="宋体"/>
          <w:b/>
          <w:sz w:val="28"/>
          <w:szCs w:val="28"/>
          <w:u w:val="single"/>
        </w:rPr>
        <w:t xml:space="preserve">、特定资格要求</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rPr>
          <w:rFonts w:hint="eastAsia" w:ascii="宋体" w:hAnsi="宋体"/>
          <w:color w:val="000000"/>
          <w:sz w:val="24"/>
          <w:szCs w:val="24"/>
        </w:rPr>
        <w:t xml:space="preserve">：</w:t>
      </w:r>
      <w:r/>
    </w:p>
    <w:p>
      <w:pPr>
        <w:pStyle w:val="731"/>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p>
    <w:p>
      <w:pPr>
        <w:pStyle w:val="731"/>
        <w:spacing w:line="560" w:lineRule="exact"/>
        <w:rPr>
          <w:rFonts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rPr>
          <w:rFonts w:ascii="宋体" w:hAnsi="宋体"/>
          <w:color w:val="000000"/>
          <w:sz w:val="24"/>
          <w:szCs w:val="24"/>
        </w:rPr>
      </w:r>
      <w:r/>
    </w:p>
    <w:p>
      <w:pPr>
        <w:pStyle w:val="731"/>
        <w:spacing w:line="560" w:lineRule="exact"/>
        <w:rPr>
          <w:rFonts w:hint="eastAsia" w:ascii="宋体" w:hAnsi="宋体"/>
          <w:color w:val="000000"/>
          <w:sz w:val="24"/>
          <w:szCs w:val="24"/>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hint="eastAsia" w:ascii="宋体" w:hAnsi="宋体"/>
          <w:color w:val="000000"/>
          <w:sz w:val="24"/>
          <w:szCs w:val="24"/>
        </w:rPr>
      </w:r>
      <w:r/>
    </w:p>
    <w:p>
      <w:pPr>
        <w:pStyle w:val="731"/>
        <w:jc w:val="both"/>
        <w:spacing w:after="0" w:line="360" w:lineRule="auto"/>
        <w:widowControl w:val="off"/>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ascii="宋体" w:hAnsi="宋体"/>
          <w:color w:val="000000"/>
          <w:sz w:val="24"/>
          <w:szCs w:val="24"/>
        </w:rPr>
      </w:r>
      <w:r/>
    </w:p>
    <w:p>
      <w:pPr>
        <w:pStyle w:val="731"/>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rPr>
          <w:rFonts w:hint="eastAsia" w:ascii="宋体" w:hAnsi="宋体"/>
          <w:b/>
          <w:color w:val="000000"/>
          <w:sz w:val="28"/>
          <w:szCs w:val="28"/>
        </w:rPr>
      </w:pPr>
      <w:r>
        <w:rPr>
          <w:rFonts w:ascii="宋体" w:hAnsi="宋体"/>
          <w:b/>
          <w:sz w:val="28"/>
          <w:szCs w:val="28"/>
        </w:rPr>
        <w:br w:type="page" w:clear="all"/>
        <w:t xml:space="preserve">9</w:t>
      </w:r>
      <w:r>
        <w:rPr>
          <w:rFonts w:hint="eastAsia" w:ascii="宋体" w:hAnsi="宋体"/>
          <w:b/>
          <w:sz w:val="28"/>
          <w:szCs w:val="28"/>
        </w:rPr>
        <w:t xml:space="preserve">、</w:t>
      </w:r>
      <w:bookmarkStart w:id="134" w:name="_Hlk107592330"/>
      <w:r>
        <w:rPr>
          <w:rFonts w:hint="eastAsia" w:ascii="宋体" w:hAnsi="宋体"/>
          <w:b/>
          <w:color w:val="000000"/>
          <w:sz w:val="28"/>
          <w:szCs w:val="28"/>
        </w:rPr>
        <w:t xml:space="preserve">其他资格要求承诺函（格式如下，不得随意更改，加盖公章）</w:t>
      </w:r>
      <w:r/>
    </w:p>
    <w:p>
      <w:pPr>
        <w:pStyle w:val="731"/>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pStyle w:val="731"/>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pStyle w:val="73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w:t>
      </w:r>
      <w:r>
        <w:rPr>
          <w:rFonts w:hint="eastAsia" w:ascii="宋体" w:hAnsi="宋体"/>
          <w:color w:val="000000"/>
          <w:sz w:val="28"/>
          <w:szCs w:val="28"/>
        </w:rPr>
        <w:t xml:space="preserve">他潜在供应商组成联合体响应。未提供进口产品投标。</w:t>
      </w:r>
      <w:r/>
    </w:p>
    <w:p>
      <w:pPr>
        <w:pStyle w:val="73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pStyle w:val="73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pStyle w:val="73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pStyle w:val="731"/>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pStyle w:val="731"/>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pStyle w:val="731"/>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31"/>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pStyle w:val="731"/>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pStyle w:val="731"/>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31"/>
        <w:jc w:val="both"/>
        <w:spacing w:after="0" w:line="360" w:lineRule="auto"/>
        <w:widowControl w:val="off"/>
        <w:rPr>
          <w:rFonts w:hint="eastAsia" w:ascii="宋体" w:hAnsi="宋体"/>
          <w:b/>
          <w:sz w:val="28"/>
          <w:szCs w:val="28"/>
          <w:u w:val="single"/>
        </w:rPr>
      </w:pPr>
      <w:r/>
      <w:bookmarkEnd w:id="134"/>
      <w:r>
        <w:rPr>
          <w:rFonts w:hint="eastAsia" w:ascii="宋体" w:hAnsi="宋体"/>
          <w:b/>
          <w:sz w:val="28"/>
          <w:szCs w:val="28"/>
          <w:u w:val="single"/>
        </w:rPr>
      </w:r>
      <w:r/>
    </w:p>
    <w:p>
      <w:pPr>
        <w:pStyle w:val="731"/>
        <w:jc w:val="both"/>
        <w:spacing w:after="0" w:line="240" w:lineRule="auto"/>
        <w:widowControl w:val="off"/>
        <w:rPr>
          <w:rFonts w:ascii="宋体"/>
          <w:sz w:val="21"/>
        </w:rPr>
      </w:pPr>
      <w:r>
        <w:rPr>
          <w:rFonts w:ascii="宋体"/>
          <w:sz w:val="21"/>
        </w:rPr>
      </w:r>
      <w:r/>
    </w:p>
    <w:p>
      <w:pPr>
        <w:pStyle w:val="731"/>
        <w:jc w:val="both"/>
        <w:spacing w:after="0" w:line="240" w:lineRule="auto"/>
        <w:widowControl w:val="off"/>
        <w:rPr>
          <w:rFonts w:hint="eastAsia" w:ascii="宋体"/>
          <w:sz w:val="21"/>
        </w:rPr>
      </w:pPr>
      <w:r>
        <w:rPr>
          <w:rFonts w:hint="eastAsia" w:ascii="宋体"/>
          <w:sz w:val="21"/>
        </w:rPr>
      </w:r>
      <w:r/>
    </w:p>
    <w:p>
      <w:pPr>
        <w:pStyle w:val="731"/>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pStyle w:val="731"/>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31"/>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31"/>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w:t>
      </w:r>
      <w:r>
        <w:rPr>
          <w:rFonts w:hint="eastAsia"/>
          <w:sz w:val="24"/>
          <w:szCs w:val="24"/>
        </w:rPr>
        <w:t xml:space="preserve">务。</w:t>
      </w:r>
      <w:r>
        <w:rPr>
          <w:sz w:val="24"/>
          <w:szCs w:val="24"/>
        </w:rPr>
      </w:r>
      <w:r/>
    </w:p>
    <w:p>
      <w:pPr>
        <w:pStyle w:val="731"/>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31"/>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31"/>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31"/>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31"/>
        <w:ind w:firstLine="720"/>
        <w:jc w:val="both"/>
        <w:spacing w:after="62" w:line="360" w:lineRule="auto"/>
        <w:widowControl w:val="off"/>
        <w:tabs>
          <w:tab w:val="left" w:pos="360" w:leader="none"/>
        </w:tabs>
        <w:rPr>
          <w:sz w:val="24"/>
          <w:szCs w:val="24"/>
          <w:u w:val="single"/>
        </w:rPr>
      </w:pPr>
      <w:r>
        <w:rPr>
          <w:sz w:val="24"/>
          <w:szCs w:val="24"/>
          <w:u w:val="single"/>
        </w:rPr>
      </w:r>
      <w:r/>
    </w:p>
    <w:p>
      <w:pPr>
        <w:pStyle w:val="731"/>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31"/>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31"/>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35" w:name="_Hlt26671380"/>
      <w:r/>
      <w:bookmarkEnd w:id="135"/>
      <w:r/>
      <w:bookmarkStart w:id="136" w:name="_Hlt26955070"/>
      <w:r/>
      <w:bookmarkEnd w:id="136"/>
      <w:r/>
      <w:bookmarkStart w:id="137" w:name="_格式3__银行出具的资信证明"/>
      <w:r/>
      <w:bookmarkEnd w:id="137"/>
      <w:r>
        <w:rPr>
          <w:rFonts w:hint="eastAsia"/>
          <w:sz w:val="24"/>
          <w:szCs w:val="24"/>
          <w:u w:val="single"/>
        </w:rPr>
        <w:t xml:space="preserve">                                         </w:t>
      </w:r>
      <w:r>
        <w:rPr>
          <w:sz w:val="24"/>
          <w:szCs w:val="24"/>
        </w:rPr>
      </w:r>
      <w:r/>
    </w:p>
    <w:p>
      <w:pPr>
        <w:pStyle w:val="731"/>
        <w:ind w:firstLine="420"/>
        <w:jc w:val="both"/>
        <w:spacing w:after="0" w:line="240" w:lineRule="auto"/>
        <w:widowControl w:val="off"/>
        <w:rPr>
          <w:iCs/>
          <w:sz w:val="24"/>
          <w:szCs w:val="24"/>
          <w:u w:val="single"/>
        </w:rPr>
      </w:pPr>
      <w:r>
        <w:rPr>
          <w:iCs/>
          <w:sz w:val="24"/>
          <w:szCs w:val="24"/>
          <w:u w:val="single"/>
        </w:rPr>
      </w:r>
      <w:r/>
    </w:p>
    <w:p>
      <w:pPr>
        <w:pStyle w:val="731"/>
        <w:ind w:firstLine="420"/>
        <w:jc w:val="both"/>
        <w:spacing w:after="0" w:line="240" w:lineRule="auto"/>
        <w:widowControl w:val="off"/>
        <w:rPr>
          <w:iCs/>
          <w:sz w:val="21"/>
        </w:rPr>
      </w:pPr>
      <w:r>
        <w:rPr>
          <w:iCs/>
          <w:sz w:val="21"/>
        </w:rPr>
      </w:r>
      <w:r/>
    </w:p>
    <w:p>
      <w:pPr>
        <w:pStyle w:val="731"/>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38" w:name="_Hlk219361877"/>
      <w:r>
        <w:rPr>
          <w:rFonts w:hint="eastAsia"/>
          <w:color w:val="000000"/>
          <w:sz w:val="32"/>
          <w:szCs w:val="32"/>
        </w:rPr>
        <w:t xml:space="preserve">、CA电子公章</w:t>
      </w:r>
      <w:bookmarkEnd w:id="138"/>
      <w:r>
        <w:rPr>
          <w:rFonts w:hint="eastAsia"/>
          <w:color w:val="000000"/>
          <w:sz w:val="32"/>
          <w:szCs w:val="32"/>
        </w:rPr>
        <w:t xml:space="preserve">）：</w:t>
      </w:r>
      <w:r>
        <w:rPr>
          <w:color w:val="000000"/>
          <w:sz w:val="32"/>
          <w:szCs w:val="32"/>
        </w:rPr>
      </w:r>
      <w:r/>
    </w:p>
    <w:p>
      <w:pPr>
        <w:pStyle w:val="731"/>
        <w:ind w:firstLine="420"/>
        <w:rPr>
          <w:color w:val="000000"/>
          <w:sz w:val="32"/>
          <w:szCs w:val="32"/>
        </w:rPr>
      </w:pPr>
      <w:r>
        <w:rPr>
          <w:color w:val="000000"/>
          <w:sz w:val="32"/>
          <w:szCs w:val="32"/>
        </w:rPr>
      </w:r>
      <w:r/>
    </w:p>
    <w:p>
      <w:pPr>
        <w:pStyle w:val="731"/>
        <w:ind w:firstLine="420"/>
        <w:rPr>
          <w:color w:val="000000"/>
          <w:sz w:val="32"/>
          <w:szCs w:val="32"/>
        </w:rPr>
      </w:pPr>
      <w:r>
        <w:rPr>
          <w:color w:val="000000"/>
          <w:sz w:val="32"/>
          <w:szCs w:val="32"/>
        </w:rPr>
      </w:r>
      <w:r/>
    </w:p>
    <w:p>
      <w:pPr>
        <w:pStyle w:val="731"/>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31"/>
        <w:ind w:firstLine="420"/>
        <w:jc w:val="both"/>
        <w:spacing w:after="0" w:line="240" w:lineRule="auto"/>
        <w:widowControl w:val="off"/>
        <w:rPr>
          <w:b/>
          <w:sz w:val="32"/>
          <w:szCs w:val="32"/>
        </w:rPr>
      </w:pPr>
      <w:r>
        <w:rPr>
          <w:b/>
          <w:sz w:val="32"/>
          <w:szCs w:val="32"/>
        </w:rPr>
      </w:r>
      <w:r/>
    </w:p>
    <w:p>
      <w:pPr>
        <w:pStyle w:val="731"/>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31"/>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31"/>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w:t>
      </w:r>
      <w:r>
        <w:rPr>
          <w:rFonts w:hint="eastAsia" w:ascii="宋体" w:hAnsi="Arial"/>
          <w:sz w:val="24"/>
        </w:rPr>
        <w:t xml:space="preserve">___（投标人的名称），全权处理本次项目投标的有关事宜。</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31"/>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31"/>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rPr>
          <w:rFonts w:ascii="宋体" w:hAnsi="Arial"/>
          <w:sz w:val="24"/>
        </w:rPr>
      </w:r>
      <w:r/>
    </w:p>
    <w:p>
      <w:pPr>
        <w:pStyle w:val="731"/>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31"/>
        <w:jc w:val="both"/>
        <w:spacing w:after="0" w:line="460" w:lineRule="exact"/>
        <w:widowControl w:val="off"/>
        <w:rPr>
          <w:rFonts w:ascii="宋体"/>
          <w:bCs/>
          <w:sz w:val="24"/>
        </w:rPr>
      </w:pPr>
      <w:r>
        <w:rPr>
          <w:rFonts w:ascii="宋体"/>
          <w:bCs/>
          <w:sz w:val="24"/>
        </w:rPr>
      </w:r>
      <w:r/>
    </w:p>
    <w:p>
      <w:pPr>
        <w:pStyle w:val="731"/>
        <w:jc w:val="center"/>
        <w:spacing w:after="0" w:line="240" w:lineRule="auto"/>
        <w:widowControl w:val="off"/>
        <w:rPr>
          <w:b/>
          <w:sz w:val="32"/>
          <w:szCs w:val="32"/>
        </w:rPr>
      </w:pPr>
      <w:r>
        <w:rPr>
          <w:b/>
          <w:sz w:val="32"/>
          <w:szCs w:val="32"/>
        </w:rPr>
      </w:r>
      <w:r/>
    </w:p>
    <w:p>
      <w:pPr>
        <w:pStyle w:val="731"/>
        <w:jc w:val="center"/>
        <w:spacing w:after="0" w:line="240" w:lineRule="auto"/>
        <w:widowControl w:val="off"/>
        <w:rPr>
          <w:b/>
          <w:sz w:val="32"/>
          <w:szCs w:val="32"/>
        </w:rPr>
      </w:pPr>
      <w:r>
        <w:rPr>
          <w:b/>
          <w:sz w:val="32"/>
          <w:szCs w:val="32"/>
        </w:rPr>
      </w:r>
      <w:r/>
    </w:p>
    <w:p>
      <w:pPr>
        <w:pStyle w:val="731"/>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w:t>
      </w:r>
      <w:r>
        <w:rPr>
          <w:rFonts w:hint="eastAsia" w:ascii="宋体" w:hAnsi="宋体"/>
          <w:b/>
          <w:sz w:val="28"/>
          <w:szCs w:val="28"/>
        </w:rPr>
        <w:t xml:space="preserve">A电子公章）。</w:t>
      </w:r>
      <w:r/>
    </w:p>
    <w:p>
      <w:pPr>
        <w:pStyle w:val="731"/>
        <w:jc w:val="center"/>
        <w:rPr>
          <w:rFonts w:hint="eastAsia" w:ascii="宋体" w:hAnsi="宋体" w:cs="宋体"/>
          <w:b/>
          <w:bCs/>
          <w:sz w:val="48"/>
          <w:szCs w:val="48"/>
        </w:rPr>
      </w:pPr>
      <w:r/>
      <w:bookmarkStart w:id="139" w:name="_Toc192946476"/>
      <w:r>
        <w:rPr>
          <w:rFonts w:ascii="宋体" w:hAnsi="宋体" w:cs="宋体"/>
          <w:b/>
          <w:bCs/>
          <w:sz w:val="48"/>
          <w:szCs w:val="48"/>
        </w:rPr>
        <w:t xml:space="preserve">开标一览表</w:t>
      </w:r>
      <w:bookmarkEnd w:id="139"/>
      <w:r>
        <w:rPr>
          <w:rFonts w:hint="eastAsia" w:ascii="宋体" w:hAnsi="宋体" w:cs="宋体"/>
          <w:b/>
          <w:bCs/>
          <w:sz w:val="48"/>
          <w:szCs w:val="48"/>
        </w:rPr>
      </w:r>
      <w:r/>
    </w:p>
    <w:p>
      <w:pPr>
        <w:pStyle w:val="731"/>
        <w:ind w:firstLine="480"/>
        <w:jc w:val="both"/>
        <w:spacing w:after="0" w:line="240" w:lineRule="auto"/>
        <w:widowControl w:val="off"/>
        <w:rPr>
          <w:rFonts w:hint="eastAsia" w:ascii="宋体" w:hAnsi="宋体"/>
          <w:color w:val="000000"/>
          <w:sz w:val="24"/>
          <w:szCs w:val="24"/>
        </w:rPr>
      </w:pPr>
      <w:r/>
      <w:bookmarkStart w:id="140" w:name="_Hlk176357545"/>
      <w:r>
        <w:rPr>
          <w:rFonts w:hint="eastAsia" w:ascii="宋体" w:hAnsi="宋体"/>
          <w:color w:val="000000"/>
          <w:sz w:val="24"/>
          <w:szCs w:val="24"/>
        </w:rPr>
        <w:t xml:space="preserve">投标人全称（加盖CA电子公章）：</w:t>
      </w:r>
      <w:r/>
    </w:p>
    <w:p>
      <w:pPr>
        <w:pStyle w:val="731"/>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31"/>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31"/>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p>
        </w:tc>
      </w:tr>
      <w:tr>
        <w:trPr>
          <w:cantSplit/>
          <w:trHeight w:val="612"/>
        </w:trPr>
        <w:tc>
          <w:tcPr>
            <w:tcW w:w="8886" w:type="dxa"/>
            <w:vAlign w:val="center"/>
            <w:textDirection w:val="lrTb"/>
            <w:noWrap w:val="false"/>
          </w:tcPr>
          <w:p>
            <w:pPr>
              <w:pStyle w:val="731"/>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31"/>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31"/>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40"/>
      <w:r>
        <w:rPr>
          <w:rFonts w:hint="eastAsia" w:ascii="宋体" w:hAnsi="宋体"/>
          <w:color w:val="000000"/>
          <w:sz w:val="24"/>
          <w:szCs w:val="24"/>
        </w:rPr>
        <w:t xml:space="preserve">日</w:t>
      </w:r>
      <w:r/>
    </w:p>
    <w:p>
      <w:pPr>
        <w:pStyle w:val="731"/>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t xml:space="preserve">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不予分包转包承诺函（格式自拟，内容需满足采购文件要求，原件并</w:t>
      </w:r>
      <w:bookmarkStart w:id="141" w:name="_Hlk190782954"/>
      <w:r>
        <w:rPr>
          <w:rFonts w:hint="eastAsia" w:ascii="宋体" w:hAnsi="宋体"/>
          <w:b/>
          <w:sz w:val="28"/>
          <w:szCs w:val="28"/>
        </w:rPr>
        <w:t xml:space="preserve">加盖CA电子公章</w:t>
      </w:r>
      <w:bookmarkEnd w:id="141"/>
      <w:r>
        <w:rPr>
          <w:rFonts w:hint="eastAsia" w:ascii="宋体" w:hAnsi="宋体"/>
          <w:b/>
          <w:sz w:val="28"/>
          <w:szCs w:val="28"/>
        </w:rPr>
        <w:t xml:space="preserve">）</w:t>
      </w:r>
      <w:r/>
    </w:p>
    <w:p>
      <w:pPr>
        <w:pStyle w:val="731"/>
        <w:ind w:firstLine="492"/>
        <w:jc w:val="both"/>
        <w:spacing w:after="0" w:line="460" w:lineRule="exact"/>
        <w:widowControl w:val="off"/>
        <w:rPr>
          <w:rFonts w:hint="eastAsia" w:ascii="宋体" w:hAnsi="宋体"/>
          <w:b/>
          <w:sz w:val="28"/>
          <w:szCs w:val="28"/>
        </w:rPr>
      </w:pPr>
      <w:r/>
      <w:bookmarkStart w:id="142" w:name="_Hlk99436655"/>
      <w:r>
        <w:rPr>
          <w:rFonts w:hint="eastAsia" w:ascii="宋体" w:hAnsi="宋体"/>
          <w:b/>
          <w:sz w:val="28"/>
          <w:szCs w:val="28"/>
        </w:rPr>
        <w:t xml:space="preserve">…（自行添加内容）</w:t>
      </w:r>
      <w:bookmarkEnd w:id="142"/>
      <w:r>
        <w:rPr>
          <w:rFonts w:hint="eastAsia" w:ascii="宋体" w:hAnsi="宋体"/>
          <w:b/>
          <w:sz w:val="28"/>
          <w:szCs w:val="28"/>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6.成果归属要求书面承诺函（格式自拟，内容需满足采购文件要求，原件并加盖CA电子公章）</w:t>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31"/>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w:t>
      </w:r>
      <w:r>
        <w:rPr>
          <w:rFonts w:hint="eastAsia" w:ascii="宋体" w:hAnsi="宋体"/>
          <w:b/>
          <w:sz w:val="28"/>
          <w:szCs w:val="28"/>
        </w:rPr>
        <w:t xml:space="preserve">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pStyle w:val="731"/>
        <w:jc w:val="center"/>
        <w:spacing w:after="0" w:line="240" w:lineRule="auto"/>
        <w:widowControl w:val="off"/>
        <w:rPr>
          <w:sz w:val="44"/>
          <w:szCs w:val="24"/>
        </w:rPr>
      </w:pPr>
      <w:r>
        <w:rPr>
          <w:rFonts w:hint="eastAsia" w:ascii="黑体" w:hAnsi="黑体" w:eastAsia="黑体"/>
          <w:color w:val="000000"/>
          <w:sz w:val="30"/>
          <w:szCs w:val="30"/>
        </w:rPr>
        <w:br w:type="page" w:clear="all"/>
        <w:t xml:space="preserve">三、非实质性资信证明文件目录</w:t>
      </w:r>
      <w:r>
        <w:rPr>
          <w:rFonts w:hint="eastAsia"/>
          <w:sz w:val="44"/>
          <w:szCs w:val="24"/>
        </w:rPr>
        <w:t xml:space="preserve"> </w:t>
      </w:r>
      <w:r>
        <w:rPr>
          <w:sz w:val="44"/>
          <w:szCs w:val="24"/>
        </w:rPr>
        <w:t xml:space="preserve">  </w:t>
      </w:r>
      <w:r/>
    </w:p>
    <w:p>
      <w:pPr>
        <w:pStyle w:val="731"/>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31"/>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31"/>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31"/>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pStyle w:val="731"/>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pStyle w:val="731"/>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pStyle w:val="731"/>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w:t>
      </w:r>
      <w:r>
        <w:rPr>
          <w:rFonts w:hint="eastAsia" w:ascii="仿宋" w:hAnsi="仿宋" w:eastAsia="仿宋" w:cs="仿宋"/>
          <w:sz w:val="24"/>
          <w:szCs w:val="24"/>
        </w:rPr>
        <w:t xml:space="preserve">东为大企业的情形，也不存在与大企业的负责人为同一人的情形。</w:t>
      </w:r>
      <w:r/>
    </w:p>
    <w:p>
      <w:pPr>
        <w:pStyle w:val="731"/>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pStyle w:val="731"/>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pStyle w:val="731"/>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731"/>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31"/>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31"/>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p>
    <w:p>
      <w:pPr>
        <w:pStyle w:val="731"/>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31"/>
        <w:jc w:val="both"/>
        <w:spacing w:after="0" w:line="560" w:lineRule="exact"/>
        <w:widowControl w:val="off"/>
        <w:rPr>
          <w:rFonts w:hint="eastAsia" w:ascii="宋体" w:hAnsi="宋体"/>
          <w:sz w:val="24"/>
          <w:szCs w:val="24"/>
        </w:rPr>
      </w:pPr>
      <w:r>
        <w:rPr>
          <w:rFonts w:hint="eastAsia" w:ascii="宋体" w:hAnsi="宋体"/>
          <w:sz w:val="24"/>
          <w:szCs w:val="24"/>
        </w:rPr>
      </w:r>
      <w:r/>
    </w:p>
    <w:p>
      <w:pPr>
        <w:pStyle w:val="731"/>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31"/>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pStyle w:val="731"/>
        <w:jc w:val="both"/>
        <w:spacing w:after="0" w:line="240" w:lineRule="auto"/>
        <w:widowControl w:val="off"/>
        <w:rPr>
          <w:sz w:val="21"/>
          <w:szCs w:val="21"/>
        </w:rPr>
      </w:pPr>
      <w:r>
        <w:rPr>
          <w:sz w:val="21"/>
          <w:szCs w:val="21"/>
        </w:rPr>
      </w:r>
      <w:r/>
    </w:p>
    <w:p>
      <w:pPr>
        <w:pStyle w:val="73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pStyle w:val="73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w:t>
      </w:r>
      <w:r>
        <w:rPr>
          <w:rFonts w:hint="eastAsia" w:ascii="宋体" w:hAnsi="宋体"/>
          <w:sz w:val="24"/>
          <w:szCs w:val="21"/>
        </w:rPr>
        <w:t xml:space="preserve">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pStyle w:val="73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31"/>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31"/>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pStyle w:val="731"/>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31"/>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731"/>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31"/>
        <w:jc w:val="center"/>
        <w:spacing w:line="360" w:lineRule="auto"/>
        <w:rPr>
          <w:rFonts w:hint="eastAsia" w:ascii="黑体" w:hAnsi="黑体" w:eastAsia="黑体"/>
          <w:b/>
          <w:sz w:val="32"/>
          <w:szCs w:val="32"/>
        </w:rPr>
      </w:pPr>
      <w:r>
        <w:rPr>
          <w:rFonts w:hint="eastAsia"/>
          <w:b/>
          <w:sz w:val="32"/>
          <w:szCs w:val="32"/>
        </w:rPr>
        <w:t xml:space="preserve">四、投入人员一览表</w:t>
      </w:r>
      <w:r>
        <w:rPr>
          <w:rFonts w:hint="eastAsia" w:ascii="黑体" w:hAnsi="黑体" w:eastAsia="黑体"/>
          <w:b/>
          <w:sz w:val="32"/>
          <w:szCs w:val="32"/>
        </w:rPr>
      </w:r>
      <w:r/>
    </w:p>
    <w:p>
      <w:pPr>
        <w:pStyle w:val="731"/>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31"/>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pStyle w:val="731"/>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31"/>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W w:w="83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pStyle w:val="731"/>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31"/>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w:t>
      </w:r>
      <w:r>
        <w:rPr>
          <w:rFonts w:hint="eastAsia" w:ascii="宋体" w:hAnsi="宋体"/>
          <w:color w:val="000000"/>
          <w:sz w:val="24"/>
          <w:szCs w:val="24"/>
        </w:rPr>
        <w:t xml:space="preserve">业工作年限，投标人为其缴纳社保或其他招标文件要求的各项证明材料。具体证明材料要求请自行仔细查阅招标文件要求。</w:t>
      </w:r>
      <w:r/>
    </w:p>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pStyle w:val="731"/>
        <w:jc w:val="center"/>
        <w:spacing w:after="0" w:line="240" w:lineRule="auto"/>
        <w:widowControl w:val="off"/>
        <w:rPr>
          <w:rFonts w:ascii="黑体" w:eastAsia="黑体"/>
          <w:b/>
          <w:sz w:val="36"/>
        </w:rPr>
      </w:pPr>
      <w:r>
        <w:rPr>
          <w:rFonts w:ascii="黑体" w:eastAsia="黑体"/>
          <w:b/>
          <w:sz w:val="36"/>
        </w:rPr>
      </w:r>
      <w:r/>
    </w:p>
    <w:p>
      <w:pPr>
        <w:pStyle w:val="731"/>
        <w:jc w:val="center"/>
        <w:spacing w:after="0" w:line="240" w:lineRule="auto"/>
        <w:widowControl w:val="off"/>
        <w:rPr>
          <w:rFonts w:ascii="黑体" w:eastAsia="黑体"/>
          <w:b/>
          <w:sz w:val="36"/>
        </w:rPr>
      </w:pPr>
      <w:r>
        <w:rPr>
          <w:rFonts w:ascii="黑体" w:eastAsia="黑体"/>
          <w:b/>
          <w:sz w:val="36"/>
        </w:rPr>
      </w:r>
      <w:r/>
    </w:p>
    <w:p>
      <w:pPr>
        <w:pStyle w:val="731"/>
        <w:jc w:val="center"/>
        <w:spacing w:after="0" w:line="240" w:lineRule="auto"/>
        <w:widowControl w:val="off"/>
        <w:rPr>
          <w:rFonts w:ascii="黑体" w:eastAsia="黑体"/>
          <w:b/>
          <w:sz w:val="36"/>
        </w:rPr>
      </w:pPr>
      <w:r>
        <w:rPr>
          <w:rFonts w:ascii="黑体" w:eastAsia="黑体"/>
          <w:b/>
          <w:sz w:val="36"/>
        </w:rPr>
      </w:r>
      <w:r/>
    </w:p>
    <w:p>
      <w:pPr>
        <w:pStyle w:val="731"/>
        <w:jc w:val="center"/>
        <w:spacing w:after="0" w:line="240" w:lineRule="auto"/>
        <w:widowControl w:val="off"/>
        <w:rPr>
          <w:rFonts w:ascii="黑体" w:eastAsia="黑体"/>
          <w:b/>
          <w:sz w:val="36"/>
        </w:rPr>
      </w:pPr>
      <w:r>
        <w:rPr>
          <w:rFonts w:ascii="黑体" w:eastAsia="黑体"/>
          <w:b/>
          <w:sz w:val="36"/>
        </w:rPr>
      </w:r>
      <w:r/>
    </w:p>
    <w:p>
      <w:pPr>
        <w:pStyle w:val="731"/>
        <w:jc w:val="center"/>
        <w:spacing w:after="0" w:line="240" w:lineRule="auto"/>
        <w:widowControl w:val="off"/>
        <w:rPr>
          <w:rFonts w:ascii="黑体" w:eastAsia="黑体"/>
          <w:b/>
          <w:sz w:val="36"/>
        </w:rPr>
      </w:pPr>
      <w:r>
        <w:rPr>
          <w:rFonts w:ascii="黑体" w:eastAsia="黑体"/>
          <w:b/>
          <w:sz w:val="36"/>
        </w:rPr>
      </w:r>
      <w:r/>
    </w:p>
    <w:p>
      <w:pPr>
        <w:pStyle w:val="731"/>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rPr>
          <w:rFonts w:hint="eastAsia" w:hAnsi="宋体" w:eastAsia="幼圆" w:cs="Arial"/>
          <w:b/>
          <w:bCs/>
          <w:sz w:val="32"/>
          <w:szCs w:val="32"/>
        </w:rPr>
      </w:r>
      <w:r/>
    </w:p>
    <w:p>
      <w:pPr>
        <w:pStyle w:val="731"/>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pStyle w:val="731"/>
        <w:jc w:val="both"/>
        <w:spacing w:after="0" w:line="240" w:lineRule="auto"/>
        <w:widowControl w:val="off"/>
        <w:rPr>
          <w:sz w:val="28"/>
          <w:szCs w:val="28"/>
        </w:rPr>
      </w:pPr>
      <w:r>
        <w:rPr>
          <w:rFonts w:hint="eastAsia"/>
          <w:sz w:val="28"/>
          <w:szCs w:val="28"/>
        </w:rPr>
        <w:t xml:space="preserve">项目编号：</w:t>
      </w:r>
      <w:r>
        <w:rPr>
          <w:sz w:val="28"/>
          <w:szCs w:val="28"/>
        </w:rPr>
      </w:r>
      <w:r/>
    </w:p>
    <w:p>
      <w:pPr>
        <w:pStyle w:val="731"/>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pStyle w:val="731"/>
        <w:rPr>
          <w:rFonts w:ascii="宋体"/>
          <w:color w:val="ff0000"/>
          <w:sz w:val="24"/>
          <w:szCs w:val="24"/>
        </w:rPr>
      </w:pPr>
      <w:r>
        <w:rPr>
          <w:rFonts w:ascii="宋体"/>
          <w:color w:val="ff0000"/>
          <w:sz w:val="24"/>
          <w:szCs w:val="24"/>
        </w:rPr>
      </w:r>
      <w:r/>
    </w:p>
    <w:p>
      <w:pPr>
        <w:pStyle w:val="731"/>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31"/>
        <w:rPr>
          <w:rFonts w:ascii="宋体"/>
          <w:sz w:val="24"/>
          <w:szCs w:val="24"/>
        </w:rPr>
      </w:pPr>
      <w:r>
        <w:rPr>
          <w:rFonts w:hint="eastAsia" w:ascii="宋体"/>
          <w:sz w:val="24"/>
          <w:szCs w:val="24"/>
        </w:rPr>
        <w:t xml:space="preserve">                                       </w:t>
      </w:r>
      <w:r>
        <w:rPr>
          <w:rFonts w:ascii="宋体"/>
          <w:sz w:val="24"/>
          <w:szCs w:val="24"/>
        </w:rPr>
      </w:r>
      <w:r/>
    </w:p>
    <w:p>
      <w:pPr>
        <w:pStyle w:val="731"/>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31"/>
        <w:ind w:firstLine="5600"/>
        <w:rPr>
          <w:rFonts w:ascii="宋体"/>
          <w:sz w:val="28"/>
          <w:szCs w:val="28"/>
        </w:rPr>
      </w:pPr>
      <w:r>
        <w:rPr>
          <w:rFonts w:hint="eastAsia" w:ascii="宋体"/>
          <w:sz w:val="28"/>
          <w:szCs w:val="28"/>
        </w:rPr>
        <w:t xml:space="preserve">日期：</w:t>
      </w:r>
      <w:r>
        <w:rPr>
          <w:rFonts w:ascii="宋体"/>
          <w:sz w:val="28"/>
          <w:szCs w:val="28"/>
        </w:rPr>
      </w:r>
      <w:r/>
    </w:p>
    <w:p>
      <w:pPr>
        <w:pStyle w:val="731"/>
        <w:rPr>
          <w:rFonts w:ascii="宋体"/>
          <w:sz w:val="24"/>
          <w:szCs w:val="24"/>
        </w:rPr>
      </w:pPr>
      <w:r>
        <w:rPr>
          <w:rFonts w:ascii="宋体"/>
          <w:sz w:val="24"/>
          <w:szCs w:val="24"/>
        </w:rPr>
      </w:r>
      <w:r/>
    </w:p>
    <w:p>
      <w:pPr>
        <w:pStyle w:val="731"/>
        <w:rPr>
          <w:rFonts w:hint="eastAsia" w:ascii="宋体"/>
          <w:sz w:val="24"/>
          <w:szCs w:val="24"/>
        </w:rPr>
      </w:pPr>
      <w:r>
        <w:rPr>
          <w:rFonts w:hint="eastAsia" w:ascii="宋体"/>
          <w:sz w:val="24"/>
          <w:szCs w:val="24"/>
        </w:rPr>
      </w:r>
      <w:r/>
    </w:p>
    <w:p>
      <w:pPr>
        <w:pStyle w:val="731"/>
        <w:jc w:val="center"/>
        <w:spacing w:after="0" w:line="480" w:lineRule="auto"/>
        <w:widowControl w:val="off"/>
        <w:rPr>
          <w:b/>
          <w:sz w:val="32"/>
          <w:szCs w:val="32"/>
        </w:rPr>
      </w:pPr>
      <w:r>
        <w:rPr>
          <w:rFonts w:hint="eastAsia"/>
          <w:b/>
          <w:sz w:val="32"/>
          <w:szCs w:val="32"/>
        </w:rPr>
        <w:t xml:space="preserve">六、商务条款响应及偏离表</w:t>
      </w:r>
      <w:r>
        <w:rPr>
          <w:b/>
          <w:sz w:val="32"/>
          <w:szCs w:val="32"/>
        </w:rPr>
      </w:r>
      <w:r/>
    </w:p>
    <w:p>
      <w:pPr>
        <w:pStyle w:val="731"/>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31"/>
        <w:jc w:val="both"/>
        <w:spacing w:after="0" w:line="360" w:lineRule="auto"/>
        <w:widowControl w:val="off"/>
        <w:rPr>
          <w:sz w:val="24"/>
          <w:szCs w:val="24"/>
        </w:rPr>
      </w:pPr>
      <w:r>
        <w:rPr>
          <w:rFonts w:hint="eastAsia"/>
          <w:sz w:val="24"/>
          <w:szCs w:val="24"/>
        </w:rPr>
        <w:t xml:space="preserve">项目编号：</w:t>
      </w:r>
      <w:r>
        <w:rPr>
          <w:sz w:val="24"/>
          <w:szCs w:val="24"/>
        </w:rPr>
      </w:r>
      <w:r/>
    </w:p>
    <w:p>
      <w:pPr>
        <w:pStyle w:val="731"/>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w:t>
            </w:r>
            <w:r>
              <w:rPr>
                <w:rFonts w:hint="eastAsia" w:ascii="宋体"/>
                <w:sz w:val="24"/>
                <w:szCs w:val="24"/>
              </w:rPr>
              <w:t xml:space="preserve">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31"/>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31"/>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31"/>
        <w:ind w:right="1320"/>
        <w:jc w:val="right"/>
        <w:spacing w:after="0" w:line="360" w:lineRule="auto"/>
        <w:widowControl w:val="off"/>
        <w:rPr>
          <w:sz w:val="28"/>
          <w:szCs w:val="28"/>
        </w:rPr>
      </w:pPr>
      <w:r/>
      <w:bookmarkStart w:id="143"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43"/>
      <w:r>
        <w:rPr>
          <w:sz w:val="28"/>
          <w:szCs w:val="28"/>
          <w:lang w:val="zh-CN"/>
        </w:rPr>
        <w:t xml:space="preserve">                    </w:t>
      </w:r>
      <w:r>
        <w:rPr>
          <w:sz w:val="28"/>
          <w:szCs w:val="28"/>
        </w:rPr>
      </w:r>
      <w:r/>
    </w:p>
    <w:p>
      <w:pPr>
        <w:pStyle w:val="731"/>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rPr>
          <w:sz w:val="28"/>
          <w:szCs w:val="28"/>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jc w:val="both"/>
        <w:spacing w:after="0" w:line="240" w:lineRule="auto"/>
        <w:widowControl w:val="off"/>
        <w:rPr>
          <w:sz w:val="21"/>
        </w:rPr>
      </w:pPr>
      <w:r>
        <w:rPr>
          <w:sz w:val="21"/>
        </w:rPr>
      </w:r>
      <w:r/>
    </w:p>
    <w:p>
      <w:pPr>
        <w:pStyle w:val="731"/>
        <w:ind w:firstLine="420"/>
        <w:jc w:val="both"/>
        <w:spacing w:after="0" w:line="240" w:lineRule="auto"/>
        <w:widowControl w:val="off"/>
        <w:rPr>
          <w:sz w:val="21"/>
        </w:rPr>
      </w:pPr>
      <w:r>
        <w:rPr>
          <w:sz w:val="21"/>
        </w:rPr>
      </w:r>
      <w:r/>
    </w:p>
    <w:p>
      <w:pPr>
        <w:pStyle w:val="731"/>
        <w:ind w:firstLine="420"/>
        <w:jc w:val="both"/>
        <w:spacing w:after="0" w:line="240" w:lineRule="auto"/>
        <w:widowControl w:val="off"/>
        <w:rPr>
          <w:sz w:val="21"/>
        </w:rPr>
      </w:pPr>
      <w:r>
        <w:rPr>
          <w:sz w:val="21"/>
        </w:rPr>
      </w:r>
      <w:r/>
    </w:p>
    <w:p>
      <w:pPr>
        <w:pStyle w:val="731"/>
        <w:ind w:firstLine="420"/>
        <w:jc w:val="both"/>
        <w:spacing w:after="0" w:line="240" w:lineRule="auto"/>
        <w:widowControl w:val="off"/>
        <w:rPr>
          <w:sz w:val="21"/>
        </w:rPr>
      </w:pPr>
      <w:r>
        <w:rPr>
          <w:sz w:val="21"/>
        </w:rPr>
      </w:r>
      <w:r/>
    </w:p>
    <w:p>
      <w:pPr>
        <w:pStyle w:val="731"/>
        <w:ind w:firstLine="420"/>
        <w:jc w:val="both"/>
        <w:spacing w:after="0" w:line="240" w:lineRule="auto"/>
        <w:widowControl w:val="off"/>
        <w:rPr>
          <w:sz w:val="21"/>
        </w:rPr>
      </w:pPr>
      <w:r>
        <w:rPr>
          <w:sz w:val="21"/>
        </w:rPr>
      </w:r>
      <w:r/>
    </w:p>
    <w:p>
      <w:pPr>
        <w:pStyle w:val="731"/>
        <w:ind w:firstLine="420"/>
        <w:jc w:val="both"/>
        <w:spacing w:after="0" w:line="240" w:lineRule="auto"/>
        <w:widowControl w:val="off"/>
        <w:rPr>
          <w:sz w:val="21"/>
        </w:rPr>
      </w:pPr>
      <w:r>
        <w:rPr>
          <w:sz w:val="21"/>
        </w:rPr>
      </w:r>
      <w:r/>
    </w:p>
    <w:p>
      <w:pPr>
        <w:pStyle w:val="731"/>
        <w:ind w:firstLine="420"/>
        <w:jc w:val="both"/>
        <w:spacing w:after="0" w:line="240" w:lineRule="auto"/>
        <w:widowControl w:val="off"/>
        <w:rPr>
          <w:rFonts w:hint="eastAsia"/>
          <w:sz w:val="21"/>
        </w:rPr>
      </w:pPr>
      <w:r>
        <w:rPr>
          <w:rFonts w:hint="eastAsia"/>
          <w:sz w:val="21"/>
        </w:rPr>
      </w:r>
      <w:r/>
    </w:p>
    <w:p>
      <w:pPr>
        <w:pStyle w:val="731"/>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731"/>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31"/>
        <w:jc w:val="both"/>
        <w:spacing w:after="0" w:line="360" w:lineRule="auto"/>
        <w:widowControl w:val="off"/>
        <w:rPr>
          <w:sz w:val="24"/>
          <w:szCs w:val="24"/>
        </w:rPr>
      </w:pPr>
      <w:r>
        <w:rPr>
          <w:rFonts w:hint="eastAsia"/>
          <w:sz w:val="24"/>
          <w:szCs w:val="24"/>
        </w:rPr>
        <w:t xml:space="preserve">项目编号：</w:t>
      </w:r>
      <w:r>
        <w:rPr>
          <w:sz w:val="24"/>
          <w:szCs w:val="24"/>
        </w:rPr>
      </w:r>
      <w:r/>
    </w:p>
    <w:p>
      <w:pPr>
        <w:pStyle w:val="731"/>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rPr>
          <w:rFonts w:hint="eastAsia" w:ascii="黑体" w:hAnsi="黑体" w:eastAsia="黑体"/>
          <w:b/>
          <w:color w:val="000000"/>
          <w:sz w:val="32"/>
          <w:szCs w:val="32"/>
        </w:rPr>
      </w:r>
      <w:r/>
    </w:p>
    <w:tbl>
      <w:tblPr>
        <w:tblW w:w="5086"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571"/>
        <w:gridCol w:w="1983"/>
        <w:gridCol w:w="1703"/>
        <w:gridCol w:w="1345"/>
        <w:gridCol w:w="1085"/>
      </w:tblGrid>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pStyle w:val="731"/>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31"/>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31"/>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pStyle w:val="731"/>
        <w:ind w:right="1320"/>
        <w:jc w:val="right"/>
        <w:spacing w:after="0" w:line="360" w:lineRule="auto"/>
        <w:widowControl w:val="off"/>
        <w:rPr>
          <w:rFonts w:ascii="宋体"/>
          <w:sz w:val="28"/>
          <w:szCs w:val="28"/>
          <w:lang w:val="zh-CN"/>
        </w:rPr>
      </w:pPr>
      <w:r>
        <w:rPr>
          <w:rFonts w:ascii="宋体"/>
          <w:sz w:val="28"/>
          <w:szCs w:val="28"/>
          <w:lang w:val="zh-CN"/>
        </w:rPr>
      </w:r>
      <w:r/>
    </w:p>
    <w:p>
      <w:pPr>
        <w:pStyle w:val="731"/>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31"/>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31"/>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31"/>
        <w:jc w:val="center"/>
        <w:spacing w:after="0" w:line="240" w:lineRule="auto"/>
        <w:widowControl w:val="off"/>
        <w:rPr>
          <w:sz w:val="21"/>
        </w:rPr>
      </w:pPr>
      <w:r>
        <w:rPr>
          <w:rFonts w:hint="eastAsia" w:ascii="黑体" w:hAnsi="黑体" w:eastAsia="黑体"/>
          <w:b/>
          <w:color w:val="000000"/>
          <w:sz w:val="32"/>
          <w:szCs w:val="32"/>
        </w:rPr>
        <w:t xml:space="preserve">八、项目需求响应方案</w:t>
      </w:r>
      <w:r>
        <w:rPr>
          <w:sz w:val="21"/>
        </w:rPr>
      </w:r>
      <w:r/>
    </w:p>
    <w:p>
      <w:pPr>
        <w:pStyle w:val="731"/>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31"/>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pStyle w:val="731"/>
        <w:spacing w:after="0" w:line="440" w:lineRule="exact"/>
        <w:widowControl w:val="off"/>
        <w:rPr>
          <w:rFonts w:ascii="宋体"/>
          <w:b/>
          <w:bCs/>
          <w:sz w:val="32"/>
          <w:szCs w:val="32"/>
        </w:rPr>
      </w:pPr>
      <w:r>
        <w:rPr>
          <w:rFonts w:ascii="宋体"/>
          <w:b/>
          <w:bCs/>
          <w:sz w:val="32"/>
          <w:szCs w:val="32"/>
        </w:rPr>
      </w:r>
      <w:r/>
    </w:p>
    <w:p>
      <w:pPr>
        <w:pStyle w:val="731"/>
        <w:jc w:val="center"/>
        <w:spacing w:after="0" w:line="240" w:lineRule="auto"/>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Arial Unicode MS">
    <w:panose1 w:val="020B0604020202020204"/>
  </w:font>
  <w:font w:name="方正小标宋_GBK">
    <w:panose1 w:val="020B0503020202020204"/>
  </w:font>
  <w:font w:name="Tahoma">
    <w:panose1 w:val="020B0604030504040204"/>
  </w:font>
  <w:font w:name="Arail">
    <w:panose1 w:val="020B0503020202020204"/>
  </w:font>
  <w:font w:name="KNLe">
    <w:panose1 w:val="020B0503020202020204"/>
  </w:font>
  <w:font w:name="仿宋">
    <w:panose1 w:val="02010609060101010101"/>
  </w:font>
  <w:font w:name="等线">
    <w:panose1 w:val="02010600030101010101"/>
  </w:font>
  <w:font w:name="黑体">
    <w:panose1 w:val="02010609060101010101"/>
  </w:font>
  <w:font w:name="幼圆">
    <w:panose1 w:val="02010509060101010101"/>
  </w:font>
  <w:font w:name="Verdana">
    <w:panose1 w:val="020B0604030504040204"/>
  </w:font>
  <w:font w:name="仿宋_GB2312">
    <w:panose1 w:val="02010609060101010101"/>
  </w:font>
  <w:font w:name="Courier New">
    <w:panose1 w:val="02070309020205020404"/>
  </w:font>
  <w:font w:name="Calibri">
    <w:panose1 w:val="020F0502020204030204"/>
  </w:font>
  <w:font w:name="微软雅黑">
    <w:panose1 w:val="020B0503020204020204"/>
  </w:font>
  <w:font w:name="Consolas">
    <w:panose1 w:val="020B0609020204030204"/>
  </w:font>
  <w:font w:name="楷体_GB2312">
    <w:panose1 w:val="02010609060101010101"/>
  </w:font>
  <w:font w:name="方正黑体_GBK">
    <w:panose1 w:val="020B0503020202020204"/>
  </w:font>
  <w:font w:name="FZSSK--GBK1-0">
    <w:panose1 w:val="020B0503020202020204"/>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instrText xml:space="preserve">PAGE   \* MERGEFORMAT</w:instrText>
    </w:r>
    <w:r>
      <w:fldChar w:fldCharType="separate"/>
    </w:r>
    <w:r>
      <w:rPr>
        <w:lang w:val="zh-CN"/>
      </w:rPr>
      <w:t xml:space="preserve">69</w:t>
    </w:r>
    <w:r>
      <w:fldChar w:fldCharType="end"/>
    </w:r>
    <w:r/>
  </w:p>
  <w:p>
    <w:pPr>
      <w:pStyle w:val="1063"/>
      <w:rPr>
        <w:rFonts w:hint="eastAsia"/>
      </w:rPr>
    </w:pPr>
    <w:r>
      <w:rPr>
        <w:rFonts w:hint="eastAsia"/>
      </w:rPr>
      <w:t xml:space="preserve">南京小旸树招标代理有限公司                                         </w:t>
    </w:r>
    <w:r>
      <w:t xml:space="preserve">NJXYS-202612</w:t>
    </w:r>
    <w:r>
      <w:rPr>
        <w:rFonts w:hint="eastAsia"/>
      </w:rPr>
      <w:t xml:space="preserve">9</w:t>
    </w:r>
    <w:r>
      <w:t xml:space="preserve">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31"/>
        <w:ind w:left="756" w:hanging="756"/>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pStyle w:val="1152"/>
      <w:isLgl w:val="false"/>
      <w:suff w:val="tab"/>
      <w:lvlText w:val="%6."/>
      <w:lvlJc w:val="right"/>
      <w:pPr>
        <w:pStyle w:val="731"/>
        <w:ind w:left="2520" w:hanging="420"/>
      </w:pPr>
    </w:lvl>
    <w:lvl w:ilvl="6">
      <w:start w:val="1"/>
      <w:numFmt w:val="decimal"/>
      <w:pStyle w:val="1153"/>
      <w:isLgl w:val="false"/>
      <w:suff w:val="tab"/>
      <w:lvlText w:val="%7."/>
      <w:lvlJc w:val="left"/>
      <w:pPr>
        <w:pStyle w:val="731"/>
        <w:ind w:left="2940" w:hanging="420"/>
      </w:pPr>
    </w:lvl>
    <w:lvl w:ilvl="7">
      <w:start w:val="1"/>
      <w:numFmt w:val="lowerLetter"/>
      <w:pStyle w:val="1155"/>
      <w:isLgl w:val="false"/>
      <w:suff w:val="tab"/>
      <w:lvlText w:val="%8)"/>
      <w:lvlJc w:val="left"/>
      <w:pPr>
        <w:pStyle w:val="731"/>
        <w:ind w:left="3360" w:hanging="420"/>
      </w:pPr>
    </w:lvl>
    <w:lvl w:ilvl="8">
      <w:start w:val="1"/>
      <w:numFmt w:val="lowerRoman"/>
      <w:pStyle w:val="1157"/>
      <w:isLgl w:val="false"/>
      <w:suff w:val="tab"/>
      <w:lvlText w:val="%9."/>
      <w:lvlJc w:val="right"/>
      <w:pPr>
        <w:pStyle w:val="731"/>
        <w:ind w:left="3780" w:hanging="420"/>
      </w:pPr>
    </w:lvl>
  </w:abstractNum>
  <w:abstractNum w:abstractNumId="1">
    <w:multiLevelType w:val="hybridMultilevel"/>
    <w:lvl w:ilvl="0">
      <w:start w:val="6"/>
      <w:numFmt w:val="decimal"/>
      <w:isLgl w:val="false"/>
      <w:suff w:val="nothing"/>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19"/>
      <w:isLgl w:val="false"/>
      <w:suff w:val="tab"/>
      <w:lvlText w:val="%1"/>
      <w:lvlJc w:val="left"/>
      <w:pPr>
        <w:pStyle w:val="731"/>
        <w:ind w:left="425" w:hanging="425"/>
      </w:pPr>
      <w:rPr>
        <w:rFonts w:hint="eastAsia" w:ascii="Arial Unicode MS" w:hAnsi="Arial Unicode MS" w:eastAsia="微软雅黑"/>
        <w:b/>
        <w:bCs/>
        <w:i w:val="0"/>
        <w:iCs w:val="0"/>
      </w:rPr>
    </w:lvl>
    <w:lvl w:ilvl="1">
      <w:start w:val="1"/>
      <w:numFmt w:val="decimal"/>
      <w:isLgl w:val="false"/>
      <w:suff w:val="tab"/>
      <w:lvlText w:val="%1.%2"/>
      <w:lvlJc w:val="left"/>
      <w:pPr>
        <w:pStyle w:val="731"/>
        <w:ind w:left="425" w:hanging="425"/>
      </w:pPr>
      <w:rPr>
        <w:rFonts w:hint="eastAsia" w:ascii="Arial Unicode MS" w:hAnsi="Arial Unicode MS" w:eastAsia="微软雅黑"/>
        <w:b/>
        <w:bCs/>
        <w:i w:val="0"/>
        <w:iCs w:val="0"/>
      </w:rPr>
    </w:lvl>
    <w:lvl w:ilvl="2">
      <w:start w:val="1"/>
      <w:numFmt w:val="decimal"/>
      <w:isLgl w:val="false"/>
      <w:suff w:val="tab"/>
      <w:lvlText w:val="%1.%2.%3"/>
      <w:lvlJc w:val="left"/>
      <w:pPr>
        <w:pStyle w:val="731"/>
        <w:ind w:left="425" w:hanging="425"/>
      </w:pPr>
      <w:rPr>
        <w:rFonts w:hint="eastAsia" w:ascii="Arial Unicode MS" w:hAnsi="Arial Unicode MS" w:eastAsia="微软雅黑"/>
        <w:b/>
        <w:bCs/>
        <w:i w:val="0"/>
        <w:iCs w:val="0"/>
      </w:rPr>
    </w:lvl>
    <w:lvl w:ilvl="3">
      <w:start w:val="1"/>
      <w:numFmt w:val="decimal"/>
      <w:isLgl w:val="false"/>
      <w:suff w:val="tab"/>
      <w:lvlText w:val="%1.%2.%3.%4"/>
      <w:lvlJc w:val="left"/>
      <w:pPr>
        <w:pStyle w:val="731"/>
        <w:ind w:left="425" w:hanging="425"/>
      </w:pPr>
      <w:rPr>
        <w:rFonts w:hint="eastAsia" w:ascii="Arial Unicode MS" w:hAnsi="Arial Unicode MS" w:eastAsia="微软雅黑"/>
        <w:b/>
        <w:bCs/>
        <w:i w:val="0"/>
        <w:iCs w:val="0"/>
      </w:rPr>
    </w:lvl>
    <w:lvl w:ilvl="4">
      <w:start w:val="1"/>
      <w:numFmt w:val="decimal"/>
      <w:isLgl w:val="false"/>
      <w:suff w:val="tab"/>
      <w:lvlText w:val="%1.%2.%3.%4.%5"/>
      <w:lvlJc w:val="left"/>
      <w:pPr>
        <w:pStyle w:val="731"/>
        <w:ind w:left="425" w:hanging="425"/>
      </w:pPr>
      <w:rPr>
        <w:rFonts w:hint="eastAsia" w:ascii="Arial Unicode MS" w:hAnsi="Arial Unicode MS" w:eastAsia="微软雅黑"/>
        <w:b/>
        <w:bCs/>
        <w:i w:val="0"/>
        <w:iCs w:val="0"/>
      </w:rPr>
    </w:lvl>
    <w:lvl w:ilvl="5">
      <w:start w:val="1"/>
      <w:numFmt w:val="decimal"/>
      <w:isLgl w:val="false"/>
      <w:suff w:val="tab"/>
      <w:lvlText w:val="%1.%2.%3.%4.%5.%6"/>
      <w:lvlJc w:val="left"/>
      <w:pPr>
        <w:pStyle w:val="731"/>
        <w:ind w:left="425" w:hanging="425"/>
      </w:pPr>
      <w:rPr>
        <w:rFonts w:hint="eastAsia"/>
      </w:rPr>
    </w:lvl>
    <w:lvl w:ilvl="6">
      <w:start w:val="1"/>
      <w:numFmt w:val="decimal"/>
      <w:isLgl w:val="false"/>
      <w:suff w:val="tab"/>
      <w:lvlText w:val="%1.%2.%3.%4.%5.%6.%7"/>
      <w:lvlJc w:val="left"/>
      <w:pPr>
        <w:pStyle w:val="731"/>
        <w:ind w:left="425" w:hanging="425"/>
      </w:pPr>
      <w:rPr>
        <w:rFonts w:hint="eastAsia"/>
      </w:rPr>
    </w:lvl>
    <w:lvl w:ilvl="7">
      <w:start w:val="1"/>
      <w:numFmt w:val="decimal"/>
      <w:isLgl w:val="false"/>
      <w:suff w:val="tab"/>
      <w:lvlText w:val="%1.%2.%3.%4.%5.%6.%7.%8"/>
      <w:lvlJc w:val="left"/>
      <w:pPr>
        <w:pStyle w:val="731"/>
        <w:ind w:left="425" w:hanging="425"/>
      </w:pPr>
      <w:rPr>
        <w:rFonts w:hint="eastAsia"/>
      </w:rPr>
    </w:lvl>
    <w:lvl w:ilvl="8">
      <w:start w:val="1"/>
      <w:numFmt w:val="decimal"/>
      <w:isLgl w:val="false"/>
      <w:suff w:val="tab"/>
      <w:lvlText w:val="%1.%2.%3.%4.%5.%6.%7.%8.%9"/>
      <w:lvlJc w:val="left"/>
      <w:pPr>
        <w:pStyle w:val="731"/>
        <w:ind w:left="425" w:hanging="425"/>
      </w:pPr>
      <w:rPr>
        <w:rFonts w:hint="eastAsia"/>
      </w:rPr>
    </w:lvl>
  </w:abstractNum>
  <w:abstractNum w:abstractNumId="3">
    <w:multiLevelType w:val="hybridMultilevel"/>
    <w:lvl w:ilvl="0">
      <w:start w:val="1"/>
      <w:numFmt w:val="decimal"/>
      <w:isLgl w:val="false"/>
      <w:suff w:val="nothing"/>
      <w:lvlText w:val="%1"/>
      <w:lvlJc w:val="left"/>
      <w:pPr>
        <w:pStyle w:val="731"/>
        <w:ind w:left="0" w:firstLine="0"/>
      </w:pPr>
      <w:rPr>
        <w:rFonts w:hint="eastAsia"/>
        <w:sz w:val="21"/>
        <w:szCs w:val="21"/>
      </w:r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4">
    <w:multiLevelType w:val="hybridMultilevel"/>
    <w:lvl w:ilvl="0">
      <w:start w:val="1"/>
      <w:numFmt w:val="decimal"/>
      <w:pStyle w:val="1181"/>
      <w:isLgl w:val="false"/>
      <w:suff w:val="nothing"/>
      <w:lvlText w:val="%1　"/>
      <w:lvlJc w:val="left"/>
      <w:pPr>
        <w:pStyle w:val="731"/>
        <w:ind w:left="0" w:firstLine="0"/>
      </w:pPr>
      <w:rPr>
        <w:rFonts w:hint="eastAsia" w:ascii="黑体" w:hAnsi="Times New Roman" w:eastAsia="黑体"/>
        <w:b w:val="0"/>
        <w:i w:val="0"/>
        <w:sz w:val="21"/>
        <w:szCs w:val="21"/>
      </w:rPr>
    </w:lvl>
    <w:lvl w:ilvl="1">
      <w:start w:val="1"/>
      <w:numFmt w:val="decimal"/>
      <w:pStyle w:val="1121"/>
      <w:isLgl w:val="false"/>
      <w:suff w:val="nothing"/>
      <w:lvlText w:val="%1.%2　"/>
      <w:lvlJc w:val="left"/>
      <w:pPr>
        <w:pStyle w:val="731"/>
        <w:ind w:left="54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pStyle w:val="731"/>
        <w:ind w:left="2730" w:firstLine="0"/>
      </w:pPr>
      <w:rPr>
        <w:rFonts w:hint="eastAsia" w:ascii="黑体" w:hAnsi="Times New Roman" w:eastAsia="黑体"/>
        <w:b w:val="0"/>
        <w:i w:val="0"/>
        <w:sz w:val="21"/>
      </w:rPr>
    </w:lvl>
    <w:lvl w:ilvl="3">
      <w:start w:val="1"/>
      <w:numFmt w:val="decimal"/>
      <w:isLgl w:val="false"/>
      <w:suff w:val="nothing"/>
      <w:lvlText w:val="%1.%2.%3.%4　"/>
      <w:lvlJc w:val="left"/>
      <w:pPr>
        <w:pStyle w:val="731"/>
        <w:ind w:left="735" w:firstLine="0"/>
      </w:pPr>
      <w:rPr>
        <w:rFonts w:hint="eastAsia" w:ascii="黑体" w:hAnsi="Times New Roman" w:eastAsia="黑体"/>
        <w:b w:val="0"/>
        <w:i w:val="0"/>
        <w:sz w:val="21"/>
      </w:rPr>
    </w:lvl>
    <w:lvl w:ilvl="4">
      <w:start w:val="1"/>
      <w:numFmt w:val="decimal"/>
      <w:isLgl w:val="false"/>
      <w:suff w:val="nothing"/>
      <w:lvlText w:val="%1.%2.%3.%4.%5　"/>
      <w:lvlJc w:val="left"/>
      <w:pPr>
        <w:pStyle w:val="731"/>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3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1"/>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1"/>
        <w:ind w:left="3969" w:hanging="1418"/>
        <w:tabs>
          <w:tab w:val="num" w:pos="4351" w:leader="none"/>
        </w:tabs>
      </w:pPr>
      <w:rPr>
        <w:rFonts w:hint="eastAsia"/>
      </w:rPr>
    </w:lvl>
    <w:lvl w:ilvl="8">
      <w:start w:val="1"/>
      <w:numFmt w:val="decimal"/>
      <w:isLgl w:val="false"/>
      <w:suff w:val="tab"/>
      <w:lvlText w:val="%1.%2.%3.%4.%5.%6.%7.%8.%9"/>
      <w:lvlJc w:val="left"/>
      <w:pPr>
        <w:pStyle w:val="731"/>
        <w:ind w:left="4677" w:hanging="1700"/>
        <w:tabs>
          <w:tab w:val="num" w:pos="4777" w:leader="none"/>
        </w:tabs>
      </w:pPr>
      <w:rPr>
        <w:rFonts w:hint="eastAsia"/>
      </w:rPr>
    </w:lvl>
  </w:abstractNum>
  <w:abstractNum w:abstractNumId="5">
    <w:multiLevelType w:val="hybridMultilevel"/>
    <w:lvl w:ilvl="0">
      <w:start w:val="1"/>
      <w:numFmt w:val="decimal"/>
      <w:isLgl w:val="false"/>
      <w:suff w:val="nothing"/>
      <w:lvlText w:val="%1"/>
      <w:lvlJc w:val="left"/>
      <w:pPr>
        <w:pStyle w:val="731"/>
        <w:ind w:left="0" w:firstLine="0"/>
      </w:pPr>
      <w:rPr>
        <w:rFonts w:hint="eastAsia"/>
        <w:sz w:val="21"/>
        <w:szCs w:val="21"/>
      </w:r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6">
    <w:multiLevelType w:val="hybridMultilevel"/>
    <w:lvl w:ilvl="0">
      <w:start w:val="1"/>
      <w:numFmt w:val="decimal"/>
      <w:pStyle w:val="1130"/>
      <w:isLgl w:val="false"/>
      <w:suff w:val="tab"/>
      <w:lvlText w:val="%1."/>
      <w:lvlJc w:val="left"/>
      <w:pPr>
        <w:pStyle w:val="731"/>
        <w:ind w:left="720" w:hanging="720"/>
        <w:tabs>
          <w:tab w:val="num" w:pos="720" w:leader="none"/>
        </w:tabs>
      </w:pPr>
    </w:lvl>
    <w:lvl w:ilvl="1">
      <w:start w:val="1"/>
      <w:numFmt w:val="decimal"/>
      <w:isLgl w:val="false"/>
      <w:suff w:val="tab"/>
      <w:lvlText w:val="%2."/>
      <w:lvlJc w:val="left"/>
      <w:pPr>
        <w:pStyle w:val="731"/>
        <w:ind w:left="1440" w:hanging="720"/>
        <w:tabs>
          <w:tab w:val="num" w:pos="1440" w:leader="none"/>
        </w:tabs>
      </w:pPr>
    </w:lvl>
    <w:lvl w:ilvl="2">
      <w:start w:val="1"/>
      <w:numFmt w:val="decimal"/>
      <w:isLgl w:val="false"/>
      <w:suff w:val="tab"/>
      <w:lvlText w:val="%3."/>
      <w:lvlJc w:val="left"/>
      <w:pPr>
        <w:pStyle w:val="731"/>
        <w:ind w:left="2160" w:hanging="720"/>
        <w:tabs>
          <w:tab w:val="num" w:pos="2160" w:leader="none"/>
        </w:tabs>
      </w:pPr>
    </w:lvl>
    <w:lvl w:ilvl="3">
      <w:start w:val="1"/>
      <w:numFmt w:val="decimal"/>
      <w:isLgl w:val="false"/>
      <w:suff w:val="tab"/>
      <w:lvlText w:val="%4."/>
      <w:lvlJc w:val="left"/>
      <w:pPr>
        <w:pStyle w:val="731"/>
        <w:ind w:left="2880" w:hanging="720"/>
        <w:tabs>
          <w:tab w:val="num" w:pos="2880" w:leader="none"/>
        </w:tabs>
      </w:pPr>
    </w:lvl>
    <w:lvl w:ilvl="4">
      <w:start w:val="1"/>
      <w:numFmt w:val="decimal"/>
      <w:isLgl w:val="false"/>
      <w:suff w:val="tab"/>
      <w:lvlText w:val="%5."/>
      <w:lvlJc w:val="left"/>
      <w:pPr>
        <w:pStyle w:val="731"/>
        <w:ind w:left="3600" w:hanging="720"/>
        <w:tabs>
          <w:tab w:val="num" w:pos="3600" w:leader="none"/>
        </w:tabs>
      </w:pPr>
    </w:lvl>
    <w:lvl w:ilvl="5">
      <w:start w:val="1"/>
      <w:numFmt w:val="decimal"/>
      <w:isLgl w:val="false"/>
      <w:suff w:val="tab"/>
      <w:lvlText w:val="%6."/>
      <w:lvlJc w:val="left"/>
      <w:pPr>
        <w:pStyle w:val="731"/>
        <w:ind w:left="4320" w:hanging="720"/>
        <w:tabs>
          <w:tab w:val="num" w:pos="4320" w:leader="none"/>
        </w:tabs>
      </w:pPr>
    </w:lvl>
    <w:lvl w:ilvl="6">
      <w:start w:val="1"/>
      <w:numFmt w:val="decimal"/>
      <w:isLgl w:val="false"/>
      <w:suff w:val="tab"/>
      <w:lvlText w:val="%7."/>
      <w:lvlJc w:val="left"/>
      <w:pPr>
        <w:pStyle w:val="731"/>
        <w:ind w:left="5040" w:hanging="720"/>
        <w:tabs>
          <w:tab w:val="num" w:pos="5040" w:leader="none"/>
        </w:tabs>
      </w:pPr>
    </w:lvl>
    <w:lvl w:ilvl="7">
      <w:start w:val="1"/>
      <w:numFmt w:val="decimal"/>
      <w:isLgl w:val="false"/>
      <w:suff w:val="tab"/>
      <w:lvlText w:val="%8."/>
      <w:lvlJc w:val="left"/>
      <w:pPr>
        <w:pStyle w:val="731"/>
        <w:ind w:left="5760" w:hanging="720"/>
        <w:tabs>
          <w:tab w:val="num" w:pos="5760" w:leader="none"/>
        </w:tabs>
      </w:pPr>
    </w:lvl>
    <w:lvl w:ilvl="8">
      <w:start w:val="1"/>
      <w:numFmt w:val="decimal"/>
      <w:isLgl w:val="false"/>
      <w:suff w:val="tab"/>
      <w:lvlText w:val="%9."/>
      <w:lvlJc w:val="left"/>
      <w:pPr>
        <w:pStyle w:val="731"/>
        <w:ind w:left="6480" w:hanging="720"/>
        <w:tabs>
          <w:tab w:val="num" w:pos="6480" w:leader="none"/>
        </w:tabs>
      </w:pPr>
    </w:lvl>
  </w:abstractNum>
  <w:abstractNum w:abstractNumId="7">
    <w:multiLevelType w:val="hybridMultilevel"/>
    <w:lvl w:ilvl="0">
      <w:start w:val="1"/>
      <w:numFmt w:val="decimal"/>
      <w:isLgl w:val="false"/>
      <w:suff w:val="tab"/>
      <w:lvlText w:val="(%1)"/>
      <w:lvlJc w:val="left"/>
      <w:pPr>
        <w:pStyle w:val="7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2"/>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31"/>
    <w:next w:val="731"/>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731"/>
    <w:next w:val="731"/>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731"/>
    <w:next w:val="731"/>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731"/>
    <w:next w:val="731"/>
    <w:link w:val="1016"/>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31"/>
    <w:next w:val="731"/>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31"/>
    <w:next w:val="731"/>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31"/>
    <w:next w:val="731"/>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31"/>
    <w:next w:val="731"/>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31"/>
    <w:next w:val="731"/>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31"/>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1"/>
    <w:next w:val="731"/>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31"/>
    <w:next w:val="731"/>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31"/>
    <w:next w:val="731"/>
    <w:link w:val="716"/>
    <w:uiPriority w:val="29"/>
    <w:qFormat/>
    <w:pPr>
      <w:ind w:left="720" w:right="720"/>
    </w:pPr>
    <w:rPr>
      <w:i/>
    </w:rPr>
  </w:style>
  <w:style w:type="character" w:styleId="716">
    <w:name w:val="Quote Char"/>
    <w:link w:val="715"/>
    <w:uiPriority w:val="29"/>
    <w:rPr>
      <w:i/>
    </w:rPr>
  </w:style>
  <w:style w:type="paragraph" w:styleId="717">
    <w:name w:val="Intense Quote"/>
    <w:basedOn w:val="731"/>
    <w:next w:val="73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31"/>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31"/>
    <w:link w:val="876"/>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31"/>
    <w:next w:val="731"/>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31"/>
    <w:link w:val="896"/>
    <w:uiPriority w:val="99"/>
    <w:semiHidden/>
    <w:unhideWhenUsed/>
    <w:pPr>
      <w:spacing w:after="40" w:line="240" w:lineRule="auto"/>
    </w:pPr>
    <w:rPr>
      <w:sz w:val="18"/>
    </w:rPr>
  </w:style>
  <w:style w:type="character" w:styleId="727">
    <w:name w:val="footnote reference"/>
    <w:uiPriority w:val="99"/>
    <w:unhideWhenUsed/>
    <w:rPr>
      <w:vertAlign w:val="superscript"/>
    </w:rPr>
  </w:style>
  <w:style w:type="paragraph" w:styleId="728">
    <w:name w:val="endnote text"/>
    <w:basedOn w:val="731"/>
    <w:link w:val="789"/>
    <w:uiPriority w:val="99"/>
    <w:semiHidden/>
    <w:unhideWhenUsed/>
    <w:pPr>
      <w:spacing w:after="0" w:line="240" w:lineRule="auto"/>
    </w:pPr>
    <w:rPr>
      <w:sz w:val="20"/>
    </w:rPr>
  </w:style>
  <w:style w:type="character" w:styleId="729">
    <w:name w:val="endnote reference"/>
    <w:uiPriority w:val="99"/>
    <w:semiHidden/>
    <w:unhideWhenUsed/>
    <w:rPr>
      <w:vertAlign w:val="superscript"/>
    </w:rPr>
  </w:style>
  <w:style w:type="paragraph" w:styleId="730">
    <w:name w:val="table of figures"/>
    <w:basedOn w:val="731"/>
    <w:next w:val="731"/>
    <w:uiPriority w:val="99"/>
    <w:unhideWhenUsed/>
    <w:pPr>
      <w:spacing w:after="0" w:afterAutospacing="0"/>
    </w:pPr>
  </w:style>
  <w:style w:type="paragraph" w:styleId="731" w:default="1">
    <w:name w:val="Normal"/>
    <w:next w:val="731"/>
    <w:link w:val="731"/>
    <w:qFormat/>
    <w:pPr>
      <w:spacing w:after="200" w:line="276" w:lineRule="auto"/>
    </w:pPr>
    <w:rPr>
      <w:sz w:val="22"/>
      <w:szCs w:val="22"/>
      <w:lang w:val="en-US" w:eastAsia="zh-CN" w:bidi="ar-SA"/>
    </w:rPr>
  </w:style>
  <w:style w:type="paragraph" w:styleId="732">
    <w:name w:val="标题 1"/>
    <w:basedOn w:val="731"/>
    <w:next w:val="731"/>
    <w:link w:val="840"/>
    <w:uiPriority w:val="99"/>
    <w:qFormat/>
    <w:pPr>
      <w:keepLines/>
      <w:keepNext/>
      <w:spacing w:before="480" w:after="0"/>
      <w:outlineLvl w:val="0"/>
    </w:pPr>
    <w:rPr>
      <w:rFonts w:ascii="Cambria" w:hAnsi="Cambria"/>
      <w:b/>
      <w:bCs/>
      <w:color w:val="366091"/>
      <w:sz w:val="28"/>
      <w:szCs w:val="28"/>
    </w:rPr>
  </w:style>
  <w:style w:type="paragraph" w:styleId="733">
    <w:name w:val="标题 2"/>
    <w:basedOn w:val="731"/>
    <w:next w:val="731"/>
    <w:link w:val="794"/>
    <w:qFormat/>
    <w:pPr>
      <w:keepLines/>
      <w:keepNext/>
      <w:spacing w:before="200" w:after="0"/>
      <w:outlineLvl w:val="1"/>
    </w:pPr>
    <w:rPr>
      <w:rFonts w:ascii="Cambria" w:hAnsi="Cambria"/>
      <w:b/>
      <w:bCs/>
      <w:color w:val="4f81bd"/>
      <w:sz w:val="26"/>
      <w:szCs w:val="26"/>
    </w:rPr>
  </w:style>
  <w:style w:type="paragraph" w:styleId="734">
    <w:name w:val="标题 3"/>
    <w:basedOn w:val="731"/>
    <w:next w:val="731"/>
    <w:link w:val="882"/>
    <w:qFormat/>
    <w:pPr>
      <w:keepLines/>
      <w:keepNext/>
      <w:spacing w:before="200" w:after="0"/>
      <w:outlineLvl w:val="2"/>
    </w:pPr>
    <w:rPr>
      <w:rFonts w:ascii="Cambria" w:hAnsi="Cambria"/>
      <w:b/>
      <w:bCs/>
      <w:color w:val="4f81bd"/>
      <w:sz w:val="20"/>
      <w:szCs w:val="20"/>
    </w:rPr>
  </w:style>
  <w:style w:type="paragraph" w:styleId="735">
    <w:name w:val="标题 4"/>
    <w:basedOn w:val="731"/>
    <w:next w:val="731"/>
    <w:link w:val="849"/>
    <w:qFormat/>
    <w:pPr>
      <w:keepLines/>
      <w:keepNext/>
      <w:spacing w:before="200" w:after="0"/>
      <w:outlineLvl w:val="3"/>
    </w:pPr>
    <w:rPr>
      <w:rFonts w:ascii="Cambria" w:hAnsi="Cambria"/>
      <w:b/>
      <w:bCs/>
      <w:i/>
      <w:iCs/>
      <w:color w:val="4f81bd"/>
      <w:sz w:val="20"/>
      <w:szCs w:val="20"/>
    </w:rPr>
  </w:style>
  <w:style w:type="paragraph" w:styleId="736">
    <w:name w:val="标题 5"/>
    <w:basedOn w:val="731"/>
    <w:next w:val="731"/>
    <w:link w:val="891"/>
    <w:qFormat/>
    <w:pPr>
      <w:keepLines/>
      <w:keepNext/>
      <w:spacing w:before="200" w:after="0"/>
      <w:outlineLvl w:val="4"/>
    </w:pPr>
    <w:rPr>
      <w:rFonts w:ascii="Cambria" w:hAnsi="Cambria"/>
      <w:color w:val="244061"/>
      <w:sz w:val="20"/>
      <w:szCs w:val="20"/>
    </w:rPr>
  </w:style>
  <w:style w:type="paragraph" w:styleId="737">
    <w:name w:val="标题 6"/>
    <w:basedOn w:val="731"/>
    <w:next w:val="731"/>
    <w:link w:val="879"/>
    <w:uiPriority w:val="99"/>
    <w:qFormat/>
    <w:pPr>
      <w:keepLines/>
      <w:keepNext/>
      <w:spacing w:before="200" w:after="0"/>
      <w:outlineLvl w:val="5"/>
    </w:pPr>
    <w:rPr>
      <w:rFonts w:ascii="Cambria" w:hAnsi="Cambria"/>
      <w:i/>
      <w:iCs/>
      <w:color w:val="244061"/>
      <w:sz w:val="20"/>
      <w:szCs w:val="20"/>
    </w:rPr>
  </w:style>
  <w:style w:type="paragraph" w:styleId="738">
    <w:name w:val="标题 7"/>
    <w:basedOn w:val="731"/>
    <w:next w:val="731"/>
    <w:link w:val="854"/>
    <w:uiPriority w:val="99"/>
    <w:qFormat/>
    <w:pPr>
      <w:keepLines/>
      <w:keepNext/>
      <w:spacing w:before="200" w:after="0"/>
      <w:outlineLvl w:val="6"/>
    </w:pPr>
    <w:rPr>
      <w:rFonts w:ascii="Cambria" w:hAnsi="Cambria"/>
      <w:i/>
      <w:iCs/>
      <w:color w:val="3f3f3f"/>
      <w:sz w:val="20"/>
      <w:szCs w:val="20"/>
    </w:rPr>
  </w:style>
  <w:style w:type="paragraph" w:styleId="739">
    <w:name w:val="标题 8"/>
    <w:basedOn w:val="731"/>
    <w:next w:val="731"/>
    <w:link w:val="847"/>
    <w:qFormat/>
    <w:pPr>
      <w:keepLines/>
      <w:keepNext/>
      <w:spacing w:before="200" w:after="0"/>
      <w:outlineLvl w:val="7"/>
    </w:pPr>
    <w:rPr>
      <w:rFonts w:ascii="Cambria" w:hAnsi="Cambria"/>
      <w:color w:val="4f81bd"/>
      <w:sz w:val="20"/>
      <w:szCs w:val="20"/>
    </w:rPr>
  </w:style>
  <w:style w:type="paragraph" w:styleId="740">
    <w:name w:val="标题 9"/>
    <w:basedOn w:val="731"/>
    <w:next w:val="731"/>
    <w:link w:val="797"/>
    <w:uiPriority w:val="99"/>
    <w:qFormat/>
    <w:pPr>
      <w:keepLines/>
      <w:keepNext/>
      <w:spacing w:before="200" w:after="0"/>
      <w:outlineLvl w:val="8"/>
    </w:pPr>
    <w:rPr>
      <w:rFonts w:ascii="Cambria" w:hAnsi="Cambria"/>
      <w:i/>
      <w:iCs/>
      <w:color w:val="3f3f3f"/>
      <w:sz w:val="20"/>
      <w:szCs w:val="20"/>
    </w:rPr>
  </w:style>
  <w:style w:type="character" w:styleId="741">
    <w:name w:val="默认段落字体"/>
    <w:next w:val="741"/>
    <w:link w:val="731"/>
    <w:uiPriority w:val="1"/>
    <w:unhideWhenUsed/>
  </w:style>
  <w:style w:type="table" w:styleId="742">
    <w:name w:val="普通表格"/>
    <w:next w:val="742"/>
    <w:link w:val="731"/>
    <w:uiPriority w:val="99"/>
    <w:unhideWhenUsed/>
    <w:tblPr/>
  </w:style>
  <w:style w:type="numbering" w:styleId="743">
    <w:name w:val="无列表"/>
    <w:next w:val="743"/>
    <w:link w:val="731"/>
    <w:uiPriority w:val="99"/>
    <w:semiHidden/>
    <w:unhideWhenUsed/>
  </w:style>
  <w:style w:type="character" w:styleId="744">
    <w:name w:val="要点"/>
    <w:next w:val="744"/>
    <w:link w:val="731"/>
    <w:qFormat/>
    <w:rPr>
      <w:b/>
      <w:bCs/>
    </w:rPr>
  </w:style>
  <w:style w:type="character" w:styleId="745">
    <w:name w:val="HTML 变量"/>
    <w:next w:val="745"/>
    <w:link w:val="731"/>
    <w:qFormat/>
    <w:rPr>
      <w:rFonts w:ascii="Times New Roman" w:hAnsi="Times New Roman" w:eastAsia="宋体" w:cs="Times New Roman"/>
    </w:rPr>
  </w:style>
  <w:style w:type="character" w:styleId="746">
    <w:name w:val="尾注引用"/>
    <w:next w:val="746"/>
    <w:link w:val="731"/>
    <w:uiPriority w:val="99"/>
    <w:unhideWhenUsed/>
    <w:rPr>
      <w:vertAlign w:val="superscript"/>
    </w:rPr>
  </w:style>
  <w:style w:type="character" w:styleId="747">
    <w:name w:val="超链接"/>
    <w:next w:val="747"/>
    <w:link w:val="731"/>
    <w:qFormat/>
    <w:rPr>
      <w:color w:val="0000ff"/>
      <w:u w:val="single"/>
    </w:rPr>
  </w:style>
  <w:style w:type="character" w:styleId="748">
    <w:name w:val="页码"/>
    <w:next w:val="748"/>
    <w:link w:val="731"/>
    <w:qFormat/>
  </w:style>
  <w:style w:type="character" w:styleId="749">
    <w:name w:val="HTML 代码"/>
    <w:next w:val="749"/>
    <w:link w:val="731"/>
    <w:unhideWhenUsed/>
    <w:qFormat/>
    <w:rPr>
      <w:rFonts w:ascii="Consolas" w:hAnsi="Consolas" w:eastAsia="Consolas" w:cs="Consolas"/>
      <w:color w:val="c7254e"/>
      <w:sz w:val="21"/>
      <w:szCs w:val="21"/>
      <w:shd w:val="clear" w:color="auto" w:fill="f9f2f4"/>
    </w:rPr>
  </w:style>
  <w:style w:type="character" w:styleId="750">
    <w:name w:val="访问过的超链接"/>
    <w:next w:val="750"/>
    <w:link w:val="731"/>
    <w:qFormat/>
    <w:rPr>
      <w:color w:val="800080"/>
      <w:u w:val="single"/>
    </w:rPr>
  </w:style>
  <w:style w:type="character" w:styleId="751">
    <w:name w:val="批注引用"/>
    <w:next w:val="751"/>
    <w:link w:val="731"/>
    <w:qFormat/>
    <w:rPr>
      <w:sz w:val="21"/>
      <w:szCs w:val="21"/>
    </w:rPr>
  </w:style>
  <w:style w:type="character" w:styleId="752">
    <w:name w:val="强调"/>
    <w:next w:val="752"/>
    <w:link w:val="731"/>
    <w:qFormat/>
    <w:rPr>
      <w:i/>
      <w:iCs/>
    </w:rPr>
  </w:style>
  <w:style w:type="character" w:styleId="753">
    <w:name w:val="HTML 定义"/>
    <w:next w:val="753"/>
    <w:link w:val="731"/>
    <w:unhideWhenUsed/>
    <w:qFormat/>
    <w:rPr>
      <w:rFonts w:ascii="Times New Roman" w:hAnsi="Times New Roman" w:eastAsia="宋体" w:cs="Times New Roman"/>
      <w:i/>
      <w:iCs/>
    </w:rPr>
  </w:style>
  <w:style w:type="character" w:styleId="754">
    <w:name w:val="HTML 引文"/>
    <w:next w:val="754"/>
    <w:link w:val="731"/>
    <w:qFormat/>
    <w:rPr>
      <w:rFonts w:ascii="Times New Roman" w:hAnsi="Times New Roman" w:eastAsia="宋体" w:cs="Times New Roman"/>
      <w:color w:val="008000"/>
    </w:rPr>
  </w:style>
  <w:style w:type="character" w:styleId="755">
    <w:name w:val="脚注引用"/>
    <w:next w:val="755"/>
    <w:link w:val="731"/>
    <w:uiPriority w:val="99"/>
    <w:unhideWhenUsed/>
    <w:rPr>
      <w:vertAlign w:val="superscript"/>
    </w:rPr>
  </w:style>
  <w:style w:type="character" w:styleId="756">
    <w:name w:val="HTML 键盘"/>
    <w:next w:val="756"/>
    <w:link w:val="731"/>
    <w:unhideWhenUsed/>
    <w:qFormat/>
    <w:rPr>
      <w:rFonts w:ascii="Consolas" w:hAnsi="Consolas" w:eastAsia="Consolas" w:cs="Consolas"/>
      <w:color w:val="ffffff"/>
      <w:sz w:val="21"/>
      <w:szCs w:val="21"/>
      <w:shd w:val="clear" w:color="auto" w:fill="333333"/>
    </w:rPr>
  </w:style>
  <w:style w:type="character" w:styleId="757">
    <w:name w:val="HTML 样本"/>
    <w:next w:val="757"/>
    <w:link w:val="731"/>
    <w:unhideWhenUsed/>
    <w:qFormat/>
    <w:rPr>
      <w:rFonts w:ascii="Consolas" w:hAnsi="Consolas" w:eastAsia="Consolas" w:cs="Consolas"/>
      <w:sz w:val="21"/>
      <w:szCs w:val="21"/>
    </w:rPr>
  </w:style>
  <w:style w:type="character" w:styleId="758">
    <w:name w:val="正文文本缩进 字符1"/>
    <w:next w:val="758"/>
    <w:link w:val="731"/>
    <w:uiPriority w:val="99"/>
    <w:qFormat/>
    <w:rPr>
      <w:rFonts w:ascii="Calibri" w:hAnsi="Calibri" w:eastAsia="宋体" w:cs="Calibri"/>
      <w:szCs w:val="21"/>
    </w:rPr>
  </w:style>
  <w:style w:type="character" w:styleId="759">
    <w:name w:val="正文文本缩进 2 字符1"/>
    <w:next w:val="759"/>
    <w:link w:val="731"/>
    <w:uiPriority w:val="99"/>
    <w:qFormat/>
    <w:rPr>
      <w:rFonts w:ascii="宋体" w:hAnsi="Calibri" w:eastAsia="宋体" w:cs="宋体"/>
      <w:sz w:val="20"/>
      <w:szCs w:val="20"/>
    </w:rPr>
  </w:style>
  <w:style w:type="character" w:styleId="760">
    <w:name w:val="引用 Char"/>
    <w:next w:val="760"/>
    <w:link w:val="1073"/>
    <w:uiPriority w:val="99"/>
    <w:qFormat/>
    <w:rPr>
      <w:i/>
      <w:iCs/>
      <w:color w:val="000000"/>
    </w:rPr>
  </w:style>
  <w:style w:type="character" w:styleId="761">
    <w:name w:val="标题 2 Char_0"/>
    <w:next w:val="761"/>
    <w:link w:val="1138"/>
    <w:uiPriority w:val="99"/>
    <w:qFormat/>
    <w:rPr>
      <w:rFonts w:ascii="Cambria" w:hAnsi="Cambria"/>
      <w:b/>
      <w:bCs/>
      <w:sz w:val="32"/>
      <w:szCs w:val="32"/>
    </w:rPr>
  </w:style>
  <w:style w:type="character" w:styleId="762">
    <w:name w:val="标题 8 字符1"/>
    <w:next w:val="762"/>
    <w:link w:val="731"/>
    <w:qFormat/>
    <w:rPr>
      <w:rFonts w:ascii="Cambria" w:hAnsi="Cambria" w:eastAsia="宋体" w:cs="Cambria"/>
      <w:sz w:val="24"/>
      <w:szCs w:val="24"/>
    </w:rPr>
  </w:style>
  <w:style w:type="character" w:styleId="763">
    <w:name w:val="页眉 字符1"/>
    <w:next w:val="763"/>
    <w:link w:val="1066"/>
    <w:uiPriority w:val="99"/>
    <w:qFormat/>
    <w:rPr>
      <w:sz w:val="18"/>
      <w:szCs w:val="18"/>
    </w:rPr>
  </w:style>
  <w:style w:type="character" w:styleId="764">
    <w:name w:val="日期 字符1"/>
    <w:next w:val="764"/>
    <w:link w:val="731"/>
    <w:uiPriority w:val="99"/>
    <w:qFormat/>
    <w:rPr>
      <w:rFonts w:ascii="Calibri" w:hAnsi="Calibri" w:eastAsia="宋体" w:cs="Calibri"/>
      <w:szCs w:val="21"/>
    </w:rPr>
  </w:style>
  <w:style w:type="character" w:styleId="765">
    <w:name w:val="标题 7 字符1"/>
    <w:next w:val="765"/>
    <w:link w:val="731"/>
    <w:uiPriority w:val="99"/>
    <w:qFormat/>
    <w:rPr>
      <w:rFonts w:ascii="Calibri" w:hAnsi="Calibri" w:eastAsia="宋体" w:cs="Calibri"/>
      <w:b/>
      <w:bCs/>
      <w:sz w:val="24"/>
      <w:szCs w:val="24"/>
    </w:rPr>
  </w:style>
  <w:style w:type="character" w:styleId="766">
    <w:name w:val="批注主题 字符"/>
    <w:next w:val="766"/>
    <w:link w:val="1049"/>
    <w:uiPriority w:val="99"/>
    <w:qFormat/>
    <w:rPr>
      <w:rFonts w:ascii="Times New Roman" w:hAnsi="Times New Roman" w:eastAsia="宋体" w:cs="Times New Roman"/>
      <w:b/>
      <w:bCs/>
      <w:sz w:val="21"/>
      <w:szCs w:val="21"/>
    </w:rPr>
  </w:style>
  <w:style w:type="character" w:styleId="767">
    <w:name w:val="标题 9 字符1"/>
    <w:next w:val="767"/>
    <w:link w:val="731"/>
    <w:uiPriority w:val="99"/>
    <w:qFormat/>
    <w:rPr>
      <w:rFonts w:ascii="Cambria" w:hAnsi="Cambria" w:eastAsia="宋体" w:cs="Cambria"/>
      <w:szCs w:val="21"/>
    </w:rPr>
  </w:style>
  <w:style w:type="character" w:styleId="768">
    <w:name w:val="正文文本缩进 字符"/>
    <w:next w:val="768"/>
    <w:link w:val="1042"/>
    <w:uiPriority w:val="99"/>
    <w:qFormat/>
    <w:rPr>
      <w:rFonts w:ascii="楷体_GB2312" w:hAnsi="Times New Roman" w:eastAsia="楷体_GB2312" w:cs="Times New Roman"/>
      <w:sz w:val="32"/>
      <w:szCs w:val="32"/>
    </w:rPr>
  </w:style>
  <w:style w:type="character" w:styleId="769">
    <w:name w:val="正文文本 3 字符1"/>
    <w:next w:val="769"/>
    <w:link w:val="731"/>
    <w:uiPriority w:val="99"/>
    <w:qFormat/>
    <w:rPr>
      <w:rFonts w:ascii="宋体" w:hAnsi="Calibri" w:eastAsia="宋体" w:cs="宋体"/>
      <w:sz w:val="24"/>
      <w:szCs w:val="24"/>
    </w:rPr>
  </w:style>
  <w:style w:type="character" w:styleId="770">
    <w:name w:val="页脚 字符"/>
    <w:next w:val="770"/>
    <w:link w:val="731"/>
    <w:qFormat/>
    <w:rPr>
      <w:sz w:val="18"/>
      <w:szCs w:val="18"/>
    </w:rPr>
  </w:style>
  <w:style w:type="character" w:styleId="771">
    <w:name w:val="prev2"/>
    <w:next w:val="771"/>
    <w:link w:val="731"/>
    <w:rPr>
      <w:rFonts w:ascii="微软雅黑" w:hAnsi="微软雅黑" w:eastAsia="微软雅黑" w:cs="微软雅黑"/>
      <w:sz w:val="21"/>
      <w:szCs w:val="21"/>
    </w:rPr>
  </w:style>
  <w:style w:type="character" w:styleId="772">
    <w:name w:val="明显引用 Char"/>
    <w:next w:val="772"/>
    <w:link w:val="1075"/>
    <w:uiPriority w:val="99"/>
    <w:qFormat/>
    <w:rPr>
      <w:b/>
      <w:bCs/>
      <w:i/>
      <w:iCs/>
      <w:color w:val="4f81bd"/>
    </w:rPr>
  </w:style>
  <w:style w:type="character" w:styleId="773">
    <w:name w:val="副标题 字符1"/>
    <w:next w:val="773"/>
    <w:link w:val="731"/>
    <w:uiPriority w:val="99"/>
    <w:qFormat/>
    <w:rPr>
      <w:rFonts w:ascii="Cambria" w:hAnsi="Cambria" w:eastAsia="宋体" w:cs="Cambria"/>
      <w:b/>
      <w:bCs/>
      <w:sz w:val="32"/>
      <w:szCs w:val="32"/>
    </w:rPr>
  </w:style>
  <w:style w:type="character" w:styleId="774">
    <w:name w:val="页眉 字符"/>
    <w:next w:val="774"/>
    <w:link w:val="731"/>
    <w:qFormat/>
    <w:rPr>
      <w:sz w:val="18"/>
      <w:szCs w:val="18"/>
    </w:rPr>
  </w:style>
  <w:style w:type="character" w:styleId="775">
    <w:name w:val="页眉 Char"/>
    <w:next w:val="775"/>
    <w:link w:val="731"/>
    <w:qFormat/>
    <w:rPr>
      <w:rFonts w:cs="Calibri"/>
      <w:sz w:val="18"/>
      <w:szCs w:val="18"/>
    </w:rPr>
  </w:style>
  <w:style w:type="character" w:styleId="776">
    <w:name w:val="明显参考1"/>
    <w:next w:val="776"/>
    <w:link w:val="731"/>
    <w:uiPriority w:val="99"/>
    <w:qFormat/>
    <w:rPr>
      <w:b/>
      <w:bCs/>
      <w:smallCaps/>
      <w:color w:val="c0504d"/>
      <w:spacing w:val="5"/>
      <w:u w:val="single"/>
    </w:rPr>
  </w:style>
  <w:style w:type="character" w:styleId="777">
    <w:name w:val="font31"/>
    <w:next w:val="777"/>
    <w:link w:val="731"/>
    <w:qFormat/>
    <w:rPr>
      <w:rFonts w:ascii="宋体" w:hAnsi="宋体" w:eastAsia="宋体" w:cs="宋体"/>
      <w:color w:val="000000"/>
      <w:sz w:val="20"/>
      <w:szCs w:val="20"/>
      <w:u w:val="none"/>
    </w:rPr>
  </w:style>
  <w:style w:type="character" w:styleId="778">
    <w:name w:val="批注主题 字符1"/>
    <w:next w:val="778"/>
    <w:link w:val="731"/>
    <w:uiPriority w:val="99"/>
    <w:qFormat/>
    <w:rPr>
      <w:rFonts w:ascii="Calibri" w:hAnsi="Calibri" w:eastAsia="宋体" w:cs="Calibri"/>
      <w:b/>
      <w:bCs/>
      <w:szCs w:val="21"/>
    </w:rPr>
  </w:style>
  <w:style w:type="character" w:styleId="779">
    <w:name w:val="纯文本 Char"/>
    <w:next w:val="779"/>
    <w:link w:val="731"/>
    <w:qFormat/>
    <w:rPr>
      <w:rFonts w:ascii="宋体" w:hAnsi="Courier New" w:eastAsia="宋体" w:cs="Courier New"/>
      <w:sz w:val="21"/>
      <w:szCs w:val="21"/>
    </w:rPr>
  </w:style>
  <w:style w:type="character" w:styleId="780">
    <w:name w:val="批注文字 Char1"/>
    <w:next w:val="780"/>
    <w:link w:val="731"/>
    <w:uiPriority w:val="99"/>
    <w:qFormat/>
    <w:rPr>
      <w:rFonts w:ascii="Calibri" w:hAnsi="Calibri" w:eastAsia="宋体" w:cs="Calibri"/>
    </w:rPr>
  </w:style>
  <w:style w:type="character" w:styleId="781">
    <w:name w:val="标题 5 字符1"/>
    <w:next w:val="781"/>
    <w:link w:val="731"/>
    <w:qFormat/>
    <w:rPr>
      <w:rFonts w:ascii="Calibri" w:hAnsi="Calibri" w:eastAsia="宋体" w:cs="Calibri"/>
      <w:b/>
      <w:bCs/>
      <w:sz w:val="28"/>
      <w:szCs w:val="28"/>
    </w:rPr>
  </w:style>
  <w:style w:type="character" w:styleId="782">
    <w:name w:val="正文文本首行缩进 字符"/>
    <w:next w:val="782"/>
    <w:link w:val="1067"/>
    <w:qFormat/>
    <w:rPr>
      <w:rFonts w:ascii="仿宋_GB2312" w:hAnsi="Times New Roman" w:eastAsia="仿宋_GB2312" w:cs="Times New Roman"/>
      <w:sz w:val="30"/>
      <w:szCs w:val="30"/>
    </w:rPr>
  </w:style>
  <w:style w:type="character" w:styleId="783">
    <w:name w:val="ant-typography-ellipsis-single-line"/>
    <w:next w:val="783"/>
    <w:link w:val="731"/>
    <w:qFormat/>
    <w:rPr>
      <w:rFonts w:ascii="Times New Roman" w:hAnsi="Times New Roman" w:eastAsia="宋体" w:cs="Times New Roman"/>
    </w:rPr>
  </w:style>
  <w:style w:type="character" w:styleId="784">
    <w:name w:val="普通正文 Char"/>
    <w:next w:val="784"/>
    <w:link w:val="1070"/>
    <w:qFormat/>
    <w:rPr>
      <w:rFonts w:ascii="Arial" w:hAnsi="Arial"/>
      <w:sz w:val="24"/>
      <w:szCs w:val="24"/>
    </w:rPr>
  </w:style>
  <w:style w:type="character" w:styleId="785">
    <w:name w:val="textcontents"/>
    <w:next w:val="785"/>
    <w:link w:val="731"/>
    <w:uiPriority w:val="99"/>
    <w:qFormat/>
    <w:rPr>
      <w:rFonts w:ascii="Times New Roman" w:hAnsi="Times New Roman" w:eastAsia="宋体" w:cs="Times New Roman"/>
    </w:rPr>
  </w:style>
  <w:style w:type="character" w:styleId="786">
    <w:name w:val="批注主题 Char2"/>
    <w:next w:val="786"/>
    <w:link w:val="731"/>
    <w:uiPriority w:val="99"/>
    <w:qFormat/>
    <w:rPr>
      <w:rFonts w:ascii="Times New Roman" w:hAnsi="Times New Roman" w:eastAsia="宋体" w:cs="Times New Roman"/>
      <w:b/>
      <w:bCs/>
      <w:sz w:val="21"/>
      <w:szCs w:val="21"/>
    </w:rPr>
  </w:style>
  <w:style w:type="character" w:styleId="787">
    <w:name w:val="as_fail"/>
    <w:next w:val="787"/>
    <w:link w:val="731"/>
    <w:qFormat/>
    <w:rPr>
      <w:rFonts w:ascii="Times New Roman" w:hAnsi="Times New Roman" w:eastAsia="宋体" w:cs="Times New Roman"/>
    </w:rPr>
  </w:style>
  <w:style w:type="character" w:styleId="788">
    <w:name w:val="fbc_ico3"/>
    <w:next w:val="788"/>
    <w:link w:val="731"/>
    <w:qFormat/>
    <w:rPr>
      <w:rFonts w:ascii="Times New Roman" w:hAnsi="Times New Roman" w:eastAsia="宋体" w:cs="Times New Roman"/>
    </w:rPr>
  </w:style>
  <w:style w:type="character" w:styleId="789">
    <w:name w:val="Endnote Text Char"/>
    <w:next w:val="789"/>
    <w:link w:val="731"/>
    <w:uiPriority w:val="99"/>
    <w:rPr>
      <w:sz w:val="20"/>
    </w:rPr>
  </w:style>
  <w:style w:type="character" w:styleId="790">
    <w:name w:val="ant-transfer-list-search-action"/>
    <w:next w:val="790"/>
    <w:link w:val="731"/>
    <w:qFormat/>
    <w:rPr>
      <w:rFonts w:ascii="Times New Roman" w:hAnsi="Times New Roman" w:eastAsia="宋体" w:cs="Times New Roman"/>
    </w:rPr>
  </w:style>
  <w:style w:type="character" w:styleId="791">
    <w:name w:val="已访问的超链接1"/>
    <w:next w:val="791"/>
    <w:link w:val="731"/>
    <w:rPr>
      <w:rFonts w:hint="eastAsia" w:ascii="微软雅黑" w:hAnsi="微软雅黑" w:eastAsia="微软雅黑" w:cs="微软雅黑"/>
      <w:color w:val="02396f"/>
      <w:u w:val="single"/>
    </w:rPr>
  </w:style>
  <w:style w:type="character" w:styleId="792">
    <w:name w:val="副标题 Char1"/>
    <w:next w:val="792"/>
    <w:link w:val="731"/>
    <w:uiPriority w:val="99"/>
    <w:qFormat/>
    <w:rPr>
      <w:rFonts w:ascii="Cambria" w:hAnsi="Cambria" w:eastAsia="宋体" w:cs="Cambria"/>
      <w:b/>
      <w:bCs/>
      <w:sz w:val="32"/>
      <w:szCs w:val="32"/>
    </w:rPr>
  </w:style>
  <w:style w:type="character" w:styleId="793">
    <w:name w:val="页码1"/>
    <w:next w:val="793"/>
    <w:link w:val="731"/>
  </w:style>
  <w:style w:type="character" w:styleId="794">
    <w:name w:val="标题 2 字符"/>
    <w:next w:val="794"/>
    <w:link w:val="733"/>
    <w:qFormat/>
    <w:rPr>
      <w:rFonts w:ascii="Cambria" w:hAnsi="Cambria" w:eastAsia="宋体" w:cs="Times New Roman"/>
      <w:b/>
      <w:bCs/>
      <w:color w:val="4f81bd"/>
      <w:sz w:val="26"/>
      <w:szCs w:val="26"/>
    </w:rPr>
  </w:style>
  <w:style w:type="character" w:styleId="795">
    <w:name w:val="ant-radio+*"/>
    <w:next w:val="795"/>
    <w:link w:val="731"/>
    <w:qFormat/>
    <w:rPr>
      <w:rFonts w:ascii="Times New Roman" w:hAnsi="Times New Roman" w:eastAsia="宋体" w:cs="Times New Roman"/>
    </w:rPr>
  </w:style>
  <w:style w:type="character" w:styleId="796">
    <w:name w:val="要点1"/>
    <w:next w:val="796"/>
    <w:link w:val="731"/>
    <w:qFormat/>
    <w:rPr>
      <w:b/>
      <w:bCs/>
    </w:rPr>
  </w:style>
  <w:style w:type="character" w:styleId="797">
    <w:name w:val="标题 9 字符"/>
    <w:next w:val="797"/>
    <w:link w:val="740"/>
    <w:uiPriority w:val="99"/>
    <w:qFormat/>
    <w:rPr>
      <w:rFonts w:ascii="Cambria" w:hAnsi="Cambria" w:eastAsia="宋体" w:cs="Times New Roman"/>
      <w:i/>
      <w:iCs/>
      <w:color w:val="3f3f3f"/>
      <w:sz w:val="20"/>
      <w:szCs w:val="20"/>
    </w:rPr>
  </w:style>
  <w:style w:type="character" w:styleId="798">
    <w:name w:val="超链接_0"/>
    <w:next w:val="798"/>
    <w:link w:val="731"/>
    <w:uiPriority w:val="99"/>
    <w:qFormat/>
    <w:rPr>
      <w:rFonts w:ascii="Calibri" w:hAnsi="Calibri" w:eastAsia="宋体" w:cs="Calibri"/>
      <w:color w:val="0000ff"/>
      <w:u w:val="single"/>
    </w:rPr>
  </w:style>
  <w:style w:type="character" w:styleId="799">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799"/>
    <w:link w:val="1126"/>
    <w:qFormat/>
    <w:rPr>
      <w:rFonts w:cs="Calibri"/>
      <w:b/>
      <w:bCs/>
      <w:sz w:val="24"/>
      <w:szCs w:val="24"/>
    </w:rPr>
  </w:style>
  <w:style w:type="character" w:styleId="800">
    <w:name w:val="文档结构图 Char2"/>
    <w:next w:val="800"/>
    <w:link w:val="731"/>
    <w:uiPriority w:val="99"/>
    <w:semiHidden/>
    <w:qFormat/>
    <w:rPr>
      <w:rFonts w:ascii="宋体" w:hAnsi="Calibri" w:eastAsia="宋体" w:cs="宋体"/>
      <w:sz w:val="18"/>
      <w:szCs w:val="18"/>
    </w:rPr>
  </w:style>
  <w:style w:type="character" w:styleId="801">
    <w:name w:val="next"/>
    <w:next w:val="801"/>
    <w:link w:val="731"/>
    <w:rPr>
      <w:rFonts w:hint="eastAsia" w:ascii="微软雅黑" w:hAnsi="微软雅黑" w:eastAsia="微软雅黑" w:cs="微软雅黑"/>
      <w:sz w:val="21"/>
      <w:szCs w:val="21"/>
    </w:rPr>
  </w:style>
  <w:style w:type="character" w:styleId="802">
    <w:name w:val="明显引用 Char1"/>
    <w:next w:val="802"/>
    <w:link w:val="731"/>
    <w:uiPriority w:val="99"/>
    <w:qFormat/>
    <w:rPr>
      <w:rFonts w:ascii="Times New Roman" w:hAnsi="Times New Roman" w:eastAsia="宋体" w:cs="Times New Roman"/>
      <w:b/>
      <w:bCs/>
      <w:i/>
      <w:iCs/>
      <w:color w:val="4f81bd"/>
      <w:sz w:val="21"/>
      <w:szCs w:val="21"/>
    </w:rPr>
  </w:style>
  <w:style w:type="character" w:styleId="803">
    <w:name w:val="明显强调"/>
    <w:next w:val="803"/>
    <w:link w:val="731"/>
    <w:uiPriority w:val="21"/>
    <w:qFormat/>
    <w:rPr>
      <w:i/>
      <w:iCs/>
      <w:color w:val="0f4761"/>
    </w:rPr>
  </w:style>
  <w:style w:type="character" w:styleId="804">
    <w:name w:val="ant-tree-switcher"/>
    <w:next w:val="804"/>
    <w:link w:val="731"/>
    <w:qFormat/>
    <w:rPr>
      <w:rFonts w:ascii="Times New Roman" w:hAnsi="Times New Roman" w:eastAsia="宋体" w:cs="Times New Roman"/>
    </w:rPr>
  </w:style>
  <w:style w:type="character" w:styleId="805">
    <w:name w:val="标题 3 字符1"/>
    <w:next w:val="805"/>
    <w:link w:val="731"/>
    <w:qFormat/>
    <w:rPr>
      <w:rFonts w:ascii="Calibri" w:hAnsi="Calibri" w:eastAsia="宋体" w:cs="Calibri"/>
      <w:b/>
      <w:bCs/>
      <w:sz w:val="32"/>
      <w:szCs w:val="32"/>
    </w:rPr>
  </w:style>
  <w:style w:type="character" w:styleId="806">
    <w:name w:val="日期 字符"/>
    <w:next w:val="806"/>
    <w:link w:val="1050"/>
    <w:uiPriority w:val="99"/>
    <w:qFormat/>
    <w:rPr>
      <w:rFonts w:ascii="Times New Roman" w:hAnsi="Times New Roman" w:eastAsia="宋体" w:cs="Times New Roman"/>
      <w:sz w:val="24"/>
      <w:szCs w:val="24"/>
    </w:rPr>
  </w:style>
  <w:style w:type="character" w:styleId="807">
    <w:name w:val="morelink-item"/>
    <w:next w:val="807"/>
    <w:link w:val="731"/>
    <w:qFormat/>
    <w:rPr>
      <w:rFonts w:ascii="Times New Roman" w:hAnsi="Times New Roman" w:eastAsia="宋体" w:cs="Times New Roman"/>
    </w:rPr>
  </w:style>
  <w:style w:type="character" w:styleId="808">
    <w:name w:val="cfdate"/>
    <w:next w:val="808"/>
    <w:link w:val="731"/>
    <w:rPr>
      <w:color w:val="333333"/>
      <w:sz w:val="18"/>
      <w:szCs w:val="18"/>
    </w:rPr>
  </w:style>
  <w:style w:type="character" w:styleId="809">
    <w:name w:val="脚注文本 字符"/>
    <w:next w:val="809"/>
    <w:link w:val="1044"/>
    <w:uiPriority w:val="99"/>
    <w:rPr>
      <w:rFonts w:ascii="Times New Roman" w:hAnsi="Times New Roman"/>
      <w:sz w:val="18"/>
    </w:rPr>
  </w:style>
  <w:style w:type="character" w:styleId="810">
    <w:name w:val="t-tree-expanded"/>
    <w:next w:val="810"/>
    <w:link w:val="731"/>
    <w:qFormat/>
    <w:rPr>
      <w:rFonts w:ascii="Times New Roman" w:hAnsi="Times New Roman" w:eastAsia="宋体" w:cs="Times New Roman"/>
    </w:rPr>
  </w:style>
  <w:style w:type="character" w:styleId="811">
    <w:name w:val="redfilenumber"/>
    <w:next w:val="811"/>
    <w:link w:val="731"/>
    <w:rPr>
      <w:color w:val="ba2636"/>
      <w:sz w:val="18"/>
      <w:szCs w:val="18"/>
    </w:rPr>
  </w:style>
  <w:style w:type="character" w:styleId="812">
    <w:name w:val="正文缩进 字符1"/>
    <w:next w:val="812"/>
    <w:link w:val="1052"/>
    <w:qFormat/>
    <w:rPr>
      <w:sz w:val="21"/>
    </w:rPr>
  </w:style>
  <w:style w:type="character" w:styleId="813">
    <w:name w:val="t-render-object-error"/>
    <w:next w:val="813"/>
    <w:link w:val="731"/>
    <w:qFormat/>
    <w:rPr>
      <w:rFonts w:ascii="Times New Roman" w:hAnsi="Times New Roman" w:eastAsia="宋体" w:cs="Times New Roman"/>
      <w:b/>
      <w:i/>
      <w:color w:val="ff0000"/>
    </w:rPr>
  </w:style>
  <w:style w:type="character" w:styleId="814">
    <w:name w:val="宏文本 字符"/>
    <w:next w:val="814"/>
    <w:link w:val="731"/>
    <w:qFormat/>
    <w:rPr>
      <w:rFonts w:ascii="Courier New" w:hAnsi="Courier New" w:cs="Courier New"/>
      <w:sz w:val="24"/>
      <w:szCs w:val="24"/>
    </w:rPr>
  </w:style>
  <w:style w:type="character" w:styleId="815">
    <w:name w:val="正文文本缩进 2 字符"/>
    <w:next w:val="815"/>
    <w:link w:val="1030"/>
    <w:uiPriority w:val="99"/>
    <w:qFormat/>
    <w:rPr>
      <w:rFonts w:ascii="Arial" w:hAnsi="Arial" w:eastAsia="仿宋_GB2312" w:cs="Arial"/>
      <w:sz w:val="32"/>
      <w:szCs w:val="32"/>
    </w:rPr>
  </w:style>
  <w:style w:type="character" w:styleId="816">
    <w:name w:val="日期 Char1"/>
    <w:next w:val="816"/>
    <w:link w:val="731"/>
    <w:uiPriority w:val="99"/>
    <w:qFormat/>
    <w:rPr>
      <w:rFonts w:ascii="Calibri" w:hAnsi="Calibri" w:eastAsia="宋体" w:cs="Calibri"/>
    </w:rPr>
  </w:style>
  <w:style w:type="character" w:styleId="817">
    <w:name w:val="宏文本 字符2"/>
    <w:next w:val="817"/>
    <w:link w:val="1059"/>
    <w:qFormat/>
    <w:rPr>
      <w:rFonts w:ascii="Courier New" w:hAnsi="Courier New" w:cs="Calibri"/>
    </w:rPr>
  </w:style>
  <w:style w:type="character" w:styleId="818">
    <w:name w:val="正文文本 3 字符"/>
    <w:next w:val="818"/>
    <w:link w:val="1053"/>
    <w:uiPriority w:val="99"/>
    <w:qFormat/>
    <w:rPr>
      <w:rFonts w:ascii="仿宋_GB2312" w:hAnsi="Arial" w:eastAsia="仿宋_GB2312" w:cs="Times New Roman"/>
      <w:sz w:val="32"/>
      <w:szCs w:val="32"/>
    </w:rPr>
  </w:style>
  <w:style w:type="character" w:styleId="819">
    <w:name w:val="表格文字 字符"/>
    <w:next w:val="819"/>
    <w:link w:val="1210"/>
    <w:uiPriority w:val="99"/>
    <w:qFormat/>
    <w:rPr>
      <w:sz w:val="22"/>
    </w:rPr>
  </w:style>
  <w:style w:type="character" w:styleId="820">
    <w:name w:val="标题 1 字符2"/>
    <w:next w:val="820"/>
    <w:link w:val="731"/>
    <w:uiPriority w:val="99"/>
    <w:qFormat/>
    <w:rPr>
      <w:rFonts w:ascii="Times New Roman" w:hAnsi="Times New Roman" w:eastAsia="宋体" w:cs="Calibri"/>
      <w:b/>
      <w:bCs/>
      <w:sz w:val="32"/>
      <w:szCs w:val="32"/>
    </w:rPr>
  </w:style>
  <w:style w:type="character" w:styleId="821">
    <w:name w:val="页脚 字符1"/>
    <w:next w:val="821"/>
    <w:link w:val="1063"/>
    <w:qFormat/>
    <w:rPr>
      <w:sz w:val="18"/>
      <w:szCs w:val="18"/>
    </w:rPr>
  </w:style>
  <w:style w:type="character" w:styleId="822">
    <w:name w:val="sidecatalog-index1"/>
    <w:next w:val="822"/>
    <w:link w:val="731"/>
    <w:qFormat/>
    <w:rPr>
      <w:rFonts w:ascii="Arial" w:hAnsi="Arial" w:eastAsia="宋体" w:cs="Arial"/>
      <w:b/>
      <w:color w:val="999999"/>
      <w:sz w:val="21"/>
      <w:szCs w:val="21"/>
    </w:rPr>
  </w:style>
  <w:style w:type="character" w:styleId="823">
    <w:name w:val="qxdate"/>
    <w:next w:val="823"/>
    <w:link w:val="731"/>
    <w:rPr>
      <w:color w:val="333333"/>
      <w:sz w:val="18"/>
      <w:szCs w:val="18"/>
    </w:rPr>
  </w:style>
  <w:style w:type="character" w:styleId="824">
    <w:name w:val="批注文字 字符"/>
    <w:next w:val="824"/>
    <w:link w:val="1038"/>
    <w:qFormat/>
    <w:rPr>
      <w:rFonts w:ascii="Times New Roman" w:hAnsi="Times New Roman" w:eastAsia="宋体" w:cs="Times New Roman"/>
      <w:sz w:val="21"/>
      <w:szCs w:val="21"/>
    </w:rPr>
  </w:style>
  <w:style w:type="character" w:styleId="825">
    <w:name w:val="polysemyred"/>
    <w:next w:val="825"/>
    <w:link w:val="731"/>
    <w:qFormat/>
    <w:rPr>
      <w:rFonts w:ascii="Times New Roman" w:hAnsi="Times New Roman" w:eastAsia="宋体" w:cs="Times New Roman"/>
      <w:color w:val="ff6666"/>
      <w:sz w:val="18"/>
      <w:szCs w:val="18"/>
    </w:rPr>
  </w:style>
  <w:style w:type="character" w:styleId="826">
    <w:name w:val="Table Sub Section Char"/>
    <w:next w:val="826"/>
    <w:link w:val="1077"/>
    <w:qFormat/>
    <w:rPr>
      <w:rFonts w:ascii="Arial" w:hAnsi="Arial" w:eastAsia="宋体" w:cs="Times New Roman"/>
      <w:b/>
      <w:color w:val="0f0f0f"/>
      <w:sz w:val="20"/>
      <w:szCs w:val="20"/>
      <w:lang w:eastAsia="en-US"/>
    </w:rPr>
  </w:style>
  <w:style w:type="character" w:styleId="827">
    <w:name w:val="标题 字符1"/>
    <w:next w:val="827"/>
    <w:link w:val="731"/>
    <w:uiPriority w:val="99"/>
    <w:qFormat/>
    <w:rPr>
      <w:rFonts w:ascii="Arial" w:hAnsi="Arial" w:eastAsia="宋体" w:cs="Arial"/>
      <w:b/>
      <w:bCs/>
      <w:sz w:val="32"/>
      <w:szCs w:val="32"/>
    </w:rPr>
  </w:style>
  <w:style w:type="character" w:styleId="828">
    <w:name w:val="默认段落字体1"/>
    <w:next w:val="828"/>
    <w:link w:val="731"/>
    <w:semiHidden/>
  </w:style>
  <w:style w:type="character" w:styleId="829">
    <w:name w:val="书籍标题1"/>
    <w:next w:val="829"/>
    <w:link w:val="731"/>
    <w:uiPriority w:val="99"/>
    <w:qFormat/>
    <w:rPr>
      <w:b/>
      <w:bCs/>
      <w:smallCaps/>
      <w:spacing w:val="5"/>
    </w:rPr>
  </w:style>
  <w:style w:type="character" w:styleId="830">
    <w:name w:val="正文文本 字符1"/>
    <w:next w:val="830"/>
    <w:link w:val="731"/>
    <w:qFormat/>
    <w:rPr>
      <w:rFonts w:ascii="Calibri" w:hAnsi="Calibri" w:eastAsia="幼圆" w:cs="Calibri"/>
      <w:b/>
      <w:bCs/>
      <w:sz w:val="44"/>
      <w:szCs w:val="44"/>
    </w:rPr>
  </w:style>
  <w:style w:type="character" w:styleId="831">
    <w:name w:val="不明显强调1"/>
    <w:next w:val="831"/>
    <w:link w:val="731"/>
    <w:uiPriority w:val="99"/>
    <w:qFormat/>
    <w:rPr>
      <w:i/>
      <w:iCs/>
      <w:color w:val="7e7e7e"/>
    </w:rPr>
  </w:style>
  <w:style w:type="character" w:styleId="832">
    <w:name w:val="批注框文本 字符1"/>
    <w:next w:val="832"/>
    <w:link w:val="731"/>
    <w:qFormat/>
    <w:rPr>
      <w:rFonts w:ascii="Calibri" w:hAnsi="Calibri" w:eastAsia="宋体" w:cs="Calibri"/>
      <w:sz w:val="18"/>
      <w:szCs w:val="18"/>
    </w:rPr>
  </w:style>
  <w:style w:type="character" w:styleId="833">
    <w:name w:val="无间隔 Char"/>
    <w:next w:val="833"/>
    <w:link w:val="1072"/>
    <w:uiPriority w:val="1"/>
    <w:qFormat/>
    <w:rPr>
      <w:sz w:val="22"/>
      <w:szCs w:val="22"/>
      <w:lang w:val="en-US" w:eastAsia="zh-CN" w:bidi="ar-SA"/>
    </w:rPr>
  </w:style>
  <w:style w:type="character" w:styleId="834">
    <w:name w:val="正文文本缩进 3 字符1"/>
    <w:next w:val="834"/>
    <w:link w:val="731"/>
    <w:uiPriority w:val="99"/>
    <w:qFormat/>
    <w:rPr>
      <w:rFonts w:ascii="Calibri" w:hAnsi="Calibri" w:eastAsia="宋体" w:cs="Calibri"/>
      <w:sz w:val="16"/>
      <w:szCs w:val="16"/>
    </w:rPr>
  </w:style>
  <w:style w:type="character" w:styleId="835">
    <w:name w:val="不明显参考1"/>
    <w:next w:val="835"/>
    <w:link w:val="731"/>
    <w:uiPriority w:val="99"/>
    <w:qFormat/>
    <w:rPr>
      <w:smallCaps/>
      <w:color w:val="c0504d"/>
      <w:u w:val="single"/>
    </w:rPr>
  </w:style>
  <w:style w:type="character" w:styleId="836">
    <w:name w:val="页脚 Char2"/>
    <w:next w:val="836"/>
    <w:link w:val="731"/>
    <w:qFormat/>
    <w:rPr>
      <w:rFonts w:cs="Calibri"/>
      <w:sz w:val="18"/>
      <w:szCs w:val="18"/>
    </w:rPr>
  </w:style>
  <w:style w:type="character" w:styleId="837">
    <w:name w:val="fontstyle01"/>
    <w:next w:val="837"/>
    <w:link w:val="731"/>
    <w:qFormat/>
    <w:rPr>
      <w:rFonts w:ascii="FZSSK--GBK1-0" w:hAnsi="FZSSK--GBK1-0"/>
      <w:color w:val="242021"/>
      <w:sz w:val="24"/>
      <w:szCs w:val="24"/>
    </w:rPr>
  </w:style>
  <w:style w:type="character" w:styleId="838">
    <w:name w:val="font161"/>
    <w:next w:val="838"/>
    <w:link w:val="731"/>
    <w:uiPriority w:val="99"/>
    <w:qFormat/>
    <w:rPr>
      <w:rFonts w:ascii="Times New Roman" w:hAnsi="Times New Roman" w:eastAsia="宋体" w:cs="Times New Roman"/>
      <w:b/>
      <w:bCs/>
      <w:sz w:val="32"/>
      <w:szCs w:val="32"/>
    </w:rPr>
  </w:style>
  <w:style w:type="character" w:styleId="839">
    <w:name w:val="redfilefwwh"/>
    <w:next w:val="839"/>
    <w:link w:val="731"/>
    <w:rPr>
      <w:color w:val="ba2636"/>
      <w:sz w:val="18"/>
      <w:szCs w:val="18"/>
    </w:rPr>
  </w:style>
  <w:style w:type="character" w:styleId="840">
    <w:name w:val="标题 1 字符"/>
    <w:next w:val="840"/>
    <w:link w:val="732"/>
    <w:qFormat/>
    <w:rPr>
      <w:rFonts w:ascii="Cambria" w:hAnsi="Cambria" w:eastAsia="宋体" w:cs="Times New Roman"/>
      <w:b/>
      <w:bCs/>
      <w:color w:val="366091"/>
      <w:sz w:val="28"/>
      <w:szCs w:val="28"/>
    </w:rPr>
  </w:style>
  <w:style w:type="character" w:styleId="841">
    <w:name w:val="zcf_title"/>
    <w:next w:val="841"/>
    <w:link w:val="731"/>
    <w:qFormat/>
    <w:rPr>
      <w:rFonts w:ascii="Times New Roman" w:hAnsi="Times New Roman" w:eastAsia="宋体" w:cs="Times New Roman"/>
      <w:color w:val="f25618"/>
      <w:sz w:val="36"/>
      <w:szCs w:val="36"/>
      <w:shd w:val="clear" w:color="auto" w:fill="ffffff"/>
    </w:rPr>
  </w:style>
  <w:style w:type="character" w:styleId="842">
    <w:name w:val="引用 字符"/>
    <w:next w:val="842"/>
    <w:link w:val="1132"/>
    <w:uiPriority w:val="29"/>
    <w:rPr>
      <w:rFonts w:ascii="Times New Roman" w:hAnsi="Times New Roman"/>
      <w:i/>
    </w:rPr>
  </w:style>
  <w:style w:type="character" w:styleId="843">
    <w:name w:val="ant-transfer-list-search-action2"/>
    <w:next w:val="843"/>
    <w:link w:val="731"/>
    <w:qFormat/>
    <w:rPr>
      <w:rFonts w:ascii="Times New Roman" w:hAnsi="Times New Roman" w:eastAsia="宋体" w:cs="Times New Roman"/>
    </w:rPr>
  </w:style>
  <w:style w:type="character" w:styleId="844">
    <w:name w:val="明显引用 字符"/>
    <w:next w:val="844"/>
    <w:link w:val="1136"/>
    <w:uiPriority w:val="30"/>
    <w:qFormat/>
    <w:rPr>
      <w:rFonts w:ascii="Times New Roman" w:hAnsi="Times New Roman"/>
      <w:i/>
      <w:shd w:val="clear" w:color="auto" w:fill="f2f2f2"/>
    </w:rPr>
  </w:style>
  <w:style w:type="character" w:styleId="845">
    <w:name w:val="font01"/>
    <w:next w:val="845"/>
    <w:link w:val="731"/>
    <w:qFormat/>
    <w:rPr>
      <w:rFonts w:hint="eastAsia" w:ascii="宋体" w:hAnsi="宋体" w:eastAsia="宋体" w:cs="宋体"/>
      <w:b/>
      <w:color w:val="000000"/>
      <w:sz w:val="21"/>
      <w:szCs w:val="21"/>
      <w:u w:val="none"/>
    </w:rPr>
  </w:style>
  <w:style w:type="character" w:styleId="846">
    <w:name w:val="批注引用1"/>
    <w:next w:val="846"/>
    <w:link w:val="731"/>
    <w:semiHidden/>
    <w:rPr>
      <w:sz w:val="21"/>
      <w:szCs w:val="21"/>
    </w:rPr>
  </w:style>
  <w:style w:type="character" w:styleId="847">
    <w:name w:val="标题 8 字符"/>
    <w:next w:val="847"/>
    <w:link w:val="739"/>
    <w:uiPriority w:val="99"/>
    <w:qFormat/>
    <w:rPr>
      <w:rFonts w:ascii="Cambria" w:hAnsi="Cambria" w:eastAsia="宋体" w:cs="Times New Roman"/>
      <w:color w:val="4f81bd"/>
      <w:sz w:val="20"/>
      <w:szCs w:val="20"/>
    </w:rPr>
  </w:style>
  <w:style w:type="character" w:styleId="848">
    <w:name w:val="超链接1"/>
    <w:next w:val="848"/>
    <w:link w:val="731"/>
    <w:rPr>
      <w:rFonts w:hint="eastAsia" w:ascii="微软雅黑" w:hAnsi="微软雅黑" w:eastAsia="微软雅黑" w:cs="微软雅黑"/>
      <w:color w:val="02396f"/>
      <w:u w:val="single"/>
    </w:rPr>
  </w:style>
  <w:style w:type="character" w:styleId="849">
    <w:name w:val="标题 4 字符"/>
    <w:next w:val="849"/>
    <w:link w:val="735"/>
    <w:uiPriority w:val="99"/>
    <w:qFormat/>
    <w:rPr>
      <w:rFonts w:ascii="Cambria" w:hAnsi="Cambria" w:eastAsia="宋体" w:cs="Times New Roman"/>
      <w:b/>
      <w:bCs/>
      <w:i/>
      <w:iCs/>
      <w:color w:val="4f81bd"/>
    </w:rPr>
  </w:style>
  <w:style w:type="character" w:styleId="850">
    <w:name w:val="label10"/>
    <w:next w:val="850"/>
    <w:link w:val="731"/>
    <w:qFormat/>
    <w:rPr>
      <w:rFonts w:ascii="Times New Roman" w:hAnsi="Times New Roman" w:eastAsia="宋体" w:cs="Times New Roman"/>
      <w:color w:val="1cc09f"/>
      <w:shd w:val="clear" w:color="auto" w:fill="ffffff"/>
    </w:rPr>
  </w:style>
  <w:style w:type="character" w:styleId="851">
    <w:name w:val="二级目录 Char"/>
    <w:next w:val="851"/>
    <w:link w:val="1076"/>
    <w:qFormat/>
    <w:rPr>
      <w:b/>
      <w:sz w:val="30"/>
      <w:szCs w:val="28"/>
      <w:lang w:val="en-US" w:eastAsia="zh-CN" w:bidi="ar-SA"/>
    </w:rPr>
  </w:style>
  <w:style w:type="character" w:styleId="852">
    <w:name w:val="引用 Char2"/>
    <w:next w:val="852"/>
    <w:link w:val="731"/>
    <w:uiPriority w:val="99"/>
    <w:qFormat/>
    <w:rPr>
      <w:rFonts w:ascii="Times New Roman" w:hAnsi="Times New Roman" w:eastAsia="宋体" w:cs="Times New Roman"/>
      <w:i/>
      <w:iCs/>
      <w:color w:val="000000"/>
      <w:sz w:val="24"/>
      <w:szCs w:val="24"/>
    </w:rPr>
  </w:style>
  <w:style w:type="character" w:styleId="853">
    <w:name w:val="font21"/>
    <w:next w:val="853"/>
    <w:link w:val="731"/>
    <w:qFormat/>
    <w:rPr>
      <w:rFonts w:hint="eastAsia" w:ascii="微软雅黑" w:hAnsi="微软雅黑" w:eastAsia="微软雅黑" w:cs="微软雅黑"/>
      <w:i w:val="0"/>
      <w:iCs w:val="0"/>
      <w:color w:val="000000"/>
      <w:sz w:val="18"/>
      <w:szCs w:val="18"/>
      <w:u w:val="none"/>
    </w:rPr>
  </w:style>
  <w:style w:type="character" w:styleId="854">
    <w:name w:val="标题 7 字符"/>
    <w:next w:val="854"/>
    <w:link w:val="738"/>
    <w:uiPriority w:val="99"/>
    <w:qFormat/>
    <w:rPr>
      <w:rFonts w:ascii="Cambria" w:hAnsi="Cambria" w:eastAsia="宋体" w:cs="Times New Roman"/>
      <w:i/>
      <w:iCs/>
      <w:color w:val="3f3f3f"/>
    </w:rPr>
  </w:style>
  <w:style w:type="character" w:styleId="855">
    <w:name w:val="副标题 Char2"/>
    <w:next w:val="855"/>
    <w:link w:val="731"/>
    <w:uiPriority w:val="99"/>
    <w:qFormat/>
    <w:rPr>
      <w:rFonts w:ascii="Cambria" w:hAnsi="Cambria" w:eastAsia="宋体" w:cs="Cambria"/>
      <w:b/>
      <w:bCs/>
      <w:sz w:val="32"/>
      <w:szCs w:val="32"/>
    </w:rPr>
  </w:style>
  <w:style w:type="character" w:styleId="856">
    <w:name w:val="gjfg"/>
    <w:next w:val="856"/>
    <w:link w:val="731"/>
  </w:style>
  <w:style w:type="character" w:styleId="857">
    <w:name w:val="正文文本 字符"/>
    <w:next w:val="857"/>
    <w:link w:val="1048"/>
    <w:qFormat/>
    <w:rPr>
      <w:rFonts w:ascii="楷体_GB2312" w:hAnsi="Arial" w:eastAsia="楷体_GB2312" w:cs="Times New Roman"/>
      <w:sz w:val="28"/>
      <w:szCs w:val="28"/>
    </w:rPr>
  </w:style>
  <w:style w:type="character" w:styleId="858">
    <w:name w:val="正文文本缩进 3 Char1"/>
    <w:next w:val="858"/>
    <w:link w:val="731"/>
    <w:uiPriority w:val="99"/>
    <w:semiHidden/>
    <w:qFormat/>
    <w:rPr>
      <w:rFonts w:ascii="Times New Roman" w:hAnsi="Times New Roman" w:eastAsia="宋体" w:cs="Times New Roman"/>
      <w:sz w:val="16"/>
      <w:szCs w:val="16"/>
    </w:rPr>
  </w:style>
  <w:style w:type="character" w:styleId="859">
    <w:name w:val="标题 6 字符1"/>
    <w:next w:val="859"/>
    <w:link w:val="731"/>
    <w:uiPriority w:val="99"/>
    <w:qFormat/>
    <w:rPr>
      <w:rFonts w:ascii="Cambria" w:hAnsi="Cambria" w:eastAsia="宋体" w:cs="Cambria"/>
      <w:b/>
      <w:bCs/>
      <w:sz w:val="24"/>
      <w:szCs w:val="24"/>
    </w:rPr>
  </w:style>
  <w:style w:type="character" w:styleId="860">
    <w:name w:val="批注框文本 字符"/>
    <w:next w:val="860"/>
    <w:link w:val="1045"/>
    <w:qFormat/>
    <w:rPr>
      <w:sz w:val="18"/>
      <w:szCs w:val="18"/>
    </w:rPr>
  </w:style>
  <w:style w:type="character" w:styleId="861">
    <w:name w:val="未处理的提及1"/>
    <w:next w:val="861"/>
    <w:link w:val="731"/>
    <w:uiPriority w:val="99"/>
    <w:unhideWhenUsed/>
    <w:qFormat/>
    <w:rPr>
      <w:rFonts w:ascii="Times New Roman" w:hAnsi="Times New Roman" w:eastAsia="宋体" w:cs="Times New Roman"/>
      <w:color w:val="605e5c"/>
      <w:shd w:val="clear" w:color="auto" w:fill="e1dfdd"/>
    </w:rPr>
  </w:style>
  <w:style w:type="character" w:styleId="862">
    <w:name w:val="标题 2 字符1"/>
    <w:next w:val="862"/>
    <w:link w:val="731"/>
    <w:qFormat/>
    <w:rPr>
      <w:rFonts w:ascii="Cambria" w:hAnsi="Cambria" w:eastAsia="宋体" w:cs="Cambria"/>
      <w:b/>
      <w:bCs/>
      <w:sz w:val="32"/>
      <w:szCs w:val="32"/>
    </w:rPr>
  </w:style>
  <w:style w:type="character" w:styleId="863">
    <w:name w:val="纯文本 字符"/>
    <w:next w:val="863"/>
    <w:link w:val="1064"/>
    <w:qFormat/>
    <w:rPr>
      <w:rFonts w:ascii="宋体" w:hAnsi="Courier New" w:eastAsia="宋体" w:cs="Times New Roman"/>
      <w:sz w:val="21"/>
      <w:szCs w:val="21"/>
    </w:rPr>
  </w:style>
  <w:style w:type="character" w:styleId="864">
    <w:name w:val="font5 Char"/>
    <w:next w:val="864"/>
    <w:link w:val="731"/>
    <w:qFormat/>
    <w:rPr>
      <w:rFonts w:ascii="宋体" w:hAnsi="宋体" w:eastAsia="宋体"/>
      <w:sz w:val="28"/>
      <w:szCs w:val="28"/>
      <w:lang w:val="en-US" w:eastAsia="zh-CN" w:bidi="ar-SA"/>
    </w:rPr>
  </w:style>
  <w:style w:type="character" w:styleId="865">
    <w:name w:val="明显引用 字符1"/>
    <w:next w:val="865"/>
    <w:link w:val="731"/>
    <w:uiPriority w:val="30"/>
    <w:qFormat/>
    <w:rPr>
      <w:i/>
      <w:iCs/>
      <w:color w:val="2d53a0"/>
    </w:rPr>
  </w:style>
  <w:style w:type="character" w:styleId="866">
    <w:name w:val="尾注文本 字符"/>
    <w:next w:val="866"/>
    <w:link w:val="1040"/>
    <w:uiPriority w:val="99"/>
    <w:rPr>
      <w:rFonts w:ascii="Times New Roman" w:hAnsi="Times New Roman"/>
    </w:rPr>
  </w:style>
  <w:style w:type="character" w:styleId="867">
    <w:name w:val="ant-tree-iconele10"/>
    <w:next w:val="867"/>
    <w:link w:val="731"/>
    <w:qFormat/>
    <w:rPr>
      <w:rFonts w:ascii="Times New Roman" w:hAnsi="Times New Roman" w:eastAsia="宋体" w:cs="Times New Roman"/>
    </w:rPr>
  </w:style>
  <w:style w:type="character" w:styleId="868">
    <w:name w:val="批注文字 字符1"/>
    <w:next w:val="868"/>
    <w:link w:val="731"/>
    <w:qFormat/>
    <w:rPr>
      <w:rFonts w:ascii="Calibri" w:hAnsi="Calibri" w:eastAsia="宋体" w:cs="Calibri"/>
      <w:szCs w:val="21"/>
    </w:rPr>
  </w:style>
  <w:style w:type="character" w:styleId="869">
    <w:name w:val="正文文本首行缩进 2 字符"/>
    <w:next w:val="869"/>
    <w:link w:val="1055"/>
    <w:uiPriority w:val="99"/>
    <w:qFormat/>
    <w:rPr>
      <w:rFonts w:ascii="宋体" w:hAnsi="宋体" w:eastAsia="宋体" w:cs="Times New Roman"/>
      <w:sz w:val="21"/>
      <w:szCs w:val="20"/>
    </w:rPr>
  </w:style>
  <w:style w:type="character" w:styleId="870">
    <w:name w:val="标题5 Char Char"/>
    <w:next w:val="870"/>
    <w:link w:val="1211"/>
    <w:uiPriority w:val="99"/>
    <w:qFormat/>
    <w:rPr>
      <w:rFonts w:ascii="Arial" w:hAnsi="Arial"/>
    </w:rPr>
  </w:style>
  <w:style w:type="character" w:styleId="871">
    <w:name w:val="标题 4 字符1"/>
    <w:next w:val="871"/>
    <w:link w:val="731"/>
    <w:qFormat/>
    <w:rPr>
      <w:rFonts w:ascii="Cambria" w:hAnsi="Cambria" w:eastAsia="宋体" w:cs="Cambria"/>
      <w:b/>
      <w:bCs/>
      <w:sz w:val="28"/>
      <w:szCs w:val="28"/>
    </w:rPr>
  </w:style>
  <w:style w:type="character" w:styleId="872">
    <w:name w:val="正文文本缩进 3 字符"/>
    <w:next w:val="872"/>
    <w:link w:val="1034"/>
    <w:uiPriority w:val="99"/>
    <w:qFormat/>
    <w:rPr>
      <w:rFonts w:ascii="Arial" w:hAnsi="Arial" w:eastAsia="仿宋_GB2312" w:cs="Arial"/>
      <w:color w:val="ffff00"/>
      <w:sz w:val="32"/>
      <w:szCs w:val="32"/>
    </w:rPr>
  </w:style>
  <w:style w:type="character" w:styleId="873">
    <w:name w:val="标题 字符"/>
    <w:next w:val="873"/>
    <w:link w:val="1028"/>
    <w:uiPriority w:val="99"/>
    <w:qFormat/>
    <w:rPr>
      <w:rFonts w:ascii="Cambria" w:hAnsi="Cambria" w:eastAsia="宋体" w:cs="Times New Roman"/>
      <w:color w:val="17365d"/>
      <w:spacing w:val="5"/>
      <w:sz w:val="52"/>
      <w:szCs w:val="52"/>
    </w:rPr>
  </w:style>
  <w:style w:type="character" w:styleId="874">
    <w:name w:val="明显强调1"/>
    <w:next w:val="874"/>
    <w:link w:val="731"/>
    <w:uiPriority w:val="99"/>
    <w:qFormat/>
    <w:rPr>
      <w:b/>
      <w:bCs/>
      <w:i/>
      <w:iCs/>
      <w:color w:val="4f81bd"/>
    </w:rPr>
  </w:style>
  <w:style w:type="character" w:styleId="875">
    <w:name w:val="font81"/>
    <w:next w:val="875"/>
    <w:link w:val="731"/>
    <w:rPr>
      <w:rFonts w:ascii="Times New Roman" w:hAnsi="Times New Roman" w:cs="Times New Roman"/>
      <w:color w:val="ff0000"/>
      <w:sz w:val="24"/>
      <w:szCs w:val="24"/>
      <w:u w:val="none"/>
    </w:rPr>
  </w:style>
  <w:style w:type="character" w:styleId="876">
    <w:name w:val="Caption Char"/>
    <w:next w:val="876"/>
    <w:link w:val="731"/>
    <w:uiPriority w:val="99"/>
    <w:qFormat/>
  </w:style>
  <w:style w:type="character" w:styleId="877">
    <w:name w:val="引用 字符1"/>
    <w:next w:val="877"/>
    <w:link w:val="731"/>
    <w:uiPriority w:val="29"/>
    <w:qFormat/>
    <w:rPr>
      <w:i/>
      <w:iCs/>
      <w:color w:val="404040"/>
    </w:rPr>
  </w:style>
  <w:style w:type="character" w:styleId="878">
    <w:name w:val="next1"/>
    <w:next w:val="878"/>
    <w:link w:val="731"/>
    <w:rPr>
      <w:color w:val="888888"/>
    </w:rPr>
  </w:style>
  <w:style w:type="character" w:styleId="879">
    <w:name w:val="标题 6 字符"/>
    <w:next w:val="879"/>
    <w:link w:val="737"/>
    <w:uiPriority w:val="99"/>
    <w:qFormat/>
    <w:rPr>
      <w:rFonts w:ascii="Cambria" w:hAnsi="Cambria" w:eastAsia="宋体" w:cs="Times New Roman"/>
      <w:i/>
      <w:iCs/>
      <w:color w:val="244061"/>
    </w:rPr>
  </w:style>
  <w:style w:type="character" w:styleId="880">
    <w:name w:val="标题 1 Char_0"/>
    <w:next w:val="880"/>
    <w:link w:val="1207"/>
    <w:uiPriority w:val="99"/>
    <w:qFormat/>
    <w:rPr>
      <w:b/>
      <w:bCs/>
      <w:sz w:val="44"/>
      <w:szCs w:val="44"/>
    </w:rPr>
  </w:style>
  <w:style w:type="character" w:styleId="881">
    <w:name w:val="HTML 预设格式 字符"/>
    <w:next w:val="881"/>
    <w:link w:val="731"/>
    <w:uiPriority w:val="99"/>
    <w:semiHidden/>
    <w:qFormat/>
    <w:rPr>
      <w:rFonts w:ascii="Courier New" w:hAnsi="Courier New" w:cs="Courier New"/>
    </w:rPr>
  </w:style>
  <w:style w:type="character" w:styleId="882">
    <w:name w:val="标题 3 字符"/>
    <w:next w:val="882"/>
    <w:link w:val="734"/>
    <w:qFormat/>
    <w:rPr>
      <w:rFonts w:ascii="Cambria" w:hAnsi="Cambria" w:eastAsia="宋体" w:cs="Times New Roman"/>
      <w:b/>
      <w:bCs/>
      <w:color w:val="4f81bd"/>
    </w:rPr>
  </w:style>
  <w:style w:type="character" w:styleId="883">
    <w:name w:val="标题 Char1"/>
    <w:next w:val="883"/>
    <w:link w:val="731"/>
    <w:uiPriority w:val="99"/>
    <w:qFormat/>
    <w:rPr>
      <w:rFonts w:ascii="Cambria" w:hAnsi="Cambria" w:eastAsia="宋体" w:cs="Cambria"/>
      <w:b/>
      <w:bCs/>
      <w:sz w:val="32"/>
      <w:szCs w:val="32"/>
    </w:rPr>
  </w:style>
  <w:style w:type="character" w:styleId="884">
    <w:name w:val="副标题 字符"/>
    <w:next w:val="884"/>
    <w:link w:val="1029"/>
    <w:uiPriority w:val="99"/>
    <w:qFormat/>
    <w:rPr>
      <w:rFonts w:ascii="Cambria" w:hAnsi="Cambria" w:eastAsia="宋体" w:cs="Times New Roman"/>
      <w:i/>
      <w:iCs/>
      <w:color w:val="4f81bd"/>
      <w:spacing w:val="15"/>
      <w:sz w:val="24"/>
      <w:szCs w:val="24"/>
    </w:rPr>
  </w:style>
  <w:style w:type="character" w:styleId="885">
    <w:name w:val="qcode_title"/>
    <w:next w:val="885"/>
    <w:link w:val="731"/>
    <w:qFormat/>
    <w:rPr>
      <w:rFonts w:ascii="微软雅黑" w:hAnsi="微软雅黑" w:eastAsia="微软雅黑" w:cs="微软雅黑"/>
      <w:color w:val="666666"/>
      <w:sz w:val="18"/>
      <w:szCs w:val="18"/>
    </w:rPr>
  </w:style>
  <w:style w:type="character" w:styleId="886">
    <w:name w:val="displayarti"/>
    <w:next w:val="886"/>
    <w:link w:val="731"/>
    <w:rPr>
      <w:color w:val="ffffff"/>
      <w:shd w:val="clear" w:color="auto" w:fill="a00000"/>
    </w:rPr>
  </w:style>
  <w:style w:type="character" w:styleId="887">
    <w:name w:val="文档结构图 字符"/>
    <w:next w:val="887"/>
    <w:link w:val="1065"/>
    <w:uiPriority w:val="99"/>
    <w:qFormat/>
    <w:rPr>
      <w:rFonts w:ascii="Times New Roman" w:hAnsi="Times New Roman" w:eastAsia="宋体" w:cs="Times New Roman"/>
      <w:sz w:val="21"/>
      <w:szCs w:val="21"/>
      <w:shd w:val="clear" w:color="auto" w:fill="000080"/>
    </w:rPr>
  </w:style>
  <w:style w:type="character" w:styleId="888">
    <w:name w:val="polysemyexp"/>
    <w:next w:val="888"/>
    <w:link w:val="731"/>
    <w:qFormat/>
    <w:rPr>
      <w:rFonts w:ascii="Times New Roman" w:hAnsi="Times New Roman" w:eastAsia="宋体" w:cs="Times New Roman"/>
      <w:color w:val="aaaaaa"/>
      <w:sz w:val="18"/>
      <w:szCs w:val="18"/>
    </w:rPr>
  </w:style>
  <w:style w:type="character" w:styleId="889">
    <w:name w:val="正文文本 2 字符"/>
    <w:next w:val="889"/>
    <w:link w:val="1039"/>
    <w:qFormat/>
    <w:rPr>
      <w:rFonts w:ascii="楷体_GB2312" w:hAnsi="Times New Roman" w:eastAsia="楷体_GB2312" w:cs="Times New Roman"/>
      <w:sz w:val="28"/>
      <w:szCs w:val="28"/>
    </w:rPr>
  </w:style>
  <w:style w:type="character" w:styleId="890">
    <w:name w:val="标题 1 Char1"/>
    <w:next w:val="890"/>
    <w:link w:val="731"/>
    <w:uiPriority w:val="99"/>
    <w:qFormat/>
    <w:rPr>
      <w:rFonts w:ascii="Times New Roman" w:hAnsi="Times New Roman" w:eastAsia="宋体" w:cs="Times New Roman"/>
      <w:b/>
      <w:bCs/>
      <w:sz w:val="44"/>
      <w:szCs w:val="44"/>
    </w:rPr>
  </w:style>
  <w:style w:type="character" w:styleId="891">
    <w:name w:val="标题 5 字符"/>
    <w:next w:val="891"/>
    <w:link w:val="736"/>
    <w:uiPriority w:val="99"/>
    <w:qFormat/>
    <w:rPr>
      <w:rFonts w:ascii="Cambria" w:hAnsi="Cambria" w:eastAsia="宋体" w:cs="Times New Roman"/>
      <w:color w:val="244061"/>
    </w:rPr>
  </w:style>
  <w:style w:type="character" w:styleId="892">
    <w:name w:val="HTML 预设格式 字符1"/>
    <w:next w:val="892"/>
    <w:link w:val="1057"/>
    <w:uiPriority w:val="99"/>
    <w:qFormat/>
    <w:rPr>
      <w:rFonts w:ascii="宋体" w:hAnsi="宋体" w:cs="宋体"/>
      <w:sz w:val="24"/>
      <w:szCs w:val="24"/>
    </w:rPr>
  </w:style>
  <w:style w:type="character" w:styleId="893">
    <w:name w:val="font41"/>
    <w:next w:val="893"/>
    <w:link w:val="731"/>
    <w:qFormat/>
    <w:rPr>
      <w:rFonts w:hint="eastAsia" w:ascii="宋体" w:hAnsi="宋体" w:eastAsia="宋体" w:cs="宋体"/>
      <w:color w:val="000000"/>
      <w:sz w:val="21"/>
      <w:szCs w:val="21"/>
      <w:u w:val="none"/>
    </w:rPr>
  </w:style>
  <w:style w:type="character" w:styleId="894">
    <w:name w:val="未处理的提及"/>
    <w:next w:val="894"/>
    <w:link w:val="731"/>
    <w:uiPriority w:val="99"/>
    <w:unhideWhenUsed/>
    <w:rPr>
      <w:color w:val="605e5c"/>
      <w:shd w:val="clear" w:color="auto" w:fill="e1dfdd"/>
    </w:rPr>
  </w:style>
  <w:style w:type="character" w:styleId="895">
    <w:name w:val="ant-typography-ellipsis-single-line2"/>
    <w:next w:val="895"/>
    <w:link w:val="731"/>
    <w:qFormat/>
    <w:rPr>
      <w:rFonts w:ascii="Times New Roman" w:hAnsi="Times New Roman" w:eastAsia="宋体" w:cs="Times New Roman"/>
    </w:rPr>
  </w:style>
  <w:style w:type="character" w:styleId="896">
    <w:name w:val="Footnote Text Char"/>
    <w:next w:val="896"/>
    <w:link w:val="731"/>
    <w:uiPriority w:val="99"/>
    <w:rPr>
      <w:sz w:val="18"/>
    </w:rPr>
  </w:style>
  <w:style w:type="character" w:styleId="897">
    <w:name w:val="文档结构图 字符1"/>
    <w:next w:val="897"/>
    <w:link w:val="731"/>
    <w:uiPriority w:val="99"/>
    <w:qFormat/>
    <w:rPr>
      <w:rFonts w:ascii="宋体" w:hAnsi="Calibri" w:eastAsia="宋体" w:cs="宋体"/>
      <w:sz w:val="18"/>
      <w:szCs w:val="18"/>
    </w:rPr>
  </w:style>
  <w:style w:type="character" w:styleId="898">
    <w:name w:val="列出段落 Char,Bullet List Char,numbered Char,FooterText Char,List Paragraph1 Char,Paragraphe de liste1 Char"/>
    <w:next w:val="898"/>
    <w:link w:val="1071"/>
    <w:uiPriority w:val="99"/>
    <w:qFormat/>
    <w:rPr>
      <w:rFonts w:ascii="Calibri" w:hAnsi="Calibri"/>
      <w:sz w:val="24"/>
      <w:szCs w:val="24"/>
      <w:lang w:eastAsia="en-US" w:bidi="en-US"/>
    </w:rPr>
  </w:style>
  <w:style w:type="character" w:styleId="899">
    <w:name w:val="last-child"/>
    <w:next w:val="899"/>
    <w:link w:val="731"/>
    <w:qFormat/>
    <w:rPr>
      <w:rFonts w:ascii="Times New Roman" w:hAnsi="Times New Roman" w:eastAsia="宋体" w:cs="Times New Roman"/>
    </w:rPr>
  </w:style>
  <w:style w:type="character" w:styleId="900">
    <w:name w:val="正文缩进 字符"/>
    <w:next w:val="900"/>
    <w:link w:val="731"/>
    <w:qFormat/>
    <w:rPr>
      <w:sz w:val="21"/>
      <w:szCs w:val="21"/>
    </w:rPr>
  </w:style>
  <w:style w:type="character" w:styleId="901">
    <w:name w:val="正文首行缩进 2 Char"/>
    <w:next w:val="901"/>
    <w:link w:val="1114"/>
    <w:rPr>
      <w:rFonts w:ascii="等线" w:hAnsi="等线" w:eastAsia="等线"/>
      <w:sz w:val="21"/>
      <w:szCs w:val="22"/>
    </w:rPr>
  </w:style>
  <w:style w:type="character" w:styleId="902">
    <w:name w:val="纯文本 字符1"/>
    <w:next w:val="902"/>
    <w:link w:val="731"/>
    <w:qFormat/>
    <w:rPr>
      <w:rFonts w:ascii="Ari" w:hAnsi="Calibri" w:eastAsia="宋体" w:cs="Ari"/>
      <w:sz w:val="20"/>
      <w:szCs w:val="20"/>
    </w:rPr>
  </w:style>
  <w:style w:type="character" w:styleId="903">
    <w:name w:val="明显引用 Char4"/>
    <w:next w:val="903"/>
    <w:link w:val="731"/>
    <w:uiPriority w:val="30"/>
    <w:qFormat/>
    <w:rPr>
      <w:b/>
      <w:bCs/>
      <w:i/>
      <w:iCs/>
      <w:color w:val="4f81bd"/>
    </w:rPr>
  </w:style>
  <w:style w:type="character" w:styleId="904">
    <w:name w:val="rvts11"/>
    <w:next w:val="904"/>
    <w:link w:val="731"/>
    <w:uiPriority w:val="99"/>
    <w:qFormat/>
    <w:rPr>
      <w:rFonts w:ascii="KNLe" w:hAnsi="KNLe" w:eastAsia="宋体" w:cs="KNLe"/>
      <w:sz w:val="24"/>
      <w:szCs w:val="24"/>
      <w:u w:val="single"/>
    </w:rPr>
  </w:style>
  <w:style w:type="character" w:styleId="905">
    <w:name w:val="明显参考2"/>
    <w:next w:val="905"/>
    <w:link w:val="731"/>
    <w:uiPriority w:val="32"/>
    <w:qFormat/>
    <w:rPr>
      <w:rFonts w:ascii="Calibri" w:hAnsi="Calibri" w:eastAsia="宋体" w:cs="Times New Roman"/>
      <w:b/>
      <w:bCs/>
      <w:smallCaps/>
      <w:color w:val="2d53a0"/>
      <w:spacing w:val="5"/>
    </w:rPr>
  </w:style>
  <w:style w:type="character" w:styleId="906">
    <w:name w:val="批注框文本 Char3"/>
    <w:next w:val="906"/>
    <w:link w:val="731"/>
    <w:uiPriority w:val="99"/>
    <w:semiHidden/>
    <w:qFormat/>
    <w:rPr>
      <w:sz w:val="18"/>
      <w:szCs w:val="18"/>
    </w:rPr>
  </w:style>
  <w:style w:type="character" w:styleId="907">
    <w:name w:val="ant-tree-iconele12"/>
    <w:next w:val="907"/>
    <w:link w:val="731"/>
    <w:qFormat/>
    <w:rPr>
      <w:rFonts w:ascii="Times New Roman" w:hAnsi="Times New Roman" w:eastAsia="宋体" w:cs="Times New Roman"/>
    </w:rPr>
  </w:style>
  <w:style w:type="character" w:styleId="908">
    <w:name w:val="ant-tree-iconele"/>
    <w:next w:val="908"/>
    <w:link w:val="731"/>
    <w:qFormat/>
    <w:rPr>
      <w:rFonts w:ascii="Times New Roman" w:hAnsi="Times New Roman" w:eastAsia="宋体" w:cs="Times New Roman"/>
    </w:rPr>
  </w:style>
  <w:style w:type="character" w:styleId="909">
    <w:name w:val="引用 Char4"/>
    <w:next w:val="909"/>
    <w:link w:val="731"/>
    <w:uiPriority w:val="29"/>
    <w:qFormat/>
    <w:rPr>
      <w:i/>
      <w:iCs/>
      <w:color w:val="000000"/>
    </w:rPr>
  </w:style>
  <w:style w:type="character" w:styleId="910">
    <w:name w:val="hover15"/>
    <w:next w:val="910"/>
    <w:link w:val="731"/>
    <w:qFormat/>
    <w:rPr>
      <w:rFonts w:ascii="Times New Roman" w:hAnsi="Times New Roman" w:eastAsia="宋体" w:cs="Times New Roman"/>
      <w:color w:val="ffffff"/>
      <w:shd w:val="clear" w:color="auto" w:fill="00c1b3"/>
    </w:rPr>
  </w:style>
  <w:style w:type="character" w:styleId="911">
    <w:name w:val="line"/>
    <w:next w:val="911"/>
    <w:link w:val="731"/>
    <w:qFormat/>
    <w:rPr>
      <w:rFonts w:ascii="Times New Roman" w:hAnsi="Times New Roman" w:eastAsia="宋体" w:cs="Times New Roman"/>
    </w:rPr>
  </w:style>
  <w:style w:type="character" w:styleId="912">
    <w:name w:val="font11"/>
    <w:next w:val="912"/>
    <w:link w:val="731"/>
    <w:qFormat/>
    <w:rPr>
      <w:rFonts w:ascii="宋体" w:hAnsi="宋体" w:eastAsia="宋体" w:cs="宋体"/>
      <w:color w:val="000000"/>
      <w:sz w:val="20"/>
      <w:szCs w:val="20"/>
      <w:u w:val="none"/>
    </w:rPr>
  </w:style>
  <w:style w:type="character" w:styleId="913">
    <w:name w:val="font71"/>
    <w:next w:val="913"/>
    <w:link w:val="731"/>
    <w:rPr>
      <w:rFonts w:hint="eastAsia" w:ascii="方正仿宋_GBK" w:hAnsi="方正仿宋_GBK" w:eastAsia="方正仿宋_GBK" w:cs="方正仿宋_GBK"/>
      <w:color w:val="ff0000"/>
      <w:sz w:val="24"/>
      <w:szCs w:val="24"/>
      <w:u w:val="none"/>
    </w:rPr>
  </w:style>
  <w:style w:type="character" w:styleId="914">
    <w:name w:val="current"/>
    <w:next w:val="914"/>
    <w:link w:val="731"/>
    <w:qFormat/>
    <w:rPr>
      <w:rFonts w:ascii="Times New Roman" w:hAnsi="Times New Roman" w:eastAsia="宋体" w:cs="Times New Roman"/>
      <w:color w:val="ffffff"/>
      <w:sz w:val="27"/>
      <w:szCs w:val="27"/>
      <w:u w:val="none"/>
      <w:shd w:val="clear" w:color="auto" w:fill="809fff"/>
    </w:rPr>
  </w:style>
  <w:style w:type="character" w:styleId="915">
    <w:name w:val="bds_more"/>
    <w:next w:val="915"/>
    <w:link w:val="731"/>
    <w:qFormat/>
    <w:rPr>
      <w:rFonts w:ascii="宋体" w:hAnsi="宋体" w:eastAsia="宋体" w:cs="宋体"/>
    </w:rPr>
  </w:style>
  <w:style w:type="character" w:styleId="916">
    <w:name w:val="hover17"/>
    <w:next w:val="916"/>
    <w:link w:val="731"/>
    <w:qFormat/>
    <w:rPr>
      <w:rFonts w:ascii="Times New Roman" w:hAnsi="Times New Roman" w:eastAsia="宋体" w:cs="Times New Roman"/>
      <w:sz w:val="16"/>
      <w:szCs w:val="16"/>
    </w:rPr>
  </w:style>
  <w:style w:type="character" w:styleId="917">
    <w:name w:val="fontstrikethrough"/>
    <w:next w:val="917"/>
    <w:link w:val="731"/>
    <w:qFormat/>
    <w:rPr>
      <w:rFonts w:ascii="Times New Roman" w:hAnsi="Times New Roman" w:eastAsia="宋体" w:cs="Times New Roman"/>
      <w:strike/>
    </w:rPr>
  </w:style>
  <w:style w:type="character" w:styleId="918">
    <w:name w:val="明显强调2"/>
    <w:next w:val="918"/>
    <w:link w:val="731"/>
    <w:uiPriority w:val="21"/>
    <w:qFormat/>
    <w:rPr>
      <w:rFonts w:ascii="Calibri" w:hAnsi="Calibri" w:eastAsia="宋体" w:cs="Times New Roman"/>
      <w:i/>
      <w:iCs/>
      <w:color w:val="2d53a0"/>
    </w:rPr>
  </w:style>
  <w:style w:type="character" w:styleId="919">
    <w:name w:val="ant-tree-switcher7"/>
    <w:next w:val="919"/>
    <w:link w:val="731"/>
    <w:qFormat/>
    <w:rPr>
      <w:rFonts w:ascii="Times New Roman" w:hAnsi="Times New Roman" w:eastAsia="宋体" w:cs="Times New Roman"/>
    </w:rPr>
  </w:style>
  <w:style w:type="character" w:styleId="920">
    <w:name w:val="t-ajax-wait"/>
    <w:next w:val="920"/>
    <w:link w:val="731"/>
    <w:qFormat/>
    <w:rPr>
      <w:rFonts w:ascii="Times New Roman" w:hAnsi="Times New Roman" w:eastAsia="宋体" w:cs="Times New Roman"/>
    </w:rPr>
  </w:style>
  <w:style w:type="character" w:styleId="921">
    <w:name w:val="wech"/>
    <w:next w:val="921"/>
    <w:link w:val="731"/>
    <w:qFormat/>
    <w:rPr>
      <w:rFonts w:ascii="Times New Roman" w:hAnsi="Times New Roman" w:eastAsia="宋体" w:cs="Times New Roman"/>
    </w:rPr>
  </w:style>
  <w:style w:type="character" w:styleId="922">
    <w:name w:val="ant-typography-ellipsis-single-line1"/>
    <w:next w:val="922"/>
    <w:link w:val="731"/>
    <w:qFormat/>
    <w:rPr>
      <w:rFonts w:ascii="Times New Roman" w:hAnsi="Times New Roman" w:eastAsia="宋体" w:cs="Times New Roman"/>
    </w:rPr>
  </w:style>
  <w:style w:type="character" w:styleId="923">
    <w:name w:val="批注文字 Char2"/>
    <w:next w:val="923"/>
    <w:link w:val="731"/>
    <w:uiPriority w:val="99"/>
    <w:qFormat/>
    <w:rPr>
      <w:rFonts w:ascii="Times New Roman" w:hAnsi="Times New Roman" w:eastAsia="宋体" w:cs="Times New Roman"/>
      <w:sz w:val="21"/>
      <w:szCs w:val="21"/>
    </w:rPr>
  </w:style>
  <w:style w:type="character" w:styleId="924">
    <w:name w:val="页脚 Char1"/>
    <w:next w:val="924"/>
    <w:link w:val="731"/>
    <w:uiPriority w:val="99"/>
    <w:semiHidden/>
    <w:qFormat/>
    <w:rPr>
      <w:rFonts w:ascii="Calibri" w:hAnsi="Calibri" w:eastAsia="宋体" w:cs="Calibri"/>
      <w:sz w:val="18"/>
      <w:szCs w:val="18"/>
    </w:rPr>
  </w:style>
  <w:style w:type="character" w:styleId="925">
    <w:name w:val="line1"/>
    <w:next w:val="925"/>
    <w:link w:val="731"/>
    <w:qFormat/>
    <w:rPr>
      <w:rFonts w:ascii="Times New Roman" w:hAnsi="Times New Roman" w:eastAsia="宋体" w:cs="Times New Roman"/>
    </w:rPr>
  </w:style>
  <w:style w:type="character" w:styleId="926">
    <w:name w:val="bookmark"/>
    <w:next w:val="926"/>
    <w:link w:val="731"/>
    <w:uiPriority w:val="99"/>
    <w:qFormat/>
    <w:rPr>
      <w:rFonts w:ascii="Times New Roman" w:hAnsi="Times New Roman" w:eastAsia="宋体" w:cs="Times New Roman"/>
    </w:rPr>
  </w:style>
  <w:style w:type="character" w:styleId="927">
    <w:name w:val="正文文本 Char2"/>
    <w:next w:val="927"/>
    <w:link w:val="731"/>
    <w:uiPriority w:val="99"/>
    <w:semiHidden/>
    <w:qFormat/>
    <w:rPr>
      <w:rFonts w:ascii="Calibri" w:hAnsi="Calibri" w:eastAsia="宋体" w:cs="Calibri"/>
    </w:rPr>
  </w:style>
  <w:style w:type="character" w:styleId="928">
    <w:name w:val="sidecatalog-dot1"/>
    <w:next w:val="928"/>
    <w:link w:val="731"/>
    <w:qFormat/>
    <w:rPr>
      <w:rFonts w:ascii="Times New Roman" w:hAnsi="Times New Roman" w:eastAsia="宋体" w:cs="Times New Roman"/>
    </w:rPr>
  </w:style>
  <w:style w:type="character" w:styleId="929">
    <w:name w:val="label1"/>
    <w:next w:val="929"/>
    <w:link w:val="731"/>
    <w:qFormat/>
    <w:rPr>
      <w:rFonts w:ascii="Times New Roman" w:hAnsi="Times New Roman" w:eastAsia="宋体" w:cs="Times New Roman"/>
      <w:color w:val="1c84c6"/>
      <w:shd w:val="clear" w:color="auto" w:fill="ffffff"/>
    </w:rPr>
  </w:style>
  <w:style w:type="character" w:styleId="930">
    <w:name w:val="fbc_ico4"/>
    <w:next w:val="930"/>
    <w:link w:val="731"/>
    <w:qFormat/>
    <w:rPr>
      <w:rFonts w:ascii="Times New Roman" w:hAnsi="Times New Roman" w:eastAsia="宋体" w:cs="Times New Roman"/>
    </w:rPr>
  </w:style>
  <w:style w:type="character" w:styleId="931">
    <w:name w:val="Char Char1"/>
    <w:next w:val="931"/>
    <w:link w:val="731"/>
    <w:qFormat/>
    <w:rPr>
      <w:rFonts w:ascii="Times New Roman" w:hAnsi="Times New Roman" w:eastAsia="宋体" w:cs="Times New Roman"/>
      <w:sz w:val="18"/>
      <w:szCs w:val="18"/>
    </w:rPr>
  </w:style>
  <w:style w:type="character" w:styleId="932">
    <w:name w:val="ant-tree-switcher5"/>
    <w:next w:val="932"/>
    <w:link w:val="731"/>
    <w:qFormat/>
    <w:rPr>
      <w:rFonts w:ascii="Times New Roman" w:hAnsi="Times New Roman" w:eastAsia="宋体" w:cs="Times New Roman"/>
    </w:rPr>
  </w:style>
  <w:style w:type="character" w:styleId="933">
    <w:name w:val="正文文本 Char1"/>
    <w:next w:val="933"/>
    <w:link w:val="731"/>
    <w:uiPriority w:val="99"/>
    <w:qFormat/>
    <w:rPr>
      <w:rFonts w:ascii="Calibri" w:hAnsi="Calibri" w:eastAsia="宋体" w:cs="Calibri"/>
    </w:rPr>
  </w:style>
  <w:style w:type="character" w:styleId="934">
    <w:name w:val="ant-tree-iconele11"/>
    <w:next w:val="934"/>
    <w:link w:val="731"/>
    <w:qFormat/>
    <w:rPr>
      <w:rFonts w:ascii="Times New Roman" w:hAnsi="Times New Roman" w:eastAsia="宋体" w:cs="Times New Roman"/>
    </w:rPr>
  </w:style>
  <w:style w:type="character" w:styleId="935">
    <w:name w:val="ant-typography-ellipsis-single-line3"/>
    <w:next w:val="935"/>
    <w:link w:val="731"/>
    <w:qFormat/>
    <w:rPr>
      <w:rFonts w:ascii="Times New Roman" w:hAnsi="Times New Roman" w:eastAsia="宋体" w:cs="Times New Roman"/>
    </w:rPr>
  </w:style>
  <w:style w:type="character" w:styleId="936">
    <w:name w:val="ant-typography-ellipsis1"/>
    <w:next w:val="936"/>
    <w:link w:val="731"/>
    <w:qFormat/>
    <w:rPr>
      <w:rFonts w:ascii="Times New Roman" w:hAnsi="Times New Roman" w:eastAsia="宋体" w:cs="Times New Roman"/>
    </w:rPr>
  </w:style>
  <w:style w:type="character" w:styleId="937">
    <w:name w:val="label11"/>
    <w:next w:val="937"/>
    <w:link w:val="731"/>
    <w:qFormat/>
    <w:rPr>
      <w:rFonts w:ascii="Times New Roman" w:hAnsi="Times New Roman" w:eastAsia="宋体" w:cs="Times New Roman"/>
      <w:color w:val="1c84c6"/>
      <w:shd w:val="clear" w:color="auto" w:fill="ffffff"/>
    </w:rPr>
  </w:style>
  <w:style w:type="character" w:styleId="938">
    <w:name w:val="sidecatalog-dot"/>
    <w:next w:val="938"/>
    <w:link w:val="731"/>
    <w:qFormat/>
    <w:rPr>
      <w:rFonts w:ascii="Times New Roman" w:hAnsi="Times New Roman" w:eastAsia="宋体" w:cs="Times New Roman"/>
    </w:rPr>
  </w:style>
  <w:style w:type="character" w:styleId="939">
    <w:name w:val="t-exception-class-name"/>
    <w:next w:val="939"/>
    <w:link w:val="731"/>
    <w:qFormat/>
    <w:rPr>
      <w:rFonts w:ascii="Times New Roman" w:hAnsi="Times New Roman" w:eastAsia="宋体" w:cs="Times New Roman"/>
      <w:b/>
      <w:color w:val="0000ff"/>
      <w:sz w:val="24"/>
      <w:szCs w:val="24"/>
      <w:shd w:val="clear" w:color="auto" w:fill="e1e1e1"/>
    </w:rPr>
  </w:style>
  <w:style w:type="character" w:styleId="940">
    <w:name w:val="标题 Char2"/>
    <w:next w:val="940"/>
    <w:link w:val="731"/>
    <w:uiPriority w:val="99"/>
    <w:qFormat/>
    <w:rPr>
      <w:rFonts w:ascii="Cambria" w:hAnsi="Cambria" w:eastAsia="宋体" w:cs="Cambria"/>
      <w:b/>
      <w:bCs/>
      <w:sz w:val="32"/>
      <w:szCs w:val="32"/>
    </w:rPr>
  </w:style>
  <w:style w:type="character" w:styleId="941">
    <w:name w:val="批注主题 Char1"/>
    <w:next w:val="941"/>
    <w:link w:val="731"/>
    <w:uiPriority w:val="99"/>
    <w:qFormat/>
    <w:rPr>
      <w:rFonts w:ascii="Times New Roman" w:hAnsi="Times New Roman" w:eastAsia="宋体" w:cs="Times New Roman"/>
      <w:b/>
      <w:bCs/>
      <w:sz w:val="22"/>
      <w:szCs w:val="22"/>
    </w:rPr>
  </w:style>
  <w:style w:type="character" w:styleId="942">
    <w:name w:val="fontborder"/>
    <w:next w:val="942"/>
    <w:link w:val="731"/>
    <w:qFormat/>
    <w:rPr>
      <w:rFonts w:ascii="Times New Roman" w:hAnsi="Times New Roman" w:eastAsia="宋体" w:cs="Times New Roman"/>
    </w:rPr>
  </w:style>
  <w:style w:type="character" w:styleId="943">
    <w:name w:val="bds_nopic1"/>
    <w:next w:val="943"/>
    <w:link w:val="731"/>
    <w:qFormat/>
    <w:rPr>
      <w:rFonts w:ascii="Times New Roman" w:hAnsi="Times New Roman" w:eastAsia="宋体" w:cs="Times New Roman"/>
    </w:rPr>
  </w:style>
  <w:style w:type="character" w:styleId="944">
    <w:name w:val="标题 3 Char_0"/>
    <w:next w:val="944"/>
    <w:link w:val="1128"/>
    <w:uiPriority w:val="99"/>
    <w:qFormat/>
    <w:rPr>
      <w:b/>
      <w:bCs/>
      <w:sz w:val="32"/>
      <w:szCs w:val="32"/>
    </w:rPr>
  </w:style>
  <w:style w:type="character" w:styleId="945">
    <w:name w:val="文档结构图 Char1"/>
    <w:next w:val="945"/>
    <w:link w:val="731"/>
    <w:uiPriority w:val="99"/>
    <w:qFormat/>
    <w:rPr>
      <w:rFonts w:ascii="宋体" w:hAnsi="Calibri" w:eastAsia="宋体" w:cs="宋体"/>
      <w:sz w:val="18"/>
      <w:szCs w:val="18"/>
    </w:rPr>
  </w:style>
  <w:style w:type="character" w:styleId="946">
    <w:name w:val="页眉 Char2"/>
    <w:next w:val="946"/>
    <w:link w:val="731"/>
    <w:qFormat/>
    <w:rPr>
      <w:rFonts w:ascii="Times New Roman" w:hAnsi="Times New Roman" w:eastAsia="宋体" w:cs="Times New Roman"/>
      <w:sz w:val="18"/>
      <w:szCs w:val="18"/>
    </w:rPr>
  </w:style>
  <w:style w:type="character" w:styleId="947">
    <w:name w:val="sort"/>
    <w:next w:val="947"/>
    <w:link w:val="731"/>
    <w:qFormat/>
    <w:rPr>
      <w:rFonts w:ascii="Times New Roman" w:hAnsi="Times New Roman" w:eastAsia="宋体" w:cs="Times New Roman"/>
    </w:rPr>
  </w:style>
  <w:style w:type="character" w:styleId="948">
    <w:name w:val="标题 5 Char_0"/>
    <w:next w:val="948"/>
    <w:link w:val="1213"/>
    <w:uiPriority w:val="99"/>
    <w:qFormat/>
    <w:rPr>
      <w:b/>
      <w:bCs/>
      <w:sz w:val="28"/>
      <w:szCs w:val="28"/>
    </w:rPr>
  </w:style>
  <w:style w:type="character" w:styleId="949">
    <w:name w:val="批注框文本 Char1"/>
    <w:next w:val="949"/>
    <w:link w:val="731"/>
    <w:uiPriority w:val="99"/>
    <w:qFormat/>
    <w:rPr>
      <w:rFonts w:ascii="Times New Roman" w:hAnsi="Times New Roman" w:eastAsia="宋体" w:cs="Times New Roman"/>
      <w:sz w:val="18"/>
      <w:szCs w:val="18"/>
    </w:rPr>
  </w:style>
  <w:style w:type="character" w:styleId="950">
    <w:name w:val="fbc_ico1"/>
    <w:next w:val="950"/>
    <w:link w:val="731"/>
    <w:qFormat/>
    <w:rPr>
      <w:rFonts w:ascii="Times New Roman" w:hAnsi="Times New Roman" w:eastAsia="宋体" w:cs="Times New Roman"/>
    </w:rPr>
  </w:style>
  <w:style w:type="character" w:styleId="951">
    <w:name w:val="plus"/>
    <w:next w:val="951"/>
    <w:link w:val="731"/>
    <w:qFormat/>
    <w:rPr>
      <w:rFonts w:ascii="Times New Roman" w:hAnsi="Times New Roman" w:eastAsia="宋体" w:cs="Times New Roman"/>
      <w:b/>
      <w:vanish/>
      <w:color w:val="1f8def"/>
      <w:sz w:val="24"/>
      <w:szCs w:val="24"/>
    </w:rPr>
  </w:style>
  <w:style w:type="character" w:styleId="952">
    <w:name w:val="t-tree-icon"/>
    <w:next w:val="952"/>
    <w:link w:val="731"/>
    <w:qFormat/>
    <w:rPr>
      <w:rFonts w:ascii="Times New Roman" w:hAnsi="Times New Roman" w:eastAsia="宋体" w:cs="Times New Roman"/>
    </w:rPr>
  </w:style>
  <w:style w:type="character" w:styleId="953">
    <w:name w:val="二级条标题 Char"/>
    <w:next w:val="953"/>
    <w:link w:val="1131"/>
    <w:qFormat/>
    <w:rPr>
      <w:rFonts w:ascii="黑体" w:eastAsia="黑体"/>
      <w:szCs w:val="21"/>
    </w:rPr>
  </w:style>
  <w:style w:type="character" w:styleId="954">
    <w:name w:val="标题4 Char Char"/>
    <w:next w:val="954"/>
    <w:link w:val="1177"/>
    <w:uiPriority w:val="99"/>
    <w:qFormat/>
    <w:rPr>
      <w:rFonts w:ascii="Arial" w:hAnsi="Arial"/>
    </w:rPr>
  </w:style>
  <w:style w:type="character" w:styleId="955">
    <w:name w:val="hover24"/>
    <w:next w:val="955"/>
    <w:link w:val="731"/>
    <w:qFormat/>
    <w:rPr>
      <w:rFonts w:ascii="Times New Roman" w:hAnsi="Times New Roman" w:eastAsia="宋体" w:cs="Times New Roman"/>
    </w:rPr>
  </w:style>
  <w:style w:type="character" w:styleId="956">
    <w:name w:val="zc_bg"/>
    <w:next w:val="956"/>
    <w:link w:val="731"/>
    <w:qFormat/>
    <w:rPr>
      <w:rFonts w:ascii="Times New Roman" w:hAnsi="Times New Roman" w:eastAsia="宋体" w:cs="Times New Roman"/>
    </w:rPr>
  </w:style>
  <w:style w:type="character" w:styleId="957">
    <w:name w:val="t-exception-stack-controls"/>
    <w:next w:val="957"/>
    <w:link w:val="731"/>
    <w:qFormat/>
    <w:rPr>
      <w:rFonts w:ascii="Times New Roman" w:hAnsi="Times New Roman" w:eastAsia="宋体" w:cs="Times New Roman"/>
    </w:rPr>
  </w:style>
  <w:style w:type="character" w:styleId="958">
    <w:name w:val="bds_nopic2"/>
    <w:next w:val="958"/>
    <w:link w:val="731"/>
    <w:qFormat/>
    <w:rPr>
      <w:rFonts w:ascii="Times New Roman" w:hAnsi="Times New Roman" w:eastAsia="宋体" w:cs="Times New Roman"/>
    </w:rPr>
  </w:style>
  <w:style w:type="character" w:styleId="959">
    <w:name w:val="lemmatitleh1"/>
    <w:next w:val="959"/>
    <w:link w:val="731"/>
    <w:qFormat/>
    <w:rPr>
      <w:rFonts w:ascii="Times New Roman" w:hAnsi="Times New Roman" w:eastAsia="宋体" w:cs="Times New Roman"/>
    </w:rPr>
  </w:style>
  <w:style w:type="character" w:styleId="960">
    <w:name w:val="qcode_img"/>
    <w:next w:val="960"/>
    <w:link w:val="731"/>
    <w:qFormat/>
    <w:rPr>
      <w:rFonts w:ascii="Times New Roman" w:hAnsi="Times New Roman" w:eastAsia="宋体" w:cs="Times New Roman"/>
    </w:rPr>
  </w:style>
  <w:style w:type="character" w:styleId="961">
    <w:name w:val="hover86"/>
    <w:next w:val="961"/>
    <w:link w:val="731"/>
    <w:qFormat/>
    <w:rPr>
      <w:rFonts w:ascii="Times New Roman" w:hAnsi="Times New Roman" w:eastAsia="宋体" w:cs="Times New Roman"/>
    </w:rPr>
  </w:style>
  <w:style w:type="character" w:styleId="962">
    <w:name w:val="hover13"/>
    <w:next w:val="962"/>
    <w:link w:val="731"/>
    <w:qFormat/>
    <w:rPr>
      <w:rFonts w:ascii="Times New Roman" w:hAnsi="Times New Roman" w:eastAsia="宋体" w:cs="Times New Roman"/>
      <w:color w:val="ffffff"/>
      <w:shd w:val="clear" w:color="auto" w:fill="00c1b3"/>
    </w:rPr>
  </w:style>
  <w:style w:type="character" w:styleId="963">
    <w:name w:val="label12"/>
    <w:next w:val="963"/>
    <w:link w:val="731"/>
    <w:qFormat/>
    <w:rPr>
      <w:rFonts w:ascii="Times New Roman" w:hAnsi="Times New Roman" w:eastAsia="宋体" w:cs="Times New Roman"/>
    </w:rPr>
  </w:style>
  <w:style w:type="character" w:styleId="964">
    <w:name w:val="hover12"/>
    <w:next w:val="964"/>
    <w:link w:val="731"/>
    <w:qFormat/>
    <w:rPr>
      <w:rFonts w:ascii="Times New Roman" w:hAnsi="Times New Roman" w:eastAsia="宋体" w:cs="Times New Roman"/>
      <w:color w:val="ffffff"/>
      <w:shd w:val="clear" w:color="auto" w:fill="00c1b3"/>
    </w:rPr>
  </w:style>
  <w:style w:type="character" w:styleId="965">
    <w:name w:val="ant-tree-switcher8"/>
    <w:next w:val="965"/>
    <w:link w:val="731"/>
    <w:qFormat/>
    <w:rPr>
      <w:rFonts w:ascii="Times New Roman" w:hAnsi="Times New Roman" w:eastAsia="宋体" w:cs="Times New Roman"/>
    </w:rPr>
  </w:style>
  <w:style w:type="character" w:styleId="966">
    <w:name w:val="一级条标题 Char"/>
    <w:next w:val="966"/>
    <w:link w:val="1121"/>
    <w:qFormat/>
    <w:rPr>
      <w:rFonts w:ascii="黑体" w:eastAsia="黑体" w:cs="Calibri"/>
      <w:sz w:val="21"/>
      <w:szCs w:val="21"/>
    </w:rPr>
  </w:style>
  <w:style w:type="character" w:styleId="967">
    <w:name w:val="hover84"/>
    <w:next w:val="967"/>
    <w:link w:val="731"/>
    <w:qFormat/>
    <w:rPr>
      <w:rFonts w:ascii="Times New Roman" w:hAnsi="Times New Roman" w:eastAsia="宋体" w:cs="Times New Roman"/>
    </w:rPr>
  </w:style>
  <w:style w:type="character" w:styleId="968">
    <w:name w:val="hover16"/>
    <w:next w:val="968"/>
    <w:link w:val="731"/>
    <w:qFormat/>
    <w:rPr>
      <w:rFonts w:ascii="Times New Roman" w:hAnsi="Times New Roman" w:eastAsia="宋体" w:cs="Times New Roman"/>
      <w:color w:val="ffffff"/>
      <w:shd w:val="clear" w:color="auto" w:fill="00c1b3"/>
    </w:rPr>
  </w:style>
  <w:style w:type="character" w:styleId="969">
    <w:name w:val="font91"/>
    <w:next w:val="969"/>
    <w:link w:val="731"/>
    <w:qFormat/>
    <w:rPr>
      <w:rFonts w:ascii="Times New Roman" w:hAnsi="Times New Roman" w:cs="Times New Roman"/>
      <w:color w:val="000000"/>
      <w:sz w:val="24"/>
      <w:szCs w:val="24"/>
      <w:u w:val="none"/>
    </w:rPr>
  </w:style>
  <w:style w:type="character" w:styleId="970">
    <w:name w:val="desc12"/>
    <w:next w:val="970"/>
    <w:link w:val="731"/>
    <w:qFormat/>
    <w:rPr>
      <w:rFonts w:ascii="Times New Roman" w:hAnsi="Times New Roman" w:eastAsia="宋体" w:cs="Times New Roman"/>
      <w:color w:val="000000"/>
      <w:sz w:val="18"/>
      <w:szCs w:val="18"/>
    </w:rPr>
  </w:style>
  <w:style w:type="character" w:styleId="971">
    <w:name w:val="sort1"/>
    <w:next w:val="971"/>
    <w:link w:val="731"/>
    <w:qFormat/>
    <w:rPr>
      <w:rFonts w:ascii="Times New Roman" w:hAnsi="Times New Roman" w:eastAsia="宋体" w:cs="Times New Roman"/>
      <w:color w:val="ffffff"/>
    </w:rPr>
  </w:style>
  <w:style w:type="character" w:styleId="972">
    <w:name w:val="明显引用 Char2"/>
    <w:next w:val="972"/>
    <w:link w:val="731"/>
    <w:uiPriority w:val="99"/>
    <w:qFormat/>
    <w:rPr>
      <w:rFonts w:ascii="Times New Roman" w:hAnsi="Times New Roman" w:eastAsia="宋体" w:cs="Times New Roman"/>
      <w:b/>
      <w:bCs/>
      <w:i/>
      <w:iCs/>
      <w:color w:val="4f81bd"/>
      <w:sz w:val="24"/>
      <w:szCs w:val="24"/>
    </w:rPr>
  </w:style>
  <w:style w:type="character" w:styleId="973">
    <w:name w:val="标题 4 Char1"/>
    <w:next w:val="973"/>
    <w:link w:val="731"/>
    <w:qFormat/>
    <w:rPr>
      <w:rFonts w:ascii="Cambria" w:hAnsi="Cambria" w:eastAsia="宋体" w:cs="Cambria"/>
      <w:b/>
      <w:bCs/>
      <w:sz w:val="28"/>
      <w:szCs w:val="28"/>
      <w:lang w:val="en-US" w:eastAsia="zh-CN" w:bidi="ar-SA"/>
    </w:rPr>
  </w:style>
  <w:style w:type="character" w:styleId="974">
    <w:name w:val="ant-typography-ellipsis"/>
    <w:next w:val="974"/>
    <w:link w:val="731"/>
    <w:qFormat/>
    <w:rPr>
      <w:rFonts w:ascii="Times New Roman" w:hAnsi="Times New Roman" w:eastAsia="宋体" w:cs="Times New Roman"/>
    </w:rPr>
  </w:style>
  <w:style w:type="character" w:styleId="975">
    <w:name w:val="bds_more2"/>
    <w:next w:val="975"/>
    <w:link w:val="731"/>
    <w:qFormat/>
    <w:rPr>
      <w:rFonts w:ascii="Times New Roman" w:hAnsi="Times New Roman" w:eastAsia="宋体" w:cs="Times New Roman"/>
    </w:rPr>
  </w:style>
  <w:style w:type="character" w:styleId="976">
    <w:name w:val="标题 4 Char_0"/>
    <w:next w:val="976"/>
    <w:link w:val="1215"/>
    <w:uiPriority w:val="99"/>
    <w:qFormat/>
    <w:rPr>
      <w:rFonts w:ascii="Arial" w:hAnsi="Arial" w:eastAsia="黑体"/>
      <w:b/>
      <w:bCs/>
      <w:sz w:val="28"/>
      <w:szCs w:val="28"/>
    </w:rPr>
  </w:style>
  <w:style w:type="character" w:styleId="977">
    <w:name w:val="宏文本 Char1"/>
    <w:next w:val="977"/>
    <w:link w:val="731"/>
    <w:uiPriority w:val="99"/>
    <w:semiHidden/>
    <w:qFormat/>
    <w:rPr>
      <w:rFonts w:ascii="Courier New" w:hAnsi="Courier New" w:eastAsia="宋体" w:cs="Courier New"/>
      <w:sz w:val="24"/>
      <w:szCs w:val="24"/>
    </w:rPr>
  </w:style>
  <w:style w:type="character" w:styleId="978">
    <w:name w:val="hover18"/>
    <w:next w:val="978"/>
    <w:link w:val="731"/>
    <w:qFormat/>
    <w:rPr>
      <w:rFonts w:ascii="Times New Roman" w:hAnsi="Times New Roman" w:eastAsia="宋体" w:cs="Times New Roman"/>
      <w:color w:val="ffffff"/>
      <w:shd w:val="clear" w:color="auto" w:fill="00c1b3"/>
    </w:rPr>
  </w:style>
  <w:style w:type="character" w:styleId="979">
    <w:name w:val="label13"/>
    <w:next w:val="979"/>
    <w:link w:val="731"/>
    <w:qFormat/>
    <w:rPr>
      <w:rFonts w:ascii="Times New Roman" w:hAnsi="Times New Roman" w:eastAsia="宋体" w:cs="Times New Roman"/>
    </w:rPr>
  </w:style>
  <w:style w:type="character" w:styleId="980">
    <w:name w:val="font61"/>
    <w:next w:val="980"/>
    <w:link w:val="731"/>
    <w:qFormat/>
    <w:rPr>
      <w:rFonts w:hint="eastAsia" w:ascii="宋体" w:hAnsi="宋体" w:eastAsia="宋体" w:cs="宋体"/>
      <w:color w:val="000000"/>
      <w:sz w:val="24"/>
      <w:szCs w:val="24"/>
      <w:u w:val="none"/>
    </w:rPr>
  </w:style>
  <w:style w:type="character" w:styleId="981">
    <w:name w:val="批注框文本 Char2"/>
    <w:next w:val="981"/>
    <w:link w:val="731"/>
    <w:uiPriority w:val="99"/>
    <w:semiHidden/>
    <w:qFormat/>
    <w:rPr>
      <w:rFonts w:ascii="Calibri" w:hAnsi="Calibri" w:eastAsia="宋体" w:cs="Calibri"/>
      <w:sz w:val="18"/>
      <w:szCs w:val="18"/>
    </w:rPr>
  </w:style>
  <w:style w:type="character" w:styleId="982">
    <w:name w:val="标题 1 字符1"/>
    <w:next w:val="982"/>
    <w:link w:val="731"/>
    <w:uiPriority w:val="99"/>
    <w:qFormat/>
    <w:rPr>
      <w:rFonts w:ascii="Times New Roman" w:hAnsi="Times New Roman" w:eastAsia="宋体" w:cs="Times New Roman"/>
      <w:b/>
      <w:bCs/>
      <w:sz w:val="32"/>
      <w:szCs w:val="32"/>
    </w:rPr>
  </w:style>
  <w:style w:type="character" w:styleId="983">
    <w:name w:val="16"/>
    <w:next w:val="983"/>
    <w:link w:val="731"/>
    <w:qFormat/>
    <w:rPr>
      <w:rFonts w:hint="eastAsia" w:ascii="宋体" w:hAnsi="宋体" w:eastAsia="宋体" w:cs="Times New Roman"/>
      <w:color w:val="000000"/>
      <w:sz w:val="21"/>
      <w:szCs w:val="21"/>
    </w:rPr>
  </w:style>
  <w:style w:type="character" w:styleId="984">
    <w:name w:val="fbc_ico2"/>
    <w:next w:val="984"/>
    <w:link w:val="731"/>
    <w:qFormat/>
    <w:rPr>
      <w:rFonts w:ascii="Times New Roman" w:hAnsi="Times New Roman" w:eastAsia="宋体" w:cs="Times New Roman"/>
    </w:rPr>
  </w:style>
  <w:style w:type="character" w:styleId="985">
    <w:name w:val="批注文字 Char3"/>
    <w:next w:val="985"/>
    <w:link w:val="731"/>
    <w:uiPriority w:val="99"/>
    <w:semiHidden/>
    <w:qFormat/>
  </w:style>
  <w:style w:type="character" w:styleId="986">
    <w:name w:val="页眉 Char1"/>
    <w:next w:val="986"/>
    <w:link w:val="731"/>
    <w:uiPriority w:val="99"/>
    <w:semiHidden/>
    <w:qFormat/>
    <w:rPr>
      <w:rFonts w:ascii="Calibri" w:hAnsi="Calibri" w:eastAsia="宋体" w:cs="Calibri"/>
      <w:sz w:val="18"/>
      <w:szCs w:val="18"/>
    </w:rPr>
  </w:style>
  <w:style w:type="character" w:styleId="987">
    <w:name w:val="NormalCharacter1"/>
    <w:next w:val="987"/>
    <w:link w:val="731"/>
    <w:semiHidden/>
    <w:qFormat/>
    <w:rPr>
      <w:rFonts w:ascii="Times New Roman" w:hAnsi="Times New Roman" w:eastAsia="宋体" w:cs="Times New Roman"/>
    </w:rPr>
  </w:style>
  <w:style w:type="character" w:styleId="988">
    <w:name w:val="sidecatalog-index2"/>
    <w:next w:val="988"/>
    <w:link w:val="731"/>
    <w:qFormat/>
    <w:rPr>
      <w:rFonts w:ascii="Arail" w:hAnsi="Arail" w:eastAsia="宋体" w:cs="Arail"/>
      <w:color w:val="999999"/>
      <w:sz w:val="21"/>
      <w:szCs w:val="21"/>
    </w:rPr>
  </w:style>
  <w:style w:type="character" w:styleId="989">
    <w:name w:val="正文文本 Char_0"/>
    <w:next w:val="989"/>
    <w:link w:val="1198"/>
    <w:uiPriority w:val="99"/>
    <w:qFormat/>
    <w:rPr>
      <w:sz w:val="24"/>
      <w:szCs w:val="24"/>
    </w:rPr>
  </w:style>
  <w:style w:type="character" w:styleId="990">
    <w:name w:val="first-child"/>
    <w:next w:val="990"/>
    <w:link w:val="731"/>
    <w:qFormat/>
    <w:rPr>
      <w:rFonts w:ascii="Times New Roman" w:hAnsi="Times New Roman" w:eastAsia="宋体" w:cs="Times New Roman"/>
      <w:color w:val="ffffff"/>
    </w:rPr>
  </w:style>
  <w:style w:type="character" w:styleId="991">
    <w:name w:val="副标题 Char3"/>
    <w:next w:val="991"/>
    <w:link w:val="731"/>
    <w:uiPriority w:val="11"/>
    <w:qFormat/>
    <w:rPr>
      <w:rFonts w:ascii="Cambria" w:hAnsi="Cambria" w:eastAsia="宋体" w:cs="Times New Roman"/>
      <w:b/>
      <w:bCs/>
      <w:sz w:val="32"/>
      <w:szCs w:val="32"/>
    </w:rPr>
  </w:style>
  <w:style w:type="character" w:styleId="992">
    <w:name w:val="引用 Char1"/>
    <w:next w:val="992"/>
    <w:link w:val="731"/>
    <w:uiPriority w:val="99"/>
    <w:qFormat/>
    <w:rPr>
      <w:rFonts w:ascii="Times New Roman" w:hAnsi="Times New Roman" w:eastAsia="宋体" w:cs="Times New Roman"/>
      <w:i/>
      <w:iCs/>
      <w:color w:val="000000"/>
      <w:sz w:val="21"/>
      <w:szCs w:val="21"/>
    </w:rPr>
  </w:style>
  <w:style w:type="character" w:styleId="993">
    <w:name w:val="正文文本缩进 2 Char1"/>
    <w:next w:val="993"/>
    <w:link w:val="731"/>
    <w:uiPriority w:val="99"/>
    <w:semiHidden/>
    <w:qFormat/>
  </w:style>
  <w:style w:type="character" w:styleId="994">
    <w:name w:val="font51"/>
    <w:next w:val="994"/>
    <w:link w:val="731"/>
    <w:qFormat/>
    <w:rPr>
      <w:rFonts w:hint="eastAsia" w:ascii="方正仿宋_GBK" w:hAnsi="方正仿宋_GBK" w:eastAsia="方正仿宋_GBK" w:cs="方正仿宋_GBK"/>
      <w:color w:val="ff0000"/>
      <w:sz w:val="24"/>
      <w:szCs w:val="24"/>
      <w:u w:val="none"/>
    </w:rPr>
  </w:style>
  <w:style w:type="character" w:styleId="995">
    <w:name w:val="宏文本 Char2"/>
    <w:next w:val="995"/>
    <w:link w:val="731"/>
    <w:uiPriority w:val="99"/>
    <w:semiHidden/>
    <w:qFormat/>
    <w:rPr>
      <w:rFonts w:ascii="Courier New" w:hAnsi="Courier New" w:eastAsia="宋体" w:cs="Courier New"/>
      <w:sz w:val="24"/>
      <w:szCs w:val="24"/>
    </w:rPr>
  </w:style>
  <w:style w:type="character" w:styleId="996">
    <w:name w:val="hover22"/>
    <w:next w:val="996"/>
    <w:link w:val="731"/>
    <w:qFormat/>
    <w:rPr>
      <w:rFonts w:ascii="Times New Roman" w:hAnsi="Times New Roman" w:eastAsia="宋体" w:cs="Times New Roman"/>
    </w:rPr>
  </w:style>
  <w:style w:type="character" w:styleId="997">
    <w:name w:val="HTML 预设格式 Char1"/>
    <w:next w:val="997"/>
    <w:link w:val="731"/>
    <w:uiPriority w:val="99"/>
    <w:semiHidden/>
    <w:qFormat/>
    <w:rPr>
      <w:rFonts w:ascii="Courier New" w:hAnsi="Courier New" w:cs="Courier New"/>
      <w:sz w:val="20"/>
      <w:szCs w:val="20"/>
    </w:rPr>
  </w:style>
  <w:style w:type="character" w:styleId="998">
    <w:name w:val="hover23"/>
    <w:next w:val="998"/>
    <w:link w:val="731"/>
    <w:qFormat/>
    <w:rPr>
      <w:rFonts w:ascii="Times New Roman" w:hAnsi="Times New Roman" w:eastAsia="宋体" w:cs="Times New Roman"/>
    </w:rPr>
  </w:style>
  <w:style w:type="character" w:styleId="999">
    <w:name w:val="日期 Char3"/>
    <w:next w:val="999"/>
    <w:link w:val="731"/>
    <w:uiPriority w:val="99"/>
    <w:semiHidden/>
    <w:qFormat/>
  </w:style>
  <w:style w:type="character" w:styleId="1000">
    <w:name w:val="bds_more1"/>
    <w:next w:val="1000"/>
    <w:link w:val="731"/>
    <w:qFormat/>
    <w:rPr>
      <w:rFonts w:ascii="Times New Roman" w:hAnsi="Times New Roman" w:eastAsia="宋体" w:cs="Times New Roman"/>
    </w:rPr>
  </w:style>
  <w:style w:type="character" w:styleId="1001">
    <w:name w:val="批注主题 Char3"/>
    <w:next w:val="1001"/>
    <w:link w:val="731"/>
    <w:uiPriority w:val="99"/>
    <w:semiHidden/>
    <w:qFormat/>
    <w:rPr>
      <w:b/>
      <w:bCs/>
    </w:rPr>
  </w:style>
  <w:style w:type="character" w:styleId="1002">
    <w:name w:val="未处理的提及3"/>
    <w:next w:val="1002"/>
    <w:link w:val="731"/>
    <w:uiPriority w:val="99"/>
    <w:unhideWhenUsed/>
    <w:qFormat/>
    <w:rPr>
      <w:rFonts w:ascii="Times New Roman" w:hAnsi="Times New Roman" w:eastAsia="宋体" w:cs="Times New Roman"/>
      <w:color w:val="605e5c"/>
      <w:shd w:val="clear" w:color="auto" w:fill="e1dfdd"/>
    </w:rPr>
  </w:style>
  <w:style w:type="character" w:styleId="1003">
    <w:name w:val="标题 Char3"/>
    <w:next w:val="1003"/>
    <w:link w:val="731"/>
    <w:uiPriority w:val="10"/>
    <w:qFormat/>
    <w:rPr>
      <w:rFonts w:ascii="Cambria" w:hAnsi="Cambria" w:eastAsia="宋体" w:cs="Times New Roman"/>
      <w:b/>
      <w:bCs/>
      <w:sz w:val="32"/>
      <w:szCs w:val="32"/>
    </w:rPr>
  </w:style>
  <w:style w:type="character" w:styleId="1004">
    <w:name w:val="bds_nopic"/>
    <w:next w:val="1004"/>
    <w:link w:val="731"/>
    <w:qFormat/>
    <w:rPr>
      <w:rFonts w:ascii="Times New Roman" w:hAnsi="Times New Roman" w:eastAsia="宋体" w:cs="Times New Roman"/>
    </w:rPr>
  </w:style>
  <w:style w:type="character" w:styleId="1005">
    <w:name w:val="15"/>
    <w:next w:val="1005"/>
    <w:link w:val="731"/>
    <w:qFormat/>
    <w:rPr>
      <w:rFonts w:ascii="Times New Roman" w:hAnsi="Times New Roman" w:eastAsia="宋体" w:cs="Times New Roman"/>
    </w:rPr>
  </w:style>
  <w:style w:type="character" w:styleId="1006">
    <w:name w:val="label"/>
    <w:next w:val="1006"/>
    <w:link w:val="731"/>
    <w:qFormat/>
    <w:rPr>
      <w:rFonts w:ascii="Times New Roman" w:hAnsi="Times New Roman" w:eastAsia="宋体" w:cs="Times New Roman"/>
    </w:rPr>
  </w:style>
  <w:style w:type="character" w:styleId="1007">
    <w:name w:val="正文文本 3 Char2"/>
    <w:next w:val="1007"/>
    <w:link w:val="731"/>
    <w:uiPriority w:val="99"/>
    <w:semiHidden/>
    <w:qFormat/>
    <w:rPr>
      <w:sz w:val="16"/>
      <w:szCs w:val="16"/>
    </w:rPr>
  </w:style>
  <w:style w:type="character" w:styleId="1008">
    <w:name w:val="label3"/>
    <w:next w:val="1008"/>
    <w:link w:val="731"/>
    <w:qFormat/>
    <w:rPr>
      <w:rFonts w:ascii="Times New Roman" w:hAnsi="Times New Roman" w:eastAsia="宋体" w:cs="Times New Roman"/>
    </w:rPr>
  </w:style>
  <w:style w:type="character" w:styleId="1009">
    <w:name w:val="正文文本缩进 Char1"/>
    <w:next w:val="1009"/>
    <w:link w:val="731"/>
    <w:uiPriority w:val="99"/>
    <w:semiHidden/>
    <w:qFormat/>
  </w:style>
  <w:style w:type="character" w:styleId="1010">
    <w:name w:val="ant-tree-switcher6"/>
    <w:next w:val="1010"/>
    <w:link w:val="731"/>
    <w:qFormat/>
    <w:rPr>
      <w:rFonts w:ascii="Times New Roman" w:hAnsi="Times New Roman" w:eastAsia="宋体" w:cs="Times New Roman"/>
    </w:rPr>
  </w:style>
  <w:style w:type="character" w:styleId="1011">
    <w:name w:val="正文首行缩进 2 Char1"/>
    <w:next w:val="1011"/>
    <w:link w:val="731"/>
    <w:uiPriority w:val="99"/>
    <w:semiHidden/>
    <w:qFormat/>
  </w:style>
  <w:style w:type="character" w:styleId="1012">
    <w:name w:val="宏文本 字符1"/>
    <w:next w:val="1012"/>
    <w:link w:val="731"/>
    <w:uiPriority w:val="99"/>
    <w:semiHidden/>
    <w:qFormat/>
    <w:rPr>
      <w:rFonts w:ascii="Courier New" w:hAnsi="Courier New" w:eastAsia="宋体" w:cs="Courier New"/>
      <w:sz w:val="24"/>
      <w:szCs w:val="24"/>
    </w:rPr>
  </w:style>
  <w:style w:type="character" w:styleId="1013">
    <w:name w:val="纯文本 Char1"/>
    <w:next w:val="1013"/>
    <w:link w:val="731"/>
    <w:uiPriority w:val="99"/>
    <w:semiHidden/>
    <w:qFormat/>
    <w:rPr>
      <w:rFonts w:ascii="宋体" w:hAnsi="Courier New" w:eastAsia="宋体" w:cs="Courier New"/>
      <w:szCs w:val="21"/>
    </w:rPr>
  </w:style>
  <w:style w:type="character" w:styleId="1014">
    <w:name w:val="zcf_title_ext"/>
    <w:next w:val="1014"/>
    <w:link w:val="731"/>
    <w:qFormat/>
    <w:rPr>
      <w:rFonts w:ascii="Times New Roman" w:hAnsi="Times New Roman" w:eastAsia="宋体" w:cs="Times New Roman"/>
      <w:color w:val="999999"/>
    </w:rPr>
  </w:style>
  <w:style w:type="character" w:styleId="1015">
    <w:name w:val="正文文本缩进 3 Char2"/>
    <w:next w:val="1015"/>
    <w:link w:val="731"/>
    <w:uiPriority w:val="99"/>
    <w:semiHidden/>
    <w:qFormat/>
    <w:rPr>
      <w:sz w:val="16"/>
      <w:szCs w:val="16"/>
    </w:rPr>
  </w:style>
  <w:style w:type="character" w:styleId="1016">
    <w:name w:val="Heading 4 Char"/>
    <w:next w:val="1016"/>
    <w:link w:val="731"/>
    <w:uiPriority w:val="99"/>
    <w:semiHidden/>
    <w:qFormat/>
    <w:rPr>
      <w:rFonts w:ascii="Cambria" w:hAnsi="Cambria" w:eastAsia="宋体" w:cs="Times New Roman"/>
      <w:b/>
      <w:bCs/>
      <w:sz w:val="28"/>
      <w:szCs w:val="28"/>
      <w:lang w:val="en-US" w:eastAsia="zh-CN" w:bidi="ar-SA"/>
    </w:rPr>
  </w:style>
  <w:style w:type="character" w:styleId="1017">
    <w:name w:val="文档结构图 Char3"/>
    <w:next w:val="1017"/>
    <w:link w:val="731"/>
    <w:uiPriority w:val="99"/>
    <w:semiHidden/>
    <w:qFormat/>
    <w:rPr>
      <w:rFonts w:ascii="宋体" w:eastAsia="宋体"/>
      <w:sz w:val="18"/>
      <w:szCs w:val="18"/>
    </w:rPr>
  </w:style>
  <w:style w:type="character" w:styleId="1018">
    <w:name w:val="hcc_logo"/>
    <w:next w:val="1018"/>
    <w:link w:val="731"/>
    <w:qFormat/>
    <w:rPr>
      <w:rFonts w:ascii="Times New Roman" w:hAnsi="Times New Roman" w:eastAsia="宋体" w:cs="Times New Roman"/>
    </w:rPr>
  </w:style>
  <w:style w:type="character" w:styleId="1019">
    <w:name w:val="正文文本 Char3"/>
    <w:next w:val="1019"/>
    <w:link w:val="731"/>
    <w:uiPriority w:val="99"/>
    <w:semiHidden/>
    <w:qFormat/>
  </w:style>
  <w:style w:type="character" w:styleId="1020">
    <w:name w:val="正文文本 3 Char1"/>
    <w:next w:val="1020"/>
    <w:link w:val="731"/>
    <w:uiPriority w:val="99"/>
    <w:semiHidden/>
    <w:qFormat/>
    <w:rPr>
      <w:rFonts w:ascii="Times New Roman" w:hAnsi="Times New Roman" w:eastAsia="宋体" w:cs="Times New Roman"/>
      <w:sz w:val="16"/>
      <w:szCs w:val="16"/>
    </w:rPr>
  </w:style>
  <w:style w:type="character" w:styleId="1021">
    <w:name w:val="label2"/>
    <w:next w:val="1021"/>
    <w:link w:val="731"/>
    <w:qFormat/>
    <w:rPr>
      <w:rFonts w:ascii="Times New Roman" w:hAnsi="Times New Roman" w:eastAsia="宋体" w:cs="Times New Roman"/>
      <w:color w:val="1cc09f"/>
      <w:shd w:val="clear" w:color="auto" w:fill="ffffff"/>
    </w:rPr>
  </w:style>
  <w:style w:type="character" w:styleId="1022">
    <w:name w:val="标题 1 Char"/>
    <w:next w:val="1022"/>
    <w:link w:val="731"/>
    <w:uiPriority w:val="9"/>
    <w:qFormat/>
    <w:rPr>
      <w:rFonts w:ascii="Times New Roman" w:hAnsi="Times New Roman" w:eastAsia="宋体" w:cs="Times New Roman"/>
      <w:b/>
      <w:bCs/>
      <w:sz w:val="44"/>
      <w:szCs w:val="44"/>
    </w:rPr>
  </w:style>
  <w:style w:type="character" w:styleId="1023">
    <w:name w:val="页脚 Char"/>
    <w:next w:val="1023"/>
    <w:link w:val="731"/>
    <w:uiPriority w:val="99"/>
    <w:qFormat/>
    <w:rPr>
      <w:rFonts w:ascii="Calibri" w:hAnsi="Calibri" w:eastAsia="宋体" w:cs="Times New Roman"/>
      <w:sz w:val="18"/>
      <w:szCs w:val="18"/>
    </w:rPr>
  </w:style>
  <w:style w:type="character" w:styleId="1024">
    <w:name w:val="日期 Char2"/>
    <w:next w:val="1024"/>
    <w:link w:val="731"/>
    <w:uiPriority w:val="99"/>
    <w:semiHidden/>
    <w:qFormat/>
    <w:rPr>
      <w:rFonts w:ascii="Calibri" w:hAnsi="Calibri" w:eastAsia="宋体" w:cs="Calibri"/>
    </w:rPr>
  </w:style>
  <w:style w:type="character" w:styleId="1025">
    <w:name w:val="未处理的提及2"/>
    <w:next w:val="1025"/>
    <w:link w:val="731"/>
    <w:uiPriority w:val="99"/>
    <w:unhideWhenUsed/>
    <w:qFormat/>
    <w:rPr>
      <w:rFonts w:ascii="Times New Roman" w:hAnsi="Times New Roman" w:eastAsia="宋体" w:cs="Times New Roman"/>
      <w:color w:val="605e5c"/>
      <w:shd w:val="clear" w:color="auto" w:fill="e1dfdd"/>
    </w:rPr>
  </w:style>
  <w:style w:type="character" w:styleId="1026">
    <w:name w:val="hover85"/>
    <w:next w:val="1026"/>
    <w:link w:val="731"/>
    <w:qFormat/>
    <w:rPr>
      <w:rFonts w:ascii="Times New Roman" w:hAnsi="Times New Roman" w:eastAsia="宋体" w:cs="Times New Roman"/>
    </w:rPr>
  </w:style>
  <w:style w:type="character" w:styleId="1027">
    <w:name w:val="hover14"/>
    <w:next w:val="1027"/>
    <w:link w:val="731"/>
    <w:qFormat/>
    <w:rPr>
      <w:rFonts w:ascii="Times New Roman" w:hAnsi="Times New Roman" w:eastAsia="宋体" w:cs="Times New Roman"/>
      <w:sz w:val="16"/>
      <w:szCs w:val="16"/>
    </w:rPr>
  </w:style>
  <w:style w:type="paragraph" w:styleId="1028">
    <w:name w:val="标题"/>
    <w:basedOn w:val="731"/>
    <w:next w:val="731"/>
    <w:link w:val="873"/>
    <w:uiPriority w:val="99"/>
    <w:qFormat/>
    <w:pPr>
      <w:contextualSpacing/>
      <w:spacing w:after="300" w:line="240" w:lineRule="auto"/>
      <w:pBdr>
        <w:bottom w:val="single" w:color="4F81BD" w:sz="8" w:space="4"/>
      </w:pBdr>
    </w:pPr>
    <w:rPr>
      <w:rFonts w:ascii="Cambria" w:hAnsi="Cambria"/>
      <w:color w:val="17365d"/>
      <w:spacing w:val="5"/>
      <w:sz w:val="52"/>
      <w:szCs w:val="52"/>
    </w:rPr>
  </w:style>
  <w:style w:type="paragraph" w:styleId="1029">
    <w:name w:val="副标题"/>
    <w:basedOn w:val="731"/>
    <w:next w:val="731"/>
    <w:link w:val="884"/>
    <w:uiPriority w:val="99"/>
    <w:qFormat/>
    <w:rPr>
      <w:rFonts w:ascii="Cambria" w:hAnsi="Cambria"/>
      <w:i/>
      <w:iCs/>
      <w:color w:val="4f81bd"/>
      <w:spacing w:val="15"/>
      <w:sz w:val="24"/>
      <w:szCs w:val="24"/>
    </w:rPr>
  </w:style>
  <w:style w:type="paragraph" w:styleId="1030">
    <w:name w:val="正文文本缩进 2"/>
    <w:basedOn w:val="731"/>
    <w:next w:val="1030"/>
    <w:link w:val="815"/>
    <w:uiPriority w:val="99"/>
    <w:qFormat/>
    <w:pPr>
      <w:ind w:left="630" w:firstLine="645"/>
      <w:jc w:val="both"/>
      <w:spacing w:after="0" w:line="240" w:lineRule="auto"/>
      <w:widowControl w:val="off"/>
    </w:pPr>
    <w:rPr>
      <w:rFonts w:ascii="Arial" w:hAnsi="Arial" w:eastAsia="仿宋_GB2312"/>
      <w:sz w:val="32"/>
      <w:szCs w:val="32"/>
    </w:rPr>
  </w:style>
  <w:style w:type="paragraph" w:styleId="1031">
    <w:name w:val="题注"/>
    <w:basedOn w:val="731"/>
    <w:next w:val="731"/>
    <w:link w:val="731"/>
    <w:qFormat/>
    <w:pPr>
      <w:spacing w:line="240" w:lineRule="auto"/>
    </w:pPr>
    <w:rPr>
      <w:b/>
      <w:bCs/>
      <w:color w:val="4f81bd"/>
      <w:sz w:val="18"/>
      <w:szCs w:val="18"/>
    </w:rPr>
  </w:style>
  <w:style w:type="paragraph" w:styleId="1032">
    <w:name w:val="索引 1"/>
    <w:basedOn w:val="731"/>
    <w:next w:val="731"/>
    <w:link w:val="731"/>
    <w:qFormat/>
    <w:pPr>
      <w:jc w:val="both"/>
      <w:spacing w:after="0" w:line="240" w:lineRule="atLeast"/>
      <w:widowControl w:val="off"/>
    </w:pPr>
    <w:rPr>
      <w:rFonts w:ascii="Times New Roman" w:hAnsi="Times New Roman" w:eastAsia="宋体" w:cs="Times New Roman"/>
      <w:b/>
      <w:bCs/>
      <w:sz w:val="21"/>
      <w:szCs w:val="21"/>
    </w:rPr>
  </w:style>
  <w:style w:type="paragraph" w:styleId="1033">
    <w:name w:val="toc 9"/>
    <w:basedOn w:val="731"/>
    <w:next w:val="731"/>
    <w:link w:val="731"/>
    <w:uiPriority w:val="39"/>
    <w:unhideWhenUsed/>
    <w:pPr>
      <w:ind w:left="2268"/>
      <w:spacing w:after="57" w:line="240" w:lineRule="auto"/>
    </w:pPr>
    <w:rPr>
      <w:rFonts w:ascii="Times New Roman" w:hAnsi="Times New Roman"/>
      <w:sz w:val="20"/>
      <w:szCs w:val="20"/>
    </w:rPr>
  </w:style>
  <w:style w:type="paragraph" w:styleId="1034">
    <w:name w:val="正文文本缩进 3"/>
    <w:basedOn w:val="731"/>
    <w:next w:val="1034"/>
    <w:link w:val="872"/>
    <w:uiPriority w:val="99"/>
    <w:qFormat/>
    <w:pPr>
      <w:ind w:left="645" w:firstLine="645"/>
      <w:jc w:val="both"/>
      <w:spacing w:after="0" w:line="240" w:lineRule="auto"/>
      <w:widowControl w:val="off"/>
    </w:pPr>
    <w:rPr>
      <w:rFonts w:ascii="Arial" w:hAnsi="Arial" w:eastAsia="仿宋_GB2312"/>
      <w:color w:val="ffff00"/>
      <w:sz w:val="32"/>
      <w:szCs w:val="32"/>
    </w:rPr>
  </w:style>
  <w:style w:type="paragraph" w:styleId="1035">
    <w:name w:val="列表"/>
    <w:basedOn w:val="731"/>
    <w:next w:val="1035"/>
    <w:link w:val="731"/>
    <w:qFormat/>
    <w:pPr>
      <w:ind w:left="200" w:hanging="200"/>
      <w:jc w:val="both"/>
      <w:spacing w:after="0" w:line="240" w:lineRule="auto"/>
      <w:widowControl w:val="off"/>
    </w:pPr>
    <w:rPr>
      <w:rFonts w:ascii="Times New Roman" w:hAnsi="Times New Roman" w:eastAsia="宋体" w:cs="Times New Roman"/>
      <w:sz w:val="21"/>
      <w:szCs w:val="21"/>
    </w:rPr>
  </w:style>
  <w:style w:type="paragraph" w:styleId="1036">
    <w:name w:val="toc 5"/>
    <w:basedOn w:val="731"/>
    <w:next w:val="731"/>
    <w:link w:val="731"/>
    <w:uiPriority w:val="39"/>
    <w:unhideWhenUsed/>
    <w:pPr>
      <w:ind w:left="1134"/>
      <w:spacing w:after="57" w:line="240" w:lineRule="auto"/>
    </w:pPr>
    <w:rPr>
      <w:rFonts w:ascii="Times New Roman" w:hAnsi="Times New Roman"/>
      <w:sz w:val="20"/>
      <w:szCs w:val="20"/>
    </w:rPr>
  </w:style>
  <w:style w:type="paragraph" w:styleId="1037">
    <w:name w:val="文本块"/>
    <w:basedOn w:val="731"/>
    <w:next w:val="1037"/>
    <w:link w:val="731"/>
    <w:uiPriority w:val="99"/>
    <w:unhideWhenUsed/>
    <w:qFormat/>
    <w:pPr>
      <w:ind w:left="1440" w:right="1440"/>
      <w:jc w:val="both"/>
      <w:spacing w:after="120" w:line="278" w:lineRule="auto"/>
      <w:widowControl w:val="off"/>
    </w:pPr>
    <w:rPr>
      <w:rFonts w:cs="Calibri"/>
      <w:sz w:val="21"/>
      <w:szCs w:val="21"/>
    </w:rPr>
  </w:style>
  <w:style w:type="paragraph" w:styleId="1038">
    <w:name w:val="批注文字"/>
    <w:basedOn w:val="731"/>
    <w:next w:val="1038"/>
    <w:link w:val="824"/>
    <w:qFormat/>
    <w:pPr>
      <w:spacing w:after="0" w:line="240" w:lineRule="auto"/>
      <w:widowControl w:val="off"/>
    </w:pPr>
    <w:rPr>
      <w:rFonts w:ascii="Times New Roman" w:hAnsi="Times New Roman"/>
      <w:sz w:val="21"/>
      <w:szCs w:val="21"/>
    </w:rPr>
  </w:style>
  <w:style w:type="paragraph" w:styleId="1039">
    <w:name w:val="正文文本 2"/>
    <w:basedOn w:val="731"/>
    <w:next w:val="1039"/>
    <w:link w:val="889"/>
    <w:qFormat/>
    <w:pPr>
      <w:jc w:val="center"/>
      <w:spacing w:after="0" w:line="240" w:lineRule="auto"/>
    </w:pPr>
    <w:rPr>
      <w:rFonts w:ascii="楷体_GB2312" w:hAnsi="Times New Roman" w:eastAsia="楷体_GB2312"/>
      <w:sz w:val="28"/>
      <w:szCs w:val="28"/>
    </w:rPr>
  </w:style>
  <w:style w:type="paragraph" w:styleId="1040">
    <w:name w:val="尾注文本"/>
    <w:basedOn w:val="731"/>
    <w:next w:val="1040"/>
    <w:link w:val="866"/>
    <w:uiPriority w:val="99"/>
    <w:unhideWhenUsed/>
    <w:pPr>
      <w:spacing w:after="0" w:line="240" w:lineRule="auto"/>
    </w:pPr>
    <w:rPr>
      <w:rFonts w:ascii="Times New Roman" w:hAnsi="Times New Roman"/>
      <w:sz w:val="20"/>
      <w:szCs w:val="20"/>
    </w:rPr>
  </w:style>
  <w:style w:type="paragraph" w:styleId="1041">
    <w:name w:val="索引 4"/>
    <w:basedOn w:val="731"/>
    <w:next w:val="731"/>
    <w:link w:val="731"/>
    <w:unhideWhenUsed/>
    <w:qFormat/>
    <w:pPr>
      <w:ind w:left="600"/>
    </w:pPr>
  </w:style>
  <w:style w:type="paragraph" w:styleId="1042">
    <w:name w:val="正文文本缩进"/>
    <w:basedOn w:val="731"/>
    <w:next w:val="1042"/>
    <w:link w:val="768"/>
    <w:uiPriority w:val="99"/>
    <w:qFormat/>
    <w:pPr>
      <w:ind w:firstLine="645"/>
      <w:jc w:val="both"/>
      <w:spacing w:after="0" w:line="240" w:lineRule="auto"/>
      <w:widowControl w:val="off"/>
    </w:pPr>
    <w:rPr>
      <w:rFonts w:ascii="楷体_GB2312" w:hAnsi="Times New Roman" w:eastAsia="楷体_GB2312"/>
      <w:sz w:val="32"/>
      <w:szCs w:val="32"/>
    </w:rPr>
  </w:style>
  <w:style w:type="paragraph" w:styleId="1043">
    <w:name w:val="toc 2"/>
    <w:basedOn w:val="731"/>
    <w:next w:val="731"/>
    <w:link w:val="731"/>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1044">
    <w:name w:val="脚注文本"/>
    <w:basedOn w:val="731"/>
    <w:next w:val="1044"/>
    <w:link w:val="809"/>
    <w:uiPriority w:val="99"/>
    <w:unhideWhenUsed/>
    <w:qFormat/>
    <w:pPr>
      <w:spacing w:after="40" w:line="240" w:lineRule="auto"/>
    </w:pPr>
    <w:rPr>
      <w:rFonts w:ascii="Times New Roman" w:hAnsi="Times New Roman"/>
      <w:sz w:val="18"/>
      <w:szCs w:val="20"/>
    </w:rPr>
  </w:style>
  <w:style w:type="paragraph" w:styleId="1045">
    <w:name w:val="批注框文本"/>
    <w:basedOn w:val="731"/>
    <w:next w:val="1045"/>
    <w:link w:val="860"/>
    <w:unhideWhenUsed/>
    <w:qFormat/>
    <w:pPr>
      <w:jc w:val="both"/>
      <w:spacing w:after="0" w:line="240" w:lineRule="auto"/>
      <w:widowControl w:val="off"/>
    </w:pPr>
    <w:rPr>
      <w:sz w:val="18"/>
      <w:szCs w:val="18"/>
    </w:rPr>
  </w:style>
  <w:style w:type="paragraph" w:styleId="1046">
    <w:name w:val="toc 3"/>
    <w:basedOn w:val="731"/>
    <w:next w:val="731"/>
    <w:link w:val="731"/>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1047">
    <w:name w:val="列表 2"/>
    <w:basedOn w:val="731"/>
    <w:next w:val="1047"/>
    <w:link w:val="731"/>
    <w:qFormat/>
    <w:pPr>
      <w:ind w:left="100" w:hanging="200"/>
      <w:jc w:val="both"/>
      <w:spacing w:after="0" w:line="240" w:lineRule="auto"/>
      <w:widowControl w:val="off"/>
    </w:pPr>
    <w:rPr>
      <w:rFonts w:ascii="Times New Roman" w:hAnsi="Times New Roman" w:eastAsia="宋体" w:cs="Times New Roman"/>
      <w:sz w:val="21"/>
      <w:szCs w:val="21"/>
    </w:rPr>
  </w:style>
  <w:style w:type="paragraph" w:styleId="1048">
    <w:name w:val="正文文本"/>
    <w:basedOn w:val="731"/>
    <w:next w:val="1048"/>
    <w:link w:val="857"/>
    <w:qFormat/>
    <w:pPr>
      <w:jc w:val="both"/>
      <w:spacing w:after="0" w:line="240" w:lineRule="auto"/>
      <w:widowControl w:val="off"/>
    </w:pPr>
    <w:rPr>
      <w:rFonts w:ascii="楷体_GB2312" w:hAnsi="Arial" w:eastAsia="楷体_GB2312"/>
      <w:sz w:val="28"/>
      <w:szCs w:val="28"/>
    </w:rPr>
  </w:style>
  <w:style w:type="paragraph" w:styleId="1049">
    <w:name w:val="批注主题"/>
    <w:basedOn w:val="1038"/>
    <w:next w:val="1038"/>
    <w:link w:val="766"/>
    <w:uiPriority w:val="99"/>
    <w:qFormat/>
    <w:rPr>
      <w:b/>
      <w:bCs/>
    </w:rPr>
  </w:style>
  <w:style w:type="paragraph" w:styleId="1050">
    <w:name w:val="日期"/>
    <w:basedOn w:val="731"/>
    <w:next w:val="731"/>
    <w:link w:val="806"/>
    <w:uiPriority w:val="99"/>
    <w:qFormat/>
    <w:pPr>
      <w:jc w:val="both"/>
      <w:spacing w:after="0" w:line="240" w:lineRule="auto"/>
      <w:widowControl w:val="off"/>
    </w:pPr>
    <w:rPr>
      <w:rFonts w:ascii="Times New Roman" w:hAnsi="Times New Roman"/>
      <w:sz w:val="24"/>
      <w:szCs w:val="24"/>
    </w:rPr>
  </w:style>
  <w:style w:type="paragraph" w:styleId="1051">
    <w:name w:val="toc 8"/>
    <w:basedOn w:val="731"/>
    <w:next w:val="731"/>
    <w:link w:val="731"/>
    <w:uiPriority w:val="39"/>
    <w:unhideWhenUsed/>
    <w:pPr>
      <w:ind w:left="1984"/>
      <w:spacing w:after="57" w:line="240" w:lineRule="auto"/>
    </w:pPr>
    <w:rPr>
      <w:rFonts w:ascii="Times New Roman" w:hAnsi="Times New Roman"/>
      <w:sz w:val="20"/>
      <w:szCs w:val="20"/>
    </w:rPr>
  </w:style>
  <w:style w:type="paragraph" w:styleId="1052">
    <w:name w:val="正文缩进"/>
    <w:basedOn w:val="731"/>
    <w:next w:val="1052"/>
    <w:link w:val="812"/>
    <w:unhideWhenUsed/>
    <w:qFormat/>
    <w:pPr>
      <w:ind w:firstLine="420"/>
      <w:jc w:val="both"/>
      <w:spacing w:after="0" w:line="240" w:lineRule="auto"/>
      <w:widowControl w:val="off"/>
    </w:pPr>
    <w:rPr>
      <w:sz w:val="21"/>
      <w:szCs w:val="20"/>
    </w:rPr>
  </w:style>
  <w:style w:type="paragraph" w:styleId="1053">
    <w:name w:val="正文文本 3"/>
    <w:basedOn w:val="731"/>
    <w:next w:val="1053"/>
    <w:link w:val="818"/>
    <w:uiPriority w:val="99"/>
    <w:qFormat/>
    <w:pPr>
      <w:jc w:val="both"/>
      <w:spacing w:after="0" w:line="240" w:lineRule="auto"/>
      <w:widowControl w:val="off"/>
    </w:pPr>
    <w:rPr>
      <w:rFonts w:ascii="仿宋_GB2312" w:hAnsi="Arial" w:eastAsia="仿宋_GB2312"/>
      <w:sz w:val="32"/>
      <w:szCs w:val="32"/>
    </w:rPr>
  </w:style>
  <w:style w:type="paragraph" w:styleId="1054">
    <w:name w:val="寄信人地址"/>
    <w:basedOn w:val="731"/>
    <w:next w:val="1054"/>
    <w:link w:val="731"/>
    <w:qFormat/>
    <w:pPr>
      <w:jc w:val="both"/>
      <w:spacing w:after="160" w:line="278" w:lineRule="auto"/>
      <w:widowControl w:val="off"/>
    </w:pPr>
    <w:rPr>
      <w:rFonts w:ascii="Arial" w:hAnsi="Arial" w:cs="Calibri"/>
      <w:sz w:val="21"/>
      <w:szCs w:val="21"/>
    </w:rPr>
  </w:style>
  <w:style w:type="paragraph" w:styleId="1055">
    <w:name w:val="正文文本首行缩进 2"/>
    <w:basedOn w:val="1042"/>
    <w:next w:val="1055"/>
    <w:link w:val="869"/>
    <w:qFormat/>
    <w:pPr>
      <w:ind w:firstLine="420"/>
      <w:spacing w:line="360" w:lineRule="auto"/>
    </w:pPr>
    <w:rPr>
      <w:rFonts w:ascii="宋体" w:hAnsi="宋体" w:eastAsia="宋体"/>
      <w:sz w:val="21"/>
      <w:szCs w:val="20"/>
    </w:rPr>
  </w:style>
  <w:style w:type="paragraph" w:styleId="1056">
    <w:name w:val="图表目录"/>
    <w:basedOn w:val="731"/>
    <w:next w:val="731"/>
    <w:link w:val="731"/>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1057">
    <w:name w:val="HTML 预设格式"/>
    <w:basedOn w:val="731"/>
    <w:next w:val="1057"/>
    <w:link w:val="892"/>
    <w:uiPriority w:val="99"/>
    <w:qFormat/>
    <w:pPr>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058">
    <w:name w:val="toc 7"/>
    <w:basedOn w:val="731"/>
    <w:next w:val="731"/>
    <w:link w:val="731"/>
    <w:uiPriority w:val="39"/>
    <w:unhideWhenUsed/>
    <w:pPr>
      <w:ind w:left="1701"/>
      <w:spacing w:after="57" w:line="240" w:lineRule="auto"/>
    </w:pPr>
    <w:rPr>
      <w:rFonts w:ascii="Times New Roman" w:hAnsi="Times New Roman"/>
      <w:sz w:val="20"/>
      <w:szCs w:val="20"/>
    </w:rPr>
  </w:style>
  <w:style w:type="paragraph" w:styleId="1059">
    <w:name w:val="宏文本"/>
    <w:next w:val="1059"/>
    <w:link w:val="817"/>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lang w:val="en-US" w:eastAsia="zh-CN" w:bidi="ar-SA"/>
    </w:rPr>
  </w:style>
  <w:style w:type="paragraph" w:styleId="1060">
    <w:name w:val="普通(网站)"/>
    <w:basedOn w:val="731"/>
    <w:next w:val="1060"/>
    <w:link w:val="731"/>
    <w:uiPriority w:val="99"/>
    <w:qFormat/>
    <w:pPr>
      <w:spacing w:before="100" w:beforeAutospacing="1" w:after="100" w:afterAutospacing="1" w:line="240" w:lineRule="auto"/>
    </w:pPr>
    <w:rPr>
      <w:rFonts w:ascii="宋体" w:hAnsi="宋体" w:eastAsia="宋体" w:cs="宋体"/>
      <w:sz w:val="24"/>
      <w:szCs w:val="24"/>
    </w:rPr>
  </w:style>
  <w:style w:type="paragraph" w:styleId="1061">
    <w:name w:val="toc 6"/>
    <w:basedOn w:val="731"/>
    <w:next w:val="731"/>
    <w:link w:val="731"/>
    <w:uiPriority w:val="39"/>
    <w:unhideWhenUsed/>
    <w:pPr>
      <w:ind w:left="1417"/>
      <w:spacing w:after="57" w:line="240" w:lineRule="auto"/>
    </w:pPr>
    <w:rPr>
      <w:rFonts w:ascii="Times New Roman" w:hAnsi="Times New Roman"/>
      <w:sz w:val="20"/>
      <w:szCs w:val="20"/>
    </w:rPr>
  </w:style>
  <w:style w:type="paragraph" w:styleId="1062">
    <w:name w:val="toc 1"/>
    <w:basedOn w:val="731"/>
    <w:next w:val="731"/>
    <w:link w:val="731"/>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1063">
    <w:name w:val="页脚"/>
    <w:basedOn w:val="731"/>
    <w:next w:val="1063"/>
    <w:link w:val="821"/>
    <w:unhideWhenUsed/>
    <w:qFormat/>
    <w:pPr>
      <w:spacing w:line="240" w:lineRule="auto"/>
      <w:tabs>
        <w:tab w:val="center" w:pos="4153" w:leader="none"/>
        <w:tab w:val="right" w:pos="8306" w:leader="none"/>
      </w:tabs>
    </w:pPr>
    <w:rPr>
      <w:sz w:val="18"/>
      <w:szCs w:val="18"/>
    </w:rPr>
  </w:style>
  <w:style w:type="paragraph" w:styleId="1064">
    <w:name w:val="纯文本"/>
    <w:basedOn w:val="731"/>
    <w:next w:val="1064"/>
    <w:link w:val="863"/>
    <w:qFormat/>
    <w:pPr>
      <w:jc w:val="both"/>
      <w:spacing w:after="0" w:line="240" w:lineRule="auto"/>
      <w:widowControl w:val="off"/>
    </w:pPr>
    <w:rPr>
      <w:rFonts w:ascii="宋体" w:hAnsi="Courier New"/>
      <w:sz w:val="21"/>
      <w:szCs w:val="21"/>
    </w:rPr>
  </w:style>
  <w:style w:type="paragraph" w:styleId="1065">
    <w:name w:val="文档结构图"/>
    <w:basedOn w:val="731"/>
    <w:next w:val="1065"/>
    <w:link w:val="887"/>
    <w:uiPriority w:val="99"/>
    <w:qFormat/>
    <w:pPr>
      <w:jc w:val="both"/>
      <w:spacing w:after="0" w:line="240" w:lineRule="auto"/>
      <w:shd w:val="clear" w:color="auto" w:fill="000080"/>
      <w:widowControl w:val="off"/>
    </w:pPr>
    <w:rPr>
      <w:rFonts w:ascii="Times New Roman" w:hAnsi="Times New Roman"/>
      <w:sz w:val="21"/>
      <w:szCs w:val="21"/>
    </w:rPr>
  </w:style>
  <w:style w:type="paragraph" w:styleId="1066">
    <w:name w:val="页眉"/>
    <w:basedOn w:val="731"/>
    <w:next w:val="1066"/>
    <w:link w:val="763"/>
    <w:unhideWhenUsed/>
    <w:qFormat/>
    <w:pPr>
      <w:jc w:val="center"/>
      <w:spacing w:line="240" w:lineRule="auto"/>
      <w:tabs>
        <w:tab w:val="center" w:pos="4153" w:leader="none"/>
        <w:tab w:val="right" w:pos="8306" w:leader="none"/>
      </w:tabs>
      <w:pBdr>
        <w:bottom w:val="single" w:color="000000" w:sz="6" w:space="1"/>
      </w:pBdr>
    </w:pPr>
    <w:rPr>
      <w:sz w:val="18"/>
      <w:szCs w:val="18"/>
    </w:rPr>
  </w:style>
  <w:style w:type="paragraph" w:styleId="1067">
    <w:name w:val="正文文本首行缩进"/>
    <w:basedOn w:val="731"/>
    <w:next w:val="1067"/>
    <w:link w:val="782"/>
    <w:qFormat/>
    <w:pPr>
      <w:ind w:firstLine="200"/>
      <w:jc w:val="both"/>
      <w:spacing w:after="0" w:line="360" w:lineRule="auto"/>
      <w:widowControl w:val="off"/>
    </w:pPr>
    <w:rPr>
      <w:rFonts w:ascii="仿宋_GB2312" w:hAnsi="Times New Roman" w:eastAsia="仿宋_GB2312"/>
      <w:sz w:val="30"/>
      <w:szCs w:val="30"/>
    </w:rPr>
  </w:style>
  <w:style w:type="paragraph" w:styleId="1068">
    <w:name w:val="toc 4"/>
    <w:basedOn w:val="731"/>
    <w:next w:val="731"/>
    <w:link w:val="731"/>
    <w:uiPriority w:val="39"/>
    <w:unhideWhenUsed/>
    <w:pPr>
      <w:ind w:left="850"/>
      <w:spacing w:after="57" w:line="240" w:lineRule="auto"/>
    </w:pPr>
    <w:rPr>
      <w:rFonts w:ascii="Times New Roman" w:hAnsi="Times New Roman"/>
      <w:sz w:val="20"/>
      <w:szCs w:val="20"/>
    </w:rPr>
  </w:style>
  <w:style w:type="paragraph" w:styleId="1069">
    <w:name w:val="列表 3"/>
    <w:basedOn w:val="731"/>
    <w:next w:val="1069"/>
    <w:link w:val="731"/>
    <w:qFormat/>
    <w:pPr>
      <w:ind w:left="100" w:hanging="200"/>
      <w:jc w:val="both"/>
      <w:spacing w:after="0" w:line="240" w:lineRule="auto"/>
      <w:widowControl w:val="off"/>
    </w:pPr>
    <w:rPr>
      <w:rFonts w:ascii="Times New Roman" w:hAnsi="Times New Roman" w:eastAsia="宋体" w:cs="Times New Roman"/>
      <w:sz w:val="21"/>
      <w:szCs w:val="21"/>
    </w:rPr>
  </w:style>
  <w:style w:type="paragraph" w:styleId="1070">
    <w:name w:val="普通正文"/>
    <w:basedOn w:val="731"/>
    <w:next w:val="1070"/>
    <w:link w:val="784"/>
    <w:uiPriority w:val="99"/>
    <w:qFormat/>
    <w:pPr>
      <w:ind w:firstLine="480"/>
      <w:spacing w:before="120" w:after="120" w:line="360" w:lineRule="auto"/>
      <w:widowControl w:val="off"/>
    </w:pPr>
    <w:rPr>
      <w:rFonts w:ascii="Arial" w:hAnsi="Arial"/>
      <w:sz w:val="24"/>
      <w:szCs w:val="24"/>
    </w:rPr>
  </w:style>
  <w:style w:type="paragraph" w:styleId="1071">
    <w:name w:val="列出段落1"/>
    <w:basedOn w:val="731"/>
    <w:next w:val="1071"/>
    <w:link w:val="898"/>
    <w:uiPriority w:val="99"/>
    <w:qFormat/>
    <w:pPr>
      <w:contextualSpacing/>
      <w:ind w:left="720"/>
    </w:pPr>
    <w:rPr>
      <w:sz w:val="24"/>
      <w:szCs w:val="24"/>
      <w:lang w:eastAsia="en-US" w:bidi="en-US"/>
    </w:rPr>
  </w:style>
  <w:style w:type="paragraph" w:styleId="1072">
    <w:name w:val="无间隔1"/>
    <w:next w:val="1072"/>
    <w:link w:val="833"/>
    <w:uiPriority w:val="99"/>
    <w:qFormat/>
    <w:rPr>
      <w:sz w:val="22"/>
      <w:szCs w:val="22"/>
      <w:lang w:val="en-US" w:eastAsia="zh-CN" w:bidi="ar-SA"/>
    </w:rPr>
  </w:style>
  <w:style w:type="paragraph" w:styleId="1073">
    <w:name w:val="引用1"/>
    <w:basedOn w:val="731"/>
    <w:next w:val="731"/>
    <w:link w:val="760"/>
    <w:uiPriority w:val="99"/>
    <w:qFormat/>
    <w:rPr>
      <w:i/>
      <w:iCs/>
      <w:color w:val="000000"/>
      <w:sz w:val="20"/>
      <w:szCs w:val="20"/>
    </w:rPr>
  </w:style>
  <w:style w:type="paragraph" w:styleId="1074">
    <w:name w:val="图标"/>
    <w:basedOn w:val="731"/>
    <w:next w:val="731"/>
    <w:link w:val="731"/>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1075">
    <w:name w:val="明显引用1"/>
    <w:basedOn w:val="731"/>
    <w:next w:val="731"/>
    <w:link w:val="772"/>
    <w:uiPriority w:val="99"/>
    <w:qFormat/>
    <w:pPr>
      <w:ind w:left="936" w:right="936"/>
      <w:spacing w:before="200" w:after="280"/>
      <w:pBdr>
        <w:bottom w:val="single" w:color="4F81BD" w:sz="4" w:space="4"/>
      </w:pBdr>
    </w:pPr>
    <w:rPr>
      <w:b/>
      <w:bCs/>
      <w:i/>
      <w:iCs/>
      <w:color w:val="4f81bd"/>
      <w:sz w:val="20"/>
      <w:szCs w:val="20"/>
    </w:rPr>
  </w:style>
  <w:style w:type="paragraph" w:styleId="1076">
    <w:name w:val="二级目录"/>
    <w:next w:val="731"/>
    <w:link w:val="851"/>
    <w:qFormat/>
    <w:pPr>
      <w:ind w:left="907" w:hanging="907"/>
      <w:tabs>
        <w:tab w:val="left" w:pos="907" w:leader="none"/>
        <w:tab w:val="left" w:pos="1145" w:leader="none"/>
      </w:tabs>
      <w:outlineLvl w:val="1"/>
    </w:pPr>
    <w:rPr>
      <w:b/>
      <w:sz w:val="30"/>
      <w:szCs w:val="28"/>
      <w:lang w:val="en-US" w:eastAsia="zh-CN" w:bidi="ar-SA"/>
    </w:rPr>
  </w:style>
  <w:style w:type="paragraph" w:styleId="1077">
    <w:name w:val="Table Sub Section"/>
    <w:basedOn w:val="731"/>
    <w:next w:val="1077"/>
    <w:link w:val="826"/>
    <w:qFormat/>
    <w:pPr>
      <w:keepNext/>
      <w:spacing w:before="160" w:after="160"/>
    </w:pPr>
    <w:rPr>
      <w:rFonts w:ascii="Arial" w:hAnsi="Arial"/>
      <w:b/>
      <w:color w:val="0f0f0f"/>
      <w:sz w:val="20"/>
      <w:szCs w:val="20"/>
      <w:lang w:eastAsia="en-US"/>
    </w:rPr>
  </w:style>
  <w:style w:type="paragraph" w:styleId="1078">
    <w:name w:val="4"/>
    <w:basedOn w:val="731"/>
    <w:next w:val="1034"/>
    <w:link w:val="731"/>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1079">
    <w:name w:val="列出段落21"/>
    <w:basedOn w:val="731"/>
    <w:next w:val="1079"/>
    <w:link w:val="731"/>
    <w:qFormat/>
    <w:pPr>
      <w:ind w:firstLine="420"/>
      <w:jc w:val="both"/>
      <w:spacing w:after="0" w:line="240" w:lineRule="auto"/>
      <w:widowControl w:val="off"/>
    </w:pPr>
    <w:rPr>
      <w:rFonts w:ascii="Calibri" w:hAnsi="Calibri" w:eastAsia="宋体" w:cs="Times New Roman"/>
      <w:sz w:val="21"/>
    </w:rPr>
  </w:style>
  <w:style w:type="paragraph" w:styleId="1080">
    <w:name w:val="table_lines"/>
    <w:basedOn w:val="731"/>
    <w:next w:val="1080"/>
    <w:link w:val="731"/>
    <w:qFormat/>
    <w:pPr>
      <w:spacing w:after="0" w:line="240" w:lineRule="auto"/>
    </w:pPr>
    <w:rPr>
      <w:rFonts w:ascii="Times New Roman" w:hAnsi="Times New Roman" w:eastAsia="宋体" w:cs="Times New Roman"/>
      <w:sz w:val="20"/>
      <w:szCs w:val="20"/>
      <w:lang w:val="de-DE" w:eastAsia="de-DE"/>
    </w:rPr>
  </w:style>
  <w:style w:type="paragraph" w:styleId="1081">
    <w:name w:val="font7"/>
    <w:basedOn w:val="731"/>
    <w:next w:val="1081"/>
    <w:link w:val="731"/>
    <w:qFormat/>
    <w:pPr>
      <w:spacing w:before="100" w:beforeAutospacing="1" w:after="100" w:afterAutospacing="1" w:line="240" w:lineRule="auto"/>
    </w:pPr>
    <w:rPr>
      <w:rFonts w:hint="eastAsia" w:ascii="宋体" w:hAnsi="宋体" w:eastAsia="宋体" w:cs="Times New Roman"/>
      <w:sz w:val="18"/>
      <w:szCs w:val="18"/>
    </w:rPr>
  </w:style>
  <w:style w:type="paragraph" w:styleId="1082">
    <w:name w:val="xl24"/>
    <w:basedOn w:val="731"/>
    <w:next w:val="1082"/>
    <w:link w:val="73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3">
    <w:name w:val="列出段落2"/>
    <w:basedOn w:val="731"/>
    <w:next w:val="1083"/>
    <w:link w:val="731"/>
    <w:uiPriority w:val="99"/>
    <w:qFormat/>
    <w:pPr>
      <w:contextualSpacing/>
      <w:ind w:left="720"/>
    </w:pPr>
  </w:style>
  <w:style w:type="paragraph" w:styleId="1084">
    <w:name w:val="xl30"/>
    <w:basedOn w:val="731"/>
    <w:next w:val="1084"/>
    <w:link w:val="731"/>
    <w:qFormat/>
    <w:pPr>
      <w:jc w:val="center"/>
      <w:spacing w:before="100" w:beforeAutospacing="1" w:after="100" w:afterAutospacing="1" w:line="240" w:lineRule="auto"/>
    </w:pPr>
    <w:rPr>
      <w:rFonts w:ascii="宋体" w:hAnsi="宋体" w:eastAsia="宋体" w:cs="Times New Roman"/>
      <w:b/>
      <w:bCs/>
      <w:sz w:val="36"/>
      <w:szCs w:val="36"/>
    </w:rPr>
  </w:style>
  <w:style w:type="paragraph" w:styleId="1085">
    <w:name w:val="xl27"/>
    <w:basedOn w:val="731"/>
    <w:next w:val="1085"/>
    <w:link w:val="731"/>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6">
    <w:name w:val="Char"/>
    <w:basedOn w:val="1065"/>
    <w:next w:val="1086"/>
    <w:link w:val="731"/>
    <w:qFormat/>
    <w:rPr>
      <w:rFonts w:ascii="Tahoma" w:hAnsi="Tahoma"/>
      <w:sz w:val="24"/>
      <w:szCs w:val="24"/>
    </w:rPr>
  </w:style>
  <w:style w:type="paragraph" w:styleId="1087">
    <w:name w:val="font6"/>
    <w:basedOn w:val="731"/>
    <w:next w:val="1087"/>
    <w:link w:val="731"/>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1088">
    <w:name w:val="table_1stline"/>
    <w:basedOn w:val="731"/>
    <w:next w:val="1088"/>
    <w:link w:val="731"/>
    <w:qFormat/>
    <w:pPr>
      <w:spacing w:before="120" w:after="0" w:line="240" w:lineRule="auto"/>
    </w:pPr>
    <w:rPr>
      <w:rFonts w:ascii="Times New Roman" w:hAnsi="Times New Roman" w:eastAsia="宋体" w:cs="Times New Roman"/>
      <w:bCs/>
      <w:sz w:val="20"/>
      <w:szCs w:val="20"/>
      <w:lang w:val="de-DE" w:eastAsia="de-DE"/>
    </w:rPr>
  </w:style>
  <w:style w:type="paragraph" w:styleId="1089">
    <w:name w:val="font5"/>
    <w:basedOn w:val="731"/>
    <w:next w:val="1089"/>
    <w:link w:val="731"/>
    <w:qFormat/>
    <w:pPr>
      <w:spacing w:before="100" w:beforeAutospacing="1" w:after="100" w:afterAutospacing="1" w:line="240" w:lineRule="auto"/>
    </w:pPr>
    <w:rPr>
      <w:rFonts w:hint="eastAsia" w:ascii="宋体" w:hAnsi="宋体" w:eastAsia="宋体" w:cs="Times New Roman"/>
      <w:sz w:val="28"/>
      <w:szCs w:val="28"/>
    </w:rPr>
  </w:style>
  <w:style w:type="paragraph" w:styleId="1090">
    <w:name w:val="Char Char Char Char Char Char Char Char"/>
    <w:basedOn w:val="731"/>
    <w:next w:val="1090"/>
    <w:link w:val="731"/>
    <w:qFormat/>
    <w:pPr>
      <w:spacing w:after="160" w:line="240" w:lineRule="exact"/>
    </w:pPr>
    <w:rPr>
      <w:rFonts w:ascii="Verdana" w:hAnsi="Verdana" w:eastAsia="宋体" w:cs="Times New Roman"/>
      <w:sz w:val="20"/>
      <w:szCs w:val="20"/>
      <w:lang w:eastAsia="en-US"/>
    </w:rPr>
  </w:style>
  <w:style w:type="paragraph" w:styleId="1091">
    <w:name w:val="TOC 标题1"/>
    <w:basedOn w:val="732"/>
    <w:next w:val="731"/>
    <w:link w:val="731"/>
    <w:uiPriority w:val="99"/>
    <w:unhideWhenUsed/>
    <w:qFormat/>
    <w:pPr>
      <w:outlineLvl w:val="9"/>
    </w:pPr>
  </w:style>
  <w:style w:type="paragraph" w:styleId="1092">
    <w:name w:val="xl29"/>
    <w:basedOn w:val="731"/>
    <w:next w:val="1092"/>
    <w:link w:val="731"/>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1093">
    <w:name w:val="Char Char Char Char"/>
    <w:basedOn w:val="1065"/>
    <w:next w:val="1093"/>
    <w:link w:val="731"/>
    <w:qFormat/>
    <w:pPr>
      <w:spacing w:line="360" w:lineRule="auto"/>
    </w:pPr>
    <w:rPr>
      <w:rFonts w:ascii="Tahoma" w:hAnsi="Tahoma"/>
      <w:sz w:val="24"/>
      <w:szCs w:val="24"/>
    </w:rPr>
  </w:style>
  <w:style w:type="paragraph" w:styleId="1094">
    <w:name w:val="列表段落"/>
    <w:basedOn w:val="731"/>
    <w:next w:val="1094"/>
    <w:link w:val="731"/>
    <w:uiPriority w:val="34"/>
    <w:qFormat/>
    <w:pPr>
      <w:ind w:firstLine="420"/>
    </w:pPr>
  </w:style>
  <w:style w:type="paragraph" w:styleId="1095">
    <w:name w:val="修订1"/>
    <w:next w:val="1095"/>
    <w:link w:val="731"/>
    <w:uiPriority w:val="99"/>
    <w:qFormat/>
    <w:rPr>
      <w:sz w:val="22"/>
      <w:szCs w:val="22"/>
      <w:lang w:val="en-US" w:eastAsia="zh-CN" w:bidi="ar-SA"/>
    </w:rPr>
  </w:style>
  <w:style w:type="paragraph" w:styleId="1096">
    <w:name w:val="普通 (Web)"/>
    <w:basedOn w:val="731"/>
    <w:next w:val="1096"/>
    <w:link w:val="731"/>
    <w:qFormat/>
    <w:pPr>
      <w:spacing w:before="100" w:beforeAutospacing="1" w:after="100" w:afterAutospacing="1" w:line="240" w:lineRule="auto"/>
    </w:pPr>
    <w:rPr>
      <w:rFonts w:ascii="宋体" w:hAnsi="宋体" w:eastAsia="宋体" w:cs="Times New Roman"/>
      <w:sz w:val="24"/>
      <w:szCs w:val="24"/>
    </w:rPr>
  </w:style>
  <w:style w:type="paragraph" w:styleId="1097">
    <w:name w:val="标题3"/>
    <w:basedOn w:val="731"/>
    <w:next w:val="731"/>
    <w:link w:val="731"/>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1098">
    <w:name w:val="标题1"/>
    <w:basedOn w:val="731"/>
    <w:next w:val="731"/>
    <w:link w:val="731"/>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099">
    <w:name w:val="样式2"/>
    <w:basedOn w:val="731"/>
    <w:next w:val="1099"/>
    <w:link w:val="731"/>
    <w:qFormat/>
    <w:pPr>
      <w:jc w:val="center"/>
      <w:spacing w:after="0" w:line="240" w:lineRule="auto"/>
      <w:widowControl w:val="off"/>
    </w:pPr>
    <w:rPr>
      <w:rFonts w:ascii="Calibri" w:hAnsi="Calibri" w:eastAsia="宋体" w:cs="Times New Roman"/>
      <w:b/>
      <w:sz w:val="44"/>
      <w:szCs w:val="44"/>
    </w:rPr>
  </w:style>
  <w:style w:type="paragraph" w:styleId="1100">
    <w:name w:val="附录1"/>
    <w:next w:val="1100"/>
    <w:link w:val="731"/>
    <w:qFormat/>
    <w:pPr>
      <w:ind w:left="907" w:hanging="907"/>
      <w:spacing w:before="240" w:line="600" w:lineRule="atLeast"/>
      <w:tabs>
        <w:tab w:val="left" w:pos="907" w:leader="none"/>
      </w:tabs>
    </w:pPr>
    <w:rPr>
      <w:b/>
      <w:i/>
      <w:sz w:val="28"/>
      <w:lang w:val="en-US" w:eastAsia="zh-CN" w:bidi="ar-SA"/>
    </w:rPr>
  </w:style>
  <w:style w:type="paragraph" w:styleId="1101">
    <w:name w:val="样式1"/>
    <w:basedOn w:val="731"/>
    <w:next w:val="1101"/>
    <w:link w:val="731"/>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1102">
    <w:name w:val="Body Text(ch)"/>
    <w:basedOn w:val="731"/>
    <w:next w:val="1048"/>
    <w:link w:val="731"/>
    <w:qFormat/>
    <w:pPr>
      <w:jc w:val="both"/>
      <w:spacing w:after="120" w:line="240" w:lineRule="auto"/>
      <w:widowControl w:val="off"/>
    </w:pPr>
    <w:rPr>
      <w:rFonts w:ascii="宋体" w:hAnsi="Arial" w:eastAsia="宋体" w:cs="Times New Roman"/>
      <w:bCs/>
      <w:iCs/>
      <w:sz w:val="21"/>
      <w:szCs w:val="24"/>
    </w:rPr>
  </w:style>
  <w:style w:type="paragraph" w:styleId="1103">
    <w:name w:val="段"/>
    <w:next w:val="1103"/>
    <w:link w:val="731"/>
    <w:qFormat/>
    <w:pPr>
      <w:ind w:firstLine="420"/>
      <w:jc w:val="both"/>
      <w:spacing w:after="160" w:line="278" w:lineRule="auto"/>
      <w:tabs>
        <w:tab w:val="center" w:pos="4201" w:leader="none"/>
        <w:tab w:val="right" w:pos="9298" w:leader="dot"/>
      </w:tabs>
    </w:pPr>
    <w:rPr>
      <w:rFonts w:ascii="宋体" w:cs="Calibri"/>
      <w:sz w:val="21"/>
      <w:szCs w:val="21"/>
      <w:lang w:val="en-US" w:eastAsia="zh-CN" w:bidi="ar-SA"/>
    </w:rPr>
  </w:style>
  <w:style w:type="paragraph" w:styleId="1104">
    <w:name w:val="彩色列表 - 强调文字颜色 11"/>
    <w:basedOn w:val="731"/>
    <w:next w:val="1104"/>
    <w:link w:val="731"/>
    <w:qFormat/>
    <w:pPr>
      <w:contextualSpacing/>
      <w:ind w:left="720"/>
      <w:spacing w:before="100" w:after="100"/>
    </w:pPr>
    <w:rPr>
      <w:rFonts w:ascii="Arial" w:hAnsi="Arial" w:eastAsia="宋体" w:cs="Arial"/>
      <w:color w:val="0f0f0f"/>
      <w:sz w:val="20"/>
      <w:szCs w:val="20"/>
      <w:lang w:eastAsia="en-US"/>
    </w:rPr>
  </w:style>
  <w:style w:type="paragraph" w:styleId="1105">
    <w:name w:val="xl25"/>
    <w:basedOn w:val="731"/>
    <w:next w:val="1105"/>
    <w:link w:val="731"/>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1106">
    <w:name w:val="样式 标题 2 + Times New Roman 四号 非加粗 段前: 5 磅 段后: 0 磅 行距: 固定值 20..._0"/>
    <w:basedOn w:val="731"/>
    <w:next w:val="1106"/>
    <w:link w:val="731"/>
    <w:uiPriority w:val="99"/>
    <w:qFormat/>
    <w:pPr>
      <w:keepLines/>
      <w:keepNext/>
      <w:spacing w:before="100" w:after="160" w:line="360" w:lineRule="auto"/>
      <w:widowControl w:val="off"/>
      <w:outlineLvl w:val="1"/>
    </w:pPr>
    <w:rPr>
      <w:rFonts w:cs="Calibri"/>
      <w:sz w:val="28"/>
      <w:szCs w:val="28"/>
    </w:rPr>
  </w:style>
  <w:style w:type="paragraph" w:styleId="1107">
    <w:name w:val="样式 标题 3 + (中文) 黑体 小四 非加粗 段前: 7.8 磅 段后: 0 磅 行距: 固定值 20 磅"/>
    <w:basedOn w:val="734"/>
    <w:next w:val="731"/>
    <w:link w:val="731"/>
    <w:uiPriority w:val="99"/>
    <w:qFormat/>
    <w:pPr>
      <w:spacing w:before="0" w:line="400" w:lineRule="exact"/>
      <w:widowControl w:val="off"/>
    </w:pPr>
    <w:rPr>
      <w:rFonts w:ascii="Calibri" w:hAnsi="Calibri" w:eastAsia="黑体" w:cs="Calibri"/>
      <w:b w:val="0"/>
      <w:bCs w:val="0"/>
      <w:color w:val="000000"/>
      <w:sz w:val="24"/>
      <w:szCs w:val="24"/>
    </w:rPr>
  </w:style>
  <w:style w:type="paragraph" w:styleId="1108">
    <w:name w:val="正文文本 31"/>
    <w:basedOn w:val="731"/>
    <w:next w:val="1108"/>
    <w:link w:val="731"/>
    <w:pPr>
      <w:spacing w:after="0" w:line="240" w:lineRule="auto"/>
    </w:pPr>
    <w:rPr>
      <w:rFonts w:ascii="仿宋_GB2312" w:hAnsi="Arial" w:eastAsia="仿宋_GB2312"/>
      <w:sz w:val="32"/>
      <w:szCs w:val="32"/>
    </w:rPr>
  </w:style>
  <w:style w:type="paragraph" w:styleId="1109">
    <w:name w:val="xl26"/>
    <w:basedOn w:val="731"/>
    <w:next w:val="1109"/>
    <w:link w:val="731"/>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0">
    <w:name w:val="表格"/>
    <w:basedOn w:val="731"/>
    <w:next w:val="1110"/>
    <w:link w:val="731"/>
    <w:uiPriority w:val="99"/>
    <w:qFormat/>
    <w:pPr>
      <w:jc w:val="center"/>
      <w:spacing w:after="160" w:line="278" w:lineRule="auto"/>
      <w:widowControl w:val="off"/>
    </w:pPr>
    <w:rPr>
      <w:rFonts w:ascii="华文细黑" w:hAnsi="华文细黑" w:cs="华文细黑"/>
      <w:sz w:val="21"/>
      <w:szCs w:val="21"/>
    </w:rPr>
  </w:style>
  <w:style w:type="paragraph" w:styleId="1111">
    <w:name w:val="正文1"/>
    <w:next w:val="1111"/>
    <w:link w:val="731"/>
    <w:uiPriority w:val="99"/>
    <w:qFormat/>
    <w:pPr>
      <w:spacing w:after="200" w:line="276" w:lineRule="auto"/>
    </w:pPr>
    <w:rPr>
      <w:sz w:val="22"/>
      <w:szCs w:val="22"/>
      <w:lang w:val="en-US" w:eastAsia="en-US" w:bidi="ar-SA"/>
    </w:rPr>
  </w:style>
  <w:style w:type="paragraph" w:styleId="1112">
    <w:name w:val="xl28"/>
    <w:basedOn w:val="731"/>
    <w:next w:val="1112"/>
    <w:link w:val="731"/>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3">
    <w:name w:val="章标题"/>
    <w:next w:val="731"/>
    <w:link w:val="731"/>
    <w:qFormat/>
    <w:pPr>
      <w:jc w:val="both"/>
      <w:spacing w:after="160" w:line="278" w:lineRule="auto"/>
      <w:outlineLvl w:val="1"/>
    </w:pPr>
    <w:rPr>
      <w:rFonts w:ascii="黑体" w:eastAsia="黑体" w:cs="Calibri"/>
      <w:sz w:val="21"/>
      <w:lang w:val="en-US" w:eastAsia="zh-CN" w:bidi="ar-SA"/>
    </w:rPr>
  </w:style>
  <w:style w:type="paragraph" w:styleId="1114">
    <w:name w:val="_Style 38"/>
    <w:basedOn w:val="731"/>
    <w:next w:val="1094"/>
    <w:link w:val="901"/>
    <w:qFormat/>
    <w:pPr>
      <w:ind w:firstLine="420"/>
      <w:jc w:val="both"/>
      <w:spacing w:after="160" w:line="278" w:lineRule="auto"/>
      <w:widowControl w:val="off"/>
    </w:pPr>
    <w:rPr>
      <w:rFonts w:ascii="等线" w:hAnsi="等线" w:eastAsia="等线"/>
      <w:sz w:val="21"/>
    </w:rPr>
  </w:style>
  <w:style w:type="paragraph" w:styleId="1115">
    <w:name w:val="目录 81"/>
    <w:basedOn w:val="731"/>
    <w:next w:val="731"/>
    <w:link w:val="731"/>
    <w:semiHidden/>
    <w:pPr>
      <w:ind w:left="1470"/>
      <w:spacing w:after="0" w:line="240" w:lineRule="auto"/>
    </w:pPr>
    <w:rPr>
      <w:rFonts w:ascii="Times New Roman" w:hAnsi="Times New Roman"/>
      <w:sz w:val="20"/>
      <w:szCs w:val="20"/>
    </w:rPr>
  </w:style>
  <w:style w:type="paragraph" w:styleId="1116">
    <w:name w:val="Char Char Char Char Char Char Char Char Char Char"/>
    <w:basedOn w:val="731"/>
    <w:next w:val="1116"/>
    <w:link w:val="731"/>
    <w:qFormat/>
    <w:pPr>
      <w:jc w:val="both"/>
      <w:spacing w:after="0" w:line="360" w:lineRule="auto"/>
      <w:widowControl w:val="off"/>
    </w:pPr>
    <w:rPr>
      <w:rFonts w:ascii="Times New Roman" w:hAnsi="Times New Roman" w:eastAsia="宋体" w:cs="Times New Roman"/>
      <w:sz w:val="24"/>
      <w:szCs w:val="20"/>
    </w:rPr>
  </w:style>
  <w:style w:type="paragraph" w:styleId="1117">
    <w:name w:val="trs_editor"/>
    <w:basedOn w:val="731"/>
    <w:next w:val="1117"/>
    <w:link w:val="731"/>
    <w:uiPriority w:val="99"/>
    <w:qFormat/>
    <w:pPr>
      <w:spacing w:before="100" w:beforeAutospacing="1" w:after="100" w:afterAutospacing="1" w:line="278" w:lineRule="auto"/>
    </w:pPr>
    <w:rPr>
      <w:rFonts w:ascii="宋体" w:hAnsi="宋体" w:cs="宋体"/>
      <w:sz w:val="24"/>
      <w:szCs w:val="24"/>
    </w:rPr>
  </w:style>
  <w:style w:type="paragraph" w:styleId="1118">
    <w:name w:val="日期1"/>
    <w:basedOn w:val="731"/>
    <w:next w:val="731"/>
    <w:link w:val="731"/>
    <w:pPr>
      <w:spacing w:after="0" w:line="240" w:lineRule="auto"/>
    </w:pPr>
    <w:rPr>
      <w:rFonts w:ascii="Times New Roman" w:hAnsi="Times New Roman"/>
      <w:sz w:val="24"/>
      <w:szCs w:val="24"/>
    </w:rPr>
  </w:style>
  <w:style w:type="paragraph" w:styleId="1119">
    <w:name w:val="纯文本1"/>
    <w:basedOn w:val="731"/>
    <w:next w:val="1119"/>
    <w:link w:val="731"/>
    <w:qFormat/>
    <w:pPr>
      <w:jc w:val="both"/>
      <w:spacing w:after="0" w:line="240" w:lineRule="auto"/>
      <w:widowControl w:val="off"/>
    </w:pPr>
    <w:rPr>
      <w:rFonts w:ascii="宋体" w:hAnsi="Courier New" w:eastAsia="楷体_GB2312" w:cs="Times New Roman"/>
      <w:sz w:val="28"/>
      <w:szCs w:val="20"/>
    </w:rPr>
  </w:style>
  <w:style w:type="paragraph" w:styleId="1120">
    <w:name w:val="四级条标题"/>
    <w:basedOn w:val="1137"/>
    <w:next w:val="731"/>
    <w:link w:val="731"/>
    <w:qFormat/>
    <w:pPr>
      <w:numPr>
        <w:ilvl w:val="4"/>
        <w:numId w:val="0"/>
      </w:numPr>
      <w:ind w:left="1080" w:hanging="1080"/>
      <w:tabs>
        <w:tab w:val="left" w:pos="360" w:leader="none"/>
        <w:tab w:val="left" w:pos="720" w:leader="none"/>
        <w:tab w:val="left" w:pos="975" w:leader="none"/>
        <w:tab w:val="left" w:pos="1080" w:leader="none"/>
      </w:tabs>
      <w:outlineLvl w:val="5"/>
    </w:pPr>
  </w:style>
  <w:style w:type="paragraph" w:styleId="1121">
    <w:name w:val="一级条标题"/>
    <w:next w:val="731"/>
    <w:link w:val="966"/>
    <w:qFormat/>
    <w:pPr>
      <w:numPr>
        <w:ilvl w:val="1"/>
        <w:numId w:val="1"/>
      </w:numPr>
      <w:spacing w:after="160" w:line="278" w:lineRule="auto"/>
      <w:outlineLvl w:val="2"/>
    </w:pPr>
    <w:rPr>
      <w:rFonts w:ascii="黑体" w:eastAsia="黑体" w:cs="Calibri"/>
      <w:sz w:val="21"/>
      <w:szCs w:val="21"/>
      <w:lang w:val="en-US" w:eastAsia="zh-CN" w:bidi="ar-SA"/>
    </w:rPr>
  </w:style>
  <w:style w:type="paragraph" w:styleId="1122">
    <w:name w:val="修订"/>
    <w:next w:val="1122"/>
    <w:link w:val="731"/>
    <w:uiPriority w:val="99"/>
    <w:unhideWhenUsed/>
    <w:rPr>
      <w:sz w:val="22"/>
      <w:szCs w:val="22"/>
      <w:lang w:val="en-US" w:eastAsia="zh-CN" w:bidi="ar-SA"/>
    </w:rPr>
  </w:style>
  <w:style w:type="paragraph" w:styleId="1123">
    <w:name w:val="List Paragraph1"/>
    <w:basedOn w:val="731"/>
    <w:next w:val="1123"/>
    <w:link w:val="731"/>
    <w:uiPriority w:val="99"/>
    <w:qFormat/>
    <w:pPr>
      <w:ind w:firstLine="420"/>
      <w:jc w:val="both"/>
      <w:spacing w:after="0" w:line="240" w:lineRule="auto"/>
      <w:widowControl w:val="off"/>
    </w:pPr>
    <w:rPr>
      <w:rFonts w:cs="Calibri"/>
      <w:sz w:val="21"/>
      <w:szCs w:val="21"/>
    </w:rPr>
  </w:style>
  <w:style w:type="paragraph" w:styleId="1124">
    <w:name w:val="正文_3"/>
    <w:next w:val="1124"/>
    <w:link w:val="731"/>
    <w:uiPriority w:val="99"/>
    <w:qFormat/>
    <w:pPr>
      <w:jc w:val="both"/>
      <w:spacing w:after="160" w:line="278" w:lineRule="auto"/>
      <w:widowControl w:val="off"/>
    </w:pPr>
    <w:rPr>
      <w:rFonts w:cs="Calibri"/>
      <w:sz w:val="21"/>
      <w:szCs w:val="21"/>
      <w:lang w:val="en-US" w:eastAsia="zh-CN" w:bidi="ar-SA"/>
    </w:rPr>
  </w:style>
  <w:style w:type="paragraph" w:styleId="1125">
    <w:name w:val="目录 41"/>
    <w:basedOn w:val="731"/>
    <w:next w:val="731"/>
    <w:link w:val="731"/>
    <w:semiHidden/>
    <w:pPr>
      <w:ind w:left="630"/>
      <w:spacing w:after="0" w:line="240" w:lineRule="auto"/>
    </w:pPr>
    <w:rPr>
      <w:rFonts w:ascii="Times New Roman" w:hAnsi="Times New Roman"/>
      <w:sz w:val="20"/>
      <w:szCs w:val="20"/>
    </w:rPr>
  </w:style>
  <w:style w:type="paragraph" w:styleId="1126">
    <w:name w:val="正文缩进1"/>
    <w:basedOn w:val="731"/>
    <w:next w:val="1126"/>
    <w:link w:val="799"/>
    <w:qFormat/>
    <w:pPr>
      <w:ind w:firstLine="420"/>
      <w:jc w:val="both"/>
      <w:spacing w:after="0" w:line="240" w:lineRule="auto"/>
      <w:widowControl w:val="off"/>
    </w:pPr>
    <w:rPr>
      <w:b/>
      <w:bCs/>
      <w:sz w:val="24"/>
      <w:szCs w:val="24"/>
    </w:rPr>
  </w:style>
  <w:style w:type="paragraph" w:styleId="1127">
    <w:name w:val="p0"/>
    <w:basedOn w:val="731"/>
    <w:next w:val="1127"/>
    <w:link w:val="731"/>
    <w:uiPriority w:val="99"/>
    <w:qFormat/>
    <w:pPr>
      <w:spacing w:after="160" w:line="278" w:lineRule="auto"/>
    </w:pPr>
    <w:rPr>
      <w:rFonts w:cs="Calibri"/>
      <w:b/>
      <w:bCs/>
      <w:sz w:val="24"/>
      <w:szCs w:val="24"/>
    </w:rPr>
  </w:style>
  <w:style w:type="paragraph" w:styleId="1128">
    <w:name w:val="标题 3_0"/>
    <w:basedOn w:val="1209"/>
    <w:next w:val="1209"/>
    <w:link w:val="944"/>
    <w:uiPriority w:val="99"/>
    <w:qFormat/>
    <w:pPr>
      <w:keepLines/>
      <w:keepNext/>
      <w:spacing w:before="260" w:after="260" w:line="416" w:lineRule="auto"/>
      <w:outlineLvl w:val="2"/>
    </w:pPr>
    <w:rPr>
      <w:rFonts w:cs="Times New Roman"/>
      <w:b/>
      <w:bCs/>
      <w:sz w:val="32"/>
      <w:szCs w:val="32"/>
    </w:rPr>
  </w:style>
  <w:style w:type="paragraph" w:styleId="1129">
    <w:name w:val="无间隔"/>
    <w:basedOn w:val="731"/>
    <w:next w:val="1129"/>
    <w:link w:val="731"/>
    <w:uiPriority w:val="99"/>
    <w:qFormat/>
    <w:pPr>
      <w:spacing w:after="0" w:line="240" w:lineRule="auto"/>
    </w:pPr>
    <w:rPr>
      <w:rFonts w:ascii="Times New Roman" w:hAnsi="Times New Roman"/>
      <w:sz w:val="20"/>
      <w:szCs w:val="20"/>
    </w:rPr>
  </w:style>
  <w:style w:type="paragraph" w:styleId="1130">
    <w:name w:val="正文表标题"/>
    <w:next w:val="731"/>
    <w:link w:val="731"/>
    <w:qFormat/>
    <w:pPr>
      <w:numPr>
        <w:ilvl w:val="0"/>
        <w:numId w:val="2"/>
      </w:numPr>
      <w:jc w:val="center"/>
      <w:spacing w:after="160" w:line="278" w:lineRule="auto"/>
      <w:tabs>
        <w:tab w:val="left" w:pos="720" w:leader="none"/>
      </w:tabs>
    </w:pPr>
    <w:rPr>
      <w:rFonts w:ascii="黑体" w:eastAsia="黑体" w:cs="Calibri"/>
      <w:sz w:val="21"/>
      <w:lang w:val="en-US" w:eastAsia="zh-CN" w:bidi="ar-SA"/>
    </w:rPr>
  </w:style>
  <w:style w:type="paragraph" w:styleId="1131">
    <w:name w:val="二级条标题"/>
    <w:basedOn w:val="1121"/>
    <w:next w:val="731"/>
    <w:link w:val="953"/>
    <w:qFormat/>
    <w:pPr>
      <w:numPr>
        <w:ilvl w:val="0"/>
        <w:numId w:val="0"/>
      </w:numPr>
      <w:ind w:left="420" w:hanging="975"/>
      <w:spacing w:before="50" w:after="50"/>
      <w:tabs>
        <w:tab w:val="left" w:pos="360" w:leader="none"/>
        <w:tab w:val="left" w:pos="720" w:leader="none"/>
        <w:tab w:val="left" w:pos="975" w:leader="none"/>
      </w:tabs>
      <w:outlineLvl w:val="3"/>
    </w:pPr>
    <w:rPr>
      <w:rFonts w:cs="Times New Roman"/>
      <w:sz w:val="20"/>
    </w:rPr>
  </w:style>
  <w:style w:type="paragraph" w:styleId="1132">
    <w:name w:val="引用"/>
    <w:basedOn w:val="731"/>
    <w:next w:val="731"/>
    <w:link w:val="842"/>
    <w:uiPriority w:val="29"/>
    <w:qFormat/>
    <w:pPr>
      <w:ind w:left="720" w:right="720"/>
      <w:spacing w:after="0" w:line="240" w:lineRule="auto"/>
    </w:pPr>
    <w:rPr>
      <w:rFonts w:ascii="Times New Roman" w:hAnsi="Times New Roman"/>
      <w:i/>
      <w:sz w:val="20"/>
      <w:szCs w:val="20"/>
    </w:rPr>
  </w:style>
  <w:style w:type="paragraph" w:styleId="1133">
    <w:name w:val="星非-小"/>
    <w:basedOn w:val="731"/>
    <w:next w:val="1133"/>
    <w:link w:val="731"/>
    <w:qFormat/>
    <w:pPr>
      <w:ind w:left="830" w:hanging="534"/>
      <w:spacing w:after="160" w:line="480" w:lineRule="exact"/>
      <w:widowControl w:val="off"/>
    </w:pPr>
    <w:rPr>
      <w:rFonts w:ascii="仿宋_GB2312" w:hAnsi="仿宋_GB2312" w:eastAsia="仿宋_GB2312" w:cs="宋体"/>
      <w:sz w:val="28"/>
      <w:szCs w:val="20"/>
    </w:rPr>
  </w:style>
  <w:style w:type="paragraph" w:styleId="1134">
    <w:name w:val=" Char Char Char Char Char Char Char Char"/>
    <w:basedOn w:val="731"/>
    <w:next w:val="1134"/>
    <w:link w:val="731"/>
    <w:pPr>
      <w:spacing w:after="160" w:line="240" w:lineRule="exact"/>
    </w:pPr>
    <w:rPr>
      <w:rFonts w:ascii="Verdana" w:hAnsi="Verdana"/>
      <w:sz w:val="20"/>
      <w:szCs w:val="20"/>
      <w:lang w:eastAsia="en-US"/>
    </w:rPr>
  </w:style>
  <w:style w:type="paragraph" w:styleId="1135">
    <w:name w:val="批注框文本1"/>
    <w:basedOn w:val="731"/>
    <w:next w:val="1135"/>
    <w:link w:val="731"/>
    <w:semiHidden/>
    <w:pPr>
      <w:spacing w:after="0" w:line="240" w:lineRule="auto"/>
    </w:pPr>
    <w:rPr>
      <w:rFonts w:ascii="Times New Roman" w:hAnsi="Times New Roman"/>
      <w:sz w:val="18"/>
      <w:szCs w:val="18"/>
    </w:rPr>
  </w:style>
  <w:style w:type="paragraph" w:styleId="1136">
    <w:name w:val="明显引用"/>
    <w:basedOn w:val="731"/>
    <w:next w:val="731"/>
    <w:link w:val="844"/>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paragraph" w:styleId="1137">
    <w:name w:val="三级条标题"/>
    <w:basedOn w:val="1131"/>
    <w:next w:val="731"/>
    <w:link w:val="731"/>
    <w:qFormat/>
    <w:pPr>
      <w:numPr>
        <w:ilvl w:val="3"/>
        <w:numId w:val="0"/>
      </w:numPr>
      <w:ind w:left="975" w:hanging="975"/>
      <w:tabs>
        <w:tab w:val="left" w:pos="360" w:leader="none"/>
        <w:tab w:val="left" w:pos="720" w:leader="none"/>
        <w:tab w:val="left" w:pos="975" w:leader="none"/>
      </w:tabs>
      <w:outlineLvl w:val="4"/>
    </w:pPr>
    <w:rPr>
      <w:rFonts w:cs="Times New Roman"/>
    </w:rPr>
  </w:style>
  <w:style w:type="paragraph" w:styleId="1138">
    <w:name w:val="标题 2_0"/>
    <w:basedOn w:val="1209"/>
    <w:next w:val="1209"/>
    <w:link w:val="761"/>
    <w:uiPriority w:val="99"/>
    <w:qFormat/>
    <w:pPr>
      <w:keepLines/>
      <w:keepNext/>
      <w:spacing w:before="260" w:after="260" w:line="416" w:lineRule="auto"/>
      <w:outlineLvl w:val="1"/>
    </w:pPr>
    <w:rPr>
      <w:rFonts w:ascii="Cambria" w:hAnsi="Cambria" w:cs="Times New Roman"/>
      <w:b/>
      <w:bCs/>
      <w:sz w:val="32"/>
      <w:szCs w:val="32"/>
    </w:rPr>
  </w:style>
  <w:style w:type="paragraph" w:styleId="1139">
    <w:name w:val="TOC Heading"/>
    <w:next w:val="1139"/>
    <w:link w:val="731"/>
    <w:uiPriority w:val="39"/>
    <w:unhideWhenUsed/>
    <w:rPr>
      <w:lang w:val="en-US" w:eastAsia="zh-CN" w:bidi="ar-SA"/>
    </w:rPr>
  </w:style>
  <w:style w:type="paragraph" w:styleId="1140">
    <w:name w:val="列表1"/>
    <w:basedOn w:val="731"/>
    <w:next w:val="1140"/>
    <w:link w:val="731"/>
    <w:pPr>
      <w:ind w:left="200" w:hanging="200"/>
      <w:spacing w:after="0" w:line="240" w:lineRule="auto"/>
    </w:pPr>
    <w:rPr>
      <w:rFonts w:ascii="Times New Roman" w:hAnsi="Times New Roman"/>
      <w:sz w:val="20"/>
      <w:szCs w:val="20"/>
    </w:rPr>
  </w:style>
  <w:style w:type="paragraph" w:styleId="1141">
    <w:name w:val="标题 11"/>
    <w:basedOn w:val="731"/>
    <w:next w:val="731"/>
    <w:link w:val="731"/>
    <w:uiPriority w:val="99"/>
    <w:qFormat/>
    <w:pPr>
      <w:jc w:val="center"/>
      <w:keepNext/>
      <w:spacing w:after="0" w:line="240" w:lineRule="auto"/>
      <w:outlineLvl w:val="0"/>
    </w:pPr>
    <w:rPr>
      <w:rFonts w:ascii="楷体_GB2312" w:hAnsi="Times New Roman" w:eastAsia="楷体_GB2312"/>
      <w:sz w:val="28"/>
      <w:szCs w:val="28"/>
    </w:rPr>
  </w:style>
  <w:style w:type="paragraph" w:styleId="1142">
    <w:name w:val="标题 21"/>
    <w:basedOn w:val="731"/>
    <w:next w:val="1126"/>
    <w:link w:val="731"/>
    <w:uiPriority w:val="1"/>
    <w:qFormat/>
    <w:pPr>
      <w:jc w:val="center"/>
      <w:keepLines/>
      <w:keepNext/>
      <w:spacing w:before="260" w:after="260" w:line="416" w:lineRule="auto"/>
      <w:outlineLvl w:val="1"/>
    </w:pPr>
    <w:rPr>
      <w:rFonts w:ascii="Arial" w:hAnsi="Arial" w:eastAsia="幼圆" w:cs="Arial"/>
      <w:b/>
      <w:bCs/>
      <w:sz w:val="44"/>
      <w:szCs w:val="44"/>
    </w:rPr>
  </w:style>
  <w:style w:type="paragraph" w:styleId="1143">
    <w:name w:val="格式３"/>
    <w:basedOn w:val="731"/>
    <w:next w:val="1143"/>
    <w:link w:val="731"/>
    <w:uiPriority w:val="99"/>
    <w:qFormat/>
    <w:pPr>
      <w:ind w:left="600" w:hanging="600"/>
      <w:spacing w:after="160" w:line="420" w:lineRule="exact"/>
      <w:widowControl w:val="off"/>
    </w:pPr>
    <w:rPr>
      <w:rFonts w:ascii="宋体" w:hAnsi="宋体" w:cs="宋体"/>
      <w:color w:val="000000"/>
      <w:sz w:val="24"/>
      <w:szCs w:val="24"/>
    </w:rPr>
  </w:style>
  <w:style w:type="paragraph" w:styleId="1144">
    <w:name w:val="标题 31"/>
    <w:basedOn w:val="731"/>
    <w:next w:val="1126"/>
    <w:link w:val="731"/>
    <w:qFormat/>
    <w:pPr>
      <w:keepLines/>
      <w:keepNext/>
      <w:spacing w:before="260" w:after="260" w:line="416" w:lineRule="auto"/>
      <w:outlineLvl w:val="2"/>
    </w:pPr>
    <w:rPr>
      <w:rFonts w:ascii="Times New Roman" w:hAnsi="Times New Roman"/>
      <w:b/>
      <w:bCs/>
      <w:sz w:val="32"/>
      <w:szCs w:val="32"/>
    </w:rPr>
  </w:style>
  <w:style w:type="paragraph" w:styleId="1145">
    <w:name w:val="Normal_1"/>
    <w:next w:val="1145"/>
    <w:link w:val="731"/>
    <w:qFormat/>
    <w:pPr>
      <w:spacing w:after="160" w:line="560" w:lineRule="exact"/>
    </w:pPr>
    <w:rPr>
      <w:sz w:val="24"/>
      <w:szCs w:val="24"/>
      <w:lang w:val="en-US" w:eastAsia="zh-CN" w:bidi="ar-SA"/>
    </w:rPr>
  </w:style>
  <w:style w:type="paragraph" w:styleId="1146">
    <w:name w:val="标题 41"/>
    <w:basedOn w:val="731"/>
    <w:next w:val="1126"/>
    <w:link w:val="731"/>
    <w:qFormat/>
    <w:pPr>
      <w:keepLines/>
      <w:keepNext/>
      <w:spacing w:before="280" w:after="290" w:line="376" w:lineRule="auto"/>
      <w:outlineLvl w:val="3"/>
    </w:pPr>
    <w:rPr>
      <w:rFonts w:ascii="Arial" w:hAnsi="Arial" w:eastAsia="黑体" w:cs="Arial"/>
      <w:b/>
      <w:bCs/>
      <w:sz w:val="28"/>
      <w:szCs w:val="28"/>
    </w:rPr>
  </w:style>
  <w:style w:type="paragraph" w:styleId="1147">
    <w:name w:val="正文2"/>
    <w:next w:val="1147"/>
    <w:link w:val="731"/>
    <w:uiPriority w:val="99"/>
    <w:qFormat/>
    <w:pPr>
      <w:spacing w:after="160" w:line="278" w:lineRule="auto"/>
    </w:pPr>
    <w:rPr>
      <w:rFonts w:eastAsia="微软雅黑" w:cs="Calibri"/>
      <w:sz w:val="24"/>
      <w:szCs w:val="24"/>
      <w:lang w:val="en-US" w:eastAsia="zh-CN" w:bidi="ar-SA"/>
    </w:rPr>
  </w:style>
  <w:style w:type="paragraph" w:styleId="1148">
    <w:name w:val="正文文本 21"/>
    <w:basedOn w:val="731"/>
    <w:next w:val="1148"/>
    <w:link w:val="731"/>
    <w:pPr>
      <w:jc w:val="center"/>
      <w:spacing w:after="0" w:line="240" w:lineRule="auto"/>
    </w:pPr>
    <w:rPr>
      <w:rFonts w:ascii="楷体_GB2312" w:hAnsi="Times New Roman" w:eastAsia="楷体_GB2312"/>
      <w:sz w:val="28"/>
      <w:szCs w:val="28"/>
    </w:rPr>
  </w:style>
  <w:style w:type="paragraph" w:styleId="1149">
    <w:name w:val="标题 51"/>
    <w:basedOn w:val="731"/>
    <w:next w:val="1126"/>
    <w:link w:val="731"/>
    <w:qFormat/>
    <w:pPr>
      <w:keepNext/>
      <w:spacing w:after="0" w:line="240" w:lineRule="auto"/>
      <w:outlineLvl w:val="4"/>
    </w:pPr>
    <w:rPr>
      <w:rFonts w:ascii="宋体" w:hAnsi="Times New Roman"/>
      <w:color w:val="000000"/>
      <w:sz w:val="28"/>
      <w:szCs w:val="28"/>
    </w:rPr>
  </w:style>
  <w:style w:type="paragraph" w:styleId="1150">
    <w:name w:val="_Style 234"/>
    <w:basedOn w:val="731"/>
    <w:next w:val="731"/>
    <w:link w:val="731"/>
    <w:qFormat/>
    <w:pPr>
      <w:jc w:val="center"/>
      <w:spacing w:after="160" w:line="278" w:lineRule="auto"/>
      <w:widowControl w:val="off"/>
      <w:pBdr>
        <w:bottom w:val="single" w:color="000000" w:sz="6" w:space="1"/>
      </w:pBdr>
    </w:pPr>
    <w:rPr>
      <w:rFonts w:ascii="Arial" w:cs="Calibri"/>
      <w:vanish/>
      <w:sz w:val="16"/>
      <w:szCs w:val="21"/>
    </w:rPr>
  </w:style>
  <w:style w:type="paragraph" w:styleId="1151">
    <w:name w:val="批注主题1"/>
    <w:basedOn w:val="1167"/>
    <w:next w:val="1167"/>
    <w:link w:val="731"/>
    <w:semiHidden/>
    <w:rPr>
      <w:b/>
      <w:bCs/>
    </w:rPr>
  </w:style>
  <w:style w:type="paragraph" w:styleId="1152">
    <w:name w:val="标题 61"/>
    <w:basedOn w:val="731"/>
    <w:next w:val="731"/>
    <w:link w:val="731"/>
    <w:qFormat/>
    <w:pPr>
      <w:numPr>
        <w:ilvl w:val="5"/>
        <w:numId w:val="3"/>
      </w:numPr>
      <w:keepLines/>
      <w:keepNext/>
      <w:spacing w:before="240" w:after="64" w:line="320" w:lineRule="auto"/>
      <w:outlineLvl w:val="5"/>
    </w:pPr>
    <w:rPr>
      <w:rFonts w:ascii="Arial" w:hAnsi="Arial" w:eastAsia="黑体"/>
      <w:b/>
      <w:bCs/>
      <w:sz w:val="24"/>
      <w:szCs w:val="24"/>
    </w:rPr>
  </w:style>
  <w:style w:type="paragraph" w:styleId="1153">
    <w:name w:val="标题 71"/>
    <w:basedOn w:val="731"/>
    <w:next w:val="731"/>
    <w:link w:val="731"/>
    <w:qFormat/>
    <w:pPr>
      <w:numPr>
        <w:ilvl w:val="6"/>
        <w:numId w:val="3"/>
      </w:numPr>
      <w:keepLines/>
      <w:keepNext/>
      <w:spacing w:before="240" w:after="64" w:line="320" w:lineRule="auto"/>
      <w:outlineLvl w:val="6"/>
    </w:pPr>
    <w:rPr>
      <w:rFonts w:ascii="Times New Roman" w:hAnsi="Times New Roman"/>
      <w:b/>
      <w:bCs/>
      <w:sz w:val="24"/>
      <w:szCs w:val="24"/>
    </w:rPr>
  </w:style>
  <w:style w:type="paragraph" w:styleId="1154">
    <w:name w:val="paragraphindent"/>
    <w:basedOn w:val="731"/>
    <w:next w:val="1154"/>
    <w:link w:val="731"/>
    <w:qFormat/>
    <w:pPr>
      <w:ind w:firstLine="480"/>
      <w:spacing w:before="100" w:beforeAutospacing="1" w:after="100" w:afterAutospacing="1" w:line="278" w:lineRule="auto"/>
    </w:pPr>
    <w:rPr>
      <w:rFonts w:ascii="宋体" w:hAnsi="宋体" w:cs="宋体"/>
      <w:sz w:val="24"/>
      <w:szCs w:val="24"/>
    </w:rPr>
  </w:style>
  <w:style w:type="paragraph" w:styleId="1155">
    <w:name w:val="标题 81"/>
    <w:basedOn w:val="731"/>
    <w:next w:val="731"/>
    <w:link w:val="731"/>
    <w:qFormat/>
    <w:pPr>
      <w:numPr>
        <w:ilvl w:val="7"/>
        <w:numId w:val="3"/>
      </w:numPr>
      <w:keepLines/>
      <w:keepNext/>
      <w:spacing w:before="240" w:after="64" w:line="320" w:lineRule="auto"/>
      <w:outlineLvl w:val="7"/>
    </w:pPr>
    <w:rPr>
      <w:rFonts w:ascii="Arial" w:hAnsi="Arial" w:eastAsia="黑体"/>
      <w:sz w:val="24"/>
      <w:szCs w:val="24"/>
    </w:rPr>
  </w:style>
  <w:style w:type="paragraph" w:styleId="1156">
    <w:name w:val="列出段落3"/>
    <w:basedOn w:val="731"/>
    <w:next w:val="1156"/>
    <w:link w:val="731"/>
    <w:uiPriority w:val="99"/>
    <w:qFormat/>
    <w:pPr>
      <w:ind w:firstLine="420"/>
      <w:spacing w:line="278" w:lineRule="auto"/>
    </w:pPr>
    <w:rPr>
      <w:rFonts w:ascii="Tahoma" w:hAnsi="Tahoma" w:eastAsia="微软雅黑" w:cs="Tahoma"/>
    </w:rPr>
  </w:style>
  <w:style w:type="paragraph" w:styleId="1157">
    <w:name w:val="标题 91"/>
    <w:basedOn w:val="731"/>
    <w:next w:val="731"/>
    <w:link w:val="731"/>
    <w:qFormat/>
    <w:pPr>
      <w:numPr>
        <w:ilvl w:val="8"/>
        <w:numId w:val="3"/>
      </w:numPr>
      <w:keepLines/>
      <w:keepNext/>
      <w:spacing w:before="240" w:after="64" w:line="320" w:lineRule="auto"/>
      <w:outlineLvl w:val="8"/>
    </w:pPr>
    <w:rPr>
      <w:rFonts w:ascii="Arial" w:hAnsi="Arial" w:eastAsia="黑体"/>
      <w:sz w:val="20"/>
      <w:szCs w:val="20"/>
    </w:rPr>
  </w:style>
  <w:style w:type="paragraph" w:styleId="1158">
    <w:name w:val="正文文本1"/>
    <w:basedOn w:val="731"/>
    <w:next w:val="1158"/>
    <w:link w:val="731"/>
    <w:pPr>
      <w:spacing w:after="0" w:line="240" w:lineRule="auto"/>
    </w:pPr>
    <w:rPr>
      <w:rFonts w:ascii="楷体_GB2312" w:hAnsi="Arial" w:eastAsia="楷体_GB2312"/>
      <w:sz w:val="28"/>
      <w:szCs w:val="28"/>
    </w:rPr>
  </w:style>
  <w:style w:type="paragraph" w:styleId="1159">
    <w:name w:val="文章正文"/>
    <w:basedOn w:val="731"/>
    <w:next w:val="1159"/>
    <w:link w:val="731"/>
    <w:uiPriority w:val="99"/>
    <w:qFormat/>
    <w:pPr>
      <w:ind w:firstLine="480"/>
      <w:spacing w:after="160" w:line="360" w:lineRule="auto"/>
      <w:widowControl w:val="off"/>
    </w:pPr>
    <w:rPr>
      <w:rFonts w:ascii="仿宋_GB2312" w:hAnsi="宋体" w:eastAsia="仿宋_GB2312" w:cs="仿宋_GB2312"/>
      <w:color w:val="ff0000"/>
      <w:sz w:val="24"/>
      <w:szCs w:val="24"/>
    </w:rPr>
  </w:style>
  <w:style w:type="paragraph" w:styleId="1160">
    <w:name w:val="3方案格式3"/>
    <w:basedOn w:val="1217"/>
    <w:next w:val="1160"/>
    <w:link w:val="731"/>
    <w:uiPriority w:val="99"/>
    <w:qFormat/>
    <w:pPr>
      <w:numPr>
        <w:ilvl w:val="2"/>
        <w:numId w:val="0"/>
      </w:numPr>
      <w:tabs>
        <w:tab w:val="left" w:pos="360" w:leader="none"/>
      </w:tabs>
      <w:outlineLvl w:val="2"/>
    </w:pPr>
    <w:rPr>
      <w:sz w:val="32"/>
      <w:szCs w:val="32"/>
    </w:rPr>
  </w:style>
  <w:style w:type="paragraph" w:styleId="1161">
    <w:name w:val="列表 31"/>
    <w:basedOn w:val="731"/>
    <w:next w:val="1161"/>
    <w:link w:val="731"/>
    <w:pPr>
      <w:ind w:left="100" w:hanging="200"/>
      <w:spacing w:after="0" w:line="240" w:lineRule="auto"/>
    </w:pPr>
    <w:rPr>
      <w:rFonts w:ascii="Times New Roman" w:hAnsi="Times New Roman"/>
      <w:sz w:val="20"/>
      <w:szCs w:val="20"/>
    </w:rPr>
  </w:style>
  <w:style w:type="paragraph" w:styleId="1162">
    <w:name w:val="目录 11"/>
    <w:basedOn w:val="731"/>
    <w:next w:val="731"/>
    <w:link w:val="731"/>
    <w:semiHidden/>
    <w:pPr>
      <w:spacing w:before="120" w:after="120" w:line="400" w:lineRule="exact"/>
      <w:tabs>
        <w:tab w:val="right" w:pos="8720" w:leader="dot"/>
      </w:tabs>
    </w:pPr>
    <w:rPr>
      <w:rFonts w:ascii="宋体" w:hAnsi="宋体"/>
      <w:caps/>
      <w:sz w:val="24"/>
      <w:szCs w:val="24"/>
    </w:rPr>
  </w:style>
  <w:style w:type="paragraph" w:styleId="1163">
    <w:name w:val="目录 71"/>
    <w:basedOn w:val="731"/>
    <w:next w:val="731"/>
    <w:link w:val="731"/>
    <w:semiHidden/>
    <w:pPr>
      <w:ind w:left="1260"/>
      <w:spacing w:after="0" w:line="240" w:lineRule="auto"/>
    </w:pPr>
    <w:rPr>
      <w:rFonts w:ascii="Times New Roman" w:hAnsi="Times New Roman"/>
      <w:sz w:val="20"/>
      <w:szCs w:val="20"/>
    </w:rPr>
  </w:style>
  <w:style w:type="paragraph" w:styleId="1164">
    <w:name w:val="1"/>
    <w:basedOn w:val="731"/>
    <w:next w:val="731"/>
    <w:link w:val="731"/>
    <w:uiPriority w:val="99"/>
    <w:qFormat/>
    <w:pPr>
      <w:spacing w:after="160" w:line="278" w:lineRule="auto"/>
      <w:widowControl w:val="off"/>
    </w:pPr>
    <w:rPr>
      <w:rFonts w:ascii="Calibri" w:hAnsi="Calibri" w:cs="Calibri"/>
      <w:sz w:val="21"/>
      <w:szCs w:val="21"/>
    </w:rPr>
  </w:style>
  <w:style w:type="paragraph" w:styleId="1165">
    <w:name w:val="文档结构图1"/>
    <w:basedOn w:val="731"/>
    <w:next w:val="1165"/>
    <w:link w:val="731"/>
    <w:semiHidden/>
    <w:pPr>
      <w:spacing w:after="0" w:line="240" w:lineRule="auto"/>
      <w:shd w:val="clear" w:color="auto" w:fill="000080"/>
    </w:pPr>
    <w:rPr>
      <w:rFonts w:ascii="Times New Roman" w:hAnsi="Times New Roman"/>
      <w:sz w:val="20"/>
      <w:szCs w:val="20"/>
    </w:rPr>
  </w:style>
  <w:style w:type="paragraph" w:styleId="1166">
    <w:name w:val="Blockquote"/>
    <w:basedOn w:val="731"/>
    <w:next w:val="1166"/>
    <w:link w:val="731"/>
    <w:uiPriority w:val="99"/>
    <w:qFormat/>
    <w:pPr>
      <w:ind w:left="360" w:right="360"/>
      <w:spacing w:before="100" w:after="100" w:line="278" w:lineRule="auto"/>
      <w:widowControl w:val="off"/>
    </w:pPr>
    <w:rPr>
      <w:rFonts w:ascii="Calibri" w:hAnsi="Calibri" w:cs="Calibri"/>
      <w:sz w:val="24"/>
      <w:szCs w:val="24"/>
    </w:rPr>
  </w:style>
  <w:style w:type="paragraph" w:styleId="1167">
    <w:name w:val="批注文字1"/>
    <w:basedOn w:val="731"/>
    <w:next w:val="1167"/>
    <w:link w:val="731"/>
    <w:semiHidden/>
    <w:pPr>
      <w:spacing w:after="0" w:line="240" w:lineRule="auto"/>
    </w:pPr>
    <w:rPr>
      <w:rFonts w:ascii="Times New Roman" w:hAnsi="Times New Roman"/>
      <w:sz w:val="20"/>
      <w:szCs w:val="20"/>
    </w:rPr>
  </w:style>
  <w:style w:type="paragraph" w:styleId="1168">
    <w:name w:val=" Char Char Char Char"/>
    <w:basedOn w:val="1165"/>
    <w:next w:val="1168"/>
    <w:link w:val="731"/>
    <w:pPr>
      <w:spacing w:line="360" w:lineRule="auto"/>
    </w:pPr>
    <w:rPr>
      <w:rFonts w:ascii="Tahoma" w:hAnsi="Tahoma"/>
      <w:sz w:val="24"/>
      <w:szCs w:val="24"/>
    </w:rPr>
  </w:style>
  <w:style w:type="paragraph" w:styleId="1169">
    <w:name w:val="正文文本缩进1"/>
    <w:basedOn w:val="731"/>
    <w:next w:val="1169"/>
    <w:link w:val="731"/>
    <w:pPr>
      <w:ind w:firstLine="645"/>
      <w:spacing w:after="0" w:line="240" w:lineRule="auto"/>
    </w:pPr>
    <w:rPr>
      <w:rFonts w:ascii="楷体_GB2312" w:hAnsi="Times New Roman" w:eastAsia="楷体_GB2312"/>
      <w:sz w:val="32"/>
      <w:szCs w:val="32"/>
    </w:rPr>
  </w:style>
  <w:style w:type="paragraph" w:styleId="1170">
    <w:name w:val="列表 21"/>
    <w:basedOn w:val="731"/>
    <w:next w:val="1170"/>
    <w:link w:val="731"/>
    <w:pPr>
      <w:ind w:left="100" w:hanging="200"/>
      <w:spacing w:after="0" w:line="240" w:lineRule="auto"/>
    </w:pPr>
    <w:rPr>
      <w:rFonts w:ascii="Times New Roman" w:hAnsi="Times New Roman"/>
      <w:sz w:val="20"/>
      <w:szCs w:val="20"/>
    </w:rPr>
  </w:style>
  <w:style w:type="paragraph" w:styleId="1171">
    <w:name w:val=" Char"/>
    <w:basedOn w:val="1165"/>
    <w:next w:val="1171"/>
    <w:link w:val="731"/>
    <w:rPr>
      <w:rFonts w:ascii="Tahoma" w:hAnsi="Tahoma"/>
      <w:sz w:val="24"/>
      <w:szCs w:val="24"/>
    </w:rPr>
  </w:style>
  <w:style w:type="paragraph" w:styleId="1172">
    <w:name w:val="索引 41"/>
    <w:basedOn w:val="731"/>
    <w:next w:val="731"/>
    <w:link w:val="731"/>
    <w:uiPriority w:val="99"/>
    <w:unhideWhenUsed/>
    <w:qFormat/>
    <w:pPr>
      <w:ind w:left="600"/>
      <w:spacing w:after="0" w:line="240" w:lineRule="auto"/>
    </w:pPr>
    <w:rPr>
      <w:rFonts w:ascii="Times New Roman" w:hAnsi="Times New Roman"/>
      <w:sz w:val="20"/>
      <w:szCs w:val="20"/>
    </w:rPr>
  </w:style>
  <w:style w:type="paragraph" w:styleId="1173">
    <w:name w:val="正文空2字"/>
    <w:basedOn w:val="731"/>
    <w:next w:val="1173"/>
    <w:link w:val="731"/>
    <w:uiPriority w:val="99"/>
    <w:qFormat/>
    <w:pPr>
      <w:ind w:firstLine="200"/>
      <w:spacing w:after="160" w:line="360" w:lineRule="auto"/>
      <w:widowControl w:val="off"/>
    </w:pPr>
    <w:rPr>
      <w:rFonts w:cs="Calibri"/>
      <w:sz w:val="24"/>
      <w:szCs w:val="24"/>
    </w:rPr>
  </w:style>
  <w:style w:type="paragraph" w:styleId="1174">
    <w:name w:val="修订2"/>
    <w:next w:val="1174"/>
    <w:link w:val="731"/>
    <w:uiPriority w:val="99"/>
    <w:semiHidden/>
    <w:qFormat/>
    <w:pPr>
      <w:spacing w:after="160" w:line="278" w:lineRule="auto"/>
    </w:pPr>
    <w:rPr>
      <w:rFonts w:cs="Calibri"/>
      <w:sz w:val="21"/>
      <w:szCs w:val="21"/>
      <w:lang w:val="en-US" w:eastAsia="zh-CN" w:bidi="ar-SA"/>
    </w:rPr>
  </w:style>
  <w:style w:type="paragraph" w:styleId="1175">
    <w:name w:val="目录 61"/>
    <w:basedOn w:val="731"/>
    <w:next w:val="731"/>
    <w:link w:val="731"/>
    <w:semiHidden/>
    <w:pPr>
      <w:ind w:left="1050"/>
      <w:spacing w:after="0" w:line="240" w:lineRule="auto"/>
    </w:pPr>
    <w:rPr>
      <w:rFonts w:ascii="Times New Roman" w:hAnsi="Times New Roman"/>
      <w:sz w:val="20"/>
      <w:szCs w:val="20"/>
    </w:rPr>
  </w:style>
  <w:style w:type="paragraph" w:styleId="1176">
    <w:name w:val="目录 51"/>
    <w:basedOn w:val="731"/>
    <w:next w:val="731"/>
    <w:link w:val="731"/>
    <w:semiHidden/>
    <w:pPr>
      <w:ind w:left="840"/>
      <w:spacing w:after="0" w:line="240" w:lineRule="auto"/>
    </w:pPr>
    <w:rPr>
      <w:rFonts w:ascii="Times New Roman" w:hAnsi="Times New Roman"/>
      <w:sz w:val="20"/>
      <w:szCs w:val="20"/>
    </w:rPr>
  </w:style>
  <w:style w:type="paragraph" w:styleId="1177">
    <w:name w:val="标题4"/>
    <w:basedOn w:val="733"/>
    <w:next w:val="1041"/>
    <w:link w:val="954"/>
    <w:uiPriority w:val="99"/>
    <w:qFormat/>
    <w:pPr>
      <w:spacing w:before="260" w:after="260" w:line="413" w:lineRule="auto"/>
      <w:widowControl w:val="off"/>
    </w:pPr>
    <w:rPr>
      <w:rFonts w:ascii="Arial" w:hAnsi="Arial"/>
      <w:b w:val="0"/>
      <w:bCs w:val="0"/>
      <w:color w:val="000000"/>
      <w:sz w:val="20"/>
      <w:szCs w:val="20"/>
    </w:rPr>
  </w:style>
  <w:style w:type="paragraph" w:styleId="1178">
    <w:name w:val="目录 31"/>
    <w:basedOn w:val="731"/>
    <w:next w:val="731"/>
    <w:link w:val="731"/>
    <w:semiHidden/>
    <w:pPr>
      <w:ind w:left="420"/>
      <w:spacing w:after="0" w:line="240" w:lineRule="auto"/>
    </w:pPr>
    <w:rPr>
      <w:rFonts w:ascii="Times New Roman" w:hAnsi="Times New Roman"/>
      <w:i/>
      <w:iCs/>
      <w:sz w:val="20"/>
      <w:szCs w:val="24"/>
    </w:rPr>
  </w:style>
  <w:style w:type="paragraph" w:styleId="1179">
    <w:name w:val="正文11"/>
    <w:next w:val="1179"/>
    <w:link w:val="731"/>
    <w:uiPriority w:val="99"/>
    <w:qFormat/>
    <w:pPr>
      <w:spacing w:after="160" w:line="278" w:lineRule="auto"/>
    </w:pPr>
    <w:rPr>
      <w:rFonts w:ascii="Calibri" w:hAnsi="Calibri" w:cs="Calibri"/>
      <w:sz w:val="24"/>
      <w:szCs w:val="24"/>
      <w:lang w:val="en-US" w:eastAsia="zh-CN" w:bidi="ar-SA"/>
    </w:rPr>
  </w:style>
  <w:style w:type="paragraph" w:styleId="1180">
    <w:name w:val="正文文本缩进 21"/>
    <w:basedOn w:val="731"/>
    <w:next w:val="1180"/>
    <w:link w:val="731"/>
    <w:pPr>
      <w:ind w:left="630" w:firstLine="645"/>
      <w:spacing w:after="0" w:line="240" w:lineRule="auto"/>
    </w:pPr>
    <w:rPr>
      <w:rFonts w:ascii="Arial" w:hAnsi="Arial" w:eastAsia="仿宋_GB2312" w:cs="Arial"/>
      <w:sz w:val="32"/>
      <w:szCs w:val="32"/>
    </w:rPr>
  </w:style>
  <w:style w:type="paragraph" w:styleId="1181">
    <w:name w:val="表号"/>
    <w:basedOn w:val="1212"/>
    <w:next w:val="1181"/>
    <w:link w:val="731"/>
    <w:qFormat/>
    <w:pPr>
      <w:numPr>
        <w:ilvl w:val="0"/>
        <w:numId w:val="1"/>
      </w:numPr>
      <w:jc w:val="center"/>
      <w:tabs>
        <w:tab w:val="left" w:pos="0" w:leader="none"/>
      </w:tabs>
    </w:pPr>
  </w:style>
  <w:style w:type="paragraph" w:styleId="1182">
    <w:name w:val="样式 正文格式 + 首行缩进:  2 字符"/>
    <w:basedOn w:val="731"/>
    <w:next w:val="1182"/>
    <w:link w:val="731"/>
    <w:qFormat/>
    <w:pPr>
      <w:ind w:firstLine="200"/>
      <w:spacing w:after="160" w:line="400" w:lineRule="atLeast"/>
      <w:widowControl w:val="off"/>
    </w:pPr>
    <w:rPr>
      <w:rFonts w:ascii="宋体" w:hAnsi="宋体" w:cs="宋体"/>
      <w:sz w:val="24"/>
    </w:rPr>
  </w:style>
  <w:style w:type="paragraph" w:styleId="1183">
    <w:name w:val="页脚1"/>
    <w:basedOn w:val="731"/>
    <w:next w:val="1183"/>
    <w:link w:val="731"/>
    <w:pPr>
      <w:spacing w:after="0" w:line="240" w:lineRule="auto"/>
      <w:tabs>
        <w:tab w:val="center" w:pos="4153" w:leader="none"/>
        <w:tab w:val="right" w:pos="8306" w:leader="none"/>
      </w:tabs>
    </w:pPr>
    <w:rPr>
      <w:rFonts w:ascii="Times New Roman" w:hAnsi="Times New Roman"/>
      <w:sz w:val="18"/>
      <w:szCs w:val="18"/>
    </w:rPr>
  </w:style>
  <w:style w:type="paragraph" w:styleId="1184">
    <w:name w:val="_Style 235"/>
    <w:basedOn w:val="731"/>
    <w:next w:val="731"/>
    <w:link w:val="731"/>
    <w:qFormat/>
    <w:pPr>
      <w:jc w:val="center"/>
      <w:spacing w:after="160" w:line="278" w:lineRule="auto"/>
      <w:widowControl w:val="off"/>
      <w:pBdr>
        <w:top w:val="single" w:color="000000" w:sz="6" w:space="1"/>
      </w:pBdr>
    </w:pPr>
    <w:rPr>
      <w:rFonts w:ascii="Arial" w:cs="Calibri"/>
      <w:vanish/>
      <w:sz w:val="16"/>
      <w:szCs w:val="21"/>
    </w:rPr>
  </w:style>
  <w:style w:type="paragraph" w:styleId="1185">
    <w:name w:val="五级条标题"/>
    <w:basedOn w:val="1120"/>
    <w:next w:val="731"/>
    <w:link w:val="731"/>
    <w:qFormat/>
    <w:pPr>
      <w:numPr>
        <w:ilvl w:val="5"/>
        <w:numId w:val="0"/>
      </w:numPr>
      <w:ind w:left="1080" w:hanging="1080"/>
      <w:tabs>
        <w:tab w:val="left" w:pos="360" w:leader="none"/>
        <w:tab w:val="left" w:pos="720" w:leader="none"/>
        <w:tab w:val="left" w:pos="975" w:leader="none"/>
        <w:tab w:val="left" w:pos="1080" w:leader="none"/>
      </w:tabs>
      <w:outlineLvl w:val="6"/>
    </w:pPr>
  </w:style>
  <w:style w:type="paragraph" w:styleId="1186">
    <w:name w:val="页眉1"/>
    <w:basedOn w:val="731"/>
    <w:next w:val="1186"/>
    <w:link w:val="731"/>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187">
    <w:name w:val="Table Paragraph"/>
    <w:basedOn w:val="731"/>
    <w:next w:val="1187"/>
    <w:link w:val="731"/>
    <w:uiPriority w:val="1"/>
    <w:qFormat/>
    <w:pPr>
      <w:jc w:val="center"/>
      <w:spacing w:after="160" w:line="278" w:lineRule="auto"/>
      <w:widowControl w:val="off"/>
    </w:pPr>
    <w:rPr>
      <w:rFonts w:cs="Calibri"/>
      <w:sz w:val="21"/>
      <w:szCs w:val="21"/>
    </w:rPr>
  </w:style>
  <w:style w:type="paragraph" w:styleId="1188">
    <w:name w:val="正文文本缩进 31"/>
    <w:basedOn w:val="731"/>
    <w:next w:val="1188"/>
    <w:link w:val="731"/>
    <w:pPr>
      <w:ind w:left="645" w:firstLine="645"/>
      <w:spacing w:after="0" w:line="240" w:lineRule="auto"/>
    </w:pPr>
    <w:rPr>
      <w:rFonts w:ascii="Arial" w:hAnsi="Arial" w:eastAsia="仿宋_GB2312" w:cs="Arial"/>
      <w:color w:val="ffff00"/>
      <w:sz w:val="32"/>
      <w:szCs w:val="32"/>
    </w:rPr>
  </w:style>
  <w:style w:type="paragraph" w:styleId="1189">
    <w:name w:val="图表目录1"/>
    <w:basedOn w:val="731"/>
    <w:next w:val="731"/>
    <w:link w:val="731"/>
    <w:semiHidden/>
    <w:pPr>
      <w:ind w:left="840" w:hanging="420"/>
      <w:spacing w:after="0" w:line="240" w:lineRule="auto"/>
    </w:pPr>
    <w:rPr>
      <w:rFonts w:ascii="Times New Roman" w:hAnsi="Times New Roman"/>
      <w:sz w:val="20"/>
      <w:szCs w:val="20"/>
    </w:rPr>
  </w:style>
  <w:style w:type="paragraph" w:styleId="1190">
    <w:name w:val="目录 21"/>
    <w:basedOn w:val="731"/>
    <w:next w:val="731"/>
    <w:link w:val="731"/>
    <w:semiHidden/>
    <w:pPr>
      <w:ind w:left="210"/>
      <w:spacing w:after="0" w:line="240" w:lineRule="auto"/>
    </w:pPr>
    <w:rPr>
      <w:rFonts w:ascii="Times New Roman" w:hAnsi="Times New Roman"/>
      <w:smallCaps/>
      <w:sz w:val="20"/>
      <w:szCs w:val="24"/>
    </w:rPr>
  </w:style>
  <w:style w:type="paragraph" w:styleId="1191">
    <w:name w:val="目录 3_0"/>
    <w:basedOn w:val="1209"/>
    <w:next w:val="1209"/>
    <w:link w:val="731"/>
    <w:uiPriority w:val="99"/>
    <w:qFormat/>
    <w:pPr>
      <w:ind w:left="840"/>
    </w:pPr>
    <w:rPr>
      <w:rFonts w:ascii="Calibri" w:hAnsi="Calibri"/>
    </w:rPr>
  </w:style>
  <w:style w:type="paragraph" w:styleId="1192">
    <w:name w:val="1方案格式1"/>
    <w:basedOn w:val="732"/>
    <w:next w:val="1192"/>
    <w:link w:val="731"/>
    <w:uiPriority w:val="99"/>
    <w:qFormat/>
    <w:pPr>
      <w:jc w:val="center"/>
      <w:spacing w:before="340" w:after="330" w:line="360" w:lineRule="auto"/>
      <w:widowControl w:val="off"/>
      <w:tabs>
        <w:tab w:val="left" w:pos="360" w:leader="none"/>
      </w:tabs>
    </w:pPr>
    <w:rPr>
      <w:rFonts w:ascii="Times New Roman" w:hAnsi="Times New Roman" w:eastAsia="微软雅黑" w:cs="Calibri"/>
      <w:color w:val="000000"/>
      <w:sz w:val="48"/>
      <w:szCs w:val="48"/>
    </w:rPr>
  </w:style>
  <w:style w:type="paragraph" w:styleId="1193">
    <w:name w:val="目录 91"/>
    <w:basedOn w:val="731"/>
    <w:next w:val="731"/>
    <w:link w:val="731"/>
    <w:semiHidden/>
    <w:pPr>
      <w:ind w:left="1680"/>
      <w:spacing w:after="0" w:line="240" w:lineRule="auto"/>
    </w:pPr>
    <w:rPr>
      <w:rFonts w:ascii="Times New Roman" w:hAnsi="Times New Roman"/>
      <w:sz w:val="20"/>
      <w:szCs w:val="20"/>
    </w:rPr>
  </w:style>
  <w:style w:type="paragraph" w:styleId="1194">
    <w:name w:val="普通(网站)1"/>
    <w:basedOn w:val="731"/>
    <w:next w:val="1194"/>
    <w:link w:val="731"/>
    <w:uiPriority w:val="99"/>
    <w:pPr>
      <w:spacing w:before="100" w:beforeAutospacing="1" w:after="100" w:afterAutospacing="1" w:line="240" w:lineRule="auto"/>
    </w:pPr>
    <w:rPr>
      <w:rFonts w:ascii="宋体" w:hAnsi="宋体" w:cs="宋体"/>
      <w:sz w:val="24"/>
      <w:szCs w:val="24"/>
    </w:rPr>
  </w:style>
  <w:style w:type="paragraph" w:styleId="1195">
    <w:name w:val="目录 5_0"/>
    <w:basedOn w:val="1209"/>
    <w:next w:val="1209"/>
    <w:link w:val="731"/>
    <w:uiPriority w:val="99"/>
    <w:qFormat/>
    <w:pPr>
      <w:ind w:left="1680"/>
    </w:pPr>
    <w:rPr>
      <w:rFonts w:ascii="Calibri" w:hAnsi="Calibri"/>
    </w:rPr>
  </w:style>
  <w:style w:type="paragraph" w:styleId="1196">
    <w:name w:val="索引 11"/>
    <w:basedOn w:val="731"/>
    <w:next w:val="731"/>
    <w:link w:val="731"/>
    <w:semiHidden/>
    <w:pPr>
      <w:spacing w:after="0" w:line="240" w:lineRule="atLeast"/>
    </w:pPr>
    <w:rPr>
      <w:rFonts w:ascii="Times New Roman" w:hAnsi="Times New Roman"/>
      <w:b/>
      <w:bCs/>
      <w:sz w:val="20"/>
      <w:szCs w:val="20"/>
    </w:rPr>
  </w:style>
  <w:style w:type="paragraph" w:styleId="1197">
    <w:name w:val="正文 + 行距: 固定值 20 磅"/>
    <w:basedOn w:val="731"/>
    <w:next w:val="1197"/>
    <w:link w:val="731"/>
    <w:uiPriority w:val="99"/>
    <w:qFormat/>
    <w:pPr>
      <w:ind w:firstLine="716"/>
      <w:spacing w:after="160" w:line="400" w:lineRule="exact"/>
      <w:widowControl w:val="off"/>
    </w:pPr>
    <w:rPr>
      <w:rFonts w:ascii="Calibri" w:hAnsi="Calibri" w:cs="Calibri"/>
      <w:sz w:val="21"/>
      <w:szCs w:val="21"/>
    </w:rPr>
  </w:style>
  <w:style w:type="paragraph" w:styleId="1198">
    <w:name w:val="正文文本_0"/>
    <w:basedOn w:val="1209"/>
    <w:next w:val="1198"/>
    <w:link w:val="989"/>
    <w:uiPriority w:val="99"/>
    <w:qFormat/>
    <w:pPr>
      <w:spacing w:after="120"/>
    </w:pPr>
    <w:rPr>
      <w:rFonts w:cs="Times New Roman"/>
      <w:sz w:val="24"/>
      <w:szCs w:val="24"/>
    </w:rPr>
  </w:style>
  <w:style w:type="paragraph" w:styleId="1199">
    <w:name w:val="正文首行缩进1"/>
    <w:basedOn w:val="731"/>
    <w:next w:val="1199"/>
    <w:link w:val="731"/>
    <w:pPr>
      <w:ind w:firstLine="200"/>
      <w:spacing w:after="0" w:line="360" w:lineRule="auto"/>
    </w:pPr>
    <w:rPr>
      <w:rFonts w:ascii="仿宋_GB2312" w:hAnsi="Times New Roman" w:eastAsia="仿宋_GB2312"/>
      <w:sz w:val="30"/>
      <w:szCs w:val="30"/>
    </w:rPr>
  </w:style>
  <w:style w:type="paragraph" w:styleId="1200">
    <w:name w:val="正文_段"/>
    <w:basedOn w:val="731"/>
    <w:next w:val="1200"/>
    <w:link w:val="731"/>
    <w:qFormat/>
    <w:pPr>
      <w:ind w:firstLine="480"/>
      <w:spacing w:after="160" w:line="360" w:lineRule="auto"/>
      <w:widowControl w:val="off"/>
    </w:pPr>
    <w:rPr>
      <w:rFonts w:ascii="宋体" w:hAnsi="Calibri" w:cs="宋体"/>
      <w:color w:val="000000"/>
      <w:sz w:val="24"/>
      <w:szCs w:val="21"/>
    </w:rPr>
  </w:style>
  <w:style w:type="paragraph" w:styleId="1201">
    <w:name w:val="正文首行缩进 21"/>
    <w:basedOn w:val="1169"/>
    <w:next w:val="1201"/>
    <w:link w:val="731"/>
    <w:pPr>
      <w:ind w:firstLine="420"/>
      <w:spacing w:line="360" w:lineRule="auto"/>
    </w:pPr>
    <w:rPr>
      <w:rFonts w:ascii="宋体" w:hAnsi="宋体" w:eastAsia="宋体"/>
      <w:sz w:val="21"/>
      <w:szCs w:val="20"/>
    </w:rPr>
  </w:style>
  <w:style w:type="paragraph" w:styleId="1202">
    <w:name w:val="Default"/>
    <w:next w:val="1202"/>
    <w:link w:val="731"/>
    <w:qFormat/>
    <w:pPr>
      <w:spacing w:after="160" w:line="278" w:lineRule="auto"/>
      <w:widowControl w:val="off"/>
    </w:pPr>
    <w:rPr>
      <w:rFonts w:ascii="宋体" w:cs="宋体"/>
      <w:color w:val="000000"/>
      <w:sz w:val="24"/>
      <w:szCs w:val="24"/>
      <w:lang w:val="en-US" w:eastAsia="zh-CN" w:bidi="ar-SA"/>
    </w:rPr>
  </w:style>
  <w:style w:type="paragraph" w:styleId="1203">
    <w:name w:val="列出段落"/>
    <w:basedOn w:val="731"/>
    <w:next w:val="1203"/>
    <w:link w:val="731"/>
    <w:qFormat/>
    <w:pPr>
      <w:contextualSpacing/>
      <w:ind w:left="720"/>
      <w:spacing w:after="0" w:line="240" w:lineRule="auto"/>
    </w:pPr>
    <w:rPr>
      <w:sz w:val="24"/>
      <w:szCs w:val="24"/>
      <w:lang w:eastAsia="en-US" w:bidi="en-US"/>
    </w:rPr>
  </w:style>
  <w:style w:type="paragraph" w:styleId="1204">
    <w:name w:val=" Char Char Char Char Char Char Char Char Char Char"/>
    <w:basedOn w:val="731"/>
    <w:next w:val="1204"/>
    <w:link w:val="731"/>
    <w:pPr>
      <w:spacing w:after="0" w:line="360" w:lineRule="auto"/>
    </w:pPr>
    <w:rPr>
      <w:rFonts w:ascii="Times New Roman" w:hAnsi="Times New Roman"/>
      <w:sz w:val="24"/>
      <w:szCs w:val="20"/>
    </w:rPr>
  </w:style>
  <w:style w:type="paragraph" w:styleId="1205">
    <w:name w:val="首行缩进"/>
    <w:basedOn w:val="731"/>
    <w:next w:val="1205"/>
    <w:link w:val="731"/>
    <w:qFormat/>
    <w:pPr>
      <w:ind w:firstLine="420"/>
      <w:spacing w:after="0" w:line="360" w:lineRule="auto"/>
    </w:pPr>
    <w:rPr>
      <w:rFonts w:ascii="Times New Roman" w:hAnsi="Times New Roman"/>
      <w:sz w:val="20"/>
      <w:szCs w:val="20"/>
    </w:rPr>
  </w:style>
  <w:style w:type="paragraph" w:styleId="1206">
    <w:name w:val="_Style 67"/>
    <w:basedOn w:val="731"/>
    <w:next w:val="731"/>
    <w:link w:val="731"/>
    <w:uiPriority w:val="34"/>
    <w:qFormat/>
    <w:pPr>
      <w:ind w:firstLine="420"/>
      <w:spacing w:after="160" w:line="360" w:lineRule="auto"/>
    </w:pPr>
    <w:rPr>
      <w:rFonts w:ascii="Calibri" w:hAnsi="Calibri" w:eastAsia="微软雅黑" w:cs="Calibri"/>
      <w:sz w:val="24"/>
    </w:rPr>
  </w:style>
  <w:style w:type="paragraph" w:styleId="1207">
    <w:name w:val="标题 1_0"/>
    <w:basedOn w:val="1209"/>
    <w:next w:val="1209"/>
    <w:link w:val="880"/>
    <w:uiPriority w:val="99"/>
    <w:qFormat/>
    <w:pPr>
      <w:keepLines/>
      <w:keepNext/>
      <w:spacing w:before="340" w:after="330" w:line="578" w:lineRule="auto"/>
      <w:outlineLvl w:val="0"/>
    </w:pPr>
    <w:rPr>
      <w:rFonts w:cs="Times New Roman"/>
      <w:b/>
      <w:bCs/>
      <w:sz w:val="44"/>
      <w:szCs w:val="44"/>
    </w:rPr>
  </w:style>
  <w:style w:type="paragraph" w:styleId="1208">
    <w:name w:val="正文_0_0_0"/>
    <w:next w:val="1208"/>
    <w:link w:val="731"/>
    <w:uiPriority w:val="99"/>
    <w:qFormat/>
    <w:pPr>
      <w:jc w:val="both"/>
      <w:spacing w:after="160" w:line="278" w:lineRule="auto"/>
      <w:widowControl w:val="off"/>
    </w:pPr>
    <w:rPr>
      <w:rFonts w:cs="Calibri"/>
      <w:lang w:val="en-US" w:eastAsia="zh-CN" w:bidi="ar-SA"/>
    </w:rPr>
  </w:style>
  <w:style w:type="paragraph" w:styleId="1209">
    <w:name w:val="正文_0"/>
    <w:next w:val="1209"/>
    <w:link w:val="731"/>
    <w:uiPriority w:val="99"/>
    <w:qFormat/>
    <w:pPr>
      <w:jc w:val="both"/>
      <w:spacing w:after="160" w:line="278" w:lineRule="auto"/>
      <w:widowControl w:val="off"/>
    </w:pPr>
    <w:rPr>
      <w:rFonts w:cs="Calibri"/>
      <w:sz w:val="21"/>
      <w:szCs w:val="21"/>
      <w:lang w:val="en-US" w:eastAsia="zh-CN" w:bidi="ar-SA"/>
    </w:rPr>
  </w:style>
  <w:style w:type="paragraph" w:styleId="1210">
    <w:name w:val="表格文字"/>
    <w:basedOn w:val="731"/>
    <w:next w:val="1210"/>
    <w:link w:val="819"/>
    <w:uiPriority w:val="99"/>
    <w:qFormat/>
    <w:pPr>
      <w:spacing w:after="160" w:line="420" w:lineRule="atLeast"/>
      <w:widowControl w:val="off"/>
    </w:pPr>
    <w:rPr>
      <w:szCs w:val="20"/>
    </w:rPr>
  </w:style>
  <w:style w:type="paragraph" w:styleId="1211">
    <w:name w:val="标题5"/>
    <w:basedOn w:val="734"/>
    <w:next w:val="1211"/>
    <w:link w:val="870"/>
    <w:uiPriority w:val="99"/>
    <w:qFormat/>
    <w:pPr>
      <w:spacing w:before="260" w:after="260" w:line="413" w:lineRule="auto"/>
      <w:widowControl w:val="off"/>
    </w:pPr>
    <w:rPr>
      <w:rFonts w:ascii="Arial" w:hAnsi="Arial"/>
      <w:b w:val="0"/>
      <w:bCs w:val="0"/>
      <w:color w:val="000000"/>
    </w:rPr>
  </w:style>
  <w:style w:type="paragraph" w:styleId="1212">
    <w:name w:val="正文格式"/>
    <w:basedOn w:val="731"/>
    <w:next w:val="1212"/>
    <w:link w:val="731"/>
    <w:qFormat/>
    <w:pPr>
      <w:ind w:firstLine="482"/>
      <w:spacing w:after="160" w:line="360" w:lineRule="auto"/>
      <w:widowControl w:val="off"/>
    </w:pPr>
    <w:rPr>
      <w:rFonts w:ascii="Calibri" w:hAnsi="Calibri" w:cs="Calibri"/>
      <w:sz w:val="24"/>
      <w:szCs w:val="24"/>
    </w:rPr>
  </w:style>
  <w:style w:type="paragraph" w:styleId="1213">
    <w:name w:val="标题 5_0"/>
    <w:basedOn w:val="1209"/>
    <w:next w:val="1209"/>
    <w:link w:val="948"/>
    <w:uiPriority w:val="99"/>
    <w:qFormat/>
    <w:pPr>
      <w:keepLines/>
      <w:keepNext/>
      <w:spacing w:before="280" w:after="290" w:line="372" w:lineRule="auto"/>
      <w:outlineLvl w:val="4"/>
    </w:pPr>
    <w:rPr>
      <w:rFonts w:cs="Times New Roman"/>
      <w:b/>
      <w:bCs/>
      <w:sz w:val="28"/>
      <w:szCs w:val="28"/>
    </w:rPr>
  </w:style>
  <w:style w:type="paragraph" w:styleId="1214">
    <w:name w:val="flNote"/>
    <w:basedOn w:val="731"/>
    <w:next w:val="1214"/>
    <w:link w:val="731"/>
    <w:uiPriority w:val="99"/>
    <w:qFormat/>
    <w:pPr>
      <w:jc w:val="center"/>
      <w:spacing w:before="320" w:after="160" w:line="360" w:lineRule="atLeast"/>
      <w:widowControl w:val="off"/>
    </w:pPr>
    <w:rPr>
      <w:rFonts w:ascii="Arial" w:hAnsi="Calibri" w:eastAsia="黑体" w:cs="Arial"/>
      <w:sz w:val="30"/>
      <w:szCs w:val="30"/>
    </w:rPr>
  </w:style>
  <w:style w:type="paragraph" w:styleId="1215">
    <w:name w:val="标题 4_0"/>
    <w:basedOn w:val="1209"/>
    <w:next w:val="1209"/>
    <w:link w:val="976"/>
    <w:uiPriority w:val="99"/>
    <w:qFormat/>
    <w:pPr>
      <w:keepLines/>
      <w:keepNext/>
      <w:spacing w:before="280" w:after="290" w:line="376" w:lineRule="auto"/>
      <w:outlineLvl w:val="3"/>
    </w:pPr>
    <w:rPr>
      <w:rFonts w:ascii="Arial" w:hAnsi="Arial" w:eastAsia="黑体" w:cs="Times New Roman"/>
      <w:b/>
      <w:bCs/>
      <w:sz w:val="28"/>
      <w:szCs w:val="28"/>
    </w:rPr>
  </w:style>
  <w:style w:type="paragraph" w:styleId="1216">
    <w:name w:val="Blockquote_0"/>
    <w:basedOn w:val="1209"/>
    <w:next w:val="1216"/>
    <w:link w:val="731"/>
    <w:uiPriority w:val="99"/>
    <w:qFormat/>
    <w:pPr>
      <w:ind w:left="360" w:right="360"/>
      <w:jc w:val="left"/>
      <w:spacing w:before="100" w:after="100"/>
    </w:pPr>
    <w:rPr>
      <w:rFonts w:ascii="Calibri" w:hAnsi="Calibri"/>
      <w:sz w:val="24"/>
      <w:szCs w:val="24"/>
    </w:rPr>
  </w:style>
  <w:style w:type="paragraph" w:styleId="1217">
    <w:name w:val="2方案格式2"/>
    <w:basedOn w:val="1192"/>
    <w:next w:val="1217"/>
    <w:link w:val="731"/>
    <w:uiPriority w:val="99"/>
    <w:qFormat/>
    <w:pPr>
      <w:numPr>
        <w:ilvl w:val="1"/>
        <w:numId w:val="0"/>
      </w:numPr>
      <w:spacing w:before="50" w:after="50" w:line="240" w:lineRule="auto"/>
      <w:tabs>
        <w:tab w:val="left" w:pos="360" w:leader="none"/>
      </w:tabs>
      <w:outlineLvl w:val="1"/>
    </w:pPr>
    <w:rPr>
      <w:sz w:val="44"/>
      <w:szCs w:val="44"/>
    </w:rPr>
  </w:style>
  <w:style w:type="paragraph" w:styleId="1218">
    <w:name w:val="纯文本2"/>
    <w:basedOn w:val="731"/>
    <w:next w:val="1218"/>
    <w:link w:val="731"/>
    <w:uiPriority w:val="99"/>
    <w:qFormat/>
    <w:pPr>
      <w:spacing w:after="160" w:line="278" w:lineRule="auto"/>
      <w:widowControl w:val="off"/>
    </w:pPr>
    <w:rPr>
      <w:rFonts w:ascii="宋体" w:hAnsi="宋体" w:cs="宋体"/>
      <w:sz w:val="24"/>
      <w:szCs w:val="24"/>
    </w:rPr>
  </w:style>
  <w:style w:type="paragraph" w:styleId="1219">
    <w:name w:val="并列项-点"/>
    <w:basedOn w:val="731"/>
    <w:next w:val="1219"/>
    <w:link w:val="731"/>
    <w:qFormat/>
    <w:pPr>
      <w:numPr>
        <w:ilvl w:val="0"/>
        <w:numId w:val="4"/>
      </w:numPr>
      <w:spacing w:after="160" w:line="360" w:lineRule="auto"/>
      <w:widowControl w:val="off"/>
      <w:tabs>
        <w:tab w:val="left" w:pos="851" w:leader="none"/>
        <w:tab w:val="left" w:pos="3054" w:leader="none"/>
      </w:tabs>
    </w:pPr>
    <w:rPr>
      <w:rFonts w:ascii="Calibri" w:hAnsi="Calibri" w:cs="Calibri"/>
      <w:sz w:val="24"/>
      <w:szCs w:val="24"/>
    </w:rPr>
  </w:style>
  <w:style w:type="paragraph" w:styleId="1220">
    <w:name w:val="6'"/>
    <w:basedOn w:val="731"/>
    <w:next w:val="1220"/>
    <w:link w:val="731"/>
    <w:uiPriority w:val="99"/>
    <w:qFormat/>
    <w:pPr>
      <w:jc w:val="center"/>
      <w:spacing w:after="160" w:line="320" w:lineRule="exact"/>
      <w:widowControl w:val="off"/>
    </w:pPr>
    <w:rPr>
      <w:rFonts w:ascii="Calibri" w:hAnsi="Calibri" w:cs="Calibri"/>
      <w:spacing w:val="20"/>
      <w:sz w:val="21"/>
      <w:szCs w:val="21"/>
    </w:rPr>
  </w:style>
  <w:style w:type="paragraph" w:styleId="1221">
    <w:name w:val="absatz4"/>
    <w:basedOn w:val="731"/>
    <w:next w:val="1221"/>
    <w:link w:val="731"/>
    <w:qFormat/>
    <w:pPr>
      <w:ind w:left="2268" w:hanging="2268"/>
      <w:spacing w:after="160" w:line="256" w:lineRule="auto"/>
      <w:tabs>
        <w:tab w:val="left" w:pos="709" w:leader="none"/>
        <w:tab w:val="left" w:pos="2268" w:leader="none"/>
        <w:tab w:val="right" w:pos="10206" w:leader="none"/>
      </w:tabs>
    </w:pPr>
    <w:rPr>
      <w:rFonts w:ascii="Calibri" w:hAnsi="Calibri" w:cs="Calibri"/>
      <w:sz w:val="24"/>
      <w:szCs w:val="20"/>
      <w:lang w:val="en-GB" w:eastAsia="es-ES"/>
    </w:rPr>
  </w:style>
  <w:style w:type="paragraph" w:styleId="1222">
    <w:name w:val="Char Char Char Char Char Char Char"/>
    <w:basedOn w:val="731"/>
    <w:next w:val="1222"/>
    <w:link w:val="731"/>
    <w:uiPriority w:val="99"/>
    <w:qFormat/>
    <w:pPr>
      <w:spacing w:after="160" w:line="360" w:lineRule="auto"/>
      <w:widowControl w:val="off"/>
    </w:pPr>
    <w:rPr>
      <w:rFonts w:cs="Calibri"/>
      <w:sz w:val="24"/>
      <w:szCs w:val="24"/>
    </w:rPr>
  </w:style>
  <w:style w:type="paragraph" w:styleId="1223">
    <w:name w:val="空半行"/>
    <w:basedOn w:val="731"/>
    <w:next w:val="1223"/>
    <w:link w:val="731"/>
    <w:uiPriority w:val="99"/>
    <w:qFormat/>
    <w:pPr>
      <w:spacing w:after="160" w:line="120" w:lineRule="exact"/>
      <w:widowControl w:val="off"/>
    </w:pPr>
    <w:rPr>
      <w:rFonts w:ascii="Calibri" w:hAnsi="Calibri" w:eastAsia="仿宋_GB2312" w:cs="Calibri"/>
      <w:color w:val="ffffff"/>
      <w:sz w:val="30"/>
      <w:szCs w:val="30"/>
    </w:rPr>
  </w:style>
  <w:style w:type="paragraph" w:styleId="1224">
    <w:name w:val="Char Char2 Char Char Char Char Char Char Char Char"/>
    <w:basedOn w:val="731"/>
    <w:next w:val="1224"/>
    <w:link w:val="731"/>
    <w:qFormat/>
    <w:pPr>
      <w:spacing w:after="160" w:line="278" w:lineRule="auto"/>
      <w:widowControl w:val="off"/>
    </w:pPr>
    <w:rPr>
      <w:rFonts w:ascii="Tahoma" w:hAnsi="Tahoma" w:cs="Calibri"/>
      <w:sz w:val="24"/>
      <w:szCs w:val="20"/>
    </w:rPr>
  </w:style>
  <w:style w:type="paragraph" w:styleId="1225">
    <w:name w:val="文档正文"/>
    <w:basedOn w:val="731"/>
    <w:next w:val="1225"/>
    <w:link w:val="731"/>
    <w:uiPriority w:val="99"/>
    <w:qFormat/>
    <w:pPr>
      <w:ind w:firstLine="567"/>
      <w:spacing w:after="160" w:line="480" w:lineRule="atLeast"/>
      <w:widowControl w:val="off"/>
    </w:pPr>
    <w:rPr>
      <w:rFonts w:ascii="Ari" w:eastAsia="Times New Roman" w:cs="Ari"/>
      <w:sz w:val="28"/>
      <w:szCs w:val="28"/>
    </w:rPr>
  </w:style>
  <w:style w:type="paragraph" w:styleId="1226">
    <w:name w:val="_Style 34"/>
    <w:next w:val="731"/>
    <w:link w:val="731"/>
    <w:uiPriority w:val="99"/>
    <w:qFormat/>
    <w:pPr>
      <w:jc w:val="both"/>
      <w:spacing w:after="160" w:line="278" w:lineRule="auto"/>
      <w:widowControl w:val="off"/>
    </w:pPr>
    <w:rPr>
      <w:rFonts w:cs="Calibri"/>
      <w:sz w:val="21"/>
      <w:szCs w:val="21"/>
      <w:lang w:val="en-US" w:eastAsia="zh-CN" w:bidi="ar-SA"/>
    </w:rPr>
  </w:style>
  <w:style w:type="paragraph" w:styleId="1227">
    <w:name w:val="标题2"/>
    <w:basedOn w:val="733"/>
    <w:next w:val="1048"/>
    <w:link w:val="731"/>
    <w:uiPriority w:val="99"/>
    <w:qFormat/>
    <w:pPr>
      <w:numPr>
        <w:ilvl w:val="1"/>
        <w:numId w:val="0"/>
      </w:numPr>
      <w:spacing w:before="156" w:after="156" w:line="360" w:lineRule="auto"/>
      <w:widowControl w:val="off"/>
    </w:pPr>
    <w:rPr>
      <w:rFonts w:cs="Cambria"/>
      <w:color w:val="000000"/>
      <w:sz w:val="24"/>
      <w:szCs w:val="24"/>
    </w:rPr>
  </w:style>
  <w:style w:type="paragraph" w:styleId="1228">
    <w:name w:val="op_mapdots_left"/>
    <w:basedOn w:val="731"/>
    <w:next w:val="1228"/>
    <w:link w:val="731"/>
    <w:uiPriority w:val="99"/>
    <w:qFormat/>
    <w:pPr>
      <w:spacing w:before="100" w:beforeAutospacing="1" w:after="100" w:afterAutospacing="1" w:line="278" w:lineRule="auto"/>
    </w:pPr>
    <w:rPr>
      <w:rFonts w:ascii="宋体" w:hAnsi="宋体" w:cs="宋体"/>
      <w:sz w:val="24"/>
      <w:szCs w:val="24"/>
    </w:rPr>
  </w:style>
  <w:style w:type="paragraph" w:styleId="1229">
    <w:name w:val="样式 标题 1 + 黑体 三号 非加粗 居中 段前: 6 磅 段后: 6 磅 行距: 固定值 20 磅"/>
    <w:basedOn w:val="732"/>
    <w:next w:val="1229"/>
    <w:link w:val="731"/>
    <w:uiPriority w:val="99"/>
    <w:qFormat/>
    <w:pPr>
      <w:jc w:val="center"/>
      <w:spacing w:before="120" w:after="120" w:line="400" w:lineRule="exact"/>
      <w:widowControl w:val="off"/>
    </w:pPr>
    <w:rPr>
      <w:rFonts w:ascii="黑体" w:hAnsi="黑体" w:eastAsia="黑体" w:cs="黑体"/>
      <w:b w:val="0"/>
      <w:bCs w:val="0"/>
      <w:color w:val="000000"/>
      <w:sz w:val="32"/>
      <w:szCs w:val="32"/>
    </w:rPr>
  </w:style>
  <w:style w:type="paragraph" w:styleId="1230">
    <w:name w:val="样式 标题 2 + Times New Roman 四号 非加粗 段前: 5 磅 段后: 0 磅 行距: 固定值 20..."/>
    <w:basedOn w:val="733"/>
    <w:next w:val="1230"/>
    <w:link w:val="731"/>
    <w:uiPriority w:val="99"/>
    <w:qFormat/>
    <w:pPr>
      <w:spacing w:before="100" w:line="400" w:lineRule="exact"/>
      <w:widowControl w:val="off"/>
    </w:pPr>
    <w:rPr>
      <w:rFonts w:ascii="Times New Roman" w:hAnsi="Times New Roman" w:eastAsia="黑体"/>
      <w:b w:val="0"/>
      <w:bCs w:val="0"/>
      <w:color w:val="000000"/>
      <w:sz w:val="28"/>
      <w:szCs w:val="28"/>
    </w:rPr>
  </w:style>
  <w:style w:type="paragraph" w:styleId="1231">
    <w:name w:val="列出段落11"/>
    <w:basedOn w:val="731"/>
    <w:next w:val="1231"/>
    <w:link w:val="731"/>
    <w:uiPriority w:val="99"/>
    <w:qFormat/>
    <w:pPr>
      <w:ind w:left="720"/>
      <w:spacing w:after="160" w:line="278" w:lineRule="auto"/>
    </w:pPr>
    <w:rPr>
      <w:rFonts w:ascii="Arial" w:hAnsi="Arial" w:eastAsia="黑体" w:cs="Arial"/>
      <w:sz w:val="24"/>
      <w:szCs w:val="24"/>
      <w:lang w:eastAsia="en-US"/>
    </w:rPr>
  </w:style>
  <w:style w:type="paragraph" w:styleId="1232">
    <w:name w:val="目录 4_0"/>
    <w:basedOn w:val="1209"/>
    <w:next w:val="1209"/>
    <w:link w:val="731"/>
    <w:uiPriority w:val="99"/>
    <w:qFormat/>
    <w:pPr>
      <w:ind w:left="1260"/>
    </w:pPr>
    <w:rPr>
      <w:rFonts w:ascii="Calibri" w:hAnsi="Calibri"/>
    </w:rPr>
  </w:style>
  <w:style w:type="paragraph" w:styleId="1233">
    <w:name w:val="txt"/>
    <w:basedOn w:val="731"/>
    <w:next w:val="1233"/>
    <w:link w:val="731"/>
    <w:uiPriority w:val="99"/>
    <w:qFormat/>
    <w:pPr>
      <w:spacing w:before="100" w:beforeAutospacing="1" w:after="100" w:afterAutospacing="1" w:line="278" w:lineRule="auto"/>
    </w:pPr>
    <w:rPr>
      <w:rFonts w:ascii="宋体" w:hAnsi="宋体" w:cs="宋体"/>
      <w:sz w:val="24"/>
      <w:szCs w:val="24"/>
    </w:rPr>
  </w:style>
  <w:style w:type="paragraph" w:styleId="1234">
    <w:name w:val="_Style 36"/>
    <w:next w:val="731"/>
    <w:link w:val="731"/>
    <w:uiPriority w:val="99"/>
    <w:qFormat/>
    <w:pPr>
      <w:jc w:val="both"/>
      <w:spacing w:after="160" w:line="278" w:lineRule="auto"/>
      <w:widowControl w:val="off"/>
    </w:pPr>
    <w:rPr>
      <w:rFonts w:cs="Calibri"/>
      <w:sz w:val="21"/>
      <w:szCs w:val="21"/>
      <w:lang w:val="en-US" w:eastAsia="zh-CN" w:bidi="ar-SA"/>
    </w:rPr>
  </w:style>
  <w:style w:type="table" w:styleId="1235">
    <w:name w:val="网格型"/>
    <w:basedOn w:val="742"/>
    <w:next w:val="1235"/>
    <w:link w:val="731"/>
    <w:uiPriority w:val="39"/>
    <w:qFormat/>
    <w:rPr>
      <w:sz w:val="21"/>
    </w:rPr>
    <w:tblPr/>
  </w:style>
  <w:style w:type="table" w:styleId="1236">
    <w:name w:val="网格型9"/>
    <w:basedOn w:val="742"/>
    <w:next w:val="1236"/>
    <w:link w:val="731"/>
    <w:uiPriority w:val="39"/>
    <w:qFormat/>
    <w:pPr>
      <w:jc w:val="both"/>
      <w:widowControl w:val="off"/>
    </w:pPr>
    <w:tblPr/>
  </w:style>
  <w:style w:type="table" w:styleId="1237">
    <w:name w:val="网格型3"/>
    <w:basedOn w:val="742"/>
    <w:next w:val="1237"/>
    <w:link w:val="731"/>
    <w:qFormat/>
    <w:pPr>
      <w:jc w:val="both"/>
      <w:widowControl w:val="off"/>
    </w:pPr>
    <w:rPr>
      <w:rFonts w:ascii="Times New Roman" w:hAnsi="Times New Roman"/>
    </w:rPr>
    <w:tblPr/>
  </w:style>
  <w:style w:type="table" w:styleId="1238">
    <w:name w:val="网格型10"/>
    <w:basedOn w:val="742"/>
    <w:next w:val="1238"/>
    <w:link w:val="731"/>
    <w:uiPriority w:val="39"/>
    <w:qFormat/>
    <w:rPr>
      <w:rFonts w:ascii="Times New Roman" w:hAnsi="Times New Roman"/>
    </w:rPr>
    <w:tblPr/>
  </w:style>
  <w:style w:type="table" w:styleId="1239">
    <w:name w:val="网格型2"/>
    <w:basedOn w:val="742"/>
    <w:next w:val="1239"/>
    <w:link w:val="731"/>
    <w:uiPriority w:val="39"/>
    <w:qFormat/>
    <w:rPr>
      <w:rFonts w:ascii="等线" w:hAnsi="等线" w:eastAsia="等线"/>
      <w:sz w:val="21"/>
    </w:rPr>
    <w:tblPr/>
  </w:style>
  <w:style w:type="table" w:styleId="1240">
    <w:name w:val="网格型1"/>
    <w:basedOn w:val="742"/>
    <w:next w:val="1240"/>
    <w:link w:val="731"/>
    <w:uiPriority w:val="59"/>
    <w:qFormat/>
    <w:rPr>
      <w:sz w:val="21"/>
    </w:rPr>
    <w:tblPr/>
  </w:style>
  <w:style w:type="table" w:styleId="1241">
    <w:name w:val="网格型11"/>
    <w:basedOn w:val="742"/>
    <w:next w:val="1241"/>
    <w:link w:val="731"/>
    <w:uiPriority w:val="59"/>
    <w:qFormat/>
    <w:rPr>
      <w:rFonts w:ascii="等线" w:hAnsi="等线" w:eastAsia="等线"/>
      <w:sz w:val="21"/>
    </w:rPr>
    <w:tblPr/>
  </w:style>
  <w:style w:type="table" w:styleId="1242">
    <w:name w:val="网格型51"/>
    <w:basedOn w:val="742"/>
    <w:next w:val="1242"/>
    <w:link w:val="731"/>
    <w:uiPriority w:val="59"/>
    <w:qFormat/>
    <w:rPr>
      <w:rFonts w:ascii="Times New Roman" w:hAnsi="Times New Roman"/>
    </w:rPr>
    <w:tblPr/>
  </w:style>
  <w:style w:type="table" w:styleId="1243">
    <w:name w:val="网格型7"/>
    <w:basedOn w:val="742"/>
    <w:next w:val="1243"/>
    <w:link w:val="731"/>
    <w:uiPriority w:val="59"/>
    <w:qFormat/>
    <w:rPr>
      <w:rFonts w:ascii="Times New Roman" w:hAnsi="Times New Roman"/>
    </w:rPr>
    <w:tblPr/>
  </w:style>
  <w:style w:type="table" w:styleId="1244">
    <w:name w:val="网格型21"/>
    <w:basedOn w:val="742"/>
    <w:next w:val="1244"/>
    <w:link w:val="731"/>
    <w:uiPriority w:val="59"/>
    <w:qFormat/>
    <w:rPr>
      <w:sz w:val="21"/>
    </w:rPr>
    <w:tblPr/>
  </w:style>
  <w:style w:type="table" w:styleId="1245">
    <w:name w:val="网格型12"/>
    <w:basedOn w:val="742"/>
    <w:next w:val="1245"/>
    <w:link w:val="731"/>
    <w:uiPriority w:val="39"/>
    <w:qFormat/>
    <w:rPr>
      <w:rFonts w:ascii="Times New Roman" w:hAnsi="Times New Roman"/>
    </w:rPr>
    <w:tblPr/>
  </w:style>
  <w:style w:type="table" w:styleId="1246">
    <w:name w:val="网格型4"/>
    <w:basedOn w:val="742"/>
    <w:next w:val="1246"/>
    <w:link w:val="731"/>
    <w:uiPriority w:val="59"/>
    <w:qFormat/>
    <w:tblPr/>
  </w:style>
  <w:style w:type="table" w:styleId="1247">
    <w:name w:val="网格型5"/>
    <w:basedOn w:val="742"/>
    <w:next w:val="1247"/>
    <w:link w:val="731"/>
    <w:uiPriority w:val="59"/>
    <w:qFormat/>
    <w:rPr>
      <w:rFonts w:ascii="Times New Roman" w:hAnsi="Times New Roman"/>
    </w:rPr>
    <w:tblPr/>
  </w:style>
  <w:style w:type="table" w:styleId="1248">
    <w:name w:val="网格型6"/>
    <w:basedOn w:val="742"/>
    <w:next w:val="1248"/>
    <w:link w:val="731"/>
    <w:uiPriority w:val="59"/>
    <w:qFormat/>
    <w:rPr>
      <w:rFonts w:ascii="Times New Roman" w:hAnsi="Times New Roman"/>
    </w:rPr>
    <w:tblPr/>
  </w:style>
  <w:style w:type="table" w:styleId="1249">
    <w:name w:val="网格型8"/>
    <w:basedOn w:val="742"/>
    <w:next w:val="1249"/>
    <w:link w:val="731"/>
    <w:uiPriority w:val="59"/>
    <w:qFormat/>
    <w:pPr>
      <w:jc w:val="both"/>
      <w:widowControl w:val="off"/>
    </w:pPr>
    <w:tblPr/>
  </w:style>
  <w:style w:type="table" w:styleId="1250">
    <w:name w:val="网格型13"/>
    <w:basedOn w:val="742"/>
    <w:next w:val="1250"/>
    <w:link w:val="731"/>
    <w:uiPriority w:val="39"/>
    <w:qFormat/>
    <w:rPr>
      <w:rFonts w:ascii="Times New Roman" w:hAnsi="Times New Roman"/>
    </w:rPr>
    <w:tblPr/>
  </w:style>
  <w:style w:type="table" w:styleId="1251">
    <w:name w:val="网格型14"/>
    <w:basedOn w:val="742"/>
    <w:next w:val="1251"/>
    <w:link w:val="731"/>
    <w:uiPriority w:val="39"/>
    <w:qFormat/>
    <w:rPr>
      <w:rFonts w:ascii="Times New Roman" w:hAnsi="Times New Roman"/>
    </w:rPr>
    <w:tblPr/>
  </w:style>
  <w:style w:type="table" w:styleId="1252">
    <w:name w:val="网格型15"/>
    <w:basedOn w:val="742"/>
    <w:next w:val="1252"/>
    <w:link w:val="731"/>
    <w:uiPriority w:val="39"/>
    <w:qFormat/>
    <w:rPr>
      <w:rFonts w:ascii="Times New Roman" w:hAnsi="Times New Roman"/>
    </w:rPr>
    <w:tblPr/>
  </w:style>
  <w:style w:type="table" w:styleId="1253">
    <w:name w:val="网格型16"/>
    <w:basedOn w:val="742"/>
    <w:next w:val="1253"/>
    <w:link w:val="731"/>
    <w:uiPriority w:val="39"/>
    <w:qFormat/>
    <w:rPr>
      <w:rFonts w:ascii="Times New Roman" w:hAnsi="Times New Roman"/>
    </w:rPr>
    <w:tblPr/>
  </w:style>
  <w:style w:type="table" w:styleId="1254">
    <w:name w:val="网格型17"/>
    <w:basedOn w:val="742"/>
    <w:next w:val="1254"/>
    <w:link w:val="731"/>
    <w:uiPriority w:val="39"/>
    <w:qFormat/>
    <w:rPr>
      <w:rFonts w:ascii="Times New Roman" w:hAnsi="Times New Roman"/>
    </w:rPr>
    <w:tblPr/>
  </w:style>
  <w:style w:type="table" w:styleId="1255">
    <w:name w:val="网格型18"/>
    <w:basedOn w:val="742"/>
    <w:next w:val="1255"/>
    <w:link w:val="731"/>
    <w:uiPriority w:val="59"/>
    <w:qFormat/>
    <w:rPr>
      <w:rFonts w:ascii="Times New Roman" w:hAnsi="Times New Roman"/>
      <w:sz w:val="21"/>
    </w:rPr>
    <w:tblPr/>
  </w:style>
  <w:style w:type="table" w:styleId="1256">
    <w:name w:val="网格型19"/>
    <w:basedOn w:val="742"/>
    <w:next w:val="1256"/>
    <w:link w:val="731"/>
    <w:uiPriority w:val="59"/>
    <w:qFormat/>
    <w:rPr>
      <w:rFonts w:ascii="Times New Roman" w:hAnsi="Times New Roman"/>
    </w:rPr>
    <w:tblPr/>
  </w:style>
  <w:style w:type="table" w:styleId="1257">
    <w:name w:val="网格型91"/>
    <w:basedOn w:val="742"/>
    <w:next w:val="1257"/>
    <w:link w:val="731"/>
    <w:uiPriority w:val="59"/>
    <w:qFormat/>
    <w:rPr>
      <w:rFonts w:ascii="Times New Roman" w:hAnsi="Times New Roman"/>
      <w:sz w:val="21"/>
    </w:rPr>
    <w:tblPr/>
  </w:style>
  <w:style w:type="table" w:styleId="1258">
    <w:name w:val="网格型20"/>
    <w:next w:val="1258"/>
    <w:link w:val="731"/>
    <w:uiPriority w:val="59"/>
    <w:rPr>
      <w:lang w:val="en-US" w:eastAsia="zh-CN" w:bidi="ar-SA"/>
    </w:rPr>
    <w:tblPr/>
  </w:style>
  <w:style w:type="table" w:styleId="1259">
    <w:name w:val="Table Grid Light"/>
    <w:next w:val="1259"/>
    <w:link w:val="731"/>
    <w:uiPriority w:val="59"/>
    <w:rPr>
      <w:lang w:val="en-US" w:eastAsia="zh-CN" w:bidi="ar-SA"/>
    </w:rPr>
    <w:tblPr/>
  </w:style>
  <w:style w:type="table" w:styleId="1260">
    <w:name w:val="Plain Table 1"/>
    <w:next w:val="1260"/>
    <w:link w:val="731"/>
    <w:uiPriority w:val="59"/>
    <w:qFormat/>
    <w:rPr>
      <w:lang w:val="en-US" w:eastAsia="zh-CN" w:bidi="ar-SA"/>
    </w:rPr>
    <w:tblPr/>
  </w:style>
  <w:style w:type="table" w:styleId="1261">
    <w:name w:val="Plain Table 2"/>
    <w:next w:val="1261"/>
    <w:link w:val="731"/>
    <w:uiPriority w:val="59"/>
    <w:rPr>
      <w:lang w:val="en-US" w:eastAsia="zh-CN" w:bidi="ar-SA"/>
    </w:rPr>
    <w:tblPr/>
  </w:style>
  <w:style w:type="table" w:styleId="1262">
    <w:name w:val="Plain Table 3"/>
    <w:next w:val="1262"/>
    <w:link w:val="731"/>
    <w:uiPriority w:val="99"/>
    <w:rPr>
      <w:lang w:val="en-US" w:eastAsia="zh-CN" w:bidi="ar-SA"/>
    </w:rPr>
    <w:tblPr/>
  </w:style>
  <w:style w:type="table" w:styleId="1263">
    <w:name w:val="Plain Table 4"/>
    <w:next w:val="1263"/>
    <w:link w:val="731"/>
    <w:uiPriority w:val="99"/>
    <w:rPr>
      <w:lang w:val="en-US" w:eastAsia="zh-CN" w:bidi="ar-SA"/>
    </w:rPr>
    <w:tblPr/>
  </w:style>
  <w:style w:type="table" w:styleId="1264">
    <w:name w:val="Plain Table 5"/>
    <w:next w:val="1264"/>
    <w:link w:val="731"/>
    <w:uiPriority w:val="99"/>
    <w:rPr>
      <w:lang w:val="en-US" w:eastAsia="zh-CN" w:bidi="ar-SA"/>
    </w:rPr>
    <w:tblPr/>
  </w:style>
  <w:style w:type="table" w:styleId="1265">
    <w:name w:val="Grid Table 1 Light"/>
    <w:next w:val="1265"/>
    <w:link w:val="731"/>
    <w:uiPriority w:val="99"/>
    <w:qFormat/>
    <w:rPr>
      <w:lang w:val="en-US" w:eastAsia="zh-CN" w:bidi="ar-SA"/>
    </w:rPr>
    <w:tblPr/>
  </w:style>
  <w:style w:type="table" w:styleId="1266">
    <w:name w:val="Grid Table 1 Light - Accent 1"/>
    <w:next w:val="1266"/>
    <w:link w:val="731"/>
    <w:uiPriority w:val="99"/>
    <w:rPr>
      <w:lang w:val="en-US" w:eastAsia="zh-CN" w:bidi="ar-SA"/>
    </w:rPr>
    <w:tblPr/>
  </w:style>
  <w:style w:type="table" w:styleId="1267">
    <w:name w:val="Grid Table 1 Light - Accent 2"/>
    <w:next w:val="1267"/>
    <w:link w:val="731"/>
    <w:uiPriority w:val="99"/>
    <w:rPr>
      <w:lang w:val="en-US" w:eastAsia="zh-CN" w:bidi="ar-SA"/>
    </w:rPr>
    <w:tblPr/>
  </w:style>
  <w:style w:type="table" w:styleId="1268">
    <w:name w:val="Grid Table 1 Light - Accent 3"/>
    <w:next w:val="1268"/>
    <w:link w:val="731"/>
    <w:uiPriority w:val="99"/>
    <w:rPr>
      <w:lang w:val="en-US" w:eastAsia="zh-CN" w:bidi="ar-SA"/>
    </w:rPr>
    <w:tblPr/>
  </w:style>
  <w:style w:type="table" w:styleId="1269">
    <w:name w:val="Grid Table 1 Light - Accent 4"/>
    <w:next w:val="1269"/>
    <w:link w:val="731"/>
    <w:uiPriority w:val="99"/>
    <w:rPr>
      <w:lang w:val="en-US" w:eastAsia="zh-CN" w:bidi="ar-SA"/>
    </w:rPr>
    <w:tblPr/>
  </w:style>
  <w:style w:type="table" w:styleId="1270">
    <w:name w:val="Grid Table 1 Light - Accent 5"/>
    <w:next w:val="1270"/>
    <w:link w:val="731"/>
    <w:uiPriority w:val="99"/>
    <w:rPr>
      <w:lang w:val="en-US" w:eastAsia="zh-CN" w:bidi="ar-SA"/>
    </w:rPr>
    <w:tblPr/>
  </w:style>
  <w:style w:type="table" w:styleId="1271">
    <w:name w:val="Grid Table 1 Light - Accent 6"/>
    <w:next w:val="1271"/>
    <w:link w:val="731"/>
    <w:uiPriority w:val="99"/>
    <w:rPr>
      <w:lang w:val="en-US" w:eastAsia="zh-CN" w:bidi="ar-SA"/>
    </w:rPr>
    <w:tblPr/>
  </w:style>
  <w:style w:type="table" w:styleId="1272">
    <w:name w:val="Grid Table 2"/>
    <w:next w:val="1272"/>
    <w:link w:val="731"/>
    <w:uiPriority w:val="99"/>
    <w:rPr>
      <w:lang w:val="en-US" w:eastAsia="zh-CN" w:bidi="ar-SA"/>
    </w:rPr>
    <w:tblPr/>
  </w:style>
  <w:style w:type="table" w:styleId="1273">
    <w:name w:val="Grid Table 2 - Accent 1"/>
    <w:next w:val="1273"/>
    <w:link w:val="731"/>
    <w:uiPriority w:val="99"/>
    <w:qFormat/>
    <w:rPr>
      <w:lang w:val="en-US" w:eastAsia="zh-CN" w:bidi="ar-SA"/>
    </w:rPr>
    <w:tblPr/>
  </w:style>
  <w:style w:type="table" w:styleId="1274">
    <w:name w:val="Grid Table 2 - Accent 2"/>
    <w:next w:val="1274"/>
    <w:link w:val="731"/>
    <w:uiPriority w:val="99"/>
    <w:rPr>
      <w:lang w:val="en-US" w:eastAsia="zh-CN" w:bidi="ar-SA"/>
    </w:rPr>
    <w:tblPr/>
  </w:style>
  <w:style w:type="table" w:styleId="1275">
    <w:name w:val="Grid Table 2 - Accent 3"/>
    <w:next w:val="1275"/>
    <w:link w:val="731"/>
    <w:uiPriority w:val="99"/>
    <w:rPr>
      <w:lang w:val="en-US" w:eastAsia="zh-CN" w:bidi="ar-SA"/>
    </w:rPr>
    <w:tblPr/>
  </w:style>
  <w:style w:type="table" w:styleId="1276">
    <w:name w:val="Grid Table 2 - Accent 4"/>
    <w:next w:val="1276"/>
    <w:link w:val="731"/>
    <w:uiPriority w:val="99"/>
    <w:rPr>
      <w:lang w:val="en-US" w:eastAsia="zh-CN" w:bidi="ar-SA"/>
    </w:rPr>
    <w:tblPr/>
  </w:style>
  <w:style w:type="table" w:styleId="1277">
    <w:name w:val="Grid Table 2 - Accent 5"/>
    <w:next w:val="1277"/>
    <w:link w:val="731"/>
    <w:uiPriority w:val="99"/>
    <w:rPr>
      <w:lang w:val="en-US" w:eastAsia="zh-CN" w:bidi="ar-SA"/>
    </w:rPr>
    <w:tblPr/>
  </w:style>
  <w:style w:type="table" w:styleId="1278">
    <w:name w:val="Grid Table 2 - Accent 6"/>
    <w:next w:val="1278"/>
    <w:link w:val="731"/>
    <w:uiPriority w:val="99"/>
    <w:rPr>
      <w:lang w:val="en-US" w:eastAsia="zh-CN" w:bidi="ar-SA"/>
    </w:rPr>
    <w:tblPr/>
  </w:style>
  <w:style w:type="table" w:styleId="1279">
    <w:name w:val="Grid Table 3"/>
    <w:next w:val="1279"/>
    <w:link w:val="731"/>
    <w:uiPriority w:val="99"/>
    <w:qFormat/>
    <w:rPr>
      <w:lang w:val="en-US" w:eastAsia="zh-CN" w:bidi="ar-SA"/>
    </w:rPr>
    <w:tblPr/>
  </w:style>
  <w:style w:type="table" w:styleId="1280">
    <w:name w:val="Grid Table 3 - Accent 1"/>
    <w:next w:val="1280"/>
    <w:link w:val="731"/>
    <w:uiPriority w:val="99"/>
    <w:rPr>
      <w:lang w:val="en-US" w:eastAsia="zh-CN" w:bidi="ar-SA"/>
    </w:rPr>
    <w:tblPr/>
  </w:style>
  <w:style w:type="table" w:styleId="1281">
    <w:name w:val="Grid Table 3 - Accent 2"/>
    <w:next w:val="1281"/>
    <w:link w:val="731"/>
    <w:uiPriority w:val="99"/>
    <w:rPr>
      <w:lang w:val="en-US" w:eastAsia="zh-CN" w:bidi="ar-SA"/>
    </w:rPr>
    <w:tblPr/>
  </w:style>
  <w:style w:type="table" w:styleId="1282">
    <w:name w:val="Grid Table 3 - Accent 3"/>
    <w:next w:val="1282"/>
    <w:link w:val="731"/>
    <w:uiPriority w:val="99"/>
    <w:rPr>
      <w:lang w:val="en-US" w:eastAsia="zh-CN" w:bidi="ar-SA"/>
    </w:rPr>
    <w:tblPr/>
  </w:style>
  <w:style w:type="table" w:styleId="1283">
    <w:name w:val="Grid Table 3 - Accent 4"/>
    <w:next w:val="1283"/>
    <w:link w:val="731"/>
    <w:uiPriority w:val="99"/>
    <w:rPr>
      <w:lang w:val="en-US" w:eastAsia="zh-CN" w:bidi="ar-SA"/>
    </w:rPr>
    <w:tblPr/>
  </w:style>
  <w:style w:type="table" w:styleId="1284">
    <w:name w:val="Grid Table 3 - Accent 5"/>
    <w:next w:val="1284"/>
    <w:link w:val="731"/>
    <w:uiPriority w:val="99"/>
    <w:qFormat/>
    <w:rPr>
      <w:lang w:val="en-US" w:eastAsia="zh-CN" w:bidi="ar-SA"/>
    </w:rPr>
    <w:tblPr/>
  </w:style>
  <w:style w:type="table" w:styleId="1285">
    <w:name w:val="Grid Table 3 - Accent 6"/>
    <w:next w:val="1285"/>
    <w:link w:val="731"/>
    <w:uiPriority w:val="99"/>
    <w:rPr>
      <w:lang w:val="en-US" w:eastAsia="zh-CN" w:bidi="ar-SA"/>
    </w:rPr>
    <w:tblPr/>
  </w:style>
  <w:style w:type="table" w:styleId="1286">
    <w:name w:val="Grid Table 4"/>
    <w:next w:val="1286"/>
    <w:link w:val="731"/>
    <w:uiPriority w:val="59"/>
    <w:rPr>
      <w:lang w:val="en-US" w:eastAsia="zh-CN" w:bidi="ar-SA"/>
    </w:rPr>
    <w:tblPr/>
  </w:style>
  <w:style w:type="table" w:styleId="1287">
    <w:name w:val="Grid Table 4 - Accent 1"/>
    <w:next w:val="1287"/>
    <w:link w:val="731"/>
    <w:uiPriority w:val="59"/>
    <w:rPr>
      <w:lang w:val="en-US" w:eastAsia="zh-CN" w:bidi="ar-SA"/>
    </w:rPr>
    <w:tblPr/>
  </w:style>
  <w:style w:type="table" w:styleId="1288">
    <w:name w:val="Grid Table 4 - Accent 2"/>
    <w:next w:val="1288"/>
    <w:link w:val="731"/>
    <w:uiPriority w:val="59"/>
    <w:qFormat/>
    <w:rPr>
      <w:lang w:val="en-US" w:eastAsia="zh-CN" w:bidi="ar-SA"/>
    </w:rPr>
    <w:tblPr/>
  </w:style>
  <w:style w:type="table" w:styleId="1289">
    <w:name w:val="Grid Table 4 - Accent 3"/>
    <w:next w:val="1289"/>
    <w:link w:val="731"/>
    <w:uiPriority w:val="59"/>
    <w:rPr>
      <w:lang w:val="en-US" w:eastAsia="zh-CN" w:bidi="ar-SA"/>
    </w:rPr>
    <w:tblPr/>
  </w:style>
  <w:style w:type="table" w:styleId="1290">
    <w:name w:val="Grid Table 4 - Accent 4"/>
    <w:next w:val="1290"/>
    <w:link w:val="731"/>
    <w:uiPriority w:val="59"/>
    <w:rPr>
      <w:lang w:val="en-US" w:eastAsia="zh-CN" w:bidi="ar-SA"/>
    </w:rPr>
    <w:tblPr/>
  </w:style>
  <w:style w:type="table" w:styleId="1291">
    <w:name w:val="Grid Table 4 - Accent 5"/>
    <w:next w:val="1291"/>
    <w:link w:val="731"/>
    <w:uiPriority w:val="59"/>
    <w:rPr>
      <w:lang w:val="en-US" w:eastAsia="zh-CN" w:bidi="ar-SA"/>
    </w:rPr>
    <w:tblPr/>
  </w:style>
  <w:style w:type="table" w:styleId="1292">
    <w:name w:val="Grid Table 4 - Accent 6"/>
    <w:next w:val="1292"/>
    <w:link w:val="731"/>
    <w:uiPriority w:val="59"/>
    <w:rPr>
      <w:lang w:val="en-US" w:eastAsia="zh-CN" w:bidi="ar-SA"/>
    </w:rPr>
    <w:tblPr/>
  </w:style>
  <w:style w:type="table" w:styleId="1293">
    <w:name w:val="Grid Table 5 Dark"/>
    <w:next w:val="1293"/>
    <w:link w:val="731"/>
    <w:uiPriority w:val="99"/>
    <w:qFormat/>
    <w:rPr>
      <w:lang w:val="en-US" w:eastAsia="zh-CN" w:bidi="ar-SA"/>
    </w:rPr>
    <w:tblPr/>
  </w:style>
  <w:style w:type="table" w:styleId="1294">
    <w:name w:val="Grid Table 5 Dark- Accent 1"/>
    <w:next w:val="1294"/>
    <w:link w:val="731"/>
    <w:uiPriority w:val="99"/>
    <w:rPr>
      <w:lang w:val="en-US" w:eastAsia="zh-CN" w:bidi="ar-SA"/>
    </w:rPr>
    <w:tblPr/>
  </w:style>
  <w:style w:type="table" w:styleId="1295">
    <w:name w:val="Grid Table 5 Dark - Accent 2"/>
    <w:next w:val="1295"/>
    <w:link w:val="731"/>
    <w:uiPriority w:val="99"/>
    <w:rPr>
      <w:lang w:val="en-US" w:eastAsia="zh-CN" w:bidi="ar-SA"/>
    </w:rPr>
    <w:tblPr/>
  </w:style>
  <w:style w:type="table" w:styleId="1296">
    <w:name w:val="Grid Table 5 Dark - Accent 3"/>
    <w:next w:val="1296"/>
    <w:link w:val="731"/>
    <w:uiPriority w:val="99"/>
    <w:rPr>
      <w:lang w:val="en-US" w:eastAsia="zh-CN" w:bidi="ar-SA"/>
    </w:rPr>
    <w:tblPr/>
  </w:style>
  <w:style w:type="table" w:styleId="1297">
    <w:name w:val="Grid Table 5 Dark- Accent 4"/>
    <w:next w:val="1297"/>
    <w:link w:val="731"/>
    <w:uiPriority w:val="99"/>
    <w:rPr>
      <w:lang w:val="en-US" w:eastAsia="zh-CN" w:bidi="ar-SA"/>
    </w:rPr>
    <w:tblPr/>
  </w:style>
  <w:style w:type="table" w:styleId="1298">
    <w:name w:val="Grid Table 5 Dark - Accent 5"/>
    <w:next w:val="1298"/>
    <w:link w:val="731"/>
    <w:uiPriority w:val="99"/>
    <w:rPr>
      <w:lang w:val="en-US" w:eastAsia="zh-CN" w:bidi="ar-SA"/>
    </w:rPr>
    <w:tblPr/>
  </w:style>
  <w:style w:type="table" w:styleId="1299">
    <w:name w:val="Grid Table 5 Dark - Accent 6"/>
    <w:next w:val="1299"/>
    <w:link w:val="731"/>
    <w:uiPriority w:val="99"/>
    <w:rPr>
      <w:lang w:val="en-US" w:eastAsia="zh-CN" w:bidi="ar-SA"/>
    </w:rPr>
    <w:tblPr/>
  </w:style>
  <w:style w:type="table" w:styleId="1300">
    <w:name w:val="Grid Table 6 Colorful"/>
    <w:next w:val="1300"/>
    <w:link w:val="731"/>
    <w:uiPriority w:val="99"/>
    <w:rPr>
      <w:lang w:val="en-US" w:eastAsia="zh-CN" w:bidi="ar-SA"/>
    </w:rPr>
    <w:tblPr/>
  </w:style>
  <w:style w:type="table" w:styleId="1301">
    <w:name w:val="Grid Table 6 Colorful - Accent 1"/>
    <w:next w:val="1301"/>
    <w:link w:val="731"/>
    <w:uiPriority w:val="99"/>
    <w:rPr>
      <w:lang w:val="en-US" w:eastAsia="zh-CN" w:bidi="ar-SA"/>
    </w:rPr>
    <w:tblPr/>
  </w:style>
  <w:style w:type="table" w:styleId="1302">
    <w:name w:val="Grid Table 6 Colorful - Accent 2"/>
    <w:next w:val="1302"/>
    <w:link w:val="731"/>
    <w:uiPriority w:val="99"/>
    <w:qFormat/>
    <w:rPr>
      <w:lang w:val="en-US" w:eastAsia="zh-CN" w:bidi="ar-SA"/>
    </w:rPr>
    <w:tblPr/>
  </w:style>
  <w:style w:type="table" w:styleId="1303">
    <w:name w:val="Grid Table 6 Colorful - Accent 3"/>
    <w:next w:val="1303"/>
    <w:link w:val="731"/>
    <w:uiPriority w:val="99"/>
    <w:rPr>
      <w:lang w:val="en-US" w:eastAsia="zh-CN" w:bidi="ar-SA"/>
    </w:rPr>
    <w:tblPr/>
  </w:style>
  <w:style w:type="table" w:styleId="1304">
    <w:name w:val="Grid Table 6 Colorful - Accent 4"/>
    <w:next w:val="1304"/>
    <w:link w:val="731"/>
    <w:uiPriority w:val="99"/>
    <w:rPr>
      <w:lang w:val="en-US" w:eastAsia="zh-CN" w:bidi="ar-SA"/>
    </w:rPr>
    <w:tblPr/>
  </w:style>
  <w:style w:type="table" w:styleId="1305">
    <w:name w:val="Grid Table 6 Colorful - Accent 5"/>
    <w:next w:val="1305"/>
    <w:link w:val="731"/>
    <w:uiPriority w:val="99"/>
    <w:rPr>
      <w:lang w:val="en-US" w:eastAsia="zh-CN" w:bidi="ar-SA"/>
    </w:rPr>
    <w:tblPr/>
  </w:style>
  <w:style w:type="table" w:styleId="1306">
    <w:name w:val="Grid Table 6 Colorful - Accent 6"/>
    <w:next w:val="1306"/>
    <w:link w:val="731"/>
    <w:uiPriority w:val="99"/>
    <w:rPr>
      <w:lang w:val="en-US" w:eastAsia="zh-CN" w:bidi="ar-SA"/>
    </w:rPr>
    <w:tblPr/>
  </w:style>
  <w:style w:type="table" w:styleId="1307">
    <w:name w:val="Lined - Accent"/>
    <w:next w:val="1307"/>
    <w:link w:val="731"/>
    <w:uiPriority w:val="99"/>
    <w:rPr>
      <w:color w:val="404040"/>
      <w:lang w:val="en-US" w:eastAsia="zh-CN" w:bidi="ar-SA"/>
    </w:rPr>
    <w:tblPr/>
  </w:style>
  <w:style w:type="table" w:styleId="1308">
    <w:name w:val="Grid Table 7 Colorful"/>
    <w:next w:val="1308"/>
    <w:link w:val="731"/>
    <w:uiPriority w:val="99"/>
    <w:rPr>
      <w:lang w:val="en-US" w:eastAsia="zh-CN" w:bidi="ar-SA"/>
    </w:rPr>
    <w:tblPr/>
  </w:style>
  <w:style w:type="table" w:styleId="1309">
    <w:name w:val="Lined - Accent 1"/>
    <w:next w:val="1309"/>
    <w:link w:val="731"/>
    <w:uiPriority w:val="99"/>
    <w:rPr>
      <w:color w:val="404040"/>
      <w:lang w:val="en-US" w:eastAsia="zh-CN" w:bidi="ar-SA"/>
    </w:rPr>
    <w:tblPr/>
  </w:style>
  <w:style w:type="table" w:styleId="1310">
    <w:name w:val="Grid Table 7 Colorful - Accent 1"/>
    <w:next w:val="1310"/>
    <w:link w:val="731"/>
    <w:uiPriority w:val="99"/>
    <w:rPr>
      <w:lang w:val="en-US" w:eastAsia="zh-CN" w:bidi="ar-SA"/>
    </w:rPr>
    <w:tblPr/>
  </w:style>
  <w:style w:type="table" w:styleId="1311">
    <w:name w:val="Lined - Accent 2"/>
    <w:next w:val="1311"/>
    <w:link w:val="731"/>
    <w:uiPriority w:val="99"/>
    <w:rPr>
      <w:color w:val="404040"/>
      <w:lang w:val="en-US" w:eastAsia="zh-CN" w:bidi="ar-SA"/>
    </w:rPr>
    <w:tblPr/>
  </w:style>
  <w:style w:type="table" w:styleId="1312">
    <w:name w:val="Grid Table 7 Colorful - Accent 2"/>
    <w:next w:val="1312"/>
    <w:link w:val="731"/>
    <w:uiPriority w:val="99"/>
    <w:rPr>
      <w:lang w:val="en-US" w:eastAsia="zh-CN" w:bidi="ar-SA"/>
    </w:rPr>
    <w:tblPr/>
  </w:style>
  <w:style w:type="table" w:styleId="1313">
    <w:name w:val="Lined - Accent 3"/>
    <w:next w:val="1313"/>
    <w:link w:val="731"/>
    <w:uiPriority w:val="99"/>
    <w:rPr>
      <w:color w:val="404040"/>
      <w:lang w:val="en-US" w:eastAsia="zh-CN" w:bidi="ar-SA"/>
    </w:rPr>
    <w:tblPr/>
  </w:style>
  <w:style w:type="table" w:styleId="1314">
    <w:name w:val="Grid Table 7 Colorful - Accent 3"/>
    <w:next w:val="1314"/>
    <w:link w:val="731"/>
    <w:uiPriority w:val="99"/>
    <w:rPr>
      <w:lang w:val="en-US" w:eastAsia="zh-CN" w:bidi="ar-SA"/>
    </w:rPr>
    <w:tblPr/>
  </w:style>
  <w:style w:type="table" w:styleId="1315">
    <w:name w:val="Lined - Accent 4"/>
    <w:next w:val="1315"/>
    <w:link w:val="731"/>
    <w:uiPriority w:val="99"/>
    <w:rPr>
      <w:color w:val="404040"/>
      <w:lang w:val="en-US" w:eastAsia="zh-CN" w:bidi="ar-SA"/>
    </w:rPr>
    <w:tblPr/>
  </w:style>
  <w:style w:type="table" w:styleId="1316">
    <w:name w:val="Grid Table 7 Colorful - Accent 4"/>
    <w:next w:val="1316"/>
    <w:link w:val="731"/>
    <w:uiPriority w:val="99"/>
    <w:rPr>
      <w:lang w:val="en-US" w:eastAsia="zh-CN" w:bidi="ar-SA"/>
    </w:rPr>
    <w:tblPr/>
  </w:style>
  <w:style w:type="table" w:styleId="1317">
    <w:name w:val="Lined - Accent 5"/>
    <w:next w:val="1317"/>
    <w:link w:val="731"/>
    <w:uiPriority w:val="99"/>
    <w:rPr>
      <w:color w:val="404040"/>
      <w:lang w:val="en-US" w:eastAsia="zh-CN" w:bidi="ar-SA"/>
    </w:rPr>
    <w:tblPr/>
  </w:style>
  <w:style w:type="table" w:styleId="1318">
    <w:name w:val="Grid Table 7 Colorful - Accent 5"/>
    <w:next w:val="1318"/>
    <w:link w:val="731"/>
    <w:uiPriority w:val="99"/>
    <w:rPr>
      <w:lang w:val="en-US" w:eastAsia="zh-CN" w:bidi="ar-SA"/>
    </w:rPr>
    <w:tblPr/>
  </w:style>
  <w:style w:type="table" w:styleId="1319">
    <w:name w:val="Lined - Accent 6"/>
    <w:next w:val="1319"/>
    <w:link w:val="731"/>
    <w:uiPriority w:val="99"/>
    <w:rPr>
      <w:color w:val="404040"/>
      <w:lang w:val="en-US" w:eastAsia="zh-CN" w:bidi="ar-SA"/>
    </w:rPr>
    <w:tblPr/>
  </w:style>
  <w:style w:type="table" w:styleId="1320">
    <w:name w:val="Grid Table 7 Colorful - Accent 6"/>
    <w:next w:val="1320"/>
    <w:link w:val="731"/>
    <w:uiPriority w:val="99"/>
    <w:rPr>
      <w:lang w:val="en-US" w:eastAsia="zh-CN" w:bidi="ar-SA"/>
    </w:rPr>
    <w:tblPr/>
  </w:style>
  <w:style w:type="table" w:styleId="1321">
    <w:name w:val="Bordered &amp; Lined - Accent"/>
    <w:next w:val="1321"/>
    <w:link w:val="731"/>
    <w:uiPriority w:val="99"/>
    <w:rPr>
      <w:color w:val="404040"/>
      <w:lang w:val="en-US" w:eastAsia="zh-CN" w:bidi="ar-SA"/>
    </w:rPr>
    <w:tblPr/>
  </w:style>
  <w:style w:type="table" w:styleId="1322">
    <w:name w:val="List Table 1 Light"/>
    <w:next w:val="1322"/>
    <w:link w:val="731"/>
    <w:uiPriority w:val="99"/>
    <w:rPr>
      <w:lang w:val="en-US" w:eastAsia="zh-CN" w:bidi="ar-SA"/>
    </w:rPr>
    <w:tblPr/>
  </w:style>
  <w:style w:type="table" w:styleId="1323">
    <w:name w:val="Bordered &amp; Lined - Accent 1"/>
    <w:next w:val="1323"/>
    <w:link w:val="731"/>
    <w:uiPriority w:val="99"/>
    <w:rPr>
      <w:color w:val="404040"/>
      <w:lang w:val="en-US" w:eastAsia="zh-CN" w:bidi="ar-SA"/>
    </w:rPr>
    <w:tblPr/>
  </w:style>
  <w:style w:type="table" w:styleId="1324">
    <w:name w:val="List Table 1 Light - Accent 1"/>
    <w:next w:val="1324"/>
    <w:link w:val="731"/>
    <w:uiPriority w:val="99"/>
    <w:rPr>
      <w:lang w:val="en-US" w:eastAsia="zh-CN" w:bidi="ar-SA"/>
    </w:rPr>
    <w:tblPr/>
  </w:style>
  <w:style w:type="table" w:styleId="1325">
    <w:name w:val="Bordered &amp; Lined - Accent 2"/>
    <w:next w:val="1325"/>
    <w:link w:val="731"/>
    <w:uiPriority w:val="99"/>
    <w:rPr>
      <w:color w:val="404040"/>
      <w:lang w:val="en-US" w:eastAsia="zh-CN" w:bidi="ar-SA"/>
    </w:rPr>
    <w:tblPr/>
  </w:style>
  <w:style w:type="table" w:styleId="1326">
    <w:name w:val="List Table 1 Light - Accent 2"/>
    <w:next w:val="1326"/>
    <w:link w:val="731"/>
    <w:uiPriority w:val="99"/>
    <w:rPr>
      <w:lang w:val="en-US" w:eastAsia="zh-CN" w:bidi="ar-SA"/>
    </w:rPr>
    <w:tblPr/>
  </w:style>
  <w:style w:type="table" w:styleId="1327">
    <w:name w:val="Bordered &amp; Lined - Accent 3"/>
    <w:next w:val="1327"/>
    <w:link w:val="731"/>
    <w:uiPriority w:val="99"/>
    <w:rPr>
      <w:color w:val="404040"/>
      <w:lang w:val="en-US" w:eastAsia="zh-CN" w:bidi="ar-SA"/>
    </w:rPr>
    <w:tblPr/>
  </w:style>
  <w:style w:type="table" w:styleId="1328">
    <w:name w:val="List Table 1 Light - Accent 3"/>
    <w:next w:val="1328"/>
    <w:link w:val="731"/>
    <w:uiPriority w:val="99"/>
    <w:rPr>
      <w:lang w:val="en-US" w:eastAsia="zh-CN" w:bidi="ar-SA"/>
    </w:rPr>
    <w:tblPr/>
  </w:style>
  <w:style w:type="table" w:styleId="1329">
    <w:name w:val="Bordered &amp; Lined - Accent 4"/>
    <w:next w:val="1329"/>
    <w:link w:val="731"/>
    <w:uiPriority w:val="99"/>
    <w:rPr>
      <w:color w:val="404040"/>
      <w:lang w:val="en-US" w:eastAsia="zh-CN" w:bidi="ar-SA"/>
    </w:rPr>
    <w:tblPr/>
  </w:style>
  <w:style w:type="table" w:styleId="1330">
    <w:name w:val="List Table 1 Light - Accent 4"/>
    <w:next w:val="1330"/>
    <w:link w:val="731"/>
    <w:uiPriority w:val="99"/>
    <w:qFormat/>
    <w:rPr>
      <w:lang w:val="en-US" w:eastAsia="zh-CN" w:bidi="ar-SA"/>
    </w:rPr>
    <w:tblPr/>
  </w:style>
  <w:style w:type="table" w:styleId="1331">
    <w:name w:val="Bordered &amp; Lined - Accent 5"/>
    <w:next w:val="1331"/>
    <w:link w:val="731"/>
    <w:uiPriority w:val="99"/>
    <w:rPr>
      <w:color w:val="404040"/>
      <w:lang w:val="en-US" w:eastAsia="zh-CN" w:bidi="ar-SA"/>
    </w:rPr>
    <w:tblPr/>
  </w:style>
  <w:style w:type="table" w:styleId="1332">
    <w:name w:val="List Table 1 Light - Accent 5"/>
    <w:next w:val="1332"/>
    <w:link w:val="731"/>
    <w:uiPriority w:val="99"/>
    <w:rPr>
      <w:lang w:val="en-US" w:eastAsia="zh-CN" w:bidi="ar-SA"/>
    </w:rPr>
    <w:tblPr/>
  </w:style>
  <w:style w:type="table" w:styleId="1333">
    <w:name w:val="Bordered &amp; Lined - Accent 6"/>
    <w:next w:val="1333"/>
    <w:link w:val="731"/>
    <w:uiPriority w:val="99"/>
    <w:rPr>
      <w:color w:val="404040"/>
      <w:lang w:val="en-US" w:eastAsia="zh-CN" w:bidi="ar-SA"/>
    </w:rPr>
    <w:tblPr/>
  </w:style>
  <w:style w:type="table" w:styleId="1334">
    <w:name w:val="List Table 1 Light - Accent 6"/>
    <w:next w:val="1334"/>
    <w:link w:val="731"/>
    <w:uiPriority w:val="99"/>
    <w:qFormat/>
    <w:rPr>
      <w:lang w:val="en-US" w:eastAsia="zh-CN" w:bidi="ar-SA"/>
    </w:rPr>
    <w:tblPr/>
  </w:style>
  <w:style w:type="table" w:styleId="1335">
    <w:name w:val="Bordered"/>
    <w:next w:val="1335"/>
    <w:link w:val="731"/>
    <w:uiPriority w:val="99"/>
    <w:rPr>
      <w:lang w:val="en-US" w:eastAsia="zh-CN" w:bidi="ar-SA"/>
    </w:rPr>
    <w:tblPr/>
  </w:style>
  <w:style w:type="table" w:styleId="1336">
    <w:name w:val="List Table 2"/>
    <w:next w:val="1336"/>
    <w:link w:val="731"/>
    <w:uiPriority w:val="99"/>
    <w:rPr>
      <w:lang w:val="en-US" w:eastAsia="zh-CN" w:bidi="ar-SA"/>
    </w:rPr>
    <w:tblPr/>
  </w:style>
  <w:style w:type="table" w:styleId="1337">
    <w:name w:val="Bordered - Accent 1"/>
    <w:next w:val="1337"/>
    <w:link w:val="731"/>
    <w:uiPriority w:val="99"/>
    <w:rPr>
      <w:lang w:val="en-US" w:eastAsia="zh-CN" w:bidi="ar-SA"/>
    </w:rPr>
    <w:tblPr/>
  </w:style>
  <w:style w:type="table" w:styleId="1338">
    <w:name w:val="List Table 2 - Accent 1"/>
    <w:next w:val="1338"/>
    <w:link w:val="731"/>
    <w:uiPriority w:val="99"/>
    <w:rPr>
      <w:lang w:val="en-US" w:eastAsia="zh-CN" w:bidi="ar-SA"/>
    </w:rPr>
    <w:tblPr/>
  </w:style>
  <w:style w:type="table" w:styleId="1339">
    <w:name w:val="Bordered - Accent 2"/>
    <w:next w:val="1339"/>
    <w:link w:val="731"/>
    <w:uiPriority w:val="99"/>
    <w:rPr>
      <w:lang w:val="en-US" w:eastAsia="zh-CN" w:bidi="ar-SA"/>
    </w:rPr>
    <w:tblPr/>
  </w:style>
  <w:style w:type="table" w:styleId="1340">
    <w:name w:val="List Table 2 - Accent 2"/>
    <w:next w:val="1340"/>
    <w:link w:val="731"/>
    <w:uiPriority w:val="99"/>
    <w:rPr>
      <w:lang w:val="en-US" w:eastAsia="zh-CN" w:bidi="ar-SA"/>
    </w:rPr>
    <w:tblPr/>
  </w:style>
  <w:style w:type="table" w:styleId="1341">
    <w:name w:val="Bordered - Accent 3"/>
    <w:next w:val="1341"/>
    <w:link w:val="731"/>
    <w:uiPriority w:val="99"/>
    <w:rPr>
      <w:lang w:val="en-US" w:eastAsia="zh-CN" w:bidi="ar-SA"/>
    </w:rPr>
    <w:tblPr/>
  </w:style>
  <w:style w:type="table" w:styleId="1342">
    <w:name w:val="List Table 2 - Accent 3"/>
    <w:next w:val="1342"/>
    <w:link w:val="731"/>
    <w:uiPriority w:val="99"/>
    <w:rPr>
      <w:lang w:val="en-US" w:eastAsia="zh-CN" w:bidi="ar-SA"/>
    </w:rPr>
    <w:tblPr/>
  </w:style>
  <w:style w:type="table" w:styleId="1343">
    <w:name w:val="Bordered - Accent 4"/>
    <w:next w:val="1343"/>
    <w:link w:val="731"/>
    <w:uiPriority w:val="99"/>
    <w:rPr>
      <w:lang w:val="en-US" w:eastAsia="zh-CN" w:bidi="ar-SA"/>
    </w:rPr>
    <w:tblPr/>
  </w:style>
  <w:style w:type="table" w:styleId="1344">
    <w:name w:val="List Table 2 - Accent 4"/>
    <w:next w:val="1344"/>
    <w:link w:val="731"/>
    <w:uiPriority w:val="99"/>
    <w:rPr>
      <w:lang w:val="en-US" w:eastAsia="zh-CN" w:bidi="ar-SA"/>
    </w:rPr>
    <w:tblPr/>
  </w:style>
  <w:style w:type="table" w:styleId="1345">
    <w:name w:val="Bordered - Accent 5"/>
    <w:next w:val="1345"/>
    <w:link w:val="731"/>
    <w:uiPriority w:val="99"/>
    <w:rPr>
      <w:lang w:val="en-US" w:eastAsia="zh-CN" w:bidi="ar-SA"/>
    </w:rPr>
    <w:tblPr/>
  </w:style>
  <w:style w:type="table" w:styleId="1346">
    <w:name w:val="List Table 2 - Accent 5"/>
    <w:next w:val="1346"/>
    <w:link w:val="731"/>
    <w:uiPriority w:val="99"/>
    <w:rPr>
      <w:lang w:val="en-US" w:eastAsia="zh-CN" w:bidi="ar-SA"/>
    </w:rPr>
    <w:tblPr/>
  </w:style>
  <w:style w:type="table" w:styleId="1347">
    <w:name w:val="Bordered - Accent 6"/>
    <w:next w:val="1347"/>
    <w:link w:val="731"/>
    <w:uiPriority w:val="99"/>
    <w:rPr>
      <w:lang w:val="en-US" w:eastAsia="zh-CN" w:bidi="ar-SA"/>
    </w:rPr>
    <w:tblPr/>
  </w:style>
  <w:style w:type="table" w:styleId="1348">
    <w:name w:val="List Table 2 - Accent 6"/>
    <w:next w:val="1348"/>
    <w:link w:val="731"/>
    <w:uiPriority w:val="99"/>
    <w:rPr>
      <w:lang w:val="en-US" w:eastAsia="zh-CN" w:bidi="ar-SA"/>
    </w:rPr>
    <w:tblPr/>
  </w:style>
  <w:style w:type="table" w:styleId="1349">
    <w:name w:val="普通表格1"/>
    <w:next w:val="1349"/>
    <w:link w:val="731"/>
    <w:semiHidden/>
    <w:rPr>
      <w:lang w:val="en-US" w:eastAsia="zh-CN" w:bidi="ar-SA"/>
    </w:rPr>
    <w:tblPr/>
  </w:style>
  <w:style w:type="table" w:styleId="1350">
    <w:name w:val="List Table 3"/>
    <w:next w:val="1350"/>
    <w:link w:val="731"/>
    <w:uiPriority w:val="99"/>
    <w:rPr>
      <w:lang w:val="en-US" w:eastAsia="zh-CN" w:bidi="ar-SA"/>
    </w:rPr>
    <w:tblPr/>
  </w:style>
  <w:style w:type="table" w:styleId="1351">
    <w:name w:val="网格型110"/>
    <w:basedOn w:val="1349"/>
    <w:next w:val="1351"/>
    <w:link w:val="731"/>
    <w:qFormat/>
    <w:pPr>
      <w:jc w:val="both"/>
      <w:widowControl w:val="off"/>
    </w:pPr>
    <w:tblPr/>
  </w:style>
  <w:style w:type="table" w:styleId="1352">
    <w:name w:val="List Table 3 - Accent 1"/>
    <w:next w:val="1352"/>
    <w:link w:val="731"/>
    <w:uiPriority w:val="99"/>
    <w:rPr>
      <w:lang w:val="en-US" w:eastAsia="zh-CN" w:bidi="ar-SA"/>
    </w:rPr>
    <w:tblPr/>
  </w:style>
  <w:style w:type="table" w:styleId="1353">
    <w:name w:val="网格型92"/>
    <w:basedOn w:val="742"/>
    <w:next w:val="1353"/>
    <w:link w:val="731"/>
    <w:uiPriority w:val="59"/>
    <w:qFormat/>
    <w:rPr>
      <w:rFonts w:ascii="Times New Roman" w:hAnsi="Times New Roman"/>
      <w:sz w:val="21"/>
    </w:rPr>
    <w:tblPr/>
  </w:style>
  <w:style w:type="table" w:styleId="1354">
    <w:name w:val="List Table 3 - Accent 2"/>
    <w:next w:val="1354"/>
    <w:link w:val="731"/>
    <w:uiPriority w:val="99"/>
    <w:rPr>
      <w:lang w:val="en-US" w:eastAsia="zh-CN" w:bidi="ar-SA"/>
    </w:rPr>
    <w:tblPr/>
  </w:style>
  <w:style w:type="table" w:styleId="1355">
    <w:name w:val="网格型22"/>
    <w:basedOn w:val="742"/>
    <w:next w:val="1355"/>
    <w:link w:val="731"/>
    <w:uiPriority w:val="39"/>
    <w:qFormat/>
    <w:pPr>
      <w:spacing w:after="160" w:line="278" w:lineRule="auto"/>
    </w:pPr>
    <w:rPr>
      <w:rFonts w:ascii="Calibri" w:hAnsi="Calibri" w:cs="Calibri"/>
    </w:rPr>
    <w:tblPr/>
  </w:style>
  <w:style w:type="table" w:styleId="1356">
    <w:name w:val="List Table 3 - Accent 3"/>
    <w:next w:val="1356"/>
    <w:link w:val="731"/>
    <w:uiPriority w:val="99"/>
    <w:rPr>
      <w:lang w:val="en-US" w:eastAsia="zh-CN" w:bidi="ar-SA"/>
    </w:rPr>
    <w:tblPr/>
  </w:style>
  <w:style w:type="table" w:styleId="1357">
    <w:name w:val="Table Normal"/>
    <w:next w:val="1357"/>
    <w:link w:val="731"/>
    <w:uiPriority w:val="2"/>
    <w:unhideWhenUsed/>
    <w:qFormat/>
    <w:pPr>
      <w:spacing w:after="160" w:line="278" w:lineRule="auto"/>
    </w:pPr>
    <w:rPr>
      <w:rFonts w:ascii="Calibri" w:hAnsi="Calibri" w:cs="Calibri"/>
      <w:lang w:val="en-US" w:eastAsia="zh-CN" w:bidi="ar-SA"/>
    </w:rPr>
    <w:tblPr/>
  </w:style>
  <w:style w:type="table" w:styleId="1358">
    <w:name w:val="List Table 3 - Accent 4"/>
    <w:next w:val="1358"/>
    <w:link w:val="731"/>
    <w:uiPriority w:val="99"/>
    <w:qFormat/>
    <w:rPr>
      <w:lang w:val="en-US" w:eastAsia="zh-CN" w:bidi="ar-SA"/>
    </w:rPr>
    <w:tblPr/>
  </w:style>
  <w:style w:type="table" w:styleId="1359">
    <w:name w:val="网格型111"/>
    <w:basedOn w:val="742"/>
    <w:next w:val="1359"/>
    <w:link w:val="731"/>
    <w:qFormat/>
    <w:pPr>
      <w:spacing w:after="160" w:line="278" w:lineRule="auto"/>
    </w:pPr>
    <w:rPr>
      <w:rFonts w:ascii="Calibri" w:hAnsi="Calibri" w:cs="Calibri"/>
    </w:rPr>
    <w:tblPr/>
  </w:style>
  <w:style w:type="table" w:styleId="1360">
    <w:name w:val="List Table 3 - Accent 5"/>
    <w:next w:val="1360"/>
    <w:link w:val="731"/>
    <w:uiPriority w:val="99"/>
    <w:rPr>
      <w:lang w:val="en-US" w:eastAsia="zh-CN" w:bidi="ar-SA"/>
    </w:rPr>
    <w:tblPr/>
  </w:style>
  <w:style w:type="table" w:styleId="1361">
    <w:name w:val="Table Normal1"/>
    <w:next w:val="1361"/>
    <w:link w:val="731"/>
    <w:uiPriority w:val="2"/>
    <w:unhideWhenUsed/>
    <w:qFormat/>
    <w:pPr>
      <w:spacing w:after="160" w:line="278" w:lineRule="auto"/>
    </w:pPr>
    <w:rPr>
      <w:rFonts w:ascii="Calibri" w:hAnsi="Calibri" w:cs="Calibri"/>
      <w:lang w:val="en-US" w:eastAsia="zh-CN" w:bidi="ar-SA"/>
    </w:rPr>
    <w:tblPr/>
  </w:style>
  <w:style w:type="table" w:styleId="1362">
    <w:name w:val="List Table 3 - Accent 6"/>
    <w:next w:val="1362"/>
    <w:link w:val="731"/>
    <w:uiPriority w:val="99"/>
    <w:rPr>
      <w:lang w:val="en-US" w:eastAsia="zh-CN" w:bidi="ar-SA"/>
    </w:rPr>
    <w:tblPr/>
  </w:style>
  <w:style w:type="table" w:styleId="1363">
    <w:name w:val="Table Normal2"/>
    <w:next w:val="1363"/>
    <w:link w:val="731"/>
    <w:uiPriority w:val="2"/>
    <w:unhideWhenUsed/>
    <w:qFormat/>
    <w:pPr>
      <w:spacing w:after="160" w:line="278" w:lineRule="auto"/>
    </w:pPr>
    <w:rPr>
      <w:rFonts w:ascii="Calibri" w:hAnsi="Calibri" w:cs="Calibri"/>
      <w:lang w:val="en-US" w:eastAsia="zh-CN" w:bidi="ar-SA"/>
    </w:rPr>
    <w:tblPr/>
  </w:style>
  <w:style w:type="table" w:styleId="1364">
    <w:name w:val="List Table 4"/>
    <w:next w:val="1364"/>
    <w:link w:val="731"/>
    <w:uiPriority w:val="99"/>
    <w:qFormat/>
    <w:rPr>
      <w:lang w:val="en-US" w:eastAsia="zh-CN" w:bidi="ar-SA"/>
    </w:rPr>
    <w:tblPr/>
  </w:style>
  <w:style w:type="table" w:styleId="1365">
    <w:name w:val="List Table 4 - Accent 1"/>
    <w:next w:val="1365"/>
    <w:link w:val="731"/>
    <w:uiPriority w:val="99"/>
    <w:rPr>
      <w:lang w:val="en-US" w:eastAsia="zh-CN" w:bidi="ar-SA"/>
    </w:rPr>
    <w:tblPr/>
  </w:style>
  <w:style w:type="table" w:styleId="1366">
    <w:name w:val="List Table 4 - Accent 2"/>
    <w:next w:val="1366"/>
    <w:link w:val="731"/>
    <w:uiPriority w:val="99"/>
    <w:rPr>
      <w:lang w:val="en-US" w:eastAsia="zh-CN" w:bidi="ar-SA"/>
    </w:rPr>
    <w:tblPr/>
  </w:style>
  <w:style w:type="table" w:styleId="1367">
    <w:name w:val="List Table 4 - Accent 3"/>
    <w:next w:val="1367"/>
    <w:link w:val="731"/>
    <w:uiPriority w:val="99"/>
    <w:rPr>
      <w:lang w:val="en-US" w:eastAsia="zh-CN" w:bidi="ar-SA"/>
    </w:rPr>
    <w:tblPr/>
  </w:style>
  <w:style w:type="table" w:styleId="1368">
    <w:name w:val="List Table 4 - Accent 4"/>
    <w:next w:val="1368"/>
    <w:link w:val="731"/>
    <w:uiPriority w:val="99"/>
    <w:qFormat/>
    <w:rPr>
      <w:lang w:val="en-US" w:eastAsia="zh-CN" w:bidi="ar-SA"/>
    </w:rPr>
    <w:tblPr/>
  </w:style>
  <w:style w:type="table" w:styleId="1369">
    <w:name w:val="List Table 4 - Accent 5"/>
    <w:next w:val="1369"/>
    <w:link w:val="731"/>
    <w:uiPriority w:val="99"/>
    <w:qFormat/>
    <w:rPr>
      <w:lang w:val="en-US" w:eastAsia="zh-CN" w:bidi="ar-SA"/>
    </w:rPr>
    <w:tblPr/>
  </w:style>
  <w:style w:type="table" w:styleId="1370">
    <w:name w:val="List Table 4 - Accent 6"/>
    <w:next w:val="1370"/>
    <w:link w:val="731"/>
    <w:uiPriority w:val="99"/>
    <w:rPr>
      <w:lang w:val="en-US" w:eastAsia="zh-CN" w:bidi="ar-SA"/>
    </w:rPr>
    <w:tblPr/>
  </w:style>
  <w:style w:type="table" w:styleId="1371">
    <w:name w:val="List Table 5 Dark"/>
    <w:next w:val="1371"/>
    <w:link w:val="731"/>
    <w:uiPriority w:val="99"/>
    <w:rPr>
      <w:lang w:val="en-US" w:eastAsia="zh-CN" w:bidi="ar-SA"/>
    </w:rPr>
    <w:tblPr/>
  </w:style>
  <w:style w:type="table" w:styleId="1372">
    <w:name w:val="List Table 5 Dark - Accent 1"/>
    <w:next w:val="1372"/>
    <w:link w:val="731"/>
    <w:uiPriority w:val="99"/>
    <w:rPr>
      <w:lang w:val="en-US" w:eastAsia="zh-CN" w:bidi="ar-SA"/>
    </w:rPr>
    <w:tblPr/>
  </w:style>
  <w:style w:type="table" w:styleId="1373">
    <w:name w:val="List Table 5 Dark - Accent 2"/>
    <w:next w:val="1373"/>
    <w:link w:val="731"/>
    <w:uiPriority w:val="99"/>
    <w:rPr>
      <w:lang w:val="en-US" w:eastAsia="zh-CN" w:bidi="ar-SA"/>
    </w:rPr>
    <w:tblPr/>
  </w:style>
  <w:style w:type="table" w:styleId="1374">
    <w:name w:val="List Table 5 Dark - Accent 3"/>
    <w:next w:val="1374"/>
    <w:link w:val="731"/>
    <w:uiPriority w:val="99"/>
    <w:rPr>
      <w:lang w:val="en-US" w:eastAsia="zh-CN" w:bidi="ar-SA"/>
    </w:rPr>
    <w:tblPr/>
  </w:style>
  <w:style w:type="table" w:styleId="1375">
    <w:name w:val="List Table 5 Dark - Accent 4"/>
    <w:next w:val="1375"/>
    <w:link w:val="731"/>
    <w:uiPriority w:val="99"/>
    <w:rPr>
      <w:lang w:val="en-US" w:eastAsia="zh-CN" w:bidi="ar-SA"/>
    </w:rPr>
    <w:tblPr/>
  </w:style>
  <w:style w:type="table" w:styleId="1376">
    <w:name w:val="List Table 5 Dark - Accent 5"/>
    <w:next w:val="1376"/>
    <w:link w:val="731"/>
    <w:uiPriority w:val="99"/>
    <w:rPr>
      <w:lang w:val="en-US" w:eastAsia="zh-CN" w:bidi="ar-SA"/>
    </w:rPr>
    <w:tblPr/>
  </w:style>
  <w:style w:type="table" w:styleId="1377">
    <w:name w:val="List Table 5 Dark - Accent 6"/>
    <w:next w:val="1377"/>
    <w:link w:val="731"/>
    <w:uiPriority w:val="99"/>
    <w:rPr>
      <w:lang w:val="en-US" w:eastAsia="zh-CN" w:bidi="ar-SA"/>
    </w:rPr>
    <w:tblPr/>
  </w:style>
  <w:style w:type="table" w:styleId="1378">
    <w:name w:val="List Table 6 Colorful"/>
    <w:next w:val="1378"/>
    <w:link w:val="731"/>
    <w:uiPriority w:val="99"/>
    <w:rPr>
      <w:lang w:val="en-US" w:eastAsia="zh-CN" w:bidi="ar-SA"/>
    </w:rPr>
    <w:tblPr/>
  </w:style>
  <w:style w:type="table" w:styleId="1379">
    <w:name w:val="List Table 6 Colorful - Accent 1"/>
    <w:next w:val="1379"/>
    <w:link w:val="731"/>
    <w:uiPriority w:val="99"/>
    <w:rPr>
      <w:lang w:val="en-US" w:eastAsia="zh-CN" w:bidi="ar-SA"/>
    </w:rPr>
    <w:tblPr/>
  </w:style>
  <w:style w:type="table" w:styleId="1380">
    <w:name w:val="List Table 6 Colorful - Accent 2"/>
    <w:next w:val="1380"/>
    <w:link w:val="731"/>
    <w:uiPriority w:val="99"/>
    <w:rPr>
      <w:lang w:val="en-US" w:eastAsia="zh-CN" w:bidi="ar-SA"/>
    </w:rPr>
    <w:tblPr/>
  </w:style>
  <w:style w:type="table" w:styleId="1381">
    <w:name w:val="List Table 6 Colorful - Accent 3"/>
    <w:next w:val="1381"/>
    <w:link w:val="731"/>
    <w:uiPriority w:val="99"/>
    <w:rPr>
      <w:lang w:val="en-US" w:eastAsia="zh-CN" w:bidi="ar-SA"/>
    </w:rPr>
    <w:tblPr/>
  </w:style>
  <w:style w:type="table" w:styleId="1382">
    <w:name w:val="List Table 6 Colorful - Accent 4"/>
    <w:next w:val="1382"/>
    <w:link w:val="731"/>
    <w:uiPriority w:val="99"/>
    <w:rPr>
      <w:lang w:val="en-US" w:eastAsia="zh-CN" w:bidi="ar-SA"/>
    </w:rPr>
    <w:tblPr/>
  </w:style>
  <w:style w:type="table" w:styleId="1383">
    <w:name w:val="List Table 6 Colorful - Accent 5"/>
    <w:next w:val="1383"/>
    <w:link w:val="731"/>
    <w:uiPriority w:val="99"/>
    <w:rPr>
      <w:lang w:val="en-US" w:eastAsia="zh-CN" w:bidi="ar-SA"/>
    </w:rPr>
    <w:tblPr/>
  </w:style>
  <w:style w:type="table" w:styleId="1384">
    <w:name w:val="List Table 6 Colorful - Accent 6"/>
    <w:next w:val="1384"/>
    <w:link w:val="731"/>
    <w:uiPriority w:val="99"/>
    <w:rPr>
      <w:lang w:val="en-US" w:eastAsia="zh-CN" w:bidi="ar-SA"/>
    </w:rPr>
    <w:tblPr/>
  </w:style>
  <w:style w:type="table" w:styleId="1385">
    <w:name w:val="List Table 7 Colorful"/>
    <w:next w:val="1385"/>
    <w:link w:val="731"/>
    <w:uiPriority w:val="99"/>
    <w:rPr>
      <w:lang w:val="en-US" w:eastAsia="zh-CN" w:bidi="ar-SA"/>
    </w:rPr>
    <w:tblPr/>
  </w:style>
  <w:style w:type="table" w:styleId="1386">
    <w:name w:val="List Table 7 Colorful - Accent 1"/>
    <w:next w:val="1386"/>
    <w:link w:val="731"/>
    <w:uiPriority w:val="99"/>
    <w:rPr>
      <w:lang w:val="en-US" w:eastAsia="zh-CN" w:bidi="ar-SA"/>
    </w:rPr>
    <w:tblPr/>
  </w:style>
  <w:style w:type="table" w:styleId="1387">
    <w:name w:val="List Table 7 Colorful - Accent 2"/>
    <w:next w:val="1387"/>
    <w:link w:val="731"/>
    <w:uiPriority w:val="99"/>
    <w:rPr>
      <w:lang w:val="en-US" w:eastAsia="zh-CN" w:bidi="ar-SA"/>
    </w:rPr>
    <w:tblPr/>
  </w:style>
  <w:style w:type="table" w:styleId="1388">
    <w:name w:val="List Table 7 Colorful - Accent 3"/>
    <w:next w:val="1388"/>
    <w:link w:val="731"/>
    <w:uiPriority w:val="99"/>
    <w:rPr>
      <w:lang w:val="en-US" w:eastAsia="zh-CN" w:bidi="ar-SA"/>
    </w:rPr>
    <w:tblPr/>
  </w:style>
  <w:style w:type="table" w:styleId="1389">
    <w:name w:val="List Table 7 Colorful - Accent 4"/>
    <w:next w:val="1389"/>
    <w:link w:val="731"/>
    <w:uiPriority w:val="99"/>
    <w:rPr>
      <w:lang w:val="en-US" w:eastAsia="zh-CN" w:bidi="ar-SA"/>
    </w:rPr>
    <w:tblPr/>
  </w:style>
  <w:style w:type="table" w:styleId="1390">
    <w:name w:val="List Table 7 Colorful - Accent 5"/>
    <w:next w:val="1390"/>
    <w:link w:val="731"/>
    <w:uiPriority w:val="99"/>
    <w:rPr>
      <w:lang w:val="en-US" w:eastAsia="zh-CN" w:bidi="ar-SA"/>
    </w:rPr>
    <w:tblPr/>
  </w:style>
  <w:style w:type="table" w:styleId="1391">
    <w:name w:val="List Table 7 Colorful - Accent 6"/>
    <w:next w:val="1391"/>
    <w:link w:val="731"/>
    <w:uiPriority w:val="99"/>
    <w:rPr>
      <w:lang w:val="en-US" w:eastAsia="zh-CN" w:bidi="ar-SA"/>
    </w:rPr>
    <w:tblPr/>
  </w:style>
  <w:style w:type="character" w:styleId="1392" w:default="1">
    <w:name w:val="Default Paragraph Font"/>
    <w:uiPriority w:val="1"/>
    <w:semiHidden/>
    <w:unhideWhenUsed/>
  </w:style>
  <w:style w:type="numbering" w:styleId="1393" w:default="1">
    <w:name w:val="No List"/>
    <w:uiPriority w:val="99"/>
    <w:semiHidden/>
    <w:unhideWhenUsed/>
  </w:style>
  <w:style w:type="table" w:styleId="1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7</cp:revision>
  <dcterms:created xsi:type="dcterms:W3CDTF">2026-04-30T03:26:00Z</dcterms:created>
  <dcterms:modified xsi:type="dcterms:W3CDTF">2026-04-30T07:33:29Z</dcterms:modified>
  <cp:version>1048576</cp:version>
</cp:coreProperties>
</file>