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EDE319">
      <w:pPr>
        <w:ind w:left="660"/>
        <w:rPr>
          <w:rFonts w:hint="eastAsia" w:ascii="楷体_GB2312" w:eastAsia="楷体_GB2312"/>
          <w:bCs/>
          <w:color w:val="auto"/>
          <w:sz w:val="30"/>
          <w:highlight w:val="none"/>
        </w:rPr>
      </w:pPr>
      <w:r>
        <w:rPr>
          <w:rFonts w:hint="eastAsia" w:ascii="楷体_GB2312" w:eastAsia="楷体_GB2312"/>
          <w:bCs/>
          <w:color w:val="auto"/>
          <w:sz w:val="30"/>
          <w:highlight w:val="none"/>
        </w:rPr>
        <w:t xml:space="preserve"> </w:t>
      </w:r>
    </w:p>
    <w:p w14:paraId="201F5C4A">
      <w:pPr>
        <w:ind w:left="660"/>
        <w:rPr>
          <w:rFonts w:ascii="楷体_GB2312" w:eastAsia="楷体_GB2312"/>
          <w:bCs/>
          <w:color w:val="auto"/>
          <w:sz w:val="30"/>
          <w:highlight w:val="none"/>
        </w:rPr>
      </w:pPr>
    </w:p>
    <w:p w14:paraId="4E084251">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无锡市惠山区政府采购</w:t>
      </w:r>
    </w:p>
    <w:p w14:paraId="619A5907">
      <w:pPr>
        <w:rPr>
          <w:rFonts w:ascii="华文中宋" w:hAnsi="华文中宋" w:eastAsia="华文中宋"/>
          <w:bCs/>
          <w:color w:val="auto"/>
          <w:sz w:val="30"/>
          <w:highlight w:val="none"/>
        </w:rPr>
      </w:pPr>
    </w:p>
    <w:p w14:paraId="7D4E8730">
      <w:pPr>
        <w:rPr>
          <w:rFonts w:ascii="华文中宋" w:hAnsi="华文中宋" w:eastAsia="华文中宋"/>
          <w:bCs/>
          <w:color w:val="auto"/>
          <w:sz w:val="30"/>
          <w:highlight w:val="none"/>
        </w:rPr>
      </w:pPr>
    </w:p>
    <w:p w14:paraId="53993951">
      <w:pPr>
        <w:rPr>
          <w:rFonts w:ascii="华文中宋" w:hAnsi="华文中宋" w:eastAsia="华文中宋"/>
          <w:bCs/>
          <w:color w:val="auto"/>
          <w:sz w:val="30"/>
          <w:highlight w:val="none"/>
        </w:rPr>
      </w:pPr>
    </w:p>
    <w:p w14:paraId="4641BC60">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1B631CB9">
      <w:pPr>
        <w:jc w:val="center"/>
        <w:rPr>
          <w:rFonts w:ascii="黑体" w:hAnsi="华文中宋" w:eastAsia="黑体"/>
          <w:bCs/>
          <w:color w:val="auto"/>
          <w:spacing w:val="20"/>
          <w:sz w:val="52"/>
          <w:szCs w:val="52"/>
          <w:highlight w:val="none"/>
        </w:rPr>
      </w:pP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线 2"/>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line id="直线 2"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mC/f+tcAAAAJAQAADwAAAAAAAAABACAAAAAiAAAAZHJzL2Rvd25yZXYueG1sUEsBAhQA&#10;FAAAAAgAh07iQMgIbHTzAQAA+wMAAA4AAAAAAAAAAQAgAAAAJgEAAGRycy9lMm9Eb2MueG1sUEsF&#10;BgAAAAAGAAYAWQEAAIsFAAAAAA==&#10;">
                <v:fill on="f"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件</w:t>
      </w:r>
    </w:p>
    <w:p w14:paraId="2E7FB32D">
      <w:pPr>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p>
    <w:p w14:paraId="6E0DD1A3">
      <w:pPr>
        <w:tabs>
          <w:tab w:val="left" w:pos="9921"/>
        </w:tabs>
        <w:jc w:val="center"/>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14:paraId="7A1E240E">
      <w:pPr>
        <w:jc w:val="left"/>
        <w:rPr>
          <w:rFonts w:ascii="华文中宋" w:hAnsi="华文中宋" w:eastAsia="华文中宋"/>
          <w:bCs/>
          <w:color w:val="auto"/>
          <w:sz w:val="30"/>
          <w:highlight w:val="none"/>
        </w:rPr>
      </w:pPr>
    </w:p>
    <w:p w14:paraId="688ABC1E">
      <w:pPr>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ab/>
      </w: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JSZC-320206-JZCG-G2026-0025</w:t>
      </w:r>
    </w:p>
    <w:p w14:paraId="26CD1381">
      <w:pPr>
        <w:ind w:left="4200" w:hanging="4200"/>
        <w:rPr>
          <w:rFonts w:hint="default" w:ascii="黑体" w:hAnsi="华文中宋" w:eastAsia="黑体"/>
          <w:bCs/>
          <w:color w:val="auto"/>
          <w:sz w:val="30"/>
          <w:szCs w:val="30"/>
          <w:highlight w:val="none"/>
          <w:lang w:val="en-US"/>
        </w:rPr>
      </w:pPr>
      <w:r>
        <w:rPr>
          <w:rFonts w:hint="eastAsia" w:ascii="黑体" w:hAnsi="华文中宋" w:eastAsia="黑体"/>
          <w:bCs/>
          <w:color w:val="auto"/>
          <w:sz w:val="30"/>
          <w:szCs w:val="30"/>
          <w:highlight w:val="none"/>
        </w:rPr>
        <w:t xml:space="preserve">             采购项目名称：</w:t>
      </w:r>
      <w:r>
        <w:rPr>
          <w:rFonts w:hint="eastAsia" w:ascii="黑体" w:hAnsi="华文中宋" w:eastAsia="黑体"/>
          <w:bCs/>
          <w:color w:val="auto"/>
          <w:sz w:val="30"/>
          <w:szCs w:val="30"/>
          <w:highlight w:val="none"/>
          <w:lang w:val="en-US" w:eastAsia="zh-CN"/>
        </w:rPr>
        <w:t>惠山区2026年度社会治安监控系统运维项目（硬件、线路）</w:t>
      </w:r>
    </w:p>
    <w:p w14:paraId="2A853A18">
      <w:pP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             集中采购机构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无锡市惠山区政府采购中心</w:t>
      </w:r>
    </w:p>
    <w:p w14:paraId="65BBDA3B">
      <w:pPr>
        <w:rPr>
          <w:rFonts w:ascii="华文中宋" w:hAnsi="华文中宋" w:eastAsia="华文中宋"/>
          <w:bCs/>
          <w:color w:val="auto"/>
          <w:sz w:val="30"/>
          <w:highlight w:val="none"/>
        </w:rPr>
      </w:pPr>
    </w:p>
    <w:p w14:paraId="758EE8B8">
      <w:pPr>
        <w:rPr>
          <w:rFonts w:ascii="华文中宋" w:hAnsi="华文中宋" w:eastAsia="华文中宋"/>
          <w:bCs/>
          <w:color w:val="auto"/>
          <w:sz w:val="30"/>
          <w:highlight w:val="none"/>
        </w:rPr>
      </w:pPr>
    </w:p>
    <w:p w14:paraId="0072862B">
      <w:pPr>
        <w:rPr>
          <w:rFonts w:ascii="华文中宋" w:hAnsi="华文中宋" w:eastAsia="华文中宋"/>
          <w:bCs/>
          <w:color w:val="auto"/>
          <w:sz w:val="30"/>
          <w:highlight w:val="none"/>
        </w:rPr>
      </w:pPr>
    </w:p>
    <w:p w14:paraId="074F997B">
      <w:pPr>
        <w:rPr>
          <w:rFonts w:ascii="华文中宋" w:hAnsi="华文中宋" w:eastAsia="华文中宋"/>
          <w:bCs/>
          <w:color w:val="auto"/>
          <w:sz w:val="30"/>
          <w:highlight w:val="none"/>
        </w:rPr>
      </w:pPr>
    </w:p>
    <w:p w14:paraId="68F73642">
      <w:pPr>
        <w:jc w:val="center"/>
        <w:rPr>
          <w:rFonts w:ascii="黑体" w:hAnsi="华文中宋" w:eastAsia="黑体"/>
          <w:bCs/>
          <w:color w:val="auto"/>
          <w:sz w:val="44"/>
          <w:szCs w:val="44"/>
          <w:highlight w:val="none"/>
        </w:rPr>
      </w:pPr>
      <w:r>
        <w:rPr>
          <w:rFonts w:hint="eastAsia" w:ascii="黑体" w:hAnsi="华文中宋" w:eastAsia="黑体"/>
          <w:bCs/>
          <w:color w:val="auto"/>
          <w:sz w:val="44"/>
          <w:szCs w:val="44"/>
          <w:highlight w:val="none"/>
        </w:rPr>
        <w:t>二○二</w:t>
      </w:r>
      <w:r>
        <w:rPr>
          <w:rFonts w:hint="eastAsia" w:ascii="黑体" w:hAnsi="华文中宋" w:eastAsia="黑体"/>
          <w:bCs/>
          <w:color w:val="auto"/>
          <w:sz w:val="44"/>
          <w:szCs w:val="44"/>
          <w:highlight w:val="none"/>
          <w:lang w:eastAsia="zh-CN"/>
        </w:rPr>
        <w:t>六</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eastAsia="zh-CN"/>
        </w:rPr>
        <w:t>五</w:t>
      </w:r>
      <w:r>
        <w:rPr>
          <w:rFonts w:hint="eastAsia" w:ascii="黑体" w:hAnsi="华文中宋" w:eastAsia="黑体"/>
          <w:bCs/>
          <w:color w:val="auto"/>
          <w:sz w:val="44"/>
          <w:szCs w:val="44"/>
          <w:highlight w:val="none"/>
        </w:rPr>
        <w:t>月</w:t>
      </w:r>
    </w:p>
    <w:p w14:paraId="097B33A6">
      <w:pPr>
        <w:jc w:val="center"/>
        <w:rPr>
          <w:rFonts w:ascii="黑体" w:eastAsia="黑体"/>
          <w:bCs/>
          <w:color w:val="auto"/>
          <w:sz w:val="44"/>
          <w:highlight w:val="none"/>
        </w:rPr>
      </w:pPr>
    </w:p>
    <w:p w14:paraId="6421FF04">
      <w:pPr>
        <w:rPr>
          <w:rFonts w:ascii="华文新魏" w:eastAsia="华文新魏"/>
          <w:bCs/>
          <w:color w:val="auto"/>
          <w:sz w:val="44"/>
          <w:highlight w:val="none"/>
        </w:rPr>
      </w:pPr>
    </w:p>
    <w:p w14:paraId="72DE82BD">
      <w:pPr>
        <w:rPr>
          <w:rStyle w:val="52"/>
          <w:rFonts w:eastAsia="黑体"/>
          <w:bCs/>
          <w:color w:val="auto"/>
          <w:sz w:val="48"/>
          <w:highlight w:val="none"/>
        </w:rPr>
      </w:pPr>
      <w:r>
        <w:rPr>
          <w:rStyle w:val="52"/>
          <w:rFonts w:eastAsia="黑体"/>
          <w:bCs/>
          <w:color w:val="auto"/>
          <w:sz w:val="48"/>
          <w:highlight w:val="none"/>
        </w:rPr>
        <w:t xml:space="preserve"> </w:t>
      </w:r>
    </w:p>
    <w:p w14:paraId="5D1683DE">
      <w:pPr>
        <w:pageBreakBefore/>
        <w:jc w:val="center"/>
        <w:rPr>
          <w:rStyle w:val="52"/>
          <w:rFonts w:eastAsia="黑体"/>
          <w:bCs/>
          <w:color w:val="auto"/>
          <w:sz w:val="48"/>
          <w:highlight w:val="none"/>
        </w:rPr>
      </w:pPr>
      <w:r>
        <w:rPr>
          <w:rStyle w:val="52"/>
          <w:rFonts w:hint="eastAsia" w:eastAsia="黑体"/>
          <w:bCs/>
          <w:color w:val="auto"/>
          <w:sz w:val="48"/>
          <w:highlight w:val="none"/>
        </w:rPr>
        <w:t>目</w:t>
      </w:r>
      <w:r>
        <w:rPr>
          <w:rStyle w:val="52"/>
          <w:rFonts w:eastAsia="黑体"/>
          <w:bCs/>
          <w:color w:val="auto"/>
          <w:sz w:val="48"/>
          <w:highlight w:val="none"/>
        </w:rPr>
        <w:t xml:space="preserve">     </w:t>
      </w:r>
      <w:r>
        <w:rPr>
          <w:rStyle w:val="52"/>
          <w:rFonts w:hint="eastAsia" w:eastAsia="黑体"/>
          <w:bCs/>
          <w:color w:val="auto"/>
          <w:sz w:val="48"/>
          <w:highlight w:val="none"/>
        </w:rPr>
        <w:t>录</w:t>
      </w:r>
    </w:p>
    <w:p w14:paraId="58050CFF">
      <w:pPr>
        <w:jc w:val="center"/>
        <w:rPr>
          <w:rFonts w:hint="eastAsia" w:ascii="黑体" w:eastAsia="黑体"/>
          <w:bCs/>
          <w:color w:val="auto"/>
          <w:sz w:val="30"/>
          <w:highlight w:val="none"/>
        </w:rPr>
      </w:pPr>
    </w:p>
    <w:p w14:paraId="2F944529">
      <w:pPr>
        <w:jc w:val="center"/>
        <w:rPr>
          <w:rFonts w:hint="eastAsia" w:ascii="黑体" w:eastAsia="黑体"/>
          <w:bCs/>
          <w:color w:val="auto"/>
          <w:sz w:val="30"/>
          <w:highlight w:val="none"/>
        </w:rPr>
      </w:pPr>
    </w:p>
    <w:p w14:paraId="2C4FC9DB">
      <w:pPr>
        <w:jc w:val="center"/>
        <w:rPr>
          <w:rFonts w:hint="eastAsia" w:ascii="黑体" w:eastAsia="黑体"/>
          <w:bCs/>
          <w:color w:val="auto"/>
          <w:sz w:val="30"/>
          <w:highlight w:val="none"/>
        </w:rPr>
      </w:pPr>
    </w:p>
    <w:p w14:paraId="13C8696B">
      <w:pPr>
        <w:jc w:val="center"/>
        <w:rPr>
          <w:rFonts w:ascii="黑体" w:eastAsia="黑体"/>
          <w:bCs/>
          <w:color w:val="auto"/>
          <w:sz w:val="30"/>
          <w:highlight w:val="none"/>
        </w:rPr>
      </w:pPr>
    </w:p>
    <w:p w14:paraId="544DBF69">
      <w:pPr>
        <w:pStyle w:val="29"/>
        <w:tabs>
          <w:tab w:val="right" w:leader="dot" w:pos="9911"/>
        </w:tabs>
        <w:spacing w:line="720" w:lineRule="auto"/>
        <w:ind w:firstLine="480"/>
        <w:rPr>
          <w:rFonts w:ascii="宋体" w:hAnsi="宋体"/>
          <w:color w:val="auto"/>
          <w:sz w:val="32"/>
          <w:szCs w:val="32"/>
          <w:highlight w:val="none"/>
        </w:rPr>
      </w:pPr>
      <w:r>
        <w:rPr>
          <w:rFonts w:ascii="宋体" w:hAnsi="宋体"/>
          <w:bCs/>
          <w:color w:val="auto"/>
          <w:sz w:val="32"/>
          <w:szCs w:val="32"/>
          <w:highlight w:val="none"/>
        </w:rPr>
        <w:fldChar w:fldCharType="begin"/>
      </w:r>
      <w:r>
        <w:rPr>
          <w:rFonts w:ascii="宋体" w:hAnsi="宋体"/>
          <w:bCs/>
          <w:color w:val="auto"/>
          <w:sz w:val="32"/>
          <w:szCs w:val="32"/>
          <w:highlight w:val="none"/>
        </w:rPr>
        <w:instrText xml:space="preserve"> TOC \o "1-1" \h \z \u </w:instrText>
      </w:r>
      <w:r>
        <w:rPr>
          <w:rFonts w:ascii="宋体" w:hAnsi="宋体"/>
          <w:bCs/>
          <w:color w:val="auto"/>
          <w:sz w:val="32"/>
          <w:szCs w:val="32"/>
          <w:highlight w:val="none"/>
        </w:rPr>
        <w:fldChar w:fldCharType="separate"/>
      </w:r>
      <w:r>
        <w:rPr>
          <w:rStyle w:val="54"/>
          <w:rFonts w:ascii="宋体" w:hAnsi="宋体"/>
          <w:color w:val="auto"/>
          <w:sz w:val="32"/>
          <w:szCs w:val="32"/>
          <w:highlight w:val="none"/>
        </w:rPr>
        <w:fldChar w:fldCharType="begin"/>
      </w:r>
      <w:r>
        <w:rPr>
          <w:rStyle w:val="54"/>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"_Toc61444671"</w:instrText>
      </w:r>
      <w:r>
        <w:rPr>
          <w:rStyle w:val="54"/>
          <w:rFonts w:ascii="宋体" w:hAnsi="宋体"/>
          <w:color w:val="auto"/>
          <w:sz w:val="32"/>
          <w:szCs w:val="32"/>
          <w:highlight w:val="none"/>
        </w:rPr>
        <w:instrText xml:space="preserve"> </w:instrText>
      </w:r>
      <w:r>
        <w:rPr>
          <w:rStyle w:val="54"/>
          <w:rFonts w:ascii="宋体" w:hAnsi="宋体"/>
          <w:color w:val="auto"/>
          <w:sz w:val="32"/>
          <w:szCs w:val="32"/>
          <w:highlight w:val="none"/>
        </w:rPr>
        <w:fldChar w:fldCharType="separate"/>
      </w:r>
      <w:r>
        <w:rPr>
          <w:rStyle w:val="54"/>
          <w:rFonts w:hint="eastAsia" w:ascii="宋体" w:hAnsi="宋体"/>
          <w:color w:val="auto"/>
          <w:sz w:val="32"/>
          <w:szCs w:val="32"/>
          <w:highlight w:val="none"/>
        </w:rPr>
        <w:t>一．投标邀请函</w:t>
      </w:r>
      <w:r>
        <w:rPr>
          <w:rFonts w:ascii="宋体" w:hAnsi="宋体"/>
          <w:color w:val="auto"/>
          <w:sz w:val="32"/>
          <w:szCs w:val="32"/>
          <w:highlight w:val="none"/>
        </w:rPr>
        <w:tab/>
      </w:r>
      <w:r>
        <w:rPr>
          <w:rFonts w:ascii="宋体" w:hAnsi="宋体"/>
          <w:color w:val="auto"/>
          <w:sz w:val="32"/>
          <w:szCs w:val="32"/>
          <w:highlight w:val="none"/>
        </w:rPr>
        <w:fldChar w:fldCharType="begin"/>
      </w:r>
      <w:r>
        <w:rPr>
          <w:rFonts w:ascii="宋体" w:hAnsi="宋体"/>
          <w:color w:val="auto"/>
          <w:sz w:val="32"/>
          <w:szCs w:val="32"/>
          <w:highlight w:val="none"/>
        </w:rPr>
        <w:instrText xml:space="preserve"> PAGEREF _Toc61444671 \h </w:instrText>
      </w:r>
      <w:r>
        <w:rPr>
          <w:rFonts w:ascii="宋体" w:hAnsi="宋体"/>
          <w:color w:val="auto"/>
          <w:sz w:val="32"/>
          <w:szCs w:val="32"/>
          <w:highlight w:val="none"/>
        </w:rPr>
        <w:fldChar w:fldCharType="separate"/>
      </w:r>
      <w:r>
        <w:rPr>
          <w:rFonts w:ascii="宋体" w:hAnsi="宋体"/>
          <w:color w:val="auto"/>
          <w:sz w:val="32"/>
          <w:szCs w:val="32"/>
          <w:highlight w:val="none"/>
        </w:rPr>
        <w:t>2</w:t>
      </w:r>
      <w:r>
        <w:rPr>
          <w:rFonts w:ascii="宋体" w:hAnsi="宋体"/>
          <w:color w:val="auto"/>
          <w:sz w:val="32"/>
          <w:szCs w:val="32"/>
          <w:highlight w:val="none"/>
        </w:rPr>
        <w:fldChar w:fldCharType="end"/>
      </w:r>
      <w:r>
        <w:rPr>
          <w:rStyle w:val="54"/>
          <w:rFonts w:ascii="宋体" w:hAnsi="宋体"/>
          <w:color w:val="auto"/>
          <w:sz w:val="32"/>
          <w:szCs w:val="32"/>
          <w:highlight w:val="none"/>
        </w:rPr>
        <w:fldChar w:fldCharType="end"/>
      </w:r>
    </w:p>
    <w:p w14:paraId="591C7A15">
      <w:pPr>
        <w:pStyle w:val="29"/>
        <w:tabs>
          <w:tab w:val="right" w:leader="dot" w:pos="9911"/>
        </w:tabs>
        <w:spacing w:line="720" w:lineRule="auto"/>
        <w:ind w:firstLine="480"/>
        <w:rPr>
          <w:rFonts w:ascii="宋体" w:hAnsi="宋体"/>
          <w:color w:val="auto"/>
          <w:sz w:val="32"/>
          <w:szCs w:val="32"/>
          <w:highlight w:val="none"/>
        </w:rPr>
      </w:pPr>
      <w:r>
        <w:rPr>
          <w:rStyle w:val="54"/>
          <w:rFonts w:ascii="宋体" w:hAnsi="宋体"/>
          <w:color w:val="auto"/>
          <w:sz w:val="32"/>
          <w:szCs w:val="32"/>
          <w:highlight w:val="none"/>
        </w:rPr>
        <w:fldChar w:fldCharType="begin"/>
      </w:r>
      <w:r>
        <w:rPr>
          <w:rStyle w:val="54"/>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"_Toc61444672"</w:instrText>
      </w:r>
      <w:r>
        <w:rPr>
          <w:rStyle w:val="54"/>
          <w:rFonts w:ascii="宋体" w:hAnsi="宋体"/>
          <w:color w:val="auto"/>
          <w:sz w:val="32"/>
          <w:szCs w:val="32"/>
          <w:highlight w:val="none"/>
        </w:rPr>
        <w:instrText xml:space="preserve"> </w:instrText>
      </w:r>
      <w:r>
        <w:rPr>
          <w:rStyle w:val="54"/>
          <w:rFonts w:ascii="宋体" w:hAnsi="宋体"/>
          <w:color w:val="auto"/>
          <w:sz w:val="32"/>
          <w:szCs w:val="32"/>
          <w:highlight w:val="none"/>
        </w:rPr>
        <w:fldChar w:fldCharType="separate"/>
      </w:r>
      <w:r>
        <w:rPr>
          <w:rStyle w:val="54"/>
          <w:rFonts w:hint="eastAsia" w:ascii="宋体" w:hAnsi="宋体"/>
          <w:color w:val="auto"/>
          <w:sz w:val="32"/>
          <w:szCs w:val="32"/>
          <w:highlight w:val="none"/>
        </w:rPr>
        <w:t>二．投标人须知</w:t>
      </w:r>
      <w:r>
        <w:rPr>
          <w:rFonts w:ascii="宋体" w:hAnsi="宋体"/>
          <w:color w:val="auto"/>
          <w:sz w:val="32"/>
          <w:szCs w:val="32"/>
          <w:highlight w:val="none"/>
        </w:rPr>
        <w:tab/>
      </w:r>
      <w:r>
        <w:rPr>
          <w:rFonts w:hint="eastAsia" w:ascii="宋体" w:hAnsi="宋体"/>
          <w:color w:val="auto"/>
          <w:sz w:val="32"/>
          <w:szCs w:val="32"/>
          <w:highlight w:val="none"/>
        </w:rPr>
        <w:t>5</w:t>
      </w:r>
      <w:r>
        <w:rPr>
          <w:rStyle w:val="54"/>
          <w:rFonts w:ascii="宋体" w:hAnsi="宋体"/>
          <w:color w:val="auto"/>
          <w:sz w:val="32"/>
          <w:szCs w:val="32"/>
          <w:highlight w:val="none"/>
        </w:rPr>
        <w:fldChar w:fldCharType="end"/>
      </w:r>
    </w:p>
    <w:p w14:paraId="673D2F50">
      <w:pPr>
        <w:pStyle w:val="29"/>
        <w:tabs>
          <w:tab w:val="right" w:leader="dot" w:pos="9911"/>
        </w:tabs>
        <w:spacing w:line="720" w:lineRule="auto"/>
        <w:ind w:firstLine="480"/>
        <w:rPr>
          <w:rFonts w:ascii="宋体" w:hAnsi="宋体"/>
          <w:color w:val="auto"/>
          <w:sz w:val="32"/>
          <w:szCs w:val="32"/>
          <w:highlight w:val="none"/>
        </w:rPr>
      </w:pPr>
      <w:r>
        <w:rPr>
          <w:rStyle w:val="54"/>
          <w:rFonts w:ascii="宋体" w:hAnsi="宋体"/>
          <w:color w:val="auto"/>
          <w:sz w:val="32"/>
          <w:szCs w:val="32"/>
          <w:highlight w:val="none"/>
        </w:rPr>
        <w:fldChar w:fldCharType="begin"/>
      </w:r>
      <w:r>
        <w:rPr>
          <w:rStyle w:val="54"/>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"_Toc61444673"</w:instrText>
      </w:r>
      <w:r>
        <w:rPr>
          <w:rStyle w:val="54"/>
          <w:rFonts w:ascii="宋体" w:hAnsi="宋体"/>
          <w:color w:val="auto"/>
          <w:sz w:val="32"/>
          <w:szCs w:val="32"/>
          <w:highlight w:val="none"/>
        </w:rPr>
        <w:instrText xml:space="preserve"> </w:instrText>
      </w:r>
      <w:r>
        <w:rPr>
          <w:rStyle w:val="54"/>
          <w:rFonts w:ascii="宋体" w:hAnsi="宋体"/>
          <w:color w:val="auto"/>
          <w:sz w:val="32"/>
          <w:szCs w:val="32"/>
          <w:highlight w:val="none"/>
        </w:rPr>
        <w:fldChar w:fldCharType="separate"/>
      </w:r>
      <w:r>
        <w:rPr>
          <w:rStyle w:val="54"/>
          <w:rFonts w:hint="eastAsia" w:ascii="宋体" w:hAnsi="宋体"/>
          <w:color w:val="auto"/>
          <w:sz w:val="32"/>
          <w:szCs w:val="32"/>
          <w:highlight w:val="none"/>
        </w:rPr>
        <w:t>三．项目</w:t>
      </w:r>
      <w:r>
        <w:rPr>
          <w:rStyle w:val="54"/>
          <w:rFonts w:hint="eastAsia" w:ascii="宋体" w:hAnsi="宋体"/>
          <w:color w:val="auto"/>
          <w:sz w:val="32"/>
          <w:szCs w:val="32"/>
          <w:highlight w:val="none"/>
          <w:lang w:eastAsia="zh-CN"/>
        </w:rPr>
        <w:t>需求</w:t>
      </w:r>
      <w:r>
        <w:rPr>
          <w:rFonts w:ascii="宋体" w:hAnsi="宋体"/>
          <w:color w:val="auto"/>
          <w:sz w:val="32"/>
          <w:szCs w:val="32"/>
          <w:highlight w:val="none"/>
        </w:rPr>
        <w:tab/>
      </w:r>
      <w:r>
        <w:rPr>
          <w:rFonts w:hint="eastAsia" w:ascii="宋体" w:hAnsi="宋体"/>
          <w:color w:val="auto"/>
          <w:sz w:val="32"/>
          <w:szCs w:val="32"/>
          <w:highlight w:val="none"/>
        </w:rPr>
        <w:t>1</w:t>
      </w:r>
      <w:r>
        <w:rPr>
          <w:rFonts w:hint="eastAsia" w:ascii="宋体" w:hAnsi="宋体"/>
          <w:color w:val="auto"/>
          <w:sz w:val="32"/>
          <w:szCs w:val="32"/>
          <w:highlight w:val="none"/>
          <w:lang w:val="en-US" w:eastAsia="zh-CN"/>
        </w:rPr>
        <w:t>7</w:t>
      </w:r>
      <w:r>
        <w:rPr>
          <w:rStyle w:val="54"/>
          <w:rFonts w:ascii="宋体" w:hAnsi="宋体"/>
          <w:color w:val="auto"/>
          <w:sz w:val="32"/>
          <w:szCs w:val="32"/>
          <w:highlight w:val="none"/>
        </w:rPr>
        <w:fldChar w:fldCharType="end"/>
      </w:r>
    </w:p>
    <w:p w14:paraId="4C627ED2">
      <w:pPr>
        <w:pStyle w:val="29"/>
        <w:tabs>
          <w:tab w:val="right" w:leader="dot" w:pos="9911"/>
        </w:tabs>
        <w:spacing w:line="720" w:lineRule="auto"/>
        <w:ind w:firstLine="480"/>
        <w:rPr>
          <w:rFonts w:hint="default" w:ascii="宋体" w:hAnsi="宋体" w:eastAsia="宋体"/>
          <w:color w:val="auto"/>
          <w:sz w:val="32"/>
          <w:szCs w:val="32"/>
          <w:highlight w:val="none"/>
          <w:lang w:val="en-US" w:eastAsia="zh-CN"/>
        </w:rPr>
      </w:pPr>
      <w:r>
        <w:rPr>
          <w:rStyle w:val="54"/>
          <w:rFonts w:ascii="宋体" w:hAnsi="宋体"/>
          <w:color w:val="auto"/>
          <w:sz w:val="32"/>
          <w:szCs w:val="32"/>
          <w:highlight w:val="none"/>
        </w:rPr>
        <w:fldChar w:fldCharType="begin"/>
      </w:r>
      <w:r>
        <w:rPr>
          <w:rStyle w:val="54"/>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"_Toc61444674"</w:instrText>
      </w:r>
      <w:r>
        <w:rPr>
          <w:rStyle w:val="54"/>
          <w:rFonts w:ascii="宋体" w:hAnsi="宋体"/>
          <w:color w:val="auto"/>
          <w:sz w:val="32"/>
          <w:szCs w:val="32"/>
          <w:highlight w:val="none"/>
        </w:rPr>
        <w:instrText xml:space="preserve"> </w:instrText>
      </w:r>
      <w:r>
        <w:rPr>
          <w:rStyle w:val="54"/>
          <w:rFonts w:ascii="宋体" w:hAnsi="宋体"/>
          <w:color w:val="auto"/>
          <w:sz w:val="32"/>
          <w:szCs w:val="32"/>
          <w:highlight w:val="none"/>
        </w:rPr>
        <w:fldChar w:fldCharType="separate"/>
      </w:r>
      <w:r>
        <w:rPr>
          <w:rStyle w:val="54"/>
          <w:rFonts w:hint="eastAsia" w:ascii="宋体" w:hAnsi="宋体"/>
          <w:color w:val="auto"/>
          <w:sz w:val="32"/>
          <w:szCs w:val="32"/>
          <w:highlight w:val="none"/>
        </w:rPr>
        <w:t>四．合同书（格式文本）</w:t>
      </w:r>
      <w:r>
        <w:rPr>
          <w:rFonts w:ascii="宋体" w:hAnsi="宋体"/>
          <w:color w:val="auto"/>
          <w:sz w:val="32"/>
          <w:szCs w:val="32"/>
          <w:highlight w:val="none"/>
        </w:rPr>
        <w:tab/>
      </w:r>
      <w:r>
        <w:rPr>
          <w:rStyle w:val="54"/>
          <w:rFonts w:ascii="宋体" w:hAnsi="宋体"/>
          <w:color w:val="auto"/>
          <w:sz w:val="32"/>
          <w:szCs w:val="32"/>
          <w:highlight w:val="none"/>
        </w:rPr>
        <w:fldChar w:fldCharType="end"/>
      </w:r>
      <w:r>
        <w:rPr>
          <w:rStyle w:val="54"/>
          <w:rFonts w:hint="eastAsia" w:ascii="宋体" w:hAnsi="宋体"/>
          <w:color w:val="auto"/>
          <w:sz w:val="32"/>
          <w:szCs w:val="32"/>
          <w:highlight w:val="none"/>
          <w:lang w:val="en-US" w:eastAsia="zh-CN"/>
        </w:rPr>
        <w:t>30</w:t>
      </w:r>
    </w:p>
    <w:p w14:paraId="396350AC">
      <w:pPr>
        <w:pStyle w:val="29"/>
        <w:tabs>
          <w:tab w:val="right" w:leader="dot" w:pos="9911"/>
        </w:tabs>
        <w:spacing w:line="720" w:lineRule="auto"/>
        <w:ind w:firstLine="480"/>
        <w:rPr>
          <w:rFonts w:hint="eastAsia" w:ascii="宋体" w:hAnsi="宋体" w:eastAsia="宋体"/>
          <w:color w:val="auto"/>
          <w:sz w:val="32"/>
          <w:szCs w:val="32"/>
          <w:highlight w:val="none"/>
          <w:lang w:val="en-US" w:eastAsia="zh-CN"/>
        </w:rPr>
      </w:pPr>
      <w:r>
        <w:rPr>
          <w:rStyle w:val="54"/>
          <w:rFonts w:ascii="宋体" w:hAnsi="宋体"/>
          <w:color w:val="auto"/>
          <w:sz w:val="32"/>
          <w:szCs w:val="32"/>
          <w:highlight w:val="none"/>
        </w:rPr>
        <w:fldChar w:fldCharType="begin"/>
      </w:r>
      <w:r>
        <w:rPr>
          <w:rStyle w:val="54"/>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"_Toc61444675"</w:instrText>
      </w:r>
      <w:r>
        <w:rPr>
          <w:rStyle w:val="54"/>
          <w:rFonts w:ascii="宋体" w:hAnsi="宋体"/>
          <w:color w:val="auto"/>
          <w:sz w:val="32"/>
          <w:szCs w:val="32"/>
          <w:highlight w:val="none"/>
        </w:rPr>
        <w:instrText xml:space="preserve"> </w:instrText>
      </w:r>
      <w:r>
        <w:rPr>
          <w:rStyle w:val="54"/>
          <w:rFonts w:ascii="宋体" w:hAnsi="宋体"/>
          <w:color w:val="auto"/>
          <w:sz w:val="32"/>
          <w:szCs w:val="32"/>
          <w:highlight w:val="none"/>
        </w:rPr>
        <w:fldChar w:fldCharType="separate"/>
      </w:r>
      <w:r>
        <w:rPr>
          <w:rStyle w:val="54"/>
          <w:rFonts w:hint="eastAsia" w:ascii="宋体" w:hAnsi="宋体"/>
          <w:color w:val="auto"/>
          <w:sz w:val="32"/>
          <w:szCs w:val="32"/>
          <w:highlight w:val="none"/>
        </w:rPr>
        <w:t>五．</w:t>
      </w:r>
      <w:r>
        <w:rPr>
          <w:rStyle w:val="54"/>
          <w:rFonts w:hint="eastAsia" w:ascii="宋体" w:hAnsi="宋体"/>
          <w:color w:val="auto"/>
          <w:sz w:val="32"/>
          <w:szCs w:val="32"/>
          <w:highlight w:val="none"/>
          <w:lang w:eastAsia="zh-CN"/>
        </w:rPr>
        <w:t>评分方法与评分标准</w:t>
      </w:r>
      <w:r>
        <w:rPr>
          <w:rFonts w:ascii="宋体" w:hAnsi="宋体"/>
          <w:color w:val="auto"/>
          <w:sz w:val="32"/>
          <w:szCs w:val="32"/>
          <w:highlight w:val="none"/>
        </w:rPr>
        <w:tab/>
      </w:r>
      <w:r>
        <w:rPr>
          <w:rFonts w:hint="eastAsia" w:ascii="宋体" w:hAnsi="宋体"/>
          <w:color w:val="auto"/>
          <w:sz w:val="32"/>
          <w:szCs w:val="32"/>
          <w:highlight w:val="none"/>
          <w:lang w:val="en-US" w:eastAsia="zh-CN"/>
        </w:rPr>
        <w:t>3</w:t>
      </w:r>
      <w:r>
        <w:rPr>
          <w:rStyle w:val="54"/>
          <w:rFonts w:ascii="宋体" w:hAnsi="宋体"/>
          <w:color w:val="auto"/>
          <w:sz w:val="32"/>
          <w:szCs w:val="32"/>
          <w:highlight w:val="none"/>
        </w:rPr>
        <w:fldChar w:fldCharType="end"/>
      </w:r>
      <w:r>
        <w:rPr>
          <w:rStyle w:val="54"/>
          <w:rFonts w:hint="eastAsia" w:ascii="宋体" w:hAnsi="宋体"/>
          <w:color w:val="auto"/>
          <w:sz w:val="32"/>
          <w:szCs w:val="32"/>
          <w:highlight w:val="none"/>
          <w:lang w:val="en-US" w:eastAsia="zh-CN"/>
        </w:rPr>
        <w:t>6</w:t>
      </w:r>
    </w:p>
    <w:p w14:paraId="4A100909">
      <w:pPr>
        <w:pStyle w:val="29"/>
        <w:tabs>
          <w:tab w:val="right" w:leader="dot" w:pos="9911"/>
        </w:tabs>
        <w:spacing w:line="720" w:lineRule="auto"/>
        <w:ind w:firstLine="480"/>
        <w:rPr>
          <w:rFonts w:hint="eastAsia" w:ascii="宋体" w:hAnsi="宋体" w:eastAsia="宋体"/>
          <w:color w:val="auto"/>
          <w:sz w:val="32"/>
          <w:szCs w:val="32"/>
          <w:highlight w:val="none"/>
          <w:lang w:val="en-US" w:eastAsia="zh-CN"/>
        </w:rPr>
      </w:pPr>
      <w:r>
        <w:rPr>
          <w:rStyle w:val="54"/>
          <w:rFonts w:ascii="宋体" w:hAnsi="宋体"/>
          <w:color w:val="auto"/>
          <w:sz w:val="32"/>
          <w:szCs w:val="32"/>
          <w:highlight w:val="none"/>
        </w:rPr>
        <w:fldChar w:fldCharType="begin"/>
      </w:r>
      <w:r>
        <w:rPr>
          <w:rStyle w:val="54"/>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"_Toc61444676"</w:instrText>
      </w:r>
      <w:r>
        <w:rPr>
          <w:rStyle w:val="54"/>
          <w:rFonts w:ascii="宋体" w:hAnsi="宋体"/>
          <w:color w:val="auto"/>
          <w:sz w:val="32"/>
          <w:szCs w:val="32"/>
          <w:highlight w:val="none"/>
        </w:rPr>
        <w:instrText xml:space="preserve"> </w:instrText>
      </w:r>
      <w:r>
        <w:rPr>
          <w:rStyle w:val="54"/>
          <w:rFonts w:ascii="宋体" w:hAnsi="宋体"/>
          <w:color w:val="auto"/>
          <w:sz w:val="32"/>
          <w:szCs w:val="32"/>
          <w:highlight w:val="none"/>
        </w:rPr>
        <w:fldChar w:fldCharType="separate"/>
      </w:r>
      <w:r>
        <w:rPr>
          <w:rStyle w:val="54"/>
          <w:rFonts w:hint="eastAsia" w:ascii="宋体" w:hAnsi="宋体"/>
          <w:color w:val="auto"/>
          <w:sz w:val="32"/>
          <w:szCs w:val="32"/>
          <w:highlight w:val="none"/>
        </w:rPr>
        <w:t>六</w:t>
      </w:r>
      <w:r>
        <w:rPr>
          <w:rStyle w:val="54"/>
          <w:rFonts w:ascii="宋体" w:hAnsi="宋体"/>
          <w:color w:val="auto"/>
          <w:sz w:val="32"/>
          <w:szCs w:val="32"/>
          <w:highlight w:val="none"/>
        </w:rPr>
        <w:t>.</w:t>
      </w:r>
      <w:r>
        <w:rPr>
          <w:rStyle w:val="54"/>
          <w:rFonts w:hint="eastAsia" w:ascii="宋体" w:hAnsi="宋体"/>
          <w:color w:val="auto"/>
          <w:sz w:val="32"/>
          <w:szCs w:val="32"/>
          <w:highlight w:val="none"/>
          <w:lang w:val="en-US" w:eastAsia="zh-CN"/>
        </w:rPr>
        <w:t xml:space="preserve"> </w:t>
      </w:r>
      <w:r>
        <w:rPr>
          <w:rStyle w:val="54"/>
          <w:rFonts w:hint="eastAsia" w:ascii="宋体" w:hAnsi="宋体"/>
          <w:color w:val="auto"/>
          <w:sz w:val="32"/>
          <w:szCs w:val="32"/>
          <w:highlight w:val="none"/>
          <w:lang w:eastAsia="zh-CN"/>
        </w:rPr>
        <w:t>投标文件内容与格式</w:t>
      </w:r>
      <w:r>
        <w:rPr>
          <w:rFonts w:ascii="宋体" w:hAnsi="宋体"/>
          <w:color w:val="auto"/>
          <w:sz w:val="32"/>
          <w:szCs w:val="32"/>
          <w:highlight w:val="none"/>
        </w:rPr>
        <w:tab/>
      </w:r>
      <w:r>
        <w:rPr>
          <w:rStyle w:val="54"/>
          <w:rFonts w:ascii="宋体" w:hAnsi="宋体"/>
          <w:color w:val="auto"/>
          <w:sz w:val="32"/>
          <w:szCs w:val="32"/>
          <w:highlight w:val="none"/>
        </w:rPr>
        <w:fldChar w:fldCharType="end"/>
      </w:r>
      <w:r>
        <w:rPr>
          <w:rStyle w:val="54"/>
          <w:rFonts w:hint="eastAsia" w:ascii="宋体" w:hAnsi="宋体"/>
          <w:color w:val="auto"/>
          <w:sz w:val="32"/>
          <w:szCs w:val="32"/>
          <w:highlight w:val="none"/>
          <w:lang w:val="en-US" w:eastAsia="zh-CN"/>
        </w:rPr>
        <w:t>41</w:t>
      </w:r>
    </w:p>
    <w:p w14:paraId="24214414">
      <w:pPr>
        <w:tabs>
          <w:tab w:val="center" w:pos="5200"/>
          <w:tab w:val="left" w:pos="7980"/>
        </w:tabs>
        <w:spacing w:line="720" w:lineRule="auto"/>
        <w:ind w:firstLine="480"/>
        <w:jc w:val="left"/>
        <w:rPr>
          <w:rFonts w:ascii="宋体"/>
          <w:bCs/>
          <w:color w:val="auto"/>
          <w:sz w:val="28"/>
          <w:szCs w:val="28"/>
          <w:highlight w:val="none"/>
        </w:rPr>
      </w:pPr>
      <w:r>
        <w:rPr>
          <w:rFonts w:ascii="宋体" w:hAnsi="宋体"/>
          <w:bCs/>
          <w:color w:val="auto"/>
          <w:sz w:val="32"/>
          <w:szCs w:val="32"/>
          <w:highlight w:val="none"/>
        </w:rPr>
        <w:tab/>
      </w:r>
      <w:r>
        <w:rPr>
          <w:rFonts w:ascii="宋体" w:hAnsi="宋体"/>
          <w:bCs/>
          <w:color w:val="auto"/>
          <w:sz w:val="32"/>
          <w:szCs w:val="32"/>
          <w:highlight w:val="none"/>
        </w:rPr>
        <w:fldChar w:fldCharType="end"/>
      </w:r>
      <w:r>
        <w:rPr>
          <w:rFonts w:ascii="宋体"/>
          <w:bCs/>
          <w:color w:val="auto"/>
          <w:sz w:val="28"/>
          <w:szCs w:val="28"/>
          <w:highlight w:val="none"/>
        </w:rPr>
        <w:t xml:space="preserve"> </w:t>
      </w:r>
      <w:r>
        <w:rPr>
          <w:rFonts w:ascii="宋体"/>
          <w:bCs/>
          <w:color w:val="auto"/>
          <w:sz w:val="28"/>
          <w:szCs w:val="28"/>
          <w:highlight w:val="none"/>
        </w:rPr>
        <w:tab/>
      </w:r>
    </w:p>
    <w:p w14:paraId="757F51B7">
      <w:pPr>
        <w:tabs>
          <w:tab w:val="left" w:pos="1888"/>
        </w:tabs>
        <w:spacing w:line="720" w:lineRule="auto"/>
        <w:rPr>
          <w:rFonts w:hint="eastAsia" w:ascii="宋体" w:eastAsia="宋体"/>
          <w:bCs/>
          <w:color w:val="auto"/>
          <w:sz w:val="30"/>
          <w:highlight w:val="none"/>
          <w:lang w:eastAsia="zh-CN"/>
        </w:rPr>
      </w:pPr>
      <w:r>
        <w:rPr>
          <w:rFonts w:hint="eastAsia" w:ascii="宋体"/>
          <w:bCs/>
          <w:color w:val="auto"/>
          <w:sz w:val="30"/>
          <w:highlight w:val="none"/>
          <w:lang w:eastAsia="zh-CN"/>
        </w:rPr>
        <w:tab/>
      </w:r>
    </w:p>
    <w:p w14:paraId="4C82F3B7">
      <w:pPr>
        <w:rPr>
          <w:rFonts w:hint="eastAsia" w:ascii="宋体"/>
          <w:bCs/>
          <w:color w:val="auto"/>
          <w:sz w:val="32"/>
          <w:highlight w:val="none"/>
        </w:rPr>
      </w:pPr>
    </w:p>
    <w:p w14:paraId="5F300816">
      <w:pPr>
        <w:pStyle w:val="2"/>
        <w:pageBreakBefore/>
        <w:rPr>
          <w:rFonts w:ascii="黑体" w:hAnsi="黑体" w:eastAsia="黑体"/>
          <w:b w:val="0"/>
          <w:color w:val="auto"/>
          <w:sz w:val="32"/>
          <w:szCs w:val="32"/>
          <w:highlight w:val="none"/>
        </w:rPr>
      </w:pPr>
      <w:bookmarkStart w:id="0" w:name="报价方须知前附表"/>
      <w:bookmarkEnd w:id="0"/>
      <w:bookmarkStart w:id="1" w:name="_Toc61444671"/>
      <w:r>
        <w:rPr>
          <w:rFonts w:hint="eastAsia" w:ascii="黑体" w:hAnsi="黑体" w:eastAsia="黑体"/>
          <w:b w:val="0"/>
          <w:color w:val="auto"/>
          <w:sz w:val="32"/>
          <w:szCs w:val="32"/>
          <w:highlight w:val="none"/>
        </w:rPr>
        <w:t>一．投标邀请函</w:t>
      </w:r>
      <w:bookmarkEnd w:id="1"/>
    </w:p>
    <w:p w14:paraId="11775FAF">
      <w:pPr>
        <w:keepNext w:val="0"/>
        <w:keepLines w:val="0"/>
        <w:pageBreakBefore w:val="0"/>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我中心受</w:t>
      </w:r>
      <w:r>
        <w:rPr>
          <w:rFonts w:hint="eastAsia" w:ascii="宋体" w:hAnsi="宋体"/>
          <w:bCs/>
          <w:color w:val="auto"/>
          <w:sz w:val="24"/>
          <w:szCs w:val="24"/>
          <w:highlight w:val="none"/>
          <w:lang w:eastAsia="zh-CN"/>
        </w:rPr>
        <w:t>无锡市公安局惠山分局</w:t>
      </w:r>
      <w:r>
        <w:rPr>
          <w:rFonts w:hint="eastAsia" w:ascii="宋体" w:hAnsi="宋体"/>
          <w:bCs/>
          <w:color w:val="auto"/>
          <w:sz w:val="24"/>
          <w:szCs w:val="24"/>
          <w:highlight w:val="none"/>
        </w:rPr>
        <w:t>的委托，对</w:t>
      </w:r>
      <w:r>
        <w:rPr>
          <w:rFonts w:hint="eastAsia" w:ascii="宋体" w:hAnsi="宋体" w:cs="宋体"/>
          <w:color w:val="auto"/>
          <w:sz w:val="24"/>
          <w:szCs w:val="24"/>
          <w:highlight w:val="none"/>
          <w:lang w:val="en-US" w:eastAsia="zh-CN"/>
        </w:rPr>
        <w:t>惠山区2026年度社会治安监控系统运维项目（硬件、线路）项目</w:t>
      </w:r>
      <w:r>
        <w:rPr>
          <w:rFonts w:hint="eastAsia" w:ascii="宋体" w:hAnsi="宋体"/>
          <w:bCs/>
          <w:color w:val="auto"/>
          <w:sz w:val="24"/>
          <w:szCs w:val="24"/>
          <w:highlight w:val="none"/>
        </w:rPr>
        <w:t>进行公开招标采购，欢迎符合相关条件的供应商参加投标并提请注意下列相关事项：</w:t>
      </w:r>
    </w:p>
    <w:p w14:paraId="1059C7BE">
      <w:pPr>
        <w:keepNext w:val="0"/>
        <w:keepLines w:val="0"/>
        <w:pageBreakBefore w:val="0"/>
        <w:numPr>
          <w:ilvl w:val="0"/>
          <w:numId w:val="0"/>
        </w:numPr>
        <w:tabs>
          <w:tab w:val="left" w:pos="3920"/>
        </w:tabs>
        <w:spacing w:line="360" w:lineRule="auto"/>
        <w:ind w:left="0" w:firstLine="480"/>
        <w:rPr>
          <w:rFonts w:hint="eastAsia" w:ascii="黑体" w:hAnsi="黑体" w:eastAsia="黑体"/>
          <w:bCs/>
          <w:color w:val="auto"/>
          <w:sz w:val="24"/>
          <w:szCs w:val="24"/>
          <w:highlight w:val="none"/>
          <w:lang w:eastAsia="zh-CN"/>
        </w:rPr>
      </w:pPr>
      <w:r>
        <w:rPr>
          <w:rFonts w:hint="eastAsia" w:ascii="黑体" w:hAnsi="黑体" w:eastAsia="黑体" w:cs="宋体"/>
          <w:color w:val="auto"/>
          <w:sz w:val="24"/>
          <w:szCs w:val="24"/>
          <w:highlight w:val="none"/>
          <w:lang w:eastAsia="zh-CN"/>
        </w:rPr>
        <w:t>（一）</w:t>
      </w:r>
      <w:r>
        <w:rPr>
          <w:rFonts w:hint="eastAsia" w:ascii="黑体" w:hAnsi="黑体" w:eastAsia="黑体" w:cs="宋体"/>
          <w:color w:val="auto"/>
          <w:sz w:val="24"/>
          <w:szCs w:val="24"/>
          <w:highlight w:val="none"/>
        </w:rPr>
        <w:t>招标项目信息</w:t>
      </w:r>
      <w:r>
        <w:rPr>
          <w:rFonts w:hint="eastAsia" w:ascii="黑体" w:hAnsi="黑体" w:eastAsia="黑体" w:cs="宋体"/>
          <w:color w:val="auto"/>
          <w:sz w:val="24"/>
          <w:szCs w:val="24"/>
          <w:highlight w:val="none"/>
          <w:lang w:eastAsia="zh-CN"/>
        </w:rPr>
        <w:tab/>
      </w:r>
    </w:p>
    <w:p w14:paraId="4C60CBC4">
      <w:pPr>
        <w:keepNext w:val="0"/>
        <w:keepLines w:val="0"/>
        <w:pageBreakBefore w:val="0"/>
        <w:widowControl/>
        <w:numPr>
          <w:ilvl w:val="0"/>
          <w:numId w:val="0"/>
        </w:numPr>
        <w:shd w:val="clear" w:color="auto" w:fill="FFFFFF"/>
        <w:spacing w:line="360" w:lineRule="auto"/>
        <w:ind w:left="-360" w:firstLine="960"/>
        <w:jc w:val="left"/>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val="en-US" w:eastAsia="zh-CN"/>
        </w:rPr>
        <w:t>惠山区2026年度社会治安监控系统运维项目（硬件、线路）</w:t>
      </w:r>
    </w:p>
    <w:p w14:paraId="1C8344DD">
      <w:pPr>
        <w:keepNext w:val="0"/>
        <w:keepLines w:val="0"/>
        <w:pageBreakBefore w:val="0"/>
        <w:widowControl/>
        <w:numPr>
          <w:ilvl w:val="0"/>
          <w:numId w:val="0"/>
        </w:numPr>
        <w:shd w:val="clear" w:color="auto" w:fill="FFFFFF"/>
        <w:spacing w:line="360" w:lineRule="auto"/>
        <w:ind w:left="-360" w:firstLine="960"/>
        <w:jc w:val="left"/>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lang w:eastAsia="zh-CN"/>
        </w:rPr>
        <w:t>JSZC-320206-JZCG-G2026-0025</w:t>
      </w:r>
    </w:p>
    <w:p w14:paraId="43424E60">
      <w:pPr>
        <w:keepNext w:val="0"/>
        <w:keepLines w:val="0"/>
        <w:pageBreakBefore w:val="0"/>
        <w:widowControl/>
        <w:numPr>
          <w:ilvl w:val="0"/>
          <w:numId w:val="0"/>
        </w:numPr>
        <w:shd w:val="clear" w:color="auto" w:fill="FFFFFF"/>
        <w:spacing w:line="360" w:lineRule="auto"/>
        <w:ind w:left="-360" w:firstLine="96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项目预算：560.81</w:t>
      </w:r>
      <w:r>
        <w:rPr>
          <w:rFonts w:hint="eastAsia" w:ascii="宋体" w:hAnsi="宋体"/>
          <w:bCs/>
          <w:color w:val="auto"/>
          <w:sz w:val="24"/>
          <w:szCs w:val="24"/>
          <w:highlight w:val="none"/>
        </w:rPr>
        <w:t>万元</w:t>
      </w:r>
      <w:r>
        <w:rPr>
          <w:rFonts w:hint="eastAsia" w:ascii="宋体" w:hAnsi="宋体"/>
          <w:bCs/>
          <w:color w:val="auto"/>
          <w:sz w:val="24"/>
          <w:szCs w:val="24"/>
          <w:highlight w:val="none"/>
          <w:lang w:val="en-US" w:eastAsia="zh-CN"/>
        </w:rPr>
        <w:t xml:space="preserve">   </w:t>
      </w:r>
    </w:p>
    <w:p w14:paraId="4C605AA8">
      <w:pPr>
        <w:keepNext w:val="0"/>
        <w:keepLines w:val="0"/>
        <w:pageBreakBefore w:val="0"/>
        <w:widowControl/>
        <w:numPr>
          <w:ilvl w:val="0"/>
          <w:numId w:val="0"/>
        </w:numPr>
        <w:shd w:val="clear" w:color="auto" w:fill="FFFFFF"/>
        <w:spacing w:line="360" w:lineRule="auto"/>
        <w:ind w:left="-360" w:firstLine="96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采购方式：公开招标</w:t>
      </w:r>
    </w:p>
    <w:p w14:paraId="365FA50A">
      <w:pPr>
        <w:keepNext w:val="0"/>
        <w:keepLines w:val="0"/>
        <w:pageBreakBefore w:val="0"/>
        <w:widowControl/>
        <w:numPr>
          <w:ilvl w:val="0"/>
          <w:numId w:val="0"/>
        </w:numPr>
        <w:shd w:val="clear" w:color="auto" w:fill="FFFFFF"/>
        <w:spacing w:line="360" w:lineRule="auto"/>
        <w:ind w:left="-360" w:firstLine="96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采购人：</w:t>
      </w:r>
      <w:r>
        <w:rPr>
          <w:rFonts w:hint="eastAsia" w:ascii="宋体" w:hAnsi="宋体"/>
          <w:bCs/>
          <w:color w:val="auto"/>
          <w:sz w:val="24"/>
          <w:szCs w:val="24"/>
          <w:highlight w:val="none"/>
          <w:lang w:eastAsia="zh-CN"/>
        </w:rPr>
        <w:t>无锡市公安局惠山分局</w:t>
      </w:r>
    </w:p>
    <w:p w14:paraId="4099AEEE">
      <w:pPr>
        <w:keepNext w:val="0"/>
        <w:keepLines w:val="0"/>
        <w:pageBreakBefore w:val="0"/>
        <w:widowControl/>
        <w:numPr>
          <w:ilvl w:val="0"/>
          <w:numId w:val="0"/>
        </w:numPr>
        <w:shd w:val="clear" w:color="auto" w:fill="FFFFFF"/>
        <w:spacing w:line="360" w:lineRule="auto"/>
        <w:ind w:left="-360" w:firstLine="960"/>
        <w:jc w:val="left"/>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6.</w:t>
      </w:r>
      <w:r>
        <w:rPr>
          <w:rFonts w:ascii="宋体" w:hAnsi="宋体" w:cs="宋体"/>
          <w:color w:val="auto"/>
          <w:sz w:val="24"/>
          <w:szCs w:val="24"/>
          <w:highlight w:val="none"/>
        </w:rPr>
        <w:t>本项目标的所属行业：</w:t>
      </w:r>
      <w:r>
        <w:rPr>
          <w:rFonts w:hint="eastAsia" w:ascii="宋体" w:hAnsi="宋体"/>
          <w:bCs/>
          <w:color w:val="auto"/>
          <w:sz w:val="24"/>
          <w:szCs w:val="24"/>
          <w:highlight w:val="none"/>
          <w:lang w:eastAsia="zh-CN"/>
        </w:rPr>
        <w:t>软件和信息技术服务业</w:t>
      </w:r>
    </w:p>
    <w:p w14:paraId="5EEBF679">
      <w:pPr>
        <w:keepNext w:val="0"/>
        <w:keepLines w:val="0"/>
        <w:pageBreakBefore w:val="0"/>
        <w:widowControl/>
        <w:numPr>
          <w:ilvl w:val="0"/>
          <w:numId w:val="0"/>
        </w:numPr>
        <w:shd w:val="clear" w:color="auto" w:fill="FFFFFF"/>
        <w:spacing w:line="360" w:lineRule="auto"/>
        <w:ind w:left="-360" w:firstLine="96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本项目是否专门面向中小企业：</w:t>
      </w:r>
      <w:r>
        <w:rPr>
          <w:rFonts w:hint="eastAsia" w:ascii="宋体" w:hAnsi="宋体" w:cs="宋体"/>
          <w:color w:val="auto"/>
          <w:sz w:val="24"/>
          <w:szCs w:val="24"/>
          <w:highlight w:val="none"/>
          <w:lang w:eastAsia="zh-CN"/>
        </w:rPr>
        <w:t>否</w:t>
      </w:r>
    </w:p>
    <w:p w14:paraId="44EFF2E3">
      <w:pPr>
        <w:keepNext w:val="0"/>
        <w:keepLines w:val="0"/>
        <w:pageBreakBefore w:val="0"/>
        <w:numPr>
          <w:ilvl w:val="0"/>
          <w:numId w:val="0"/>
        </w:numPr>
        <w:tabs>
          <w:tab w:val="left" w:pos="3920"/>
        </w:tabs>
        <w:spacing w:line="360" w:lineRule="auto"/>
        <w:ind w:left="0" w:firstLine="480"/>
        <w:rPr>
          <w:rFonts w:hint="eastAsia" w:ascii="黑体" w:hAnsi="黑体" w:eastAsia="黑体" w:cs="宋体"/>
          <w:color w:val="auto"/>
          <w:sz w:val="24"/>
          <w:szCs w:val="24"/>
          <w:highlight w:val="none"/>
          <w:lang w:eastAsia="zh-CN"/>
        </w:rPr>
      </w:pPr>
      <w:r>
        <w:rPr>
          <w:rFonts w:hint="eastAsia" w:ascii="黑体" w:hAnsi="黑体" w:eastAsia="黑体" w:cs="宋体"/>
          <w:color w:val="auto"/>
          <w:sz w:val="24"/>
          <w:szCs w:val="24"/>
          <w:highlight w:val="none"/>
          <w:lang w:eastAsia="zh-CN"/>
        </w:rPr>
        <w:t>（二）投标人资格要求</w:t>
      </w:r>
    </w:p>
    <w:p w14:paraId="0F6DAF03">
      <w:pPr>
        <w:keepNext w:val="0"/>
        <w:keepLines w:val="0"/>
        <w:pageBreakBefore w:val="0"/>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具备《中华人民共和国政府采购法》第二十二条第一款规定的条件；</w:t>
      </w:r>
    </w:p>
    <w:p w14:paraId="14A1D17A">
      <w:pPr>
        <w:keepNext w:val="0"/>
        <w:keepLines w:val="0"/>
        <w:pageBreakBefore w:val="0"/>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未被“信用中国”网站（www.creditchina.gov.cn）、中国政府采购网(www.ccgp.gov.cn)列入失信被执行人、重大税收违法案件当事人名单、政府采购严重违法失信</w:t>
      </w:r>
      <w:r>
        <w:rPr>
          <w:rFonts w:hint="eastAsia" w:ascii="宋体" w:hAnsi="宋体" w:eastAsia="宋体" w:cs="Times New Roman"/>
          <w:bCs/>
          <w:color w:val="auto"/>
          <w:sz w:val="24"/>
          <w:szCs w:val="24"/>
          <w:highlight w:val="none"/>
        </w:rPr>
        <w:t>行为记录名单；</w:t>
      </w:r>
    </w:p>
    <w:p w14:paraId="06CEBDD9">
      <w:pPr>
        <w:keepNext w:val="0"/>
        <w:keepLines w:val="0"/>
        <w:pageBreakBefore w:val="0"/>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3.</w:t>
      </w:r>
      <w:r>
        <w:rPr>
          <w:rFonts w:hint="eastAsia" w:ascii="宋体" w:hAnsi="宋体" w:eastAsia="宋体" w:cs="Times New Roman"/>
          <w:bCs/>
          <w:color w:val="auto"/>
          <w:sz w:val="24"/>
          <w:szCs w:val="24"/>
          <w:highlight w:val="none"/>
        </w:rPr>
        <w:t>具备采购人根据招标项目的特殊要求规定的以下特定资质：</w:t>
      </w:r>
    </w:p>
    <w:p w14:paraId="49C35BAD">
      <w:pPr>
        <w:keepNext w:val="0"/>
        <w:keepLines w:val="0"/>
        <w:pageBreakBefore w:val="0"/>
        <w:spacing w:line="360" w:lineRule="auto"/>
        <w:ind w:firstLine="480" w:firstLineChars="200"/>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（1）本项目接受联合体投标。（详见第六章 </w:t>
      </w:r>
      <w:r>
        <w:rPr>
          <w:rFonts w:hint="eastAsia" w:ascii="宋体" w:hAnsi="宋体" w:eastAsia="宋体" w:cs="Times New Roman"/>
          <w:bCs/>
          <w:color w:val="auto"/>
          <w:sz w:val="24"/>
          <w:szCs w:val="24"/>
          <w:highlight w:val="none"/>
        </w:rPr>
        <w:t>投标文件内容与格式</w:t>
      </w:r>
      <w:r>
        <w:rPr>
          <w:rFonts w:hint="eastAsia" w:ascii="宋体" w:hAnsi="宋体" w:eastAsia="宋体" w:cs="Times New Roman"/>
          <w:bCs/>
          <w:color w:val="auto"/>
          <w:sz w:val="24"/>
          <w:szCs w:val="24"/>
          <w:highlight w:val="none"/>
          <w:lang w:eastAsia="zh-CN"/>
        </w:rPr>
        <w:t>—第一部分投标文件内容—资格证明文件）</w:t>
      </w:r>
    </w:p>
    <w:p w14:paraId="3C79FB54">
      <w:pPr>
        <w:keepNext w:val="0"/>
        <w:keepLines w:val="0"/>
        <w:pageBreakBefore w:val="0"/>
        <w:spacing w:line="360" w:lineRule="auto"/>
        <w:ind w:firstLine="480" w:firstLineChars="20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投标人拥有中华人民共和国基础电信业务经营许可证（相关许可证及资格可为投标人自有或投标人总公司所有），或投标人具有项目所在地通信运营商（具有中华人民共和国基础电信业务经营许可证的）出具的电路服务授权书。</w:t>
      </w:r>
    </w:p>
    <w:p w14:paraId="2F35ABEB">
      <w:pPr>
        <w:keepNext w:val="0"/>
        <w:keepLines w:val="0"/>
        <w:pageBreakBefore w:val="0"/>
        <w:numPr>
          <w:ilvl w:val="0"/>
          <w:numId w:val="0"/>
        </w:numPr>
        <w:tabs>
          <w:tab w:val="left" w:pos="3920"/>
        </w:tabs>
        <w:spacing w:line="360" w:lineRule="auto"/>
        <w:ind w:left="0" w:firstLine="480"/>
        <w:rPr>
          <w:rFonts w:hint="eastAsia" w:ascii="黑体" w:hAnsi="黑体" w:eastAsia="黑体" w:cs="宋体"/>
          <w:color w:val="auto"/>
          <w:sz w:val="24"/>
          <w:szCs w:val="24"/>
          <w:highlight w:val="none"/>
          <w:lang w:eastAsia="zh-CN"/>
        </w:rPr>
      </w:pPr>
      <w:bookmarkStart w:id="2" w:name="_Toc61444672"/>
      <w:r>
        <w:rPr>
          <w:rFonts w:hint="eastAsia" w:ascii="黑体" w:hAnsi="黑体" w:eastAsia="黑体" w:cs="宋体"/>
          <w:color w:val="auto"/>
          <w:sz w:val="24"/>
          <w:szCs w:val="24"/>
          <w:highlight w:val="none"/>
          <w:lang w:eastAsia="zh-CN"/>
        </w:rPr>
        <w:t>（三）获取招标文件</w:t>
      </w:r>
    </w:p>
    <w:p w14:paraId="1AC77856">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1.时间：本招标文件有效获取期自招标文件公告发布之日起5个工作日，（有效获取期内的）每天上午00:00至12:00，下午12:00至23:59（北京时间，法定节假日除外）。</w:t>
      </w:r>
    </w:p>
    <w:p w14:paraId="0335638B">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2.地点：“江苏省政府采购（苏采云）平台”。</w:t>
      </w:r>
    </w:p>
    <w:p w14:paraId="026FA671">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3.方式：请有投标意向的供应商在招标文件有效获取期内及时至“江苏省政府采购（苏采云）平台”获取。在招标文件有效获取期限内，从“江苏省政府采购（苏采云）平台”获取的招标文件，视为依法获取的招标文件。</w:t>
      </w:r>
    </w:p>
    <w:p w14:paraId="79CCEDEE">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4.售价：本项目招标文件免费。</w:t>
      </w:r>
    </w:p>
    <w:p w14:paraId="4B15242B">
      <w:pPr>
        <w:keepNext w:val="0"/>
        <w:keepLines w:val="0"/>
        <w:pageBreakBefore w:val="0"/>
        <w:numPr>
          <w:ilvl w:val="0"/>
          <w:numId w:val="0"/>
        </w:numPr>
        <w:tabs>
          <w:tab w:val="left" w:pos="3920"/>
        </w:tabs>
        <w:spacing w:line="360" w:lineRule="auto"/>
        <w:ind w:left="0" w:firstLine="480"/>
        <w:rPr>
          <w:rFonts w:hint="eastAsia" w:ascii="黑体" w:hAnsi="黑体" w:eastAsia="黑体" w:cs="宋体"/>
          <w:color w:val="auto"/>
          <w:sz w:val="24"/>
          <w:szCs w:val="24"/>
          <w:highlight w:val="none"/>
          <w:lang w:eastAsia="zh-CN"/>
        </w:rPr>
      </w:pPr>
      <w:r>
        <w:rPr>
          <w:rFonts w:hint="eastAsia" w:ascii="黑体" w:hAnsi="黑体" w:eastAsia="黑体" w:cs="宋体"/>
          <w:color w:val="auto"/>
          <w:sz w:val="24"/>
          <w:szCs w:val="24"/>
          <w:highlight w:val="none"/>
          <w:lang w:eastAsia="zh-CN"/>
        </w:rPr>
        <w:t>（四）提交投标文件截止时间、开标时间和地点</w:t>
      </w:r>
    </w:p>
    <w:p w14:paraId="062F8A1C">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1.时间：202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lang w:eastAsia="zh-CN"/>
        </w:rPr>
        <w:t>年</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lang w:eastAsia="zh-CN"/>
        </w:rPr>
        <w:t>月</w:t>
      </w:r>
      <w:r>
        <w:rPr>
          <w:rFonts w:hint="eastAsia" w:ascii="宋体" w:hAnsi="宋体"/>
          <w:bCs/>
          <w:color w:val="auto"/>
          <w:sz w:val="24"/>
          <w:szCs w:val="24"/>
          <w:highlight w:val="none"/>
          <w:lang w:val="en-US" w:eastAsia="zh-CN"/>
        </w:rPr>
        <w:t>16</w:t>
      </w:r>
      <w:r>
        <w:rPr>
          <w:rFonts w:hint="eastAsia" w:ascii="宋体" w:hAnsi="宋体"/>
          <w:bCs/>
          <w:color w:val="auto"/>
          <w:sz w:val="24"/>
          <w:szCs w:val="24"/>
          <w:highlight w:val="none"/>
          <w:lang w:eastAsia="zh-CN"/>
        </w:rPr>
        <w:t>日</w:t>
      </w:r>
      <w:r>
        <w:rPr>
          <w:rFonts w:hint="eastAsia" w:ascii="宋体" w:hAnsi="宋体"/>
          <w:bCs/>
          <w:color w:val="auto"/>
          <w:sz w:val="24"/>
          <w:szCs w:val="24"/>
          <w:highlight w:val="none"/>
          <w:lang w:val="en-US" w:eastAsia="zh-CN"/>
        </w:rPr>
        <w:t>13</w:t>
      </w:r>
      <w:r>
        <w:rPr>
          <w:rFonts w:hint="eastAsia" w:ascii="宋体" w:hAnsi="宋体"/>
          <w:bCs/>
          <w:color w:val="auto"/>
          <w:sz w:val="24"/>
          <w:szCs w:val="24"/>
          <w:highlight w:val="none"/>
          <w:lang w:eastAsia="zh-CN"/>
        </w:rPr>
        <w:t>点</w:t>
      </w:r>
      <w:r>
        <w:rPr>
          <w:rFonts w:hint="eastAsia" w:ascii="宋体" w:hAnsi="宋体"/>
          <w:bCs/>
          <w:color w:val="auto"/>
          <w:sz w:val="24"/>
          <w:szCs w:val="24"/>
          <w:highlight w:val="none"/>
          <w:lang w:val="en-US" w:eastAsia="zh-CN"/>
        </w:rPr>
        <w:t>15</w:t>
      </w:r>
      <w:r>
        <w:rPr>
          <w:rFonts w:hint="eastAsia" w:ascii="宋体" w:hAnsi="宋体"/>
          <w:bCs/>
          <w:color w:val="auto"/>
          <w:sz w:val="24"/>
          <w:szCs w:val="24"/>
          <w:highlight w:val="none"/>
          <w:lang w:eastAsia="zh-CN"/>
        </w:rPr>
        <w:t>分（北京时间）</w:t>
      </w:r>
    </w:p>
    <w:p w14:paraId="36D386CE">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2.地点：“江苏省政府采购（苏采云）平台”网上开标大厅。</w:t>
      </w:r>
    </w:p>
    <w:p w14:paraId="17AB3F7E">
      <w:pPr>
        <w:keepNext w:val="0"/>
        <w:keepLines w:val="0"/>
        <w:pageBreakBefore w:val="0"/>
        <w:numPr>
          <w:ilvl w:val="0"/>
          <w:numId w:val="0"/>
        </w:numPr>
        <w:tabs>
          <w:tab w:val="left" w:pos="3920"/>
        </w:tabs>
        <w:spacing w:line="360" w:lineRule="auto"/>
        <w:ind w:left="0" w:firstLine="480"/>
        <w:rPr>
          <w:rFonts w:hint="eastAsia" w:ascii="黑体" w:hAnsi="黑体" w:eastAsia="黑体" w:cs="宋体"/>
          <w:color w:val="auto"/>
          <w:sz w:val="24"/>
          <w:szCs w:val="24"/>
          <w:highlight w:val="none"/>
          <w:lang w:eastAsia="zh-CN"/>
        </w:rPr>
      </w:pPr>
      <w:r>
        <w:rPr>
          <w:rFonts w:hint="eastAsia" w:ascii="黑体" w:hAnsi="黑体" w:eastAsia="黑体" w:cs="宋体"/>
          <w:color w:val="auto"/>
          <w:sz w:val="24"/>
          <w:szCs w:val="24"/>
          <w:highlight w:val="none"/>
          <w:lang w:eastAsia="zh-CN"/>
        </w:rPr>
        <w:t>（五）公告期限</w:t>
      </w:r>
    </w:p>
    <w:p w14:paraId="2F6F4BB3">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（招标公告及招标文件公告期限）自本公告发布之日起5个工作日。</w:t>
      </w:r>
    </w:p>
    <w:p w14:paraId="524484B2">
      <w:pPr>
        <w:keepNext w:val="0"/>
        <w:keepLines w:val="0"/>
        <w:pageBreakBefore w:val="0"/>
        <w:widowControl/>
        <w:numPr>
          <w:ilvl w:val="0"/>
          <w:numId w:val="0"/>
        </w:numPr>
        <w:shd w:val="clear" w:color="auto" w:fill="FFFFFF"/>
        <w:spacing w:line="360" w:lineRule="auto"/>
        <w:ind w:firstLine="480" w:firstLineChars="200"/>
        <w:jc w:val="left"/>
        <w:rPr>
          <w:rFonts w:hint="eastAsia" w:ascii="宋体" w:hAnsi="宋体" w:cs="宋体"/>
          <w:color w:val="auto"/>
          <w:sz w:val="24"/>
          <w:szCs w:val="24"/>
          <w:highlight w:val="none"/>
        </w:rPr>
      </w:pPr>
      <w:r>
        <w:rPr>
          <w:rFonts w:hint="eastAsia" w:ascii="黑体" w:hAnsi="黑体" w:eastAsia="黑体" w:cs="宋体"/>
          <w:color w:val="auto"/>
          <w:sz w:val="24"/>
          <w:szCs w:val="24"/>
          <w:highlight w:val="none"/>
          <w:lang w:eastAsia="zh-CN"/>
        </w:rPr>
        <w:t>（</w:t>
      </w:r>
      <w:r>
        <w:rPr>
          <w:rFonts w:hint="eastAsia" w:ascii="黑体" w:hAnsi="黑体" w:eastAsia="黑体" w:cs="宋体"/>
          <w:color w:val="auto"/>
          <w:sz w:val="24"/>
          <w:szCs w:val="24"/>
          <w:highlight w:val="none"/>
          <w:lang w:eastAsia="zh-CN"/>
        </w:rPr>
        <w:t>六）本项目联系方式</w:t>
      </w:r>
    </w:p>
    <w:p w14:paraId="43FABFDB">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1.采购人信息</w:t>
      </w:r>
    </w:p>
    <w:p w14:paraId="7A0FF5E9">
      <w:pPr>
        <w:keepNext w:val="0"/>
        <w:keepLines w:val="0"/>
        <w:pageBreakBefore w:val="0"/>
        <w:spacing w:line="360" w:lineRule="auto"/>
        <w:ind w:firstLine="480" w:firstLineChars="200"/>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eastAsia="zh-CN"/>
        </w:rPr>
        <w:t>名    称：无锡市公安局惠山分局</w:t>
      </w:r>
    </w:p>
    <w:p w14:paraId="0C99F8CB">
      <w:pPr>
        <w:keepNext w:val="0"/>
        <w:keepLines w:val="0"/>
        <w:pageBreakBefore w:val="0"/>
        <w:spacing w:line="360" w:lineRule="auto"/>
        <w:ind w:firstLine="480" w:firstLineChars="200"/>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eastAsia="zh-CN"/>
        </w:rPr>
        <w:t>地    址：</w:t>
      </w:r>
      <w:r>
        <w:rPr>
          <w:rFonts w:hint="eastAsia" w:ascii="宋体" w:hAnsi="宋体"/>
          <w:bCs/>
          <w:color w:val="auto"/>
          <w:sz w:val="24"/>
          <w:szCs w:val="24"/>
          <w:highlight w:val="none"/>
          <w:lang w:val="en-US" w:eastAsia="zh-CN"/>
        </w:rPr>
        <w:t>无锡市惠山区堰桥镇文惠路10号</w:t>
      </w:r>
    </w:p>
    <w:p w14:paraId="149BC813">
      <w:pPr>
        <w:keepNext w:val="0"/>
        <w:keepLines w:val="0"/>
        <w:pageBreakBefore w:val="0"/>
        <w:spacing w:line="360" w:lineRule="auto"/>
        <w:ind w:firstLine="480" w:firstLineChars="200"/>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eastAsia="zh-CN"/>
        </w:rPr>
        <w:t>联</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lang w:eastAsia="zh-CN"/>
        </w:rPr>
        <w:t>系</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lang w:eastAsia="zh-CN"/>
        </w:rPr>
        <w:t>人：</w:t>
      </w:r>
      <w:r>
        <w:rPr>
          <w:rFonts w:hint="eastAsia" w:ascii="宋体" w:hAnsi="宋体"/>
          <w:bCs/>
          <w:color w:val="auto"/>
          <w:sz w:val="24"/>
          <w:szCs w:val="24"/>
          <w:highlight w:val="none"/>
          <w:lang w:val="en-US" w:eastAsia="zh-CN"/>
        </w:rPr>
        <w:t>冯家峰</w:t>
      </w:r>
    </w:p>
    <w:p w14:paraId="381480D3">
      <w:pPr>
        <w:keepNext w:val="0"/>
        <w:keepLines w:val="0"/>
        <w:pageBreakBefore w:val="0"/>
        <w:spacing w:line="360" w:lineRule="auto"/>
        <w:ind w:firstLine="480" w:firstLineChars="200"/>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eastAsia="zh-CN"/>
        </w:rPr>
        <w:t>联系方式：</w:t>
      </w:r>
      <w:bookmarkStart w:id="3" w:name="_Toc28359009"/>
      <w:bookmarkStart w:id="4" w:name="_Toc28359086"/>
      <w:r>
        <w:rPr>
          <w:rFonts w:hint="eastAsia" w:ascii="宋体" w:hAnsi="宋体"/>
          <w:bCs/>
          <w:color w:val="auto"/>
          <w:sz w:val="24"/>
          <w:szCs w:val="24"/>
          <w:highlight w:val="none"/>
          <w:lang w:val="en-US" w:eastAsia="zh-CN"/>
        </w:rPr>
        <w:t>13921190578</w:t>
      </w:r>
    </w:p>
    <w:p w14:paraId="54CD36DC">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2.</w:t>
      </w:r>
      <w:bookmarkEnd w:id="3"/>
      <w:bookmarkEnd w:id="4"/>
      <w:r>
        <w:rPr>
          <w:rFonts w:hint="eastAsia" w:ascii="宋体" w:hAnsi="宋体"/>
          <w:bCs/>
          <w:color w:val="auto"/>
          <w:sz w:val="24"/>
          <w:szCs w:val="24"/>
          <w:highlight w:val="none"/>
          <w:lang w:eastAsia="zh-CN"/>
        </w:rPr>
        <w:t>采购代理机构信息</w:t>
      </w:r>
    </w:p>
    <w:p w14:paraId="248148EC">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名    称：无锡市惠山区政府采购中心</w:t>
      </w:r>
    </w:p>
    <w:p w14:paraId="72031A80">
      <w:pPr>
        <w:keepNext w:val="0"/>
        <w:keepLines w:val="0"/>
        <w:pageBreakBefore w:val="0"/>
        <w:spacing w:line="360" w:lineRule="auto"/>
        <w:ind w:firstLine="480" w:firstLineChars="20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eastAsia="zh-CN"/>
        </w:rPr>
        <w:t>地    址：无锡市惠山区政和大道</w:t>
      </w:r>
      <w:r>
        <w:rPr>
          <w:rFonts w:hint="eastAsia" w:ascii="宋体" w:hAnsi="宋体"/>
          <w:bCs/>
          <w:color w:val="auto"/>
          <w:sz w:val="24"/>
          <w:szCs w:val="24"/>
          <w:highlight w:val="none"/>
          <w:lang w:val="en-US" w:eastAsia="zh-CN"/>
        </w:rPr>
        <w:t>209号</w:t>
      </w:r>
    </w:p>
    <w:p w14:paraId="2512F21D">
      <w:pPr>
        <w:keepNext w:val="0"/>
        <w:keepLines w:val="0"/>
        <w:pageBreakBefore w:val="0"/>
        <w:spacing w:line="360" w:lineRule="auto"/>
        <w:ind w:firstLine="480" w:firstLineChars="200"/>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联 系 人：马胜</w:t>
      </w:r>
    </w:p>
    <w:p w14:paraId="59ADE599">
      <w:pPr>
        <w:keepNext w:val="0"/>
        <w:keepLines w:val="0"/>
        <w:pageBreakBefore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bCs/>
          <w:color w:val="auto"/>
          <w:sz w:val="24"/>
          <w:szCs w:val="24"/>
          <w:highlight w:val="none"/>
          <w:lang w:eastAsia="zh-CN"/>
        </w:rPr>
        <w:t>联系方式：</w:t>
      </w:r>
      <w:r>
        <w:rPr>
          <w:rFonts w:hint="eastAsia" w:ascii="宋体" w:hAnsi="宋体"/>
          <w:bCs/>
          <w:color w:val="auto"/>
          <w:sz w:val="24"/>
          <w:szCs w:val="24"/>
          <w:highlight w:val="none"/>
          <w:lang w:val="en-US" w:eastAsia="zh-CN"/>
        </w:rPr>
        <w:t>0510-83596131</w:t>
      </w:r>
    </w:p>
    <w:p w14:paraId="64F3A1C6">
      <w:pPr>
        <w:keepNext w:val="0"/>
        <w:keepLines w:val="0"/>
        <w:pageBreakBefore w:val="0"/>
        <w:widowControl/>
        <w:numPr>
          <w:ilvl w:val="0"/>
          <w:numId w:val="0"/>
        </w:numPr>
        <w:shd w:val="clear" w:color="auto" w:fill="FFFFFF"/>
        <w:spacing w:line="360" w:lineRule="auto"/>
        <w:ind w:left="-360" w:firstLine="960"/>
        <w:jc w:val="left"/>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（七）其他</w:t>
      </w:r>
    </w:p>
    <w:p w14:paraId="405AE26A">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（一）供应商“账号注册”及CA办理</w:t>
      </w:r>
    </w:p>
    <w:p w14:paraId="4B14A688">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1.请有意参加本项目采购活动的供应商按以下流程进行操作：</w:t>
      </w:r>
    </w:p>
    <w:p w14:paraId="2EBFDF75">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1）访问“无锡政府采购网”点击“江苏省政府采购（苏采云）平台”（以下简称“苏采云”系统）选择供应商板块，点击“用户注册”按钮，进行账号注册，注册完成后需在系统中填写资质信息并提交。也可以直接通过http://jszfcg.jsczt.cn/进入界面。</w:t>
      </w:r>
    </w:p>
    <w:p w14:paraId="6B041412">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（2）办理“意源”CA数字证书和“方正”电子签章（办理地址：无锡市滨湖区观山路199号12号楼二楼9号、10号窗口），办理指南链接：http://jsxcmm.com/help/help.html。</w:t>
      </w:r>
    </w:p>
    <w:p w14:paraId="658F7041">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（3）CA驱动下载：</w:t>
      </w:r>
    </w:p>
    <w:p w14:paraId="07644D2D">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在“苏采云”系统账号登陆页面，点击“驱动下载”链接中的“政务CA、方正签章控件驱动安装包及安装说明”可以直接下载驱动安装包，安装包中附有驱动安装手册。</w:t>
      </w:r>
    </w:p>
    <w:p w14:paraId="429973F3">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技术服务电话：0510-81827781（服务时间：工作日 9:00-11:30,13:00-17:00）</w:t>
      </w:r>
    </w:p>
    <w:p w14:paraId="56ACB0C7">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2.完成“苏采云”系统账号注册的供应商方可在“苏采云”系统中进行CA绑定。登录“苏采云”系统，插入CA后，点击【账号设置】——【绑定CA】。</w:t>
      </w:r>
    </w:p>
    <w:p w14:paraId="0A138521">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3.供应商应按上述要求提供相关材料信息，所提供的材料应均是真实的、准确的，若有违背，供应商自行承担由此而产生的一切后果。</w:t>
      </w:r>
    </w:p>
    <w:p w14:paraId="7356C314">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bCs/>
          <w:color w:val="auto"/>
          <w:sz w:val="24"/>
          <w:szCs w:val="24"/>
          <w:highlight w:val="none"/>
          <w:lang w:eastAsia="zh-CN"/>
        </w:rPr>
        <w:fldChar w:fldCharType="begin"/>
      </w:r>
      <w:r>
        <w:rPr>
          <w:rFonts w:hint="eastAsia" w:ascii="宋体" w:hAnsi="宋体"/>
          <w:bCs/>
          <w:color w:val="auto"/>
          <w:sz w:val="24"/>
          <w:szCs w:val="24"/>
          <w:highlight w:val="none"/>
          <w:lang w:eastAsia="zh-CN"/>
        </w:rPr>
        <w:instrText xml:space="preserve">HYPERLINK "http://cz.wuxi.gov.cn/doc/2023/10/11/4080287.shtml" \t "_blank" \o "\“苏采云\”系统供应商操作手册"</w:instrText>
      </w:r>
      <w:r>
        <w:rPr>
          <w:rFonts w:hint="eastAsia" w:ascii="宋体" w:hAnsi="宋体"/>
          <w:bCs/>
          <w:color w:val="auto"/>
          <w:sz w:val="24"/>
          <w:szCs w:val="24"/>
          <w:highlight w:val="none"/>
          <w:lang w:eastAsia="zh-CN"/>
        </w:rPr>
        <w:fldChar w:fldCharType="separate"/>
      </w:r>
      <w:r>
        <w:rPr>
          <w:rFonts w:hint="eastAsia" w:ascii="宋体" w:hAnsi="宋体"/>
          <w:bCs/>
          <w:color w:val="auto"/>
          <w:sz w:val="24"/>
          <w:szCs w:val="24"/>
          <w:highlight w:val="none"/>
          <w:lang w:eastAsia="zh-CN"/>
        </w:rPr>
        <w:t>“苏采云”系统供应商操作手册</w:t>
      </w:r>
      <w:r>
        <w:rPr>
          <w:rFonts w:hint="eastAsia" w:ascii="宋体" w:hAnsi="宋体"/>
          <w:bCs/>
          <w:color w:val="auto"/>
          <w:sz w:val="24"/>
          <w:szCs w:val="24"/>
          <w:highlight w:val="none"/>
          <w:lang w:eastAsia="zh-CN"/>
        </w:rPr>
        <w:fldChar w:fldCharType="end"/>
      </w:r>
      <w:r>
        <w:rPr>
          <w:rFonts w:hint="eastAsia" w:ascii="宋体" w:hAnsi="宋体"/>
          <w:bCs/>
          <w:color w:val="auto"/>
          <w:sz w:val="24"/>
          <w:szCs w:val="24"/>
          <w:highlight w:val="none"/>
          <w:lang w:eastAsia="zh-CN"/>
        </w:rPr>
        <w:t>。</w:t>
      </w:r>
    </w:p>
    <w:p w14:paraId="11893223">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技术支持QQ：孙先生：442456465；王先生：1476328133。</w:t>
      </w:r>
    </w:p>
    <w:p w14:paraId="38F1648D">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（二）完成项目参与，获取招标文件</w:t>
      </w:r>
    </w:p>
    <w:p w14:paraId="3D141400">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p>
    <w:p w14:paraId="66A78A69">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（三）有关本次采购的事项若存在变动或修改，敬请及时关注无锡市惠山区政府采购中心在“江苏政府采购网”发布的更正公告。</w:t>
      </w:r>
    </w:p>
    <w:p w14:paraId="2D4B2041">
      <w:pPr>
        <w:keepNext w:val="0"/>
        <w:keepLines w:val="0"/>
        <w:pageBreakBefore w:val="0"/>
        <w:spacing w:line="360" w:lineRule="auto"/>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（四）本次采购不收取投标保证金。</w:t>
      </w:r>
      <w:bookmarkEnd w:id="2"/>
    </w:p>
    <w:p w14:paraId="7C06E9E6">
      <w:pPr>
        <w:pStyle w:val="2"/>
        <w:pageBreakBefore/>
        <w:rPr>
          <w:rFonts w:ascii="黑体" w:eastAsia="黑体"/>
          <w:bCs w:val="0"/>
          <w:color w:val="auto"/>
          <w:sz w:val="28"/>
          <w:szCs w:val="28"/>
          <w:highlight w:val="none"/>
        </w:rPr>
      </w:pPr>
      <w:bookmarkStart w:id="5" w:name="_Toc61444836"/>
      <w:r>
        <w:rPr>
          <w:rFonts w:hint="eastAsia" w:ascii="黑体" w:hAnsi="黑体" w:eastAsia="黑体"/>
          <w:b w:val="0"/>
          <w:color w:val="auto"/>
          <w:sz w:val="32"/>
          <w:szCs w:val="32"/>
          <w:highlight w:val="none"/>
          <w:lang w:eastAsia="zh-CN"/>
        </w:rPr>
        <w:t>第二章</w:t>
      </w:r>
      <w:r>
        <w:rPr>
          <w:rFonts w:hint="eastAsia" w:ascii="黑体" w:hAnsi="黑体" w:eastAsia="黑体"/>
          <w:b w:val="0"/>
          <w:color w:val="auto"/>
          <w:sz w:val="32"/>
          <w:szCs w:val="32"/>
          <w:highlight w:val="none"/>
          <w:lang w:val="en-US" w:eastAsia="zh-CN"/>
        </w:rPr>
        <w:t xml:space="preserve">  </w:t>
      </w:r>
      <w:r>
        <w:rPr>
          <w:rFonts w:hint="eastAsia" w:ascii="黑体" w:hAnsi="黑体" w:eastAsia="黑体"/>
          <w:b w:val="0"/>
          <w:color w:val="auto"/>
          <w:sz w:val="32"/>
          <w:szCs w:val="32"/>
          <w:highlight w:val="none"/>
        </w:rPr>
        <w:t>投标人须知</w:t>
      </w:r>
      <w:bookmarkEnd w:id="5"/>
    </w:p>
    <w:p w14:paraId="3C81BFDC">
      <w:pPr>
        <w:pStyle w:val="344"/>
        <w:keepNext w:val="0"/>
        <w:keepLines w:val="0"/>
        <w:spacing w:before="0" w:after="0" w:line="500" w:lineRule="exact"/>
        <w:ind w:left="834" w:hanging="454"/>
        <w:jc w:val="center"/>
        <w:rPr>
          <w:rFonts w:hint="eastAsia"/>
          <w:color w:val="auto"/>
          <w:sz w:val="32"/>
          <w:szCs w:val="32"/>
          <w:highlight w:val="none"/>
        </w:rPr>
      </w:pPr>
      <w:bookmarkStart w:id="6" w:name="_Toc16938519"/>
      <w:bookmarkStart w:id="7" w:name="_Toc513029203"/>
      <w:bookmarkStart w:id="8" w:name="_Toc120614214"/>
      <w:bookmarkStart w:id="9" w:name="_Toc20823275"/>
      <w:r>
        <w:rPr>
          <w:rFonts w:hint="eastAsia"/>
          <w:color w:val="auto"/>
          <w:sz w:val="32"/>
          <w:szCs w:val="32"/>
          <w:highlight w:val="none"/>
        </w:rPr>
        <w:t>一、总则</w:t>
      </w:r>
      <w:bookmarkEnd w:id="6"/>
      <w:bookmarkEnd w:id="7"/>
      <w:bookmarkEnd w:id="8"/>
      <w:bookmarkEnd w:id="9"/>
    </w:p>
    <w:p w14:paraId="42C9AAFE">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10" w:name="_Hlt16619475"/>
      <w:bookmarkEnd w:id="10"/>
      <w:bookmarkStart w:id="11" w:name="_Toc513029204"/>
      <w:bookmarkStart w:id="12" w:name="_Toc20823276"/>
      <w:bookmarkStart w:id="13" w:name="_Toc16938520"/>
      <w:r>
        <w:rPr>
          <w:rFonts w:hint="eastAsia" w:ascii="宋体" w:hAnsi="宋体" w:eastAsia="宋体"/>
          <w:bCs w:val="0"/>
          <w:color w:val="auto"/>
          <w:sz w:val="24"/>
          <w:szCs w:val="24"/>
          <w:highlight w:val="none"/>
        </w:rPr>
        <w:t>1.招标方式</w:t>
      </w:r>
      <w:bookmarkEnd w:id="11"/>
      <w:bookmarkEnd w:id="12"/>
      <w:bookmarkEnd w:id="13"/>
    </w:p>
    <w:p w14:paraId="33A72BE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1.1本次招标采取公开招标方式，本招标文件仅适用于招标公告中所述项目。</w:t>
      </w:r>
    </w:p>
    <w:p w14:paraId="19EA54A5">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14" w:name="_Toc16938521"/>
      <w:bookmarkStart w:id="15" w:name="_Toc513029205"/>
      <w:bookmarkStart w:id="16" w:name="_Toc20823277"/>
      <w:r>
        <w:rPr>
          <w:rFonts w:hint="eastAsia" w:ascii="宋体" w:hAnsi="宋体" w:eastAsia="宋体"/>
          <w:bCs w:val="0"/>
          <w:color w:val="auto"/>
          <w:sz w:val="24"/>
          <w:szCs w:val="24"/>
          <w:highlight w:val="none"/>
        </w:rPr>
        <w:t>2.</w:t>
      </w:r>
      <w:bookmarkEnd w:id="14"/>
      <w:bookmarkEnd w:id="15"/>
      <w:bookmarkEnd w:id="16"/>
      <w:r>
        <w:rPr>
          <w:rFonts w:hint="eastAsia" w:ascii="宋体" w:hAnsi="宋体" w:eastAsia="宋体"/>
          <w:bCs w:val="0"/>
          <w:color w:val="auto"/>
          <w:sz w:val="24"/>
          <w:szCs w:val="24"/>
          <w:highlight w:val="none"/>
        </w:rPr>
        <w:t>采购人、采购代理机构、投标人、联合体</w:t>
      </w:r>
    </w:p>
    <w:p w14:paraId="2577A24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5AA25AE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7CF3BD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5FA29613">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17" w:name="_Toc20823278"/>
      <w:bookmarkStart w:id="18" w:name="_Toc16938522"/>
      <w:bookmarkStart w:id="19" w:name="_Toc513029206"/>
      <w:r>
        <w:rPr>
          <w:rFonts w:hint="eastAsia" w:ascii="宋体" w:hAnsi="宋体" w:eastAsia="宋体"/>
          <w:bCs w:val="0"/>
          <w:color w:val="auto"/>
          <w:sz w:val="24"/>
          <w:szCs w:val="24"/>
          <w:highlight w:val="none"/>
        </w:rPr>
        <w:t>3.适用法律</w:t>
      </w:r>
      <w:bookmarkEnd w:id="17"/>
      <w:bookmarkEnd w:id="18"/>
      <w:bookmarkEnd w:id="19"/>
    </w:p>
    <w:p w14:paraId="3423DD7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 本次招标及由此产生的合同受中华人民共和国有关的法律法规制约和保护</w:t>
      </w:r>
      <w:r>
        <w:rPr>
          <w:rFonts w:ascii="宋体" w:hAnsi="宋体"/>
          <w:color w:val="auto"/>
          <w:sz w:val="24"/>
          <w:szCs w:val="24"/>
          <w:highlight w:val="none"/>
        </w:rPr>
        <w:t>。</w:t>
      </w:r>
    </w:p>
    <w:p w14:paraId="0B00FB76">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20" w:name="_Toc462564067"/>
      <w:bookmarkStart w:id="21" w:name="_Toc20823279"/>
      <w:bookmarkStart w:id="22" w:name="_Toc513029207"/>
      <w:bookmarkStart w:id="23" w:name="_Toc16938523"/>
      <w:r>
        <w:rPr>
          <w:rFonts w:hint="eastAsia" w:ascii="宋体" w:hAnsi="宋体" w:eastAsia="宋体"/>
          <w:bCs w:val="0"/>
          <w:color w:val="auto"/>
          <w:sz w:val="24"/>
          <w:szCs w:val="24"/>
          <w:highlight w:val="none"/>
        </w:rPr>
        <w:t>4.投标费用</w:t>
      </w:r>
      <w:bookmarkEnd w:id="20"/>
      <w:bookmarkEnd w:id="21"/>
      <w:bookmarkEnd w:id="22"/>
      <w:bookmarkEnd w:id="23"/>
    </w:p>
    <w:p w14:paraId="4789F9D8">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4.1</w:t>
      </w:r>
      <w:r>
        <w:rPr>
          <w:rFonts w:hint="eastAsia" w:ascii="宋体" w:hAnsi="宋体"/>
          <w:color w:val="auto"/>
          <w:sz w:val="24"/>
          <w:szCs w:val="24"/>
          <w:highlight w:val="none"/>
        </w:rPr>
        <w:t>投标人应自行承担所有与参加投标有关的费用，无论投标过程中的做法和结果如何，</w:t>
      </w:r>
      <w:r>
        <w:rPr>
          <w:rFonts w:hint="eastAsia" w:ascii="宋体" w:hAnsi="宋体"/>
          <w:color w:val="auto"/>
          <w:sz w:val="24"/>
          <w:szCs w:val="24"/>
          <w:highlight w:val="none"/>
          <w:lang w:eastAsia="zh-CN"/>
        </w:rPr>
        <w:t>无锡市惠山区政府采购中心</w:t>
      </w:r>
      <w:r>
        <w:rPr>
          <w:rFonts w:hint="eastAsia" w:ascii="宋体" w:hAnsi="宋体"/>
          <w:color w:val="auto"/>
          <w:sz w:val="24"/>
          <w:szCs w:val="24"/>
          <w:highlight w:val="none"/>
        </w:rPr>
        <w:t>（以下简称</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）在任何情况下均无义务和责任承担这些费用。</w:t>
      </w:r>
    </w:p>
    <w:p w14:paraId="598F194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4.2本次招标标书工本费、中标服务费、招标文件均免费。</w:t>
      </w:r>
    </w:p>
    <w:p w14:paraId="2C0A196F">
      <w:pPr>
        <w:pStyle w:val="346"/>
        <w:keepNext w:val="0"/>
        <w:keepLines w:val="0"/>
        <w:spacing w:before="0" w:after="0" w:line="500" w:lineRule="exact"/>
        <w:ind w:firstLine="422"/>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5.招标文件的约束力</w:t>
      </w:r>
    </w:p>
    <w:p w14:paraId="60B1BE00">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5876E069">
      <w:pPr>
        <w:pStyle w:val="344"/>
        <w:keepNext w:val="0"/>
        <w:keepLines w:val="0"/>
        <w:spacing w:before="0" w:after="0" w:line="500" w:lineRule="exact"/>
        <w:jc w:val="center"/>
        <w:rPr>
          <w:rFonts w:hint="eastAsia"/>
          <w:color w:val="auto"/>
          <w:sz w:val="32"/>
          <w:szCs w:val="32"/>
          <w:highlight w:val="none"/>
        </w:rPr>
      </w:pPr>
      <w:bookmarkStart w:id="24" w:name="_Toc16938525"/>
      <w:bookmarkStart w:id="25" w:name="_Toc513029209"/>
      <w:bookmarkStart w:id="26" w:name="_Toc20823281"/>
      <w:bookmarkStart w:id="27" w:name="_Toc120614215"/>
      <w:r>
        <w:rPr>
          <w:rFonts w:hint="eastAsia"/>
          <w:color w:val="auto"/>
          <w:sz w:val="32"/>
          <w:szCs w:val="32"/>
          <w:highlight w:val="none"/>
        </w:rPr>
        <w:t>二、招标文件</w:t>
      </w:r>
      <w:bookmarkEnd w:id="24"/>
      <w:bookmarkEnd w:id="25"/>
      <w:bookmarkEnd w:id="26"/>
      <w:bookmarkEnd w:id="27"/>
    </w:p>
    <w:p w14:paraId="16B854EF">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28" w:name="_Toc20823282"/>
      <w:bookmarkStart w:id="29" w:name="_Toc513029210"/>
      <w:bookmarkStart w:id="30" w:name="_Toc16938526"/>
      <w:r>
        <w:rPr>
          <w:rFonts w:hint="eastAsia" w:ascii="宋体" w:hAnsi="宋体" w:eastAsia="宋体"/>
          <w:bCs w:val="0"/>
          <w:color w:val="auto"/>
          <w:sz w:val="24"/>
          <w:szCs w:val="24"/>
          <w:highlight w:val="none"/>
        </w:rPr>
        <w:t>6.招标文件构成</w:t>
      </w:r>
      <w:bookmarkEnd w:id="28"/>
      <w:bookmarkEnd w:id="29"/>
      <w:bookmarkEnd w:id="30"/>
    </w:p>
    <w:p w14:paraId="4B02FFE4">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6.1</w:t>
      </w:r>
      <w:r>
        <w:rPr>
          <w:rFonts w:hint="eastAsia" w:ascii="宋体" w:hAnsi="宋体"/>
          <w:color w:val="auto"/>
          <w:sz w:val="24"/>
          <w:szCs w:val="24"/>
          <w:highlight w:val="none"/>
        </w:rPr>
        <w:t>招标文件由以下部分组成：</w:t>
      </w:r>
    </w:p>
    <w:p w14:paraId="6874FF9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25471E8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78DCB2E4">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（3）采购需求</w:t>
      </w:r>
    </w:p>
    <w:p w14:paraId="58C7D9C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（4）合同文本</w:t>
      </w:r>
    </w:p>
    <w:p w14:paraId="4AF6D2D5">
      <w:pPr>
        <w:spacing w:line="500" w:lineRule="exact"/>
        <w:ind w:firstLine="480"/>
        <w:rPr>
          <w:rFonts w:hint="eastAsia"/>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47D8D51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（6）投标文件内容与格式</w:t>
      </w:r>
    </w:p>
    <w:p w14:paraId="13523C64">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请仔细检查招标文件是否齐全，如有缺漏请立即与</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联系解决。</w:t>
      </w:r>
    </w:p>
    <w:p w14:paraId="032D7DE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EA41CC4">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31" w:name="_Toc16938527"/>
      <w:bookmarkStart w:id="32" w:name="_Toc513029211"/>
      <w:bookmarkStart w:id="33" w:name="_Toc20823283"/>
      <w:bookmarkStart w:id="34" w:name="_Toc462564070"/>
      <w:r>
        <w:rPr>
          <w:rFonts w:hint="eastAsia" w:ascii="宋体" w:hAnsi="宋体" w:eastAsia="宋体"/>
          <w:bCs w:val="0"/>
          <w:color w:val="auto"/>
          <w:sz w:val="24"/>
          <w:szCs w:val="24"/>
          <w:highlight w:val="none"/>
        </w:rPr>
        <w:t>7.招标文件的澄清</w:t>
      </w:r>
      <w:bookmarkEnd w:id="31"/>
      <w:bookmarkEnd w:id="32"/>
      <w:bookmarkEnd w:id="33"/>
      <w:bookmarkEnd w:id="34"/>
    </w:p>
    <w:p w14:paraId="329467F0">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7.1本项目不召开开标前答疑会，投标人如有需要对招标文件要求澄清的问题，应在投标截止期至少十五日前按招标公告或招标文件中的通讯地址，以书面形式通知</w:t>
      </w:r>
      <w:r>
        <w:rPr>
          <w:rFonts w:hint="eastAsia" w:ascii="宋体" w:hAnsi="宋体"/>
          <w:bCs/>
          <w:color w:val="auto"/>
          <w:sz w:val="24"/>
          <w:szCs w:val="24"/>
          <w:highlight w:val="none"/>
          <w:lang w:eastAsia="zh-CN"/>
        </w:rPr>
        <w:t>采购中心</w:t>
      </w:r>
      <w:r>
        <w:rPr>
          <w:rFonts w:hint="eastAsia" w:ascii="宋体" w:hAnsi="宋体"/>
          <w:bCs/>
          <w:color w:val="auto"/>
          <w:sz w:val="24"/>
          <w:szCs w:val="24"/>
          <w:highlight w:val="none"/>
        </w:rPr>
        <w:t>。</w:t>
      </w:r>
    </w:p>
    <w:p w14:paraId="29CE53F1">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35" w:name="_Toc462564071"/>
      <w:bookmarkStart w:id="36" w:name="_Toc513029212"/>
      <w:bookmarkStart w:id="37" w:name="_Toc16938528"/>
      <w:bookmarkStart w:id="38" w:name="_Toc20823284"/>
      <w:r>
        <w:rPr>
          <w:rFonts w:hint="eastAsia" w:ascii="宋体" w:hAnsi="宋体" w:eastAsia="宋体"/>
          <w:bCs w:val="0"/>
          <w:color w:val="auto"/>
          <w:sz w:val="24"/>
          <w:szCs w:val="24"/>
          <w:highlight w:val="none"/>
        </w:rPr>
        <w:t>8.招标文件的修改</w:t>
      </w:r>
      <w:bookmarkEnd w:id="35"/>
      <w:bookmarkEnd w:id="36"/>
      <w:bookmarkEnd w:id="37"/>
      <w:bookmarkEnd w:id="38"/>
    </w:p>
    <w:p w14:paraId="7CD9250F">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bCs/>
          <w:color w:val="auto"/>
          <w:sz w:val="24"/>
          <w:szCs w:val="24"/>
          <w:highlight w:val="none"/>
          <w:lang w:eastAsia="zh-CN"/>
        </w:rPr>
        <w:t>采购中心</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080F3D7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8.2</w:t>
      </w:r>
      <w:r>
        <w:rPr>
          <w:rFonts w:hint="eastAsia" w:ascii="宋体" w:hAnsi="宋体"/>
          <w:bCs/>
          <w:color w:val="auto"/>
          <w:sz w:val="24"/>
          <w:szCs w:val="24"/>
          <w:highlight w:val="none"/>
        </w:rPr>
        <w:t>如需对招标文件进行澄清或修改，</w:t>
      </w:r>
      <w:r>
        <w:rPr>
          <w:rFonts w:hint="eastAsia" w:ascii="宋体" w:hAnsi="宋体"/>
          <w:bCs/>
          <w:color w:val="auto"/>
          <w:sz w:val="24"/>
          <w:szCs w:val="24"/>
          <w:highlight w:val="none"/>
          <w:lang w:eastAsia="zh-CN"/>
        </w:rPr>
        <w:t>采购中心</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4C8CD433">
      <w:pPr>
        <w:pStyle w:val="344"/>
        <w:keepNext w:val="0"/>
        <w:keepLines w:val="0"/>
        <w:spacing w:before="0" w:after="0" w:line="500" w:lineRule="exact"/>
        <w:jc w:val="center"/>
        <w:rPr>
          <w:rFonts w:hint="eastAsia"/>
          <w:color w:val="auto"/>
          <w:sz w:val="32"/>
          <w:szCs w:val="32"/>
          <w:highlight w:val="none"/>
        </w:rPr>
      </w:pPr>
      <w:bookmarkStart w:id="39" w:name="_Toc120614216"/>
      <w:bookmarkStart w:id="40" w:name="_Toc16938529"/>
      <w:bookmarkStart w:id="41" w:name="_Toc462564072"/>
      <w:bookmarkStart w:id="42" w:name="_Toc20823285"/>
      <w:bookmarkStart w:id="43" w:name="_Toc513029213"/>
      <w:r>
        <w:rPr>
          <w:rFonts w:hint="eastAsia"/>
          <w:color w:val="auto"/>
          <w:sz w:val="32"/>
          <w:szCs w:val="32"/>
          <w:highlight w:val="none"/>
        </w:rPr>
        <w:t>三、投标文件的编制</w:t>
      </w:r>
      <w:bookmarkEnd w:id="39"/>
      <w:bookmarkEnd w:id="40"/>
      <w:bookmarkEnd w:id="41"/>
      <w:bookmarkEnd w:id="42"/>
      <w:bookmarkEnd w:id="43"/>
    </w:p>
    <w:p w14:paraId="7AD0B99E">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44" w:name="_Toc20823286"/>
      <w:bookmarkStart w:id="45" w:name="_Toc462564073"/>
      <w:bookmarkStart w:id="46" w:name="_Toc16938530"/>
      <w:bookmarkStart w:id="47" w:name="_Toc513029214"/>
      <w:r>
        <w:rPr>
          <w:rFonts w:hint="eastAsia" w:ascii="宋体" w:hAnsi="宋体" w:eastAsia="宋体"/>
          <w:bCs w:val="0"/>
          <w:color w:val="auto"/>
          <w:sz w:val="24"/>
          <w:szCs w:val="24"/>
          <w:highlight w:val="none"/>
        </w:rPr>
        <w:t>9.投标文件的语言及度量衡单位</w:t>
      </w:r>
      <w:bookmarkEnd w:id="44"/>
      <w:bookmarkEnd w:id="45"/>
      <w:bookmarkEnd w:id="46"/>
      <w:bookmarkEnd w:id="47"/>
    </w:p>
    <w:p w14:paraId="242BD8CA">
      <w:pPr>
        <w:spacing w:line="500" w:lineRule="exact"/>
        <w:ind w:firstLine="480"/>
        <w:rPr>
          <w:rFonts w:hint="eastAsia" w:ascii="宋体" w:hAnsi="宋体"/>
          <w:bCs/>
          <w:color w:val="auto"/>
          <w:sz w:val="24"/>
          <w:szCs w:val="24"/>
          <w:highlight w:val="none"/>
        </w:rPr>
      </w:pPr>
      <w:bookmarkStart w:id="48" w:name="_Toc20823287"/>
      <w:bookmarkStart w:id="49" w:name="_Toc462564074"/>
      <w:bookmarkStart w:id="50" w:name="_Toc16938531"/>
      <w:bookmarkStart w:id="51" w:name="_Toc513029215"/>
      <w:r>
        <w:rPr>
          <w:rFonts w:hint="eastAsia" w:ascii="宋体" w:hAnsi="宋体"/>
          <w:bCs/>
          <w:color w:val="auto"/>
          <w:sz w:val="24"/>
          <w:szCs w:val="24"/>
          <w:highlight w:val="none"/>
        </w:rPr>
        <w:t>9.1投标人提交的投标文件以及投标人与</w:t>
      </w:r>
      <w:r>
        <w:rPr>
          <w:rFonts w:hint="eastAsia" w:ascii="宋体" w:hAnsi="宋体"/>
          <w:bCs/>
          <w:color w:val="auto"/>
          <w:sz w:val="24"/>
          <w:szCs w:val="24"/>
          <w:highlight w:val="none"/>
          <w:lang w:eastAsia="zh-CN"/>
        </w:rPr>
        <w:t>采购中心</w:t>
      </w:r>
      <w:r>
        <w:rPr>
          <w:rFonts w:hint="eastAsia" w:ascii="宋体" w:hAnsi="宋体"/>
          <w:bCs/>
          <w:color w:val="auto"/>
          <w:sz w:val="24"/>
          <w:szCs w:val="24"/>
          <w:highlight w:val="none"/>
        </w:rPr>
        <w:t>就有关投标的所有来往通知、函件和文件均应使用简体中文（规格、型号辅助符号例外）。</w:t>
      </w:r>
    </w:p>
    <w:p w14:paraId="24FFE5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9.2除技术性能另有规定外，投标文件所使用的度量衡单位，均须采用国家法定计量单位。</w:t>
      </w:r>
    </w:p>
    <w:p w14:paraId="5F887ED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9.3投标文件由投标人按给定格式如实填写(编写)，须有法人(盖章)、法定代表人或法定代表人授权代表签字或盖章，方为有效，未尽事宜可自行补充。</w:t>
      </w:r>
    </w:p>
    <w:p w14:paraId="1621C7E3">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zh-CN"/>
        </w:rPr>
        <w:t>9.4如无特别说明，</w:t>
      </w:r>
      <w:r>
        <w:rPr>
          <w:rFonts w:hint="eastAsia" w:ascii="宋体" w:hAnsi="宋体"/>
          <w:bCs/>
          <w:color w:val="auto"/>
          <w:sz w:val="24"/>
          <w:szCs w:val="24"/>
          <w:highlight w:val="none"/>
        </w:rPr>
        <w:t>投标人报价一律以人民币为投标结算货币，结算单位为“元”。</w:t>
      </w:r>
    </w:p>
    <w:p w14:paraId="43EC4E42">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9.5投标文件格式部分，应由投标人按给定格式提供，不得更改。</w:t>
      </w:r>
    </w:p>
    <w:p w14:paraId="459E7BF6">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9.6.投标人在制作电子投标文件时，请正确关联到对应页，在评审过程中，评审专家如因在相对应页面找不到该相关联的文件，由此产生的后果由投标人自行承担。</w:t>
      </w:r>
    </w:p>
    <w:p w14:paraId="5A228520">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9.7投标费用自理。</w:t>
      </w:r>
    </w:p>
    <w:p w14:paraId="09EA72EC">
      <w:pPr>
        <w:spacing w:line="500" w:lineRule="exact"/>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9.8在评分标准中除了投标报价外，还须包含明标（</w:t>
      </w:r>
      <w:r>
        <w:rPr>
          <w:rFonts w:hint="eastAsia" w:ascii="宋体" w:hAnsi="宋体"/>
          <w:b/>
          <w:bCs w:val="0"/>
          <w:color w:val="auto"/>
          <w:sz w:val="24"/>
          <w:szCs w:val="24"/>
          <w:highlight w:val="none"/>
          <w:lang w:eastAsia="zh-CN"/>
        </w:rPr>
        <w:t>商务部分</w:t>
      </w:r>
      <w:r>
        <w:rPr>
          <w:rFonts w:hint="eastAsia" w:ascii="宋体" w:hAnsi="宋体"/>
          <w:b/>
          <w:bCs w:val="0"/>
          <w:color w:val="auto"/>
          <w:sz w:val="24"/>
          <w:szCs w:val="24"/>
          <w:highlight w:val="none"/>
        </w:rPr>
        <w:t>）和暗标（技术</w:t>
      </w:r>
      <w:r>
        <w:rPr>
          <w:rFonts w:hint="eastAsia" w:ascii="宋体" w:hAnsi="宋体"/>
          <w:b/>
          <w:bCs w:val="0"/>
          <w:color w:val="auto"/>
          <w:sz w:val="24"/>
          <w:szCs w:val="24"/>
          <w:highlight w:val="none"/>
          <w:lang w:eastAsia="zh-CN"/>
        </w:rPr>
        <w:t>部分</w:t>
      </w:r>
      <w:r>
        <w:rPr>
          <w:rFonts w:hint="eastAsia" w:ascii="宋体" w:hAnsi="宋体"/>
          <w:b/>
          <w:bCs w:val="0"/>
          <w:color w:val="auto"/>
          <w:sz w:val="24"/>
          <w:szCs w:val="24"/>
          <w:highlight w:val="none"/>
        </w:rPr>
        <w:t>）两大部分，其暗标编制要求如下：</w:t>
      </w:r>
    </w:p>
    <w:p w14:paraId="120DC705">
      <w:pPr>
        <w:spacing w:line="500" w:lineRule="exact"/>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lang w:val="en-US" w:eastAsia="zh-CN"/>
        </w:rPr>
        <w:t>1</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技术部分不得更改，不得在其中涂改、标注或做任何可以辨认投标人及所属人员身份的名称、印章、商标等标记；</w:t>
      </w:r>
    </w:p>
    <w:p w14:paraId="08BCAEE3">
      <w:pPr>
        <w:spacing w:line="500" w:lineRule="exact"/>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lang w:val="en-US" w:eastAsia="zh-CN"/>
        </w:rPr>
        <w:t>2</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技术部分应当版面整洁、字迹清楚、不许批注或进行底纹、阴影、水印等特殊设置，不得采用任何不符合常规、有别于其他投标人的特殊做法；</w:t>
      </w:r>
    </w:p>
    <w:p w14:paraId="5BD75FF9">
      <w:pPr>
        <w:spacing w:line="500" w:lineRule="exact"/>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lang w:val="en-US" w:eastAsia="zh-CN"/>
        </w:rPr>
        <w:t>3</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不得有其他体现投标人身份的内容。</w:t>
      </w:r>
    </w:p>
    <w:p w14:paraId="10DC1460">
      <w:pPr>
        <w:pStyle w:val="346"/>
        <w:keepNext w:val="0"/>
        <w:keepLines w:val="0"/>
        <w:spacing w:before="0" w:after="0" w:line="500" w:lineRule="exact"/>
        <w:ind w:firstLine="422"/>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10.投标文件构成</w:t>
      </w:r>
      <w:bookmarkEnd w:id="48"/>
      <w:bookmarkEnd w:id="49"/>
      <w:bookmarkEnd w:id="50"/>
      <w:bookmarkEnd w:id="51"/>
    </w:p>
    <w:p w14:paraId="64B2EB5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6C9B782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10.2投标人所须提供的相关证明文件和要求以及投标文件的部分格式要求，详见第六章《投标文件内容与格式》。</w:t>
      </w:r>
    </w:p>
    <w:p w14:paraId="52549259">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10.3如标书制作工具中格式和内容与招标文件不一致的，请以招标文件为准。</w:t>
      </w:r>
    </w:p>
    <w:p w14:paraId="760E3D2E">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52" w:name="_Hlt26670360"/>
      <w:bookmarkEnd w:id="52"/>
      <w:bookmarkStart w:id="53" w:name="_Hlt26668975"/>
      <w:bookmarkEnd w:id="53"/>
      <w:bookmarkStart w:id="54" w:name="_Hlt26954838"/>
      <w:bookmarkEnd w:id="54"/>
      <w:bookmarkStart w:id="55" w:name="_Toc513029216"/>
      <w:bookmarkStart w:id="56" w:name="_Toc49090509"/>
      <w:bookmarkStart w:id="57" w:name="_Toc513029219"/>
      <w:bookmarkStart w:id="58" w:name="_Toc14577357"/>
      <w:bookmarkStart w:id="59" w:name="_Toc49090507"/>
      <w:bookmarkStart w:id="60" w:name="_Toc14577354"/>
      <w:r>
        <w:rPr>
          <w:rFonts w:hint="eastAsia" w:ascii="宋体" w:hAnsi="宋体" w:eastAsia="宋体"/>
          <w:bCs w:val="0"/>
          <w:color w:val="auto"/>
          <w:sz w:val="24"/>
          <w:szCs w:val="24"/>
          <w:highlight w:val="none"/>
        </w:rPr>
        <w:t>11.证明投标人及投标标的符合招标文件规定的文件</w:t>
      </w:r>
      <w:bookmarkEnd w:id="55"/>
      <w:bookmarkEnd w:id="56"/>
      <w:bookmarkEnd w:id="57"/>
      <w:bookmarkEnd w:id="58"/>
      <w:bookmarkEnd w:id="59"/>
      <w:bookmarkEnd w:id="60"/>
    </w:p>
    <w:p w14:paraId="5AAD89D0">
      <w:pPr>
        <w:spacing w:line="500" w:lineRule="exact"/>
        <w:ind w:firstLine="480"/>
        <w:rPr>
          <w:rFonts w:hint="eastAsia" w:ascii="宋体" w:hAnsi="宋体"/>
          <w:bCs/>
          <w:color w:val="auto"/>
          <w:sz w:val="24"/>
          <w:szCs w:val="24"/>
          <w:highlight w:val="none"/>
        </w:rPr>
      </w:pPr>
      <w:bookmarkStart w:id="61" w:name="_Toc14577355"/>
      <w:bookmarkStart w:id="62" w:name="_Toc49090508"/>
      <w:r>
        <w:rPr>
          <w:rFonts w:hint="eastAsia" w:ascii="宋体" w:hAnsi="宋体"/>
          <w:bCs/>
          <w:color w:val="auto"/>
          <w:sz w:val="24"/>
          <w:szCs w:val="24"/>
          <w:highlight w:val="none"/>
        </w:rPr>
        <w:t>11.1投标人应按照法律、法规、规章和规范性文件以及招标文件要求提交证明文件，证明其及投标标的符合招标文件规定。</w:t>
      </w:r>
    </w:p>
    <w:p w14:paraId="40ED56F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214902CF">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63" w:name="_Toc49090510"/>
      <w:bookmarkStart w:id="64" w:name="_Toc14577359"/>
      <w:r>
        <w:rPr>
          <w:rFonts w:hint="eastAsia" w:ascii="宋体" w:hAnsi="宋体" w:eastAsia="宋体"/>
          <w:bCs w:val="0"/>
          <w:color w:val="auto"/>
          <w:sz w:val="24"/>
          <w:szCs w:val="24"/>
          <w:highlight w:val="none"/>
        </w:rPr>
        <w:t>12.投标函、承诺书和开标一览表</w:t>
      </w:r>
    </w:p>
    <w:p w14:paraId="28D722ED">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12.1</w:t>
      </w:r>
      <w:r>
        <w:rPr>
          <w:rFonts w:hint="eastAsia" w:ascii="宋体" w:hAnsi="宋体"/>
          <w:color w:val="auto"/>
          <w:sz w:val="24"/>
          <w:szCs w:val="24"/>
          <w:highlight w:val="none"/>
        </w:rPr>
        <w:t>投标人应按照招标文件中提供的格式完整、正确填写投标函、承诺书和开标一览表。</w:t>
      </w:r>
    </w:p>
    <w:p w14:paraId="3638AEE9">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12.2对于采用货币报价的项目，开标一览表中的投标总报价应与分项报价表的总额一致，如不一致，不作为无效投标处理，但评标时按开标一览表中价格为准。</w:t>
      </w:r>
      <w:bookmarkEnd w:id="63"/>
      <w:bookmarkEnd w:id="64"/>
    </w:p>
    <w:p w14:paraId="4BAAEF84">
      <w:pPr>
        <w:pStyle w:val="346"/>
        <w:keepNext w:val="0"/>
        <w:keepLines w:val="0"/>
        <w:spacing w:before="0" w:after="0" w:line="500" w:lineRule="exact"/>
        <w:ind w:firstLine="422"/>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13.</w:t>
      </w:r>
      <w:bookmarkEnd w:id="61"/>
      <w:bookmarkEnd w:id="62"/>
      <w:r>
        <w:rPr>
          <w:rFonts w:hint="eastAsia" w:ascii="宋体" w:hAnsi="宋体" w:eastAsia="宋体"/>
          <w:bCs w:val="0"/>
          <w:color w:val="auto"/>
          <w:sz w:val="24"/>
          <w:szCs w:val="24"/>
          <w:highlight w:val="none"/>
        </w:rPr>
        <w:t>分项报价表</w:t>
      </w:r>
    </w:p>
    <w:p w14:paraId="16E1D83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13.1</w:t>
      </w:r>
      <w:r>
        <w:rPr>
          <w:rFonts w:hint="eastAsia" w:ascii="宋体" w:hAnsi="宋体"/>
          <w:color w:val="auto"/>
          <w:sz w:val="24"/>
          <w:szCs w:val="24"/>
          <w:highlight w:val="none"/>
        </w:rPr>
        <w:t>投</w:t>
      </w:r>
      <w:bookmarkStart w:id="65" w:name="_Hlt26954840"/>
      <w:bookmarkEnd w:id="65"/>
      <w:r>
        <w:rPr>
          <w:rFonts w:hint="eastAsia" w:ascii="宋体" w:hAnsi="宋体"/>
          <w:color w:val="auto"/>
          <w:sz w:val="24"/>
          <w:szCs w:val="24"/>
          <w:highlight w:val="none"/>
        </w:rPr>
        <w:t>标人应按照招标文件规定格式填报</w:t>
      </w:r>
      <w:bookmarkStart w:id="66" w:name="_Hlt26670399"/>
      <w:bookmarkEnd w:id="66"/>
      <w:r>
        <w:rPr>
          <w:rFonts w:hint="eastAsia" w:ascii="宋体" w:hAnsi="宋体"/>
          <w:color w:val="auto"/>
          <w:sz w:val="24"/>
          <w:szCs w:val="24"/>
          <w:highlight w:val="none"/>
        </w:rPr>
        <w:t>分项报价表。</w:t>
      </w:r>
    </w:p>
    <w:p w14:paraId="36527260">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13.2</w:t>
      </w:r>
      <w:r>
        <w:rPr>
          <w:rFonts w:hint="eastAsia" w:ascii="宋体" w:hAnsi="宋体"/>
          <w:bCs/>
          <w:color w:val="auto"/>
          <w:sz w:val="24"/>
          <w:szCs w:val="24"/>
          <w:highlight w:val="none"/>
        </w:rPr>
        <w:t>投标货币。投标文件中的单价和总价无特殊规定的采用人民币报价，以“元”为单位标注。</w:t>
      </w:r>
      <w:r>
        <w:rPr>
          <w:rFonts w:hint="eastAsia" w:ascii="宋体" w:hAnsi="宋体"/>
          <w:color w:val="auto"/>
          <w:sz w:val="24"/>
          <w:szCs w:val="24"/>
          <w:highlight w:val="none"/>
        </w:rPr>
        <w:t>招标文件中另有规定的按规定执行。</w:t>
      </w:r>
    </w:p>
    <w:p w14:paraId="759AB0E8">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67" w:name="_Hlt26670425"/>
      <w:bookmarkEnd w:id="67"/>
      <w:bookmarkStart w:id="68" w:name="_Hlt26668983"/>
      <w:bookmarkEnd w:id="68"/>
      <w:bookmarkStart w:id="69" w:name="_Hlt26954842"/>
      <w:bookmarkEnd w:id="69"/>
      <w:bookmarkStart w:id="70" w:name="_Hlt26954848"/>
      <w:bookmarkEnd w:id="70"/>
      <w:bookmarkStart w:id="71" w:name="_Hlt26954844"/>
      <w:bookmarkEnd w:id="71"/>
      <w:bookmarkStart w:id="72" w:name="_Hlt26670486"/>
      <w:bookmarkEnd w:id="72"/>
      <w:bookmarkStart w:id="73" w:name="_Hlt26954846"/>
      <w:bookmarkEnd w:id="73"/>
      <w:bookmarkStart w:id="74" w:name="_Hlt26670403"/>
      <w:bookmarkEnd w:id="74"/>
      <w:bookmarkStart w:id="75" w:name="_Hlt26670482"/>
      <w:bookmarkEnd w:id="75"/>
      <w:bookmarkStart w:id="76" w:name="_Hlt26954731"/>
      <w:bookmarkEnd w:id="76"/>
      <w:r>
        <w:rPr>
          <w:rFonts w:hint="eastAsia" w:ascii="宋体" w:hAnsi="宋体" w:eastAsia="宋体"/>
          <w:bCs w:val="0"/>
          <w:color w:val="auto"/>
          <w:sz w:val="24"/>
          <w:szCs w:val="24"/>
          <w:highlight w:val="none"/>
        </w:rPr>
        <w:t>14.投标偏离表</w:t>
      </w:r>
    </w:p>
    <w:p w14:paraId="3D6C3F69">
      <w:pPr>
        <w:tabs>
          <w:tab w:val="left" w:pos="1035"/>
        </w:tabs>
        <w:spacing w:line="500" w:lineRule="exact"/>
        <w:ind w:firstLine="480"/>
        <w:rPr>
          <w:rFonts w:ascii="宋体" w:hAnsi="Arial" w:cs="宋体"/>
          <w:color w:val="auto"/>
          <w:sz w:val="24"/>
          <w:szCs w:val="24"/>
          <w:highlight w:val="none"/>
          <w:lang w:val="zh-CN"/>
        </w:rPr>
      </w:pPr>
      <w:r>
        <w:rPr>
          <w:rFonts w:hint="eastAsia" w:ascii="宋体" w:hAnsi="Arial" w:cs="宋体"/>
          <w:color w:val="auto"/>
          <w:sz w:val="24"/>
          <w:szCs w:val="24"/>
          <w:highlight w:val="none"/>
        </w:rPr>
        <w:t>14</w:t>
      </w:r>
      <w:r>
        <w:rPr>
          <w:rFonts w:hint="eastAsia" w:ascii="宋体" w:hAnsi="Arial" w:cs="宋体"/>
          <w:color w:val="auto"/>
          <w:sz w:val="24"/>
          <w:szCs w:val="24"/>
          <w:highlight w:val="none"/>
          <w:lang w:val="zh-CN"/>
        </w:rPr>
        <w:t>.</w:t>
      </w:r>
      <w:r>
        <w:rPr>
          <w:rFonts w:hint="eastAsia" w:ascii="宋体" w:hAnsi="Arial" w:cs="宋体"/>
          <w:color w:val="auto"/>
          <w:sz w:val="24"/>
          <w:szCs w:val="24"/>
          <w:highlight w:val="none"/>
        </w:rPr>
        <w:t>1</w:t>
      </w:r>
      <w:r>
        <w:rPr>
          <w:rFonts w:hint="eastAsia" w:ascii="宋体" w:hAnsi="Arial" w:cs="宋体"/>
          <w:color w:val="auto"/>
          <w:sz w:val="24"/>
          <w:szCs w:val="24"/>
          <w:highlight w:val="none"/>
          <w:lang w:val="zh-CN"/>
        </w:rPr>
        <w:t>投标人可在投标文件中提供认为需要的其他技术文件或说明。</w:t>
      </w:r>
    </w:p>
    <w:p w14:paraId="1BD0D0F6">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77" w:name="_Hlt26954850"/>
      <w:bookmarkEnd w:id="77"/>
      <w:bookmarkStart w:id="78" w:name="_Hlt26670489"/>
      <w:bookmarkEnd w:id="78"/>
      <w:bookmarkStart w:id="79" w:name="_Hlt26954734"/>
      <w:bookmarkEnd w:id="79"/>
      <w:bookmarkStart w:id="80" w:name="_Toc49090511"/>
      <w:bookmarkStart w:id="81" w:name="_Toc14577360"/>
      <w:r>
        <w:rPr>
          <w:rFonts w:hint="eastAsia" w:ascii="宋体" w:hAnsi="宋体" w:eastAsia="宋体"/>
          <w:bCs w:val="0"/>
          <w:color w:val="auto"/>
          <w:sz w:val="24"/>
          <w:szCs w:val="24"/>
          <w:highlight w:val="none"/>
        </w:rPr>
        <w:t>15.投标有效期</w:t>
      </w:r>
      <w:bookmarkEnd w:id="80"/>
      <w:bookmarkEnd w:id="81"/>
    </w:p>
    <w:p w14:paraId="0B357A31">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15.1</w:t>
      </w:r>
      <w:r>
        <w:rPr>
          <w:rFonts w:hint="eastAsia" w:ascii="宋体" w:hAnsi="宋体"/>
          <w:bCs/>
          <w:color w:val="auto"/>
          <w:sz w:val="24"/>
          <w:szCs w:val="24"/>
          <w:highlight w:val="none"/>
        </w:rPr>
        <w:t>投标有效期为招标文件规定的开标之日后</w:t>
      </w:r>
      <w:r>
        <w:rPr>
          <w:rFonts w:hint="eastAsia" w:ascii="宋体" w:hAnsi="宋体"/>
          <w:color w:val="auto"/>
          <w:sz w:val="24"/>
          <w:szCs w:val="24"/>
          <w:highlight w:val="none"/>
        </w:rPr>
        <w:t>九十（90）天</w:t>
      </w:r>
      <w:r>
        <w:rPr>
          <w:rFonts w:hint="eastAsia" w:ascii="宋体" w:hAnsi="宋体"/>
          <w:bCs/>
          <w:color w:val="auto"/>
          <w:sz w:val="24"/>
          <w:szCs w:val="24"/>
          <w:highlight w:val="none"/>
        </w:rPr>
        <w:t>。投标有效期比规定短的将被视为未实质性响应招标</w:t>
      </w:r>
      <w:r>
        <w:rPr>
          <w:rFonts w:ascii="宋体" w:hAnsi="宋体"/>
          <w:bCs/>
          <w:color w:val="auto"/>
          <w:sz w:val="24"/>
          <w:szCs w:val="24"/>
          <w:highlight w:val="none"/>
        </w:rPr>
        <w:t>文件</w:t>
      </w:r>
      <w:r>
        <w:rPr>
          <w:rFonts w:hint="eastAsia" w:ascii="宋体" w:hAnsi="宋体"/>
          <w:bCs/>
          <w:color w:val="auto"/>
          <w:sz w:val="24"/>
          <w:szCs w:val="24"/>
          <w:highlight w:val="none"/>
        </w:rPr>
        <w:t>而予以拒绝。</w:t>
      </w:r>
    </w:p>
    <w:p w14:paraId="0E42F9A2">
      <w:pPr>
        <w:pStyle w:val="346"/>
        <w:keepNext w:val="0"/>
        <w:keepLines w:val="0"/>
        <w:spacing w:before="0" w:after="0" w:line="500" w:lineRule="exact"/>
        <w:ind w:firstLine="422"/>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16.投标有效期的延长</w:t>
      </w:r>
    </w:p>
    <w:p w14:paraId="0099ECF3">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16.1</w:t>
      </w:r>
      <w:r>
        <w:rPr>
          <w:rFonts w:hint="eastAsia" w:ascii="宋体" w:hAnsi="宋体"/>
          <w:bCs/>
          <w:color w:val="auto"/>
          <w:sz w:val="24"/>
          <w:szCs w:val="24"/>
          <w:highlight w:val="none"/>
        </w:rPr>
        <w:t>在特殊情况下，</w:t>
      </w:r>
      <w:r>
        <w:rPr>
          <w:rFonts w:hint="eastAsia" w:ascii="宋体" w:hAnsi="宋体"/>
          <w:bCs/>
          <w:color w:val="auto"/>
          <w:sz w:val="24"/>
          <w:szCs w:val="24"/>
          <w:highlight w:val="none"/>
          <w:lang w:eastAsia="zh-CN"/>
        </w:rPr>
        <w:t>采购中心</w:t>
      </w:r>
      <w:r>
        <w:rPr>
          <w:rFonts w:hint="eastAsia" w:ascii="宋体" w:hAnsi="宋体"/>
          <w:bCs/>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color w:val="auto"/>
          <w:sz w:val="24"/>
          <w:szCs w:val="24"/>
          <w:highlight w:val="none"/>
          <w:lang w:eastAsia="zh-CN"/>
        </w:rPr>
        <w:t>采购中心</w:t>
      </w:r>
      <w:r>
        <w:rPr>
          <w:rFonts w:hint="eastAsia" w:ascii="宋体" w:hAnsi="宋体"/>
          <w:bCs/>
          <w:color w:val="auto"/>
          <w:sz w:val="24"/>
          <w:szCs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szCs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szCs w:val="24"/>
          <w:highlight w:val="none"/>
        </w:rPr>
        <w:t>。</w:t>
      </w:r>
    </w:p>
    <w:p w14:paraId="02BC9CA0">
      <w:pPr>
        <w:pStyle w:val="344"/>
        <w:keepNext w:val="0"/>
        <w:keepLines w:val="0"/>
        <w:spacing w:before="0" w:after="0" w:line="500" w:lineRule="exact"/>
        <w:jc w:val="center"/>
        <w:rPr>
          <w:rFonts w:hint="eastAsia"/>
          <w:color w:val="auto"/>
          <w:sz w:val="32"/>
          <w:szCs w:val="32"/>
          <w:highlight w:val="none"/>
        </w:rPr>
      </w:pPr>
      <w:bookmarkStart w:id="82" w:name="_Hlt26954852"/>
      <w:bookmarkEnd w:id="82"/>
      <w:bookmarkStart w:id="83" w:name="_Hlt26954739"/>
      <w:bookmarkEnd w:id="83"/>
      <w:bookmarkStart w:id="84" w:name="_Toc20823296"/>
      <w:bookmarkStart w:id="85" w:name="_Toc16938540"/>
      <w:bookmarkStart w:id="86" w:name="_Toc120614217"/>
      <w:bookmarkStart w:id="87" w:name="_Toc513029224"/>
      <w:r>
        <w:rPr>
          <w:rFonts w:hint="eastAsia"/>
          <w:color w:val="auto"/>
          <w:sz w:val="32"/>
          <w:szCs w:val="32"/>
          <w:highlight w:val="none"/>
        </w:rPr>
        <w:t>四、投标文件的递交</w:t>
      </w:r>
      <w:bookmarkEnd w:id="84"/>
      <w:bookmarkEnd w:id="85"/>
      <w:bookmarkEnd w:id="86"/>
      <w:bookmarkEnd w:id="87"/>
    </w:p>
    <w:p w14:paraId="216DF9BA">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88" w:name="_Toc513029225"/>
      <w:bookmarkStart w:id="89" w:name="_Toc20823297"/>
      <w:bookmarkStart w:id="90" w:name="_Toc462564084"/>
      <w:bookmarkStart w:id="91" w:name="_Toc16938541"/>
      <w:r>
        <w:rPr>
          <w:rFonts w:hint="eastAsia" w:ascii="宋体" w:hAnsi="宋体" w:eastAsia="宋体"/>
          <w:bCs w:val="0"/>
          <w:color w:val="auto"/>
          <w:sz w:val="24"/>
          <w:szCs w:val="24"/>
          <w:highlight w:val="none"/>
        </w:rPr>
        <w:t>17.投标文件</w:t>
      </w:r>
      <w:bookmarkEnd w:id="88"/>
      <w:bookmarkEnd w:id="89"/>
      <w:bookmarkEnd w:id="90"/>
      <w:bookmarkEnd w:id="91"/>
      <w:r>
        <w:rPr>
          <w:rFonts w:hint="eastAsia" w:ascii="宋体" w:hAnsi="宋体" w:eastAsia="宋体"/>
          <w:bCs w:val="0"/>
          <w:color w:val="auto"/>
          <w:sz w:val="24"/>
          <w:szCs w:val="24"/>
          <w:highlight w:val="none"/>
        </w:rPr>
        <w:t>的递交</w:t>
      </w:r>
    </w:p>
    <w:p w14:paraId="559F03AF">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17.1</w:t>
      </w:r>
      <w:r>
        <w:rPr>
          <w:rFonts w:hint="eastAsia" w:ascii="宋体" w:hAnsi="宋体"/>
          <w:bCs/>
          <w:color w:val="auto"/>
          <w:sz w:val="24"/>
          <w:szCs w:val="24"/>
          <w:highlight w:val="none"/>
        </w:rPr>
        <w:t>电子投标文件的递交</w:t>
      </w:r>
    </w:p>
    <w:p w14:paraId="78B91B8F">
      <w:pPr>
        <w:pStyle w:val="334"/>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投标人应当按照《操作手册》规定，在投标截止时间前</w:t>
      </w:r>
      <w:r>
        <w:rPr>
          <w:rFonts w:ascii="宋体" w:hAnsi="宋体"/>
          <w:bCs/>
          <w:color w:val="auto"/>
          <w:sz w:val="24"/>
          <w:szCs w:val="24"/>
          <w:highlight w:val="none"/>
        </w:rPr>
        <w:t>制作</w:t>
      </w:r>
      <w:r>
        <w:rPr>
          <w:rFonts w:hint="eastAsia" w:ascii="宋体" w:hAnsi="宋体"/>
          <w:bCs/>
          <w:color w:val="auto"/>
          <w:sz w:val="24"/>
          <w:szCs w:val="24"/>
          <w:highlight w:val="none"/>
        </w:rPr>
        <w:t>并上传电子投标文件。</w:t>
      </w:r>
      <w:bookmarkStart w:id="92" w:name="_Toc20823298"/>
      <w:bookmarkStart w:id="93" w:name="_Toc513029226"/>
      <w:bookmarkStart w:id="94" w:name="_Toc16938542"/>
    </w:p>
    <w:p w14:paraId="45713A2B">
      <w:pPr>
        <w:pStyle w:val="346"/>
        <w:keepNext w:val="0"/>
        <w:keepLines w:val="0"/>
        <w:spacing w:before="0" w:after="0" w:line="500" w:lineRule="exact"/>
        <w:ind w:firstLine="422"/>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18.投标截止</w:t>
      </w:r>
      <w:bookmarkEnd w:id="92"/>
      <w:bookmarkEnd w:id="93"/>
      <w:bookmarkEnd w:id="94"/>
      <w:r>
        <w:rPr>
          <w:rFonts w:hint="eastAsia" w:ascii="宋体" w:hAnsi="宋体" w:eastAsia="宋体"/>
          <w:bCs w:val="0"/>
          <w:color w:val="auto"/>
          <w:sz w:val="24"/>
          <w:szCs w:val="24"/>
          <w:highlight w:val="none"/>
        </w:rPr>
        <w:t>时间</w:t>
      </w:r>
    </w:p>
    <w:p w14:paraId="42991CBA">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18.1</w:t>
      </w:r>
      <w:r>
        <w:rPr>
          <w:rFonts w:hint="eastAsia" w:ascii="宋体" w:hAnsi="宋体"/>
          <w:bCs/>
          <w:color w:val="auto"/>
          <w:sz w:val="24"/>
          <w:szCs w:val="24"/>
          <w:highlight w:val="none"/>
        </w:rPr>
        <w:t>投标人上传电子投标文件的时间不得迟于招标公告中规定的投标截止时间。</w:t>
      </w:r>
    </w:p>
    <w:p w14:paraId="0B06C931">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49ED91D5">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18.2</w:t>
      </w:r>
      <w:r>
        <w:rPr>
          <w:rFonts w:hint="eastAsia" w:ascii="宋体" w:hAnsi="宋体"/>
          <w:bCs/>
          <w:color w:val="auto"/>
          <w:sz w:val="24"/>
          <w:szCs w:val="24"/>
          <w:highlight w:val="none"/>
          <w:lang w:eastAsia="zh-CN"/>
        </w:rPr>
        <w:t>采购中心</w:t>
      </w:r>
      <w:r>
        <w:rPr>
          <w:rFonts w:hint="eastAsia" w:ascii="宋体" w:hAnsi="宋体"/>
          <w:bCs/>
          <w:color w:val="auto"/>
          <w:sz w:val="24"/>
          <w:szCs w:val="24"/>
          <w:highlight w:val="none"/>
        </w:rPr>
        <w:t>可以按照规定，通过更正公告修改投标截止时间，投标人的所有权利和义务以及投标人受制的截止时间均应以延长后新的截止时间为准。</w:t>
      </w:r>
    </w:p>
    <w:p w14:paraId="24F34B83">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95" w:name="_Toc16938543"/>
      <w:bookmarkStart w:id="96" w:name="_Toc513029227"/>
      <w:bookmarkStart w:id="97" w:name="_Toc20823299"/>
      <w:r>
        <w:rPr>
          <w:rFonts w:hint="eastAsia" w:ascii="宋体" w:hAnsi="宋体" w:eastAsia="宋体"/>
          <w:bCs w:val="0"/>
          <w:color w:val="auto"/>
          <w:sz w:val="24"/>
          <w:szCs w:val="24"/>
          <w:highlight w:val="none"/>
        </w:rPr>
        <w:t>19.投标文件</w:t>
      </w:r>
      <w:bookmarkEnd w:id="95"/>
      <w:bookmarkEnd w:id="96"/>
      <w:bookmarkEnd w:id="97"/>
      <w:r>
        <w:rPr>
          <w:rFonts w:hint="eastAsia" w:ascii="宋体" w:hAnsi="宋体" w:eastAsia="宋体"/>
          <w:bCs w:val="0"/>
          <w:color w:val="auto"/>
          <w:sz w:val="24"/>
          <w:szCs w:val="24"/>
          <w:highlight w:val="none"/>
        </w:rPr>
        <w:t>的拒收</w:t>
      </w:r>
    </w:p>
    <w:p w14:paraId="2140A9A4">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19.1</w:t>
      </w:r>
      <w:r>
        <w:rPr>
          <w:rFonts w:hint="eastAsia" w:ascii="宋体" w:hAnsi="宋体"/>
          <w:bCs/>
          <w:color w:val="auto"/>
          <w:sz w:val="24"/>
          <w:szCs w:val="24"/>
          <w:highlight w:val="none"/>
          <w:lang w:eastAsia="zh-CN"/>
        </w:rPr>
        <w:t>采购中心</w:t>
      </w:r>
      <w:r>
        <w:rPr>
          <w:rFonts w:hint="eastAsia" w:ascii="宋体" w:hAnsi="宋体"/>
          <w:bCs/>
          <w:color w:val="auto"/>
          <w:sz w:val="24"/>
          <w:szCs w:val="24"/>
          <w:highlight w:val="none"/>
        </w:rPr>
        <w:t>拒绝接收在其规定的投标截止时间后上传的任何投标文件。</w:t>
      </w:r>
    </w:p>
    <w:p w14:paraId="263ED822">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98" w:name="_Toc20823300"/>
      <w:bookmarkStart w:id="99" w:name="_Toc16938544"/>
      <w:bookmarkStart w:id="100" w:name="_Toc513029228"/>
      <w:r>
        <w:rPr>
          <w:rFonts w:hint="eastAsia" w:ascii="宋体" w:hAnsi="宋体" w:eastAsia="宋体"/>
          <w:bCs w:val="0"/>
          <w:color w:val="auto"/>
          <w:sz w:val="24"/>
          <w:szCs w:val="24"/>
          <w:highlight w:val="none"/>
        </w:rPr>
        <w:t>20.投标文件的撤回和修改</w:t>
      </w:r>
      <w:bookmarkEnd w:id="98"/>
      <w:bookmarkEnd w:id="99"/>
      <w:bookmarkEnd w:id="100"/>
    </w:p>
    <w:p w14:paraId="67D784A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20.1投标文件的撤回</w:t>
      </w:r>
    </w:p>
    <w:p w14:paraId="4C82843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21.1.1电子投标文件的撤回</w:t>
      </w:r>
    </w:p>
    <w:p w14:paraId="03899B3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投标人可在投标截止时间前，撤回其电子投标文件，具体操作方法见《操作手册》。</w:t>
      </w:r>
    </w:p>
    <w:p w14:paraId="6AAECCD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75088D1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20.2投标文件的修改</w:t>
      </w:r>
    </w:p>
    <w:p w14:paraId="23A5736D">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20.2.1投标人可在投标截止时间前，对其电子投标文件进行修改，具体操作方法见《操作手册》。</w:t>
      </w:r>
    </w:p>
    <w:p w14:paraId="46AED72D">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20.2.2</w:t>
      </w:r>
      <w:r>
        <w:rPr>
          <w:rFonts w:hint="eastAsia" w:ascii="宋体" w:hAnsi="宋体"/>
          <w:bCs/>
          <w:color w:val="auto"/>
          <w:sz w:val="24"/>
          <w:szCs w:val="24"/>
          <w:highlight w:val="none"/>
        </w:rPr>
        <w:t>在投标截止时间之后，投标人不得对其电子投标文件作任何修改。</w:t>
      </w:r>
    </w:p>
    <w:p w14:paraId="0B09B594">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20.3</w:t>
      </w:r>
      <w:r>
        <w:rPr>
          <w:rFonts w:hint="eastAsia" w:ascii="宋体" w:hAnsi="宋体"/>
          <w:bCs/>
          <w:color w:val="auto"/>
          <w:sz w:val="24"/>
          <w:szCs w:val="24"/>
          <w:highlight w:val="none"/>
        </w:rPr>
        <w:t>在投标截止时间至招标文件中规定的投标有效期满之间的这段时间内，投标人不得撤回其投标。</w:t>
      </w:r>
    </w:p>
    <w:p w14:paraId="5EF727DA">
      <w:pPr>
        <w:pStyle w:val="344"/>
        <w:keepNext w:val="0"/>
        <w:keepLines w:val="0"/>
        <w:spacing w:before="0" w:after="0" w:line="500" w:lineRule="exact"/>
        <w:jc w:val="center"/>
        <w:rPr>
          <w:rFonts w:hint="eastAsia"/>
          <w:color w:val="auto"/>
          <w:sz w:val="32"/>
          <w:szCs w:val="32"/>
          <w:highlight w:val="none"/>
        </w:rPr>
      </w:pPr>
      <w:bookmarkStart w:id="101" w:name="_Toc20823301"/>
      <w:bookmarkStart w:id="102" w:name="_Toc16938545"/>
      <w:bookmarkStart w:id="103" w:name="_Toc120614218"/>
      <w:bookmarkStart w:id="104" w:name="_Toc513029229"/>
      <w:r>
        <w:rPr>
          <w:rFonts w:hint="eastAsia"/>
          <w:color w:val="auto"/>
          <w:sz w:val="32"/>
          <w:szCs w:val="32"/>
          <w:highlight w:val="none"/>
        </w:rPr>
        <w:t>五、开标与评标</w:t>
      </w:r>
      <w:bookmarkEnd w:id="101"/>
      <w:bookmarkEnd w:id="102"/>
      <w:bookmarkEnd w:id="103"/>
      <w:bookmarkEnd w:id="104"/>
    </w:p>
    <w:p w14:paraId="765E4B1F">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105" w:name="_Toc16938546"/>
      <w:bookmarkStart w:id="106" w:name="_Toc513029230"/>
      <w:bookmarkStart w:id="107" w:name="_Toc20823302"/>
      <w:r>
        <w:rPr>
          <w:rFonts w:hint="eastAsia" w:ascii="宋体" w:hAnsi="宋体" w:eastAsia="宋体"/>
          <w:bCs w:val="0"/>
          <w:color w:val="auto"/>
          <w:sz w:val="24"/>
          <w:szCs w:val="24"/>
          <w:highlight w:val="none"/>
        </w:rPr>
        <w:t>21.开标</w:t>
      </w:r>
      <w:bookmarkEnd w:id="105"/>
      <w:bookmarkEnd w:id="106"/>
      <w:bookmarkEnd w:id="107"/>
    </w:p>
    <w:p w14:paraId="59D52628">
      <w:pPr>
        <w:spacing w:line="500" w:lineRule="exact"/>
        <w:ind w:firstLine="480"/>
        <w:rPr>
          <w:rFonts w:hint="eastAsia"/>
          <w:color w:val="auto"/>
          <w:sz w:val="24"/>
          <w:szCs w:val="24"/>
          <w:highlight w:val="none"/>
        </w:rPr>
      </w:pPr>
      <w:r>
        <w:rPr>
          <w:rFonts w:hint="eastAsia" w:ascii="宋体" w:hAnsi="宋体"/>
          <w:color w:val="auto"/>
          <w:sz w:val="24"/>
          <w:szCs w:val="24"/>
          <w:highlight w:val="none"/>
        </w:rPr>
        <w:t>21.1</w:t>
      </w:r>
      <w:r>
        <w:rPr>
          <w:rFonts w:hint="eastAsia" w:ascii="宋体" w:hAnsi="宋体"/>
          <w:bCs/>
          <w:color w:val="auto"/>
          <w:sz w:val="24"/>
          <w:szCs w:val="24"/>
          <w:highlight w:val="none"/>
          <w:lang w:eastAsia="zh-CN"/>
        </w:rPr>
        <w:t>采购中心</w:t>
      </w:r>
      <w:r>
        <w:rPr>
          <w:rFonts w:hint="eastAsia" w:ascii="宋体" w:hAnsi="宋体"/>
          <w:bCs/>
          <w:color w:val="auto"/>
          <w:sz w:val="24"/>
          <w:szCs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54CFDAA4">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21.2开标仪式由</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将自动对</w:t>
      </w:r>
      <w:r>
        <w:rPr>
          <w:rFonts w:ascii="宋体" w:hAnsi="宋体"/>
          <w:color w:val="auto"/>
          <w:sz w:val="24"/>
          <w:szCs w:val="24"/>
          <w:highlight w:val="none"/>
        </w:rPr>
        <w:t>项目进行开标，并</w:t>
      </w:r>
      <w:r>
        <w:rPr>
          <w:rFonts w:hint="eastAsia" w:ascii="宋体" w:hAnsi="宋体"/>
          <w:color w:val="auto"/>
          <w:sz w:val="24"/>
          <w:szCs w:val="24"/>
          <w:highlight w:val="none"/>
        </w:rPr>
        <w:t>宣布各</w:t>
      </w:r>
      <w:r>
        <w:rPr>
          <w:rFonts w:ascii="宋体" w:hAnsi="宋体"/>
          <w:color w:val="auto"/>
          <w:sz w:val="24"/>
          <w:szCs w:val="24"/>
          <w:highlight w:val="none"/>
        </w:rPr>
        <w:t>投标人</w:t>
      </w:r>
      <w:r>
        <w:rPr>
          <w:rFonts w:hint="eastAsia" w:ascii="宋体" w:hAnsi="宋体"/>
          <w:color w:val="auto"/>
          <w:sz w:val="24"/>
          <w:szCs w:val="24"/>
          <w:highlight w:val="none"/>
        </w:rPr>
        <w:t>名称和投标价格。</w:t>
      </w:r>
    </w:p>
    <w:p w14:paraId="072375F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21.3投标人在开标过程中涉及到的投标文件解密、开标结果确认等工作，应按照《操作手册》规定执行。</w:t>
      </w:r>
    </w:p>
    <w:p w14:paraId="08E0845D">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中《开标记录表》宣布后5分钟内未提出的，视同认可开标结果。</w:t>
      </w:r>
    </w:p>
    <w:p w14:paraId="2368D130">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108" w:name="_Toc513029231"/>
      <w:bookmarkStart w:id="109" w:name="_Toc20823303"/>
      <w:bookmarkStart w:id="110" w:name="_Toc16938547"/>
      <w:r>
        <w:rPr>
          <w:rFonts w:hint="eastAsia" w:ascii="宋体" w:hAnsi="宋体" w:eastAsia="宋体"/>
          <w:bCs w:val="0"/>
          <w:color w:val="auto"/>
          <w:sz w:val="24"/>
          <w:szCs w:val="24"/>
          <w:highlight w:val="none"/>
        </w:rPr>
        <w:t>22.评标委员会</w:t>
      </w:r>
    </w:p>
    <w:p w14:paraId="7CE3A8E4">
      <w:pPr>
        <w:spacing w:line="500" w:lineRule="exact"/>
        <w:ind w:firstLine="480"/>
        <w:rPr>
          <w:rFonts w:hint="eastAsia"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将立即组织评标委员会（以下简称评委会）进行评标。</w:t>
      </w:r>
    </w:p>
    <w:p w14:paraId="38D308A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6A525D2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w:t>
      </w:r>
      <w:r>
        <w:rPr>
          <w:rFonts w:hint="eastAsia" w:ascii="宋体" w:hAnsi="宋体"/>
          <w:color w:val="auto"/>
          <w:sz w:val="24"/>
          <w:szCs w:val="24"/>
          <w:highlight w:val="none"/>
          <w:lang w:eastAsia="zh-CN"/>
        </w:rPr>
        <w:t>候选</w:t>
      </w:r>
      <w:r>
        <w:rPr>
          <w:rFonts w:hint="eastAsia" w:ascii="宋体" w:hAnsi="宋体"/>
          <w:color w:val="auto"/>
          <w:sz w:val="24"/>
          <w:szCs w:val="24"/>
          <w:highlight w:val="none"/>
        </w:rPr>
        <w:t>人。</w:t>
      </w:r>
    </w:p>
    <w:p w14:paraId="69935772">
      <w:pPr>
        <w:pStyle w:val="346"/>
        <w:keepNext w:val="0"/>
        <w:keepLines w:val="0"/>
        <w:spacing w:before="0" w:after="0" w:line="500" w:lineRule="exact"/>
        <w:ind w:firstLine="422"/>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23.评标过程的保密与公正</w:t>
      </w:r>
      <w:bookmarkEnd w:id="108"/>
      <w:bookmarkEnd w:id="109"/>
      <w:bookmarkEnd w:id="110"/>
    </w:p>
    <w:p w14:paraId="01AE364E">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23.1</w:t>
      </w:r>
      <w:r>
        <w:rPr>
          <w:rFonts w:hint="eastAsia" w:ascii="宋体" w:hAnsi="宋体"/>
          <w:bCs/>
          <w:color w:val="auto"/>
          <w:sz w:val="24"/>
          <w:szCs w:val="24"/>
          <w:highlight w:val="none"/>
        </w:rPr>
        <w:t>凡是与审查、澄清、评价和比较投标的有关资料以及授标建议等，采购人、评委、</w:t>
      </w:r>
      <w:r>
        <w:rPr>
          <w:rFonts w:hint="eastAsia" w:ascii="宋体" w:hAnsi="宋体"/>
          <w:bCs/>
          <w:color w:val="auto"/>
          <w:sz w:val="24"/>
          <w:szCs w:val="24"/>
          <w:highlight w:val="none"/>
          <w:lang w:eastAsia="zh-CN"/>
        </w:rPr>
        <w:t>采购中心</w:t>
      </w:r>
      <w:r>
        <w:rPr>
          <w:rFonts w:hint="eastAsia" w:ascii="宋体" w:hAnsi="宋体"/>
          <w:bCs/>
          <w:color w:val="auto"/>
          <w:sz w:val="24"/>
          <w:szCs w:val="24"/>
          <w:highlight w:val="none"/>
        </w:rPr>
        <w:t>均不得向投标人或与评标无关的其他人员透露。</w:t>
      </w:r>
    </w:p>
    <w:p w14:paraId="0A431AED">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23.2在评标过程中，投标人不得以任何行为影响评标过程，否则其投标文件将被作为无效投标文件。</w:t>
      </w:r>
    </w:p>
    <w:p w14:paraId="2E4BE40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和评标委员会不向未中标的投标人解释未中标原因，也不公布评标过程中的相关细节。</w:t>
      </w:r>
    </w:p>
    <w:p w14:paraId="01B55C24">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6D1D8A38">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111" w:name="_Toc20823304"/>
      <w:bookmarkStart w:id="112" w:name="_Toc16938548"/>
      <w:bookmarkStart w:id="113" w:name="_Toc513029232"/>
      <w:r>
        <w:rPr>
          <w:rFonts w:hint="eastAsia" w:ascii="宋体" w:hAnsi="宋体" w:eastAsia="宋体"/>
          <w:bCs w:val="0"/>
          <w:color w:val="auto"/>
          <w:sz w:val="24"/>
          <w:szCs w:val="24"/>
          <w:highlight w:val="none"/>
        </w:rPr>
        <w:t>24.投标文件的澄清</w:t>
      </w:r>
      <w:bookmarkEnd w:id="111"/>
      <w:bookmarkEnd w:id="112"/>
      <w:bookmarkEnd w:id="113"/>
    </w:p>
    <w:p w14:paraId="1B4A39C8">
      <w:pPr>
        <w:spacing w:line="500" w:lineRule="exact"/>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7755550B">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686A25D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评标</w:t>
      </w:r>
      <w:r>
        <w:rPr>
          <w:rFonts w:ascii="宋体" w:hAnsi="宋体"/>
          <w:color w:val="auto"/>
          <w:sz w:val="24"/>
          <w:szCs w:val="24"/>
          <w:highlight w:val="none"/>
        </w:rPr>
        <w:t>委员会并非对每个投标人都做澄清要求</w:t>
      </w:r>
      <w:r>
        <w:rPr>
          <w:rFonts w:hint="eastAsia" w:ascii="宋体" w:hAnsi="宋体"/>
          <w:color w:val="auto"/>
          <w:sz w:val="24"/>
          <w:szCs w:val="24"/>
          <w:highlight w:val="none"/>
        </w:rPr>
        <w:t>。</w:t>
      </w:r>
    </w:p>
    <w:p w14:paraId="363B926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04267409">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24.3接到评委会澄清、说明和补正要求的投标人如未按规定做出澄清、说明和补正，其风险由投标人自行承担。</w:t>
      </w:r>
    </w:p>
    <w:p w14:paraId="4E4E18DA">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114" w:name="_Toc20823305"/>
      <w:bookmarkStart w:id="115" w:name="_Toc513029233"/>
      <w:bookmarkStart w:id="116" w:name="_Toc16938549"/>
      <w:r>
        <w:rPr>
          <w:rFonts w:hint="eastAsia" w:ascii="宋体" w:hAnsi="宋体" w:eastAsia="宋体"/>
          <w:bCs w:val="0"/>
          <w:color w:val="auto"/>
          <w:sz w:val="24"/>
          <w:szCs w:val="24"/>
          <w:highlight w:val="none"/>
        </w:rPr>
        <w:t>25.对投标文件的初审</w:t>
      </w:r>
      <w:bookmarkEnd w:id="114"/>
      <w:bookmarkEnd w:id="115"/>
      <w:bookmarkEnd w:id="116"/>
    </w:p>
    <w:p w14:paraId="6F5E8F66">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25.1</w:t>
      </w:r>
      <w:r>
        <w:rPr>
          <w:rFonts w:hint="eastAsia" w:ascii="宋体" w:hAnsi="宋体"/>
          <w:bCs/>
          <w:color w:val="auto"/>
          <w:sz w:val="24"/>
          <w:szCs w:val="24"/>
          <w:highlight w:val="none"/>
        </w:rPr>
        <w:t>投标文件初审分为资格审查和符合性审查。</w:t>
      </w:r>
    </w:p>
    <w:p w14:paraId="224FC9C3">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25.1.1资格审查：依据法律法规和招标文件的规定，由采购人对投标文件中的资格证明文件进行审查。</w:t>
      </w:r>
    </w:p>
    <w:p w14:paraId="52D53AA5">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采购人在进行资格审查的同时，将通过“信用中国”网站（</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HYPERLINK "http://www.creditchina.gov.cn"</w:instrText>
      </w:r>
      <w:r>
        <w:rPr>
          <w:rFonts w:hint="eastAsia" w:ascii="宋体" w:hAnsi="宋体" w:cs="宋体"/>
          <w:color w:val="auto"/>
          <w:sz w:val="24"/>
          <w:szCs w:val="24"/>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szCs w:val="24"/>
          <w:highlight w:val="none"/>
        </w:rPr>
        <w:t>以确定投标供应商是否具备投标资格。</w:t>
      </w:r>
      <w:r>
        <w:rPr>
          <w:rFonts w:hint="eastAsia" w:ascii="宋体" w:hAnsi="宋体" w:cs="宋体"/>
          <w:color w:val="auto"/>
          <w:sz w:val="24"/>
          <w:szCs w:val="24"/>
          <w:highlight w:val="none"/>
        </w:rPr>
        <w:t>查询结果留存并归档。</w:t>
      </w:r>
    </w:p>
    <w:p w14:paraId="5A5FC9CC">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9B9414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5C18BD4A">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25.</w:t>
      </w:r>
      <w:r>
        <w:rPr>
          <w:rFonts w:ascii="宋体" w:hAnsi="宋体"/>
          <w:bCs/>
          <w:color w:val="auto"/>
          <w:sz w:val="24"/>
          <w:szCs w:val="24"/>
          <w:highlight w:val="none"/>
        </w:rPr>
        <w:t>1.</w:t>
      </w:r>
      <w:r>
        <w:rPr>
          <w:rFonts w:hint="eastAsia" w:ascii="宋体" w:hAnsi="宋体"/>
          <w:bCs/>
          <w:color w:val="auto"/>
          <w:sz w:val="24"/>
          <w:szCs w:val="24"/>
          <w:highlight w:val="none"/>
        </w:rPr>
        <w:t>3未通过资格审查或符合性审查的投标人，将在“苏采云”系统中告知未通过资格审查或符合性审查的原因，</w:t>
      </w:r>
      <w:r>
        <w:rPr>
          <w:rFonts w:ascii="宋体" w:hAnsi="宋体"/>
          <w:bCs/>
          <w:color w:val="auto"/>
          <w:sz w:val="24"/>
          <w:szCs w:val="24"/>
          <w:highlight w:val="none"/>
        </w:rPr>
        <w:t>评标结束后，将不再告知未通过资格审查和</w:t>
      </w:r>
      <w:r>
        <w:rPr>
          <w:rFonts w:hint="eastAsia" w:ascii="宋体" w:hAnsi="宋体"/>
          <w:bCs/>
          <w:color w:val="auto"/>
          <w:sz w:val="24"/>
          <w:szCs w:val="24"/>
          <w:highlight w:val="none"/>
        </w:rPr>
        <w:t>符合性</w:t>
      </w:r>
      <w:r>
        <w:rPr>
          <w:rFonts w:ascii="宋体" w:hAnsi="宋体"/>
          <w:bCs/>
          <w:color w:val="auto"/>
          <w:sz w:val="24"/>
          <w:szCs w:val="24"/>
          <w:highlight w:val="none"/>
        </w:rPr>
        <w:t>审查的原因。</w:t>
      </w:r>
    </w:p>
    <w:p w14:paraId="21C2435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5</w:t>
      </w:r>
      <w:r>
        <w:rPr>
          <w:rFonts w:hint="eastAsia" w:ascii="宋体" w:hAnsi="宋体"/>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1F83F9C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01349AB">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5</w:t>
      </w:r>
      <w:r>
        <w:rPr>
          <w:rFonts w:hint="eastAsia" w:ascii="宋体" w:hAnsi="宋体"/>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27D7130B">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25.</w:t>
      </w:r>
      <w:r>
        <w:rPr>
          <w:rFonts w:ascii="宋体" w:hAnsi="宋体"/>
          <w:color w:val="auto"/>
          <w:sz w:val="24"/>
          <w:szCs w:val="24"/>
          <w:highlight w:val="none"/>
        </w:rPr>
        <w:t>4</w:t>
      </w:r>
      <w:r>
        <w:rPr>
          <w:rFonts w:hint="eastAsia" w:ascii="宋体" w:hAnsi="宋体"/>
          <w:bCs/>
          <w:color w:val="auto"/>
          <w:sz w:val="24"/>
          <w:szCs w:val="24"/>
          <w:highlight w:val="none"/>
        </w:rPr>
        <w:t>评委会将对确定为实质性响应的投标进行进一步审核，确定其是否有计算上或累加上的算术错误，修正错误的原则如下：</w:t>
      </w:r>
    </w:p>
    <w:p w14:paraId="1ED64005">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（1）投标文件中开标一览表内容与投标文件中相应内容不一致的，以开标一览表为准。</w:t>
      </w:r>
    </w:p>
    <w:p w14:paraId="03D68256">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（2）大写金额和小写金额不一致的，以大写金额为准。</w:t>
      </w:r>
    </w:p>
    <w:p w14:paraId="4AAEC6A7">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（3）单价金额小数点或者百分比有明显错位的，以开标一览表的总价为准，并修改单价。</w:t>
      </w:r>
    </w:p>
    <w:p w14:paraId="3B029A2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（4）总价金额与按单价汇总金额不一致的，以单价金额计算结果为准。</w:t>
      </w:r>
    </w:p>
    <w:p w14:paraId="2571DEAE">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同时出现两种以上错误的，按照前款规定的顺序修正。</w:t>
      </w:r>
    </w:p>
    <w:p w14:paraId="43E9EB63">
      <w:pPr>
        <w:spacing w:line="500" w:lineRule="exact"/>
        <w:ind w:firstLine="480"/>
        <w:rPr>
          <w:rFonts w:ascii="宋体" w:hAnsi="宋体"/>
          <w:bCs/>
          <w:color w:val="auto"/>
          <w:sz w:val="24"/>
          <w:szCs w:val="24"/>
          <w:highlight w:val="none"/>
        </w:rPr>
      </w:pPr>
      <w:r>
        <w:rPr>
          <w:rFonts w:hint="eastAsia" w:ascii="宋体" w:hAnsi="宋体"/>
          <w:color w:val="auto"/>
          <w:sz w:val="24"/>
          <w:szCs w:val="24"/>
          <w:highlight w:val="none"/>
        </w:rPr>
        <w:t>25.</w:t>
      </w:r>
      <w:r>
        <w:rPr>
          <w:rFonts w:ascii="宋体" w:hAnsi="宋体"/>
          <w:color w:val="auto"/>
          <w:sz w:val="24"/>
          <w:szCs w:val="24"/>
          <w:highlight w:val="none"/>
        </w:rPr>
        <w:t>5</w:t>
      </w:r>
      <w:r>
        <w:rPr>
          <w:rFonts w:hint="eastAsia" w:ascii="宋体" w:hAnsi="宋体"/>
          <w:bCs/>
          <w:color w:val="auto"/>
          <w:sz w:val="24"/>
          <w:szCs w:val="24"/>
          <w:highlight w:val="none"/>
        </w:rPr>
        <w:t>评委会将按上述修正错误的方法调整投标文件中的投标报价，并</w:t>
      </w:r>
      <w:r>
        <w:rPr>
          <w:rFonts w:ascii="宋体" w:hAnsi="宋体"/>
          <w:bCs/>
          <w:color w:val="auto"/>
          <w:sz w:val="24"/>
          <w:szCs w:val="24"/>
          <w:highlight w:val="none"/>
        </w:rPr>
        <w:t>通过</w:t>
      </w:r>
      <w:r>
        <w:rPr>
          <w:rFonts w:hint="eastAsia" w:ascii="宋体" w:hAnsi="宋体"/>
          <w:bCs/>
          <w:color w:val="auto"/>
          <w:sz w:val="24"/>
          <w:szCs w:val="24"/>
          <w:highlight w:val="none"/>
        </w:rPr>
        <w:t>“苏采云”系统告知</w:t>
      </w:r>
      <w:r>
        <w:rPr>
          <w:rFonts w:ascii="宋体" w:hAnsi="宋体"/>
          <w:bCs/>
          <w:color w:val="auto"/>
          <w:sz w:val="24"/>
          <w:szCs w:val="24"/>
          <w:highlight w:val="none"/>
        </w:rPr>
        <w:t>投标人，</w:t>
      </w:r>
      <w:r>
        <w:rPr>
          <w:rFonts w:hint="eastAsia" w:ascii="宋体" w:hAnsi="宋体"/>
          <w:bCs/>
          <w:color w:val="auto"/>
          <w:sz w:val="24"/>
          <w:szCs w:val="24"/>
          <w:highlight w:val="none"/>
        </w:rPr>
        <w:t>调整后的价格应对投标人具有约束力。如果投标人不确认或不接受修正后的价格，则其投标将被拒绝，其投标无效。</w:t>
      </w:r>
    </w:p>
    <w:p w14:paraId="560CB4A8">
      <w:pPr>
        <w:spacing w:line="500" w:lineRule="exact"/>
        <w:ind w:firstLine="420"/>
        <w:rPr>
          <w:rFonts w:hint="eastAsia" w:ascii="宋体" w:hAnsi="宋体"/>
          <w:color w:val="auto"/>
          <w:sz w:val="24"/>
          <w:szCs w:val="24"/>
          <w:highlight w:val="none"/>
        </w:rPr>
      </w:pPr>
      <w:bookmarkStart w:id="117" w:name="_Toc20823306"/>
      <w:bookmarkStart w:id="118" w:name="_Toc513029234"/>
      <w:bookmarkStart w:id="119" w:name="_Toc16938550"/>
      <w:r>
        <w:rPr>
          <w:rFonts w:hint="eastAsia" w:ascii="宋体" w:hAnsi="宋体"/>
          <w:color w:val="auto"/>
          <w:sz w:val="24"/>
          <w:szCs w:val="24"/>
          <w:highlight w:val="none"/>
        </w:rPr>
        <w:t>25.6投标人在开、评标全过程中应保持通讯畅通，及时登录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查阅</w:t>
      </w:r>
      <w:r>
        <w:rPr>
          <w:rFonts w:ascii="宋体" w:hAnsi="宋体"/>
          <w:color w:val="auto"/>
          <w:sz w:val="24"/>
          <w:szCs w:val="24"/>
          <w:highlight w:val="none"/>
        </w:rPr>
        <w:t>、答复相关</w:t>
      </w:r>
      <w:r>
        <w:rPr>
          <w:rFonts w:hint="eastAsia" w:ascii="宋体" w:hAnsi="宋体"/>
          <w:color w:val="auto"/>
          <w:sz w:val="24"/>
          <w:szCs w:val="24"/>
          <w:highlight w:val="none"/>
        </w:rPr>
        <w:t>信息</w:t>
      </w:r>
      <w:r>
        <w:rPr>
          <w:rFonts w:ascii="宋体" w:hAnsi="宋体"/>
          <w:color w:val="auto"/>
          <w:sz w:val="24"/>
          <w:szCs w:val="24"/>
          <w:highlight w:val="none"/>
        </w:rPr>
        <w:t>，</w:t>
      </w:r>
      <w:r>
        <w:rPr>
          <w:rFonts w:hint="eastAsia" w:ascii="宋体" w:hAnsi="宋体"/>
          <w:color w:val="auto"/>
          <w:sz w:val="24"/>
          <w:szCs w:val="24"/>
          <w:highlight w:val="none"/>
        </w:rPr>
        <w:t>并安排专人随时接受与代理机构及评标委员会的相关询问。</w:t>
      </w:r>
    </w:p>
    <w:p w14:paraId="4CBE6DE1">
      <w:pPr>
        <w:pStyle w:val="346"/>
        <w:keepNext w:val="0"/>
        <w:keepLines w:val="0"/>
        <w:spacing w:before="0" w:after="0" w:line="500" w:lineRule="exact"/>
        <w:ind w:firstLine="422"/>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26</w:t>
      </w:r>
      <w:bookmarkEnd w:id="117"/>
      <w:bookmarkEnd w:id="118"/>
      <w:bookmarkEnd w:id="119"/>
      <w:r>
        <w:rPr>
          <w:rFonts w:hint="eastAsia" w:ascii="宋体" w:hAnsi="宋体" w:eastAsia="宋体"/>
          <w:bCs w:val="0"/>
          <w:color w:val="auto"/>
          <w:sz w:val="24"/>
          <w:szCs w:val="24"/>
          <w:highlight w:val="none"/>
        </w:rPr>
        <w:t>.无效投标条款和废标条款</w:t>
      </w:r>
    </w:p>
    <w:p w14:paraId="322F5B13">
      <w:pPr>
        <w:spacing w:line="500" w:lineRule="exact"/>
        <w:ind w:left="479"/>
        <w:rPr>
          <w:rFonts w:hint="eastAsia" w:ascii="宋体" w:hAnsi="宋体"/>
          <w:bCs/>
          <w:color w:val="auto"/>
          <w:sz w:val="24"/>
          <w:szCs w:val="24"/>
          <w:highlight w:val="none"/>
        </w:rPr>
      </w:pPr>
      <w:bookmarkStart w:id="120" w:name="_Toc16938551"/>
      <w:bookmarkStart w:id="121" w:name="_Toc513029235"/>
      <w:bookmarkStart w:id="122" w:name="_Toc20823307"/>
      <w:r>
        <w:rPr>
          <w:rFonts w:hint="eastAsia" w:ascii="宋体" w:hAnsi="宋体"/>
          <w:bCs/>
          <w:color w:val="auto"/>
          <w:sz w:val="24"/>
          <w:szCs w:val="24"/>
          <w:highlight w:val="none"/>
        </w:rPr>
        <w:t>26.1无效投标条款</w:t>
      </w:r>
    </w:p>
    <w:p w14:paraId="3372F891">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w:t>
      </w:r>
      <w:r>
        <w:rPr>
          <w:rFonts w:hint="eastAsia" w:ascii="宋体" w:hAnsi="宋体"/>
          <w:color w:val="auto"/>
          <w:sz w:val="24"/>
          <w:szCs w:val="24"/>
          <w:highlight w:val="none"/>
        </w:rPr>
        <w:t>未按《“苏采云”系统供应商操作手册》进行正确操作的。</w:t>
      </w:r>
    </w:p>
    <w:p w14:paraId="0AA46A2C">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73688FF7">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26.1.3投标人未按照招标文件要求上传电子投标文件、电子投标文件未按规定期限投标的，纸质投标文件（如有）未按规定的期限、地点送达的。</w:t>
      </w:r>
    </w:p>
    <w:p w14:paraId="65EE623F">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26.1.4投标人的电子投标文件未按招标文件要求签章的。</w:t>
      </w:r>
    </w:p>
    <w:p w14:paraId="48B53CCF">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42677B3C">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55F30F5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26.1.7同一投标人提交两套（含两套）以上不同的投标报价的。</w:t>
      </w:r>
    </w:p>
    <w:p w14:paraId="33344E76">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color w:val="auto"/>
          <w:sz w:val="24"/>
          <w:szCs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szCs w:val="24"/>
          <w:highlight w:val="none"/>
        </w:rPr>
        <w:t>后发现投标人存在其他不符合《中华人民共和国政府采购法》第二十二条规定条件的信用记录。</w:t>
      </w:r>
    </w:p>
    <w:p w14:paraId="737671F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4360D6B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26.1.10投标人的项目（标项、标段、分包）投标总价超过本项目（标项、标段、分包）预算或最高限价的。</w:t>
      </w:r>
    </w:p>
    <w:p w14:paraId="6D7DB986">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61FC02D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65854342">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04C4E022">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64BB9AE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26.1.15不同投标人委托同一单位或者个人办理投标事宜的。</w:t>
      </w:r>
    </w:p>
    <w:p w14:paraId="66AF54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26.1.16不同投标人的单位负责人为同一人或者存在直接控股、管理关系的。</w:t>
      </w:r>
    </w:p>
    <w:p w14:paraId="33232F8A">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1CD9E52E">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485498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26440016">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26.1.20提供虚假材料的（包括工商营业执照、财务报表、资格证明文件等）。</w:t>
      </w:r>
    </w:p>
    <w:p w14:paraId="04710B5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color w:val="auto"/>
          <w:sz w:val="24"/>
          <w:szCs w:val="24"/>
        </w:rPr>
        <w:t>财政部门在投诉处理、监督检查中发现评审委员会未按规定对异常低价开展审查的，依法予以纠正并追究评审专家的法律责任。</w:t>
      </w:r>
    </w:p>
    <w:p w14:paraId="283944D6">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26.1.23投标文件内容不全或不符合招标文件中规定的其它实质性要求和条件的</w:t>
      </w:r>
    </w:p>
    <w:p w14:paraId="6E7E99B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2C751BEA">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其他法律、法规及本招标文件规定的属无效投标的情形。</w:t>
      </w:r>
    </w:p>
    <w:p w14:paraId="31C90D01">
      <w:pPr>
        <w:spacing w:line="500" w:lineRule="exact"/>
        <w:ind w:left="479"/>
        <w:rPr>
          <w:rFonts w:hint="eastAsia" w:ascii="宋体" w:hAnsi="宋体"/>
          <w:bCs/>
          <w:color w:val="auto"/>
          <w:sz w:val="24"/>
          <w:szCs w:val="24"/>
          <w:highlight w:val="none"/>
        </w:rPr>
      </w:pPr>
      <w:r>
        <w:rPr>
          <w:rFonts w:hint="eastAsia" w:ascii="宋体" w:hAnsi="宋体"/>
          <w:bCs/>
          <w:color w:val="auto"/>
          <w:sz w:val="24"/>
          <w:szCs w:val="24"/>
          <w:highlight w:val="none"/>
        </w:rPr>
        <w:t>26.2废标条款</w:t>
      </w:r>
    </w:p>
    <w:p w14:paraId="119D3BF0">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26.2.1符合专业条件的供应商或者对招标文件作实质响应的供应商不足三家的。26.2.2出现影响采购公正的违法、违规行为的。</w:t>
      </w:r>
    </w:p>
    <w:p w14:paraId="59B0C072">
      <w:pPr>
        <w:spacing w:line="500" w:lineRule="exact"/>
        <w:ind w:left="479"/>
        <w:rPr>
          <w:rFonts w:hint="eastAsia" w:ascii="宋体" w:hAnsi="宋体"/>
          <w:bCs/>
          <w:color w:val="auto"/>
          <w:sz w:val="24"/>
          <w:szCs w:val="24"/>
          <w:highlight w:val="none"/>
        </w:rPr>
      </w:pPr>
      <w:r>
        <w:rPr>
          <w:rFonts w:hint="eastAsia" w:ascii="宋体" w:hAnsi="宋体"/>
          <w:bCs/>
          <w:color w:val="auto"/>
          <w:sz w:val="24"/>
          <w:szCs w:val="24"/>
          <w:highlight w:val="none"/>
        </w:rPr>
        <w:t>26.2.3因重大变故，采购任务取消的。</w:t>
      </w:r>
    </w:p>
    <w:p w14:paraId="1C6961D6">
      <w:pPr>
        <w:spacing w:line="500" w:lineRule="exact"/>
        <w:ind w:left="479"/>
        <w:rPr>
          <w:rFonts w:ascii="宋体" w:hAnsi="宋体"/>
          <w:bCs/>
          <w:color w:val="auto"/>
          <w:sz w:val="24"/>
          <w:szCs w:val="24"/>
          <w:highlight w:val="none"/>
        </w:rPr>
      </w:pPr>
      <w:r>
        <w:rPr>
          <w:rFonts w:hint="eastAsia" w:ascii="宋体" w:hAnsi="宋体"/>
          <w:bCs/>
          <w:color w:val="auto"/>
          <w:sz w:val="24"/>
          <w:szCs w:val="24"/>
          <w:highlight w:val="none"/>
        </w:rPr>
        <w:t>26.2.4评标委员会认定招标文件存在歧义、重大缺陷导致评审工作无法进行。</w:t>
      </w:r>
    </w:p>
    <w:p w14:paraId="332BAD90">
      <w:pPr>
        <w:spacing w:line="500" w:lineRule="exact"/>
        <w:ind w:left="479"/>
        <w:rPr>
          <w:rFonts w:hint="eastAsia" w:ascii="宋体" w:hAnsi="宋体"/>
          <w:bCs/>
          <w:color w:val="auto"/>
          <w:sz w:val="24"/>
          <w:szCs w:val="24"/>
          <w:highlight w:val="none"/>
        </w:rPr>
      </w:pPr>
      <w:r>
        <w:rPr>
          <w:rFonts w:hint="eastAsia" w:ascii="宋体" w:hAnsi="宋体"/>
          <w:bCs/>
          <w:color w:val="auto"/>
          <w:sz w:val="24"/>
          <w:szCs w:val="24"/>
          <w:highlight w:val="none"/>
        </w:rPr>
        <w:t>26.2.5 因“苏采云”系统</w:t>
      </w:r>
      <w:r>
        <w:rPr>
          <w:rFonts w:ascii="宋体" w:hAnsi="宋体"/>
          <w:bCs/>
          <w:color w:val="auto"/>
          <w:sz w:val="24"/>
          <w:szCs w:val="24"/>
          <w:highlight w:val="none"/>
        </w:rPr>
        <w:t>故障原因造成开标不成功</w:t>
      </w:r>
      <w:r>
        <w:rPr>
          <w:rFonts w:hint="eastAsia" w:ascii="宋体" w:hAnsi="宋体"/>
          <w:bCs/>
          <w:color w:val="auto"/>
          <w:sz w:val="24"/>
          <w:szCs w:val="24"/>
          <w:highlight w:val="none"/>
        </w:rPr>
        <w:t>的；</w:t>
      </w:r>
    </w:p>
    <w:p w14:paraId="3CE68F09">
      <w:pPr>
        <w:spacing w:line="500" w:lineRule="exact"/>
        <w:ind w:left="479"/>
        <w:rPr>
          <w:rFonts w:hint="eastAsia" w:ascii="宋体" w:hAnsi="宋体"/>
          <w:bCs/>
          <w:color w:val="auto"/>
          <w:sz w:val="24"/>
          <w:szCs w:val="24"/>
          <w:highlight w:val="none"/>
        </w:rPr>
      </w:pPr>
      <w:r>
        <w:rPr>
          <w:rFonts w:hint="eastAsia" w:ascii="宋体" w:hAnsi="宋体"/>
          <w:bCs/>
          <w:color w:val="auto"/>
          <w:sz w:val="24"/>
          <w:szCs w:val="24"/>
          <w:highlight w:val="none"/>
        </w:rPr>
        <w:t>26.2.6投标人的报价均超过采购预算，采购人不能支付的。</w:t>
      </w:r>
    </w:p>
    <w:p w14:paraId="1C1FF4B2">
      <w:pPr>
        <w:spacing w:line="500" w:lineRule="exact"/>
        <w:ind w:left="479"/>
        <w:rPr>
          <w:rFonts w:hint="eastAsia" w:ascii="宋体" w:hAnsi="宋体"/>
          <w:bCs/>
          <w:color w:val="auto"/>
          <w:sz w:val="24"/>
          <w:szCs w:val="24"/>
          <w:highlight w:val="none"/>
        </w:rPr>
      </w:pPr>
      <w:r>
        <w:rPr>
          <w:rFonts w:hint="eastAsia" w:ascii="宋体" w:hAnsi="宋体"/>
          <w:bCs/>
          <w:color w:val="auto"/>
          <w:sz w:val="24"/>
          <w:szCs w:val="24"/>
          <w:highlight w:val="none"/>
        </w:rPr>
        <w:t>26.3 投标截止时间结束后参加投标的供应商不足三家的处理：</w:t>
      </w:r>
    </w:p>
    <w:p w14:paraId="7454A61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26.3.1如出现投标截止时间结束后参加投标的供应商或者在评标期间对招标文件做出实质响应的供应商不足三家情况，按政府采购相关规定执行。</w:t>
      </w:r>
    </w:p>
    <w:p w14:paraId="6E9038DE">
      <w:pPr>
        <w:pStyle w:val="344"/>
        <w:keepNext w:val="0"/>
        <w:keepLines w:val="0"/>
        <w:spacing w:before="0" w:after="0" w:line="500" w:lineRule="exact"/>
        <w:jc w:val="center"/>
        <w:rPr>
          <w:rFonts w:hint="eastAsia"/>
          <w:color w:val="auto"/>
          <w:sz w:val="32"/>
          <w:szCs w:val="32"/>
          <w:highlight w:val="none"/>
        </w:rPr>
      </w:pPr>
      <w:bookmarkStart w:id="123" w:name="_Toc120614219"/>
      <w:r>
        <w:rPr>
          <w:rFonts w:hint="eastAsia"/>
          <w:color w:val="auto"/>
          <w:sz w:val="32"/>
          <w:szCs w:val="32"/>
          <w:highlight w:val="none"/>
        </w:rPr>
        <w:t>六、</w:t>
      </w:r>
      <w:bookmarkEnd w:id="120"/>
      <w:bookmarkEnd w:id="121"/>
      <w:bookmarkEnd w:id="122"/>
      <w:r>
        <w:rPr>
          <w:rFonts w:hint="eastAsia"/>
          <w:color w:val="auto"/>
          <w:sz w:val="32"/>
          <w:szCs w:val="32"/>
          <w:highlight w:val="none"/>
        </w:rPr>
        <w:t>定标</w:t>
      </w:r>
      <w:bookmarkEnd w:id="123"/>
    </w:p>
    <w:p w14:paraId="73EF303C">
      <w:pPr>
        <w:pStyle w:val="346"/>
        <w:keepNext w:val="0"/>
        <w:keepLines w:val="0"/>
        <w:spacing w:before="0" w:after="0" w:line="500" w:lineRule="exact"/>
        <w:ind w:firstLine="422"/>
        <w:rPr>
          <w:rFonts w:hint="eastAsia" w:ascii="宋体" w:hAnsi="宋体" w:eastAsia="宋体"/>
          <w:bCs w:val="0"/>
          <w:color w:val="auto"/>
          <w:sz w:val="24"/>
          <w:szCs w:val="24"/>
          <w:highlight w:val="none"/>
        </w:rPr>
      </w:pPr>
      <w:bookmarkStart w:id="124" w:name="_Toc513029238"/>
      <w:bookmarkStart w:id="125" w:name="_Toc16938554"/>
      <w:bookmarkStart w:id="126" w:name="_Toc20823310"/>
      <w:r>
        <w:rPr>
          <w:rFonts w:hint="eastAsia" w:ascii="宋体" w:hAnsi="宋体" w:eastAsia="宋体"/>
          <w:bCs w:val="0"/>
          <w:color w:val="auto"/>
          <w:sz w:val="24"/>
          <w:szCs w:val="24"/>
          <w:highlight w:val="none"/>
        </w:rPr>
        <w:t>27、</w:t>
      </w:r>
      <w:bookmarkEnd w:id="124"/>
      <w:r>
        <w:rPr>
          <w:rFonts w:hint="eastAsia" w:ascii="宋体" w:hAnsi="宋体" w:eastAsia="宋体"/>
          <w:bCs w:val="0"/>
          <w:color w:val="auto"/>
          <w:sz w:val="24"/>
          <w:szCs w:val="24"/>
          <w:highlight w:val="none"/>
        </w:rPr>
        <w:t>确定</w:t>
      </w:r>
      <w:bookmarkEnd w:id="125"/>
      <w:bookmarkEnd w:id="126"/>
      <w:r>
        <w:rPr>
          <w:rFonts w:hint="eastAsia" w:ascii="宋体" w:hAnsi="宋体" w:eastAsia="宋体"/>
          <w:bCs w:val="0"/>
          <w:color w:val="auto"/>
          <w:sz w:val="24"/>
          <w:szCs w:val="24"/>
          <w:highlight w:val="none"/>
        </w:rPr>
        <w:t>中标单位</w:t>
      </w:r>
    </w:p>
    <w:p w14:paraId="65508E5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6B4214E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27.2采购人应根据评委会推荐的中标候选人确定中标人。联合体中标的，联合体各方应当共同与采购人签订合同，就中标项目向采购人承担连带责任。</w:t>
      </w:r>
    </w:p>
    <w:p w14:paraId="4EC39FCD">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将在“江苏政府采购网”发布中标公告，公告期限为1个工作日。</w:t>
      </w:r>
    </w:p>
    <w:p w14:paraId="2963842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27.4中标无效的确认</w:t>
      </w:r>
    </w:p>
    <w:p w14:paraId="64EBDAC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6729324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27.4.1提供虚假材料谋取中标的。</w:t>
      </w:r>
    </w:p>
    <w:p w14:paraId="5F9E406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行贿或者提供其他不正当利益的。</w:t>
      </w:r>
    </w:p>
    <w:p w14:paraId="6BC0DAA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4B509B8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2473C35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524402D3">
      <w:pPr>
        <w:spacing w:line="500" w:lineRule="exact"/>
        <w:ind w:firstLine="480"/>
        <w:rPr>
          <w:rFonts w:hint="eastAsia" w:ascii="宋体" w:hAnsi="宋体"/>
          <w:color w:val="auto"/>
          <w:sz w:val="24"/>
          <w:szCs w:val="24"/>
          <w:highlight w:val="none"/>
        </w:rPr>
      </w:pPr>
      <w:bookmarkStart w:id="127"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6DC3065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5530CFC0">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588EEEE0">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624338E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155ACE6B">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75D69B1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225E588E">
      <w:pPr>
        <w:pStyle w:val="346"/>
        <w:keepNext w:val="0"/>
        <w:keepLines w:val="0"/>
        <w:spacing w:before="0" w:after="0" w:line="500" w:lineRule="exact"/>
        <w:ind w:firstLine="422"/>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28.质疑处理</w:t>
      </w:r>
      <w:bookmarkEnd w:id="127"/>
    </w:p>
    <w:p w14:paraId="79901E3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003A49A9">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298E1CC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4B6BE0E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5F190A19">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7915822D">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3CA7CDD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4EA45866">
      <w:pPr>
        <w:spacing w:line="500" w:lineRule="exact"/>
        <w:ind w:firstLine="480"/>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提出，由</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负责答复。</w:t>
      </w:r>
    </w:p>
    <w:p w14:paraId="53493C40">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只接收以纸质原件形式送达的质疑,质疑供应商可通过面交或邮寄方式送达（采购人和</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不接受未填写快递运单的快件）。</w:t>
      </w:r>
    </w:p>
    <w:p w14:paraId="25E64DED">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联系人、联系方式、通信地址见招标文件第一章。</w:t>
      </w:r>
    </w:p>
    <w:p w14:paraId="518FC240">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 以下情形的质疑不予受理</w:t>
      </w:r>
    </w:p>
    <w:p w14:paraId="04D95A8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561C3D4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628E3F1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673F0E9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009EC63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41E27BB4">
      <w:pPr>
        <w:spacing w:line="500" w:lineRule="exact"/>
        <w:ind w:firstLine="468"/>
        <w:rPr>
          <w:rFonts w:hint="eastAsia"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58E9C9DD">
      <w:pPr>
        <w:pStyle w:val="346"/>
        <w:keepNext w:val="0"/>
        <w:keepLines w:val="0"/>
        <w:spacing w:before="0" w:after="0" w:line="500" w:lineRule="exact"/>
        <w:ind w:firstLine="422"/>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29.中标通知书</w:t>
      </w:r>
    </w:p>
    <w:p w14:paraId="27359DB9">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将向中标人发出中标通知书。请中标人在中标结果公告届满之日起30日内,使用CA数字证书登录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不再保证提供下载中标通知书服务,因未及时下载而造成的不利后果由中标人自行承担。</w:t>
      </w:r>
    </w:p>
    <w:p w14:paraId="5E0BBF6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5DB20DB8">
      <w:pPr>
        <w:pStyle w:val="344"/>
        <w:keepNext w:val="0"/>
        <w:keepLines w:val="0"/>
        <w:spacing w:before="0" w:after="0" w:line="500" w:lineRule="exact"/>
        <w:jc w:val="center"/>
        <w:rPr>
          <w:rFonts w:hint="eastAsia"/>
          <w:color w:val="auto"/>
          <w:sz w:val="32"/>
          <w:szCs w:val="32"/>
          <w:highlight w:val="none"/>
        </w:rPr>
      </w:pPr>
      <w:bookmarkStart w:id="128" w:name="_Toc16938552"/>
      <w:bookmarkStart w:id="129" w:name="_Toc20823308"/>
      <w:bookmarkStart w:id="130" w:name="_Toc513029236"/>
      <w:bookmarkStart w:id="131" w:name="_Toc120614220"/>
      <w:r>
        <w:rPr>
          <w:rFonts w:hint="eastAsia"/>
          <w:color w:val="auto"/>
          <w:sz w:val="32"/>
          <w:szCs w:val="32"/>
          <w:highlight w:val="none"/>
        </w:rPr>
        <w:t>七、授予合同</w:t>
      </w:r>
      <w:bookmarkEnd w:id="128"/>
      <w:bookmarkEnd w:id="129"/>
      <w:bookmarkEnd w:id="130"/>
      <w:bookmarkEnd w:id="131"/>
    </w:p>
    <w:p w14:paraId="4FFF0E1A">
      <w:pPr>
        <w:pStyle w:val="346"/>
        <w:keepNext w:val="0"/>
        <w:keepLines w:val="0"/>
        <w:spacing w:before="0" w:after="0" w:line="500" w:lineRule="exact"/>
        <w:ind w:firstLine="422"/>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30.签订合同</w:t>
      </w:r>
    </w:p>
    <w:p w14:paraId="5BA17C5B">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44A40BD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color w:val="auto"/>
          <w:sz w:val="24"/>
          <w:szCs w:val="24"/>
          <w:highlight w:val="none"/>
          <w:lang w:eastAsia="zh-CN"/>
        </w:rPr>
        <w:t>采购中心</w:t>
      </w:r>
      <w:r>
        <w:rPr>
          <w:rFonts w:hint="eastAsia" w:ascii="宋体" w:hAnsi="宋体"/>
          <w:color w:val="auto"/>
          <w:sz w:val="24"/>
          <w:szCs w:val="24"/>
          <w:highlight w:val="none"/>
        </w:rPr>
        <w:t>将根据具体情况提请政府采购管理部门作出相应处理。</w:t>
      </w:r>
    </w:p>
    <w:p w14:paraId="6DC1D7AB">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071B4C4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30E0B89B">
      <w:pPr>
        <w:spacing w:line="500" w:lineRule="exact"/>
        <w:ind w:firstLine="48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31.服务（包含与服务相关的货物）的追加</w:t>
      </w:r>
    </w:p>
    <w:p w14:paraId="5ED4C1FA">
      <w:pPr>
        <w:spacing w:line="50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EA5986E">
      <w:pPr>
        <w:spacing w:line="400" w:lineRule="exact"/>
        <w:jc w:val="center"/>
        <w:rPr>
          <w:rFonts w:hint="eastAsia" w:ascii="黑体" w:eastAsia="黑体"/>
          <w:bCs/>
          <w:color w:val="auto"/>
          <w:sz w:val="30"/>
          <w:szCs w:val="30"/>
          <w:highlight w:val="none"/>
        </w:rPr>
      </w:pPr>
    </w:p>
    <w:p w14:paraId="2BDE50AB">
      <w:pPr>
        <w:spacing w:line="400" w:lineRule="exact"/>
        <w:rPr>
          <w:rFonts w:hint="eastAsia" w:ascii="黑体" w:eastAsia="黑体"/>
          <w:bCs/>
          <w:color w:val="auto"/>
          <w:sz w:val="30"/>
          <w:szCs w:val="30"/>
          <w:highlight w:val="none"/>
        </w:rPr>
      </w:pPr>
    </w:p>
    <w:p w14:paraId="26DD0B8D">
      <w:pPr>
        <w:spacing w:line="400" w:lineRule="exact"/>
        <w:rPr>
          <w:rFonts w:hint="eastAsia" w:ascii="黑体" w:eastAsia="黑体"/>
          <w:bCs/>
          <w:color w:val="auto"/>
          <w:sz w:val="30"/>
          <w:szCs w:val="30"/>
          <w:highlight w:val="none"/>
        </w:rPr>
      </w:pPr>
    </w:p>
    <w:p w14:paraId="36E201B1">
      <w:pPr>
        <w:spacing w:line="360" w:lineRule="auto"/>
        <w:rPr>
          <w:rFonts w:hint="eastAsia" w:ascii="黑体" w:eastAsia="黑体"/>
          <w:bCs/>
          <w:color w:val="auto"/>
          <w:sz w:val="30"/>
          <w:szCs w:val="30"/>
          <w:highlight w:val="none"/>
        </w:rPr>
      </w:pPr>
    </w:p>
    <w:p w14:paraId="07F2F961">
      <w:pPr>
        <w:pStyle w:val="2"/>
        <w:pageBreakBefore/>
        <w:jc w:val="center"/>
        <w:rPr>
          <w:rFonts w:hint="eastAsia" w:ascii="黑体" w:eastAsia="黑体"/>
          <w:color w:val="auto"/>
          <w:sz w:val="30"/>
          <w:szCs w:val="30"/>
          <w:highlight w:val="none"/>
          <w:lang w:eastAsia="zh-CN"/>
        </w:rPr>
      </w:pPr>
      <w:bookmarkStart w:id="132" w:name="_Toc61444673"/>
      <w:r>
        <w:rPr>
          <w:rFonts w:hint="eastAsia" w:ascii="黑体" w:hAnsi="黑体" w:eastAsia="黑体"/>
          <w:b w:val="0"/>
          <w:color w:val="auto"/>
          <w:sz w:val="32"/>
          <w:szCs w:val="32"/>
          <w:highlight w:val="none"/>
          <w:lang w:eastAsia="zh-CN"/>
        </w:rPr>
        <w:t>第三章</w:t>
      </w:r>
      <w:r>
        <w:rPr>
          <w:rFonts w:hint="eastAsia" w:ascii="黑体" w:hAnsi="黑体" w:eastAsia="黑体"/>
          <w:b w:val="0"/>
          <w:color w:val="auto"/>
          <w:sz w:val="32"/>
          <w:szCs w:val="32"/>
          <w:highlight w:val="none"/>
          <w:lang w:val="en-US" w:eastAsia="zh-CN"/>
        </w:rPr>
        <w:t xml:space="preserve">  </w:t>
      </w:r>
      <w:bookmarkEnd w:id="132"/>
      <w:r>
        <w:rPr>
          <w:rFonts w:hint="eastAsia" w:ascii="黑体" w:hAnsi="黑体" w:eastAsia="黑体"/>
          <w:b w:val="0"/>
          <w:color w:val="auto"/>
          <w:sz w:val="32"/>
          <w:szCs w:val="32"/>
          <w:highlight w:val="none"/>
          <w:lang w:eastAsia="zh-CN"/>
        </w:rPr>
        <w:t>项目需求</w:t>
      </w:r>
    </w:p>
    <w:p w14:paraId="53CCA230">
      <w:pPr>
        <w:pageBreakBefore w:val="0"/>
        <w:spacing w:line="360" w:lineRule="auto"/>
        <w:ind w:firstLine="480"/>
        <w:contextualSpacing/>
        <w:rPr>
          <w:rFonts w:hint="eastAsia" w:ascii="宋体" w:hAnsi="宋体" w:eastAsia="宋体" w:cs="宋体"/>
          <w:color w:val="auto"/>
          <w:sz w:val="24"/>
          <w:szCs w:val="24"/>
          <w:highlight w:val="none"/>
        </w:rPr>
      </w:pPr>
      <w:bookmarkStart w:id="133" w:name="_Hlk40341342"/>
      <w:bookmarkStart w:id="134" w:name="_Toc61444674"/>
      <w:r>
        <w:rPr>
          <w:rFonts w:hint="eastAsia" w:ascii="宋体" w:hAnsi="宋体" w:eastAsia="宋体" w:cs="宋体"/>
          <w:color w:val="auto"/>
          <w:sz w:val="24"/>
          <w:szCs w:val="24"/>
          <w:highlight w:val="none"/>
        </w:rPr>
        <w:t>投标人所投内容必须满足招标文件要求，不得有负偏离。</w:t>
      </w:r>
    </w:p>
    <w:p w14:paraId="442124A4">
      <w:pPr>
        <w:spacing w:line="360" w:lineRule="auto"/>
        <w:jc w:val="center"/>
        <w:rPr>
          <w:rFonts w:hint="eastAsia" w:hAnsi="宋体"/>
          <w:b/>
          <w:bCs/>
          <w:color w:val="auto"/>
          <w:sz w:val="24"/>
          <w:szCs w:val="24"/>
        </w:rPr>
      </w:pPr>
      <w:r>
        <w:rPr>
          <w:rFonts w:hint="eastAsia" w:ascii="宋体" w:hAnsi="宋体"/>
          <w:b/>
          <w:color w:val="auto"/>
          <w:sz w:val="30"/>
          <w:szCs w:val="30"/>
          <w:highlight w:val="none"/>
          <w:u w:val="none"/>
        </w:rPr>
        <w:t>第</w:t>
      </w:r>
      <w:r>
        <w:rPr>
          <w:rFonts w:hint="eastAsia" w:ascii="宋体" w:hAnsi="宋体"/>
          <w:b/>
          <w:color w:val="auto"/>
          <w:sz w:val="30"/>
          <w:szCs w:val="30"/>
          <w:highlight w:val="none"/>
          <w:u w:val="none"/>
          <w:lang w:eastAsia="zh-CN"/>
        </w:rPr>
        <w:t>一</w:t>
      </w:r>
      <w:r>
        <w:rPr>
          <w:rFonts w:hint="eastAsia" w:ascii="宋体" w:hAnsi="宋体"/>
          <w:b/>
          <w:color w:val="auto"/>
          <w:sz w:val="30"/>
          <w:szCs w:val="30"/>
          <w:highlight w:val="none"/>
          <w:u w:val="none"/>
        </w:rPr>
        <w:t xml:space="preserve">部分  </w:t>
      </w:r>
      <w:r>
        <w:rPr>
          <w:rFonts w:hint="eastAsia" w:ascii="宋体" w:hAnsi="宋体" w:eastAsia="宋体" w:cs="Times New Roman"/>
          <w:b/>
          <w:color w:val="auto"/>
          <w:sz w:val="30"/>
          <w:szCs w:val="30"/>
          <w:highlight w:val="none"/>
          <w:u w:val="none"/>
        </w:rPr>
        <w:t>项目技术要求</w:t>
      </w:r>
    </w:p>
    <w:p w14:paraId="58DD65A6">
      <w:pPr>
        <w:spacing w:line="360" w:lineRule="auto"/>
        <w:ind w:left="482"/>
        <w:jc w:val="left"/>
        <w:rPr>
          <w:rFonts w:hint="eastAsia" w:hAnsi="宋体"/>
          <w:b/>
          <w:bCs/>
          <w:color w:val="auto"/>
          <w:sz w:val="24"/>
          <w:szCs w:val="24"/>
        </w:rPr>
      </w:pPr>
      <w:r>
        <w:rPr>
          <w:rFonts w:hint="eastAsia" w:hAnsi="宋体"/>
          <w:b/>
          <w:bCs/>
          <w:color w:val="auto"/>
          <w:sz w:val="24"/>
          <w:szCs w:val="24"/>
        </w:rPr>
        <w:t>一、项目技术要求</w:t>
      </w:r>
    </w:p>
    <w:p w14:paraId="4E14056C">
      <w:pPr>
        <w:spacing w:line="360" w:lineRule="auto"/>
        <w:ind w:firstLine="480"/>
        <w:rPr>
          <w:rFonts w:hint="eastAsia" w:hAnsi="宋体" w:cs="仿宋_GB2312"/>
          <w:color w:val="auto"/>
          <w:sz w:val="24"/>
        </w:rPr>
      </w:pPr>
      <w:r>
        <w:rPr>
          <w:rFonts w:hint="eastAsia" w:hAnsi="宋体" w:cs="仿宋_GB2312"/>
          <w:color w:val="auto"/>
          <w:sz w:val="24"/>
        </w:rPr>
        <w:t>本项目是指对各类摄像头、摄像头侧的各类设备、及其相应的视频、供电、控制线缆、杆路及线路资源等辅助及固定设施的维护，并提供相关设备的备品备件，以及视频监控类用户侧各类设备日常巡检维护清洁工作，负责完成派发的应急障碍抢修。现场维修施工符合相关规范（包括设备位置、线缆布放、线缆绑扎、各类现场标志）；设备、线缆运行可靠。</w:t>
      </w:r>
    </w:p>
    <w:p w14:paraId="502B0DFE">
      <w:pPr>
        <w:spacing w:line="360" w:lineRule="auto"/>
        <w:ind w:firstLine="482" w:firstLineChars="200"/>
        <w:rPr>
          <w:rFonts w:hint="eastAsia" w:hAnsi="宋体" w:cs="楷体"/>
          <w:b/>
          <w:bCs/>
          <w:color w:val="auto"/>
          <w:sz w:val="24"/>
          <w:szCs w:val="24"/>
        </w:rPr>
      </w:pPr>
      <w:r>
        <w:rPr>
          <w:rFonts w:hint="eastAsia" w:hAnsi="宋体" w:cs="楷体"/>
          <w:b/>
          <w:bCs/>
          <w:color w:val="auto"/>
          <w:sz w:val="24"/>
          <w:szCs w:val="24"/>
        </w:rPr>
        <w:t>（一）监控维护服务内容</w:t>
      </w:r>
    </w:p>
    <w:p w14:paraId="0BF2A80A">
      <w:pPr>
        <w:spacing w:line="360" w:lineRule="auto"/>
        <w:ind w:firstLine="480"/>
        <w:rPr>
          <w:rFonts w:hint="eastAsia" w:hAnsi="宋体" w:cs="仿宋_GB2312"/>
          <w:color w:val="auto"/>
          <w:sz w:val="24"/>
        </w:rPr>
      </w:pPr>
      <w:r>
        <w:rPr>
          <w:rFonts w:hint="eastAsia" w:hAnsi="宋体" w:cs="仿宋_GB2312"/>
          <w:color w:val="auto"/>
          <w:sz w:val="24"/>
        </w:rPr>
        <w:t>1、提供系统的维护、维修服务</w:t>
      </w:r>
    </w:p>
    <w:p w14:paraId="079EF45E">
      <w:pPr>
        <w:spacing w:line="360" w:lineRule="auto"/>
        <w:ind w:firstLine="480"/>
        <w:rPr>
          <w:rFonts w:hint="eastAsia" w:hAnsi="宋体" w:cs="仿宋_GB2312"/>
          <w:color w:val="auto"/>
          <w:sz w:val="24"/>
        </w:rPr>
      </w:pPr>
      <w:r>
        <w:rPr>
          <w:rFonts w:hint="eastAsia" w:hAnsi="宋体" w:cs="仿宋_GB2312"/>
          <w:color w:val="auto"/>
          <w:sz w:val="24"/>
        </w:rPr>
        <w:t>2、系统的日常巡检，并提供巡检报告</w:t>
      </w:r>
    </w:p>
    <w:p w14:paraId="2D534B3E">
      <w:pPr>
        <w:spacing w:line="360" w:lineRule="auto"/>
        <w:ind w:firstLine="480"/>
        <w:rPr>
          <w:rFonts w:hint="eastAsia" w:hAnsi="宋体" w:cs="仿宋_GB2312"/>
          <w:color w:val="auto"/>
          <w:sz w:val="24"/>
        </w:rPr>
      </w:pPr>
      <w:r>
        <w:rPr>
          <w:rFonts w:hint="eastAsia" w:hAnsi="宋体" w:cs="仿宋_GB2312"/>
          <w:color w:val="auto"/>
          <w:sz w:val="24"/>
        </w:rPr>
        <w:t>3、重大活动的应急保障</w:t>
      </w:r>
    </w:p>
    <w:p w14:paraId="1CA04D0A">
      <w:pPr>
        <w:spacing w:line="360" w:lineRule="auto"/>
        <w:ind w:firstLine="480"/>
        <w:rPr>
          <w:rFonts w:hint="eastAsia" w:hAnsi="宋体" w:cs="仿宋_GB2312"/>
          <w:color w:val="auto"/>
          <w:sz w:val="24"/>
        </w:rPr>
      </w:pPr>
      <w:r>
        <w:rPr>
          <w:rFonts w:hint="eastAsia" w:hAnsi="宋体" w:cs="仿宋_GB2312"/>
          <w:color w:val="auto"/>
          <w:sz w:val="24"/>
        </w:rPr>
        <w:t>4、</w:t>
      </w:r>
      <w:r>
        <w:rPr>
          <w:rFonts w:hint="eastAsia" w:hAnsi="宋体"/>
          <w:color w:val="auto"/>
          <w:sz w:val="24"/>
          <w:szCs w:val="24"/>
        </w:rPr>
        <w:t>负责专网线路的日常维护，确保网络运行畅通稳定</w:t>
      </w:r>
      <w:r>
        <w:rPr>
          <w:rFonts w:hint="eastAsia" w:hAnsi="宋体" w:cs="仿宋_GB2312"/>
          <w:color w:val="auto"/>
          <w:sz w:val="24"/>
        </w:rPr>
        <w:t xml:space="preserve"> </w:t>
      </w:r>
    </w:p>
    <w:p w14:paraId="5131AEE8">
      <w:pPr>
        <w:spacing w:line="360" w:lineRule="auto"/>
        <w:ind w:firstLine="480"/>
        <w:rPr>
          <w:rFonts w:hint="eastAsia" w:hAnsi="宋体" w:cs="仿宋_GB2312"/>
          <w:color w:val="auto"/>
          <w:sz w:val="24"/>
        </w:rPr>
      </w:pPr>
      <w:r>
        <w:rPr>
          <w:rFonts w:hAnsi="宋体" w:cs="仿宋_GB2312"/>
          <w:color w:val="auto"/>
          <w:sz w:val="24"/>
        </w:rPr>
        <w:t>5</w:t>
      </w:r>
      <w:r>
        <w:rPr>
          <w:rFonts w:hint="eastAsia" w:hAnsi="宋体" w:cs="仿宋_GB2312"/>
          <w:color w:val="auto"/>
          <w:sz w:val="24"/>
        </w:rPr>
        <w:t>、提供维修用零配件</w:t>
      </w:r>
    </w:p>
    <w:p w14:paraId="4D7F36D0">
      <w:pPr>
        <w:spacing w:line="360" w:lineRule="auto"/>
        <w:ind w:firstLine="480"/>
        <w:rPr>
          <w:rFonts w:hint="eastAsia" w:hAnsi="宋体" w:cs="仿宋_GB2312"/>
          <w:color w:val="auto"/>
          <w:sz w:val="24"/>
        </w:rPr>
      </w:pPr>
      <w:r>
        <w:rPr>
          <w:rFonts w:hAnsi="宋体" w:cs="仿宋_GB2312"/>
          <w:color w:val="auto"/>
          <w:sz w:val="24"/>
        </w:rPr>
        <w:t>6</w:t>
      </w:r>
      <w:r>
        <w:rPr>
          <w:rFonts w:hint="eastAsia" w:hAnsi="宋体" w:cs="仿宋_GB2312"/>
          <w:color w:val="auto"/>
          <w:sz w:val="24"/>
        </w:rPr>
        <w:t>、提供设备的维护保养</w:t>
      </w:r>
    </w:p>
    <w:p w14:paraId="3CEDA526">
      <w:pPr>
        <w:spacing w:line="360" w:lineRule="auto"/>
        <w:ind w:firstLine="480"/>
        <w:rPr>
          <w:rFonts w:hint="eastAsia" w:hAnsi="宋体" w:cs="仿宋_GB2312"/>
          <w:color w:val="auto"/>
          <w:sz w:val="24"/>
        </w:rPr>
      </w:pPr>
      <w:r>
        <w:rPr>
          <w:rFonts w:hAnsi="宋体" w:cs="仿宋_GB2312"/>
          <w:color w:val="auto"/>
          <w:sz w:val="24"/>
        </w:rPr>
        <w:t>7</w:t>
      </w:r>
      <w:r>
        <w:rPr>
          <w:rFonts w:hint="eastAsia" w:hAnsi="宋体" w:cs="仿宋_GB2312"/>
          <w:color w:val="auto"/>
          <w:sz w:val="24"/>
        </w:rPr>
        <w:t>、操作人员的培训工作</w:t>
      </w:r>
    </w:p>
    <w:p w14:paraId="4AAC710D">
      <w:pPr>
        <w:spacing w:line="360" w:lineRule="auto"/>
        <w:ind w:firstLine="480"/>
        <w:rPr>
          <w:rFonts w:hint="eastAsia" w:hAnsi="宋体" w:cs="仿宋_GB2312"/>
          <w:color w:val="auto"/>
          <w:sz w:val="24"/>
        </w:rPr>
      </w:pPr>
      <w:r>
        <w:rPr>
          <w:rFonts w:hAnsi="宋体" w:cs="仿宋_GB2312"/>
          <w:color w:val="auto"/>
          <w:sz w:val="24"/>
        </w:rPr>
        <w:t>8</w:t>
      </w:r>
      <w:r>
        <w:rPr>
          <w:rFonts w:hint="eastAsia" w:hAnsi="宋体" w:cs="仿宋_GB2312"/>
          <w:color w:val="auto"/>
          <w:sz w:val="24"/>
        </w:rPr>
        <w:t>、资料的完善和更新</w:t>
      </w:r>
    </w:p>
    <w:p w14:paraId="687A160D">
      <w:pPr>
        <w:spacing w:line="360" w:lineRule="auto"/>
        <w:ind w:firstLine="480"/>
        <w:rPr>
          <w:rFonts w:hint="eastAsia" w:hAnsi="宋体" w:cs="仿宋_GB2312"/>
          <w:color w:val="auto"/>
          <w:sz w:val="24"/>
        </w:rPr>
      </w:pPr>
      <w:r>
        <w:rPr>
          <w:rFonts w:hAnsi="宋体" w:cs="仿宋_GB2312"/>
          <w:color w:val="auto"/>
          <w:sz w:val="24"/>
        </w:rPr>
        <w:t>9</w:t>
      </w:r>
      <w:r>
        <w:rPr>
          <w:rFonts w:hint="eastAsia" w:hAnsi="宋体" w:cs="仿宋_GB2312"/>
          <w:color w:val="auto"/>
          <w:sz w:val="24"/>
        </w:rPr>
        <w:t>、维护内容见附表</w:t>
      </w:r>
    </w:p>
    <w:p w14:paraId="70851CA8">
      <w:pPr>
        <w:spacing w:line="360" w:lineRule="auto"/>
        <w:ind w:firstLine="482" w:firstLineChars="200"/>
        <w:rPr>
          <w:rFonts w:hint="eastAsia" w:hAnsi="宋体" w:cs="楷体"/>
          <w:b/>
          <w:bCs/>
          <w:color w:val="auto"/>
          <w:sz w:val="24"/>
          <w:szCs w:val="24"/>
        </w:rPr>
      </w:pPr>
      <w:r>
        <w:rPr>
          <w:rFonts w:hint="eastAsia" w:hAnsi="宋体" w:cs="楷体"/>
          <w:b/>
          <w:bCs/>
          <w:color w:val="auto"/>
          <w:sz w:val="24"/>
          <w:szCs w:val="24"/>
        </w:rPr>
        <w:t>（二）监控系统日常支持服务</w:t>
      </w:r>
    </w:p>
    <w:p w14:paraId="5D069D34">
      <w:pPr>
        <w:tabs>
          <w:tab w:val="left" w:pos="360"/>
        </w:tabs>
        <w:spacing w:line="360" w:lineRule="auto"/>
        <w:ind w:firstLine="480"/>
        <w:contextualSpacing/>
        <w:rPr>
          <w:rFonts w:hint="eastAsia" w:hAnsi="宋体" w:cs="楷体"/>
          <w:color w:val="auto"/>
          <w:sz w:val="24"/>
          <w:szCs w:val="24"/>
        </w:rPr>
      </w:pPr>
      <w:r>
        <w:rPr>
          <w:rFonts w:hint="eastAsia" w:hAnsi="宋体" w:cs="楷体"/>
          <w:color w:val="auto"/>
          <w:sz w:val="24"/>
          <w:szCs w:val="24"/>
        </w:rPr>
        <w:t>1、设备保养：按照保养标准及要求,做好设备保养，其中：每月至少1次对系统设备运行环境进行清洁、除垢，检查校准设备标签，时间为每月的第三个星期。</w:t>
      </w:r>
    </w:p>
    <w:p w14:paraId="6FDF614E">
      <w:pPr>
        <w:tabs>
          <w:tab w:val="left" w:pos="360"/>
        </w:tabs>
        <w:spacing w:line="360" w:lineRule="auto"/>
        <w:ind w:firstLine="480"/>
        <w:contextualSpacing/>
        <w:rPr>
          <w:rFonts w:hint="eastAsia" w:hAnsi="宋体" w:cs="楷体"/>
          <w:color w:val="auto"/>
          <w:sz w:val="24"/>
          <w:szCs w:val="24"/>
        </w:rPr>
      </w:pPr>
      <w:r>
        <w:rPr>
          <w:rFonts w:hint="eastAsia" w:hAnsi="宋体" w:cs="楷体"/>
          <w:color w:val="auto"/>
          <w:sz w:val="24"/>
          <w:szCs w:val="24"/>
        </w:rPr>
        <w:t>2、系统保养：对系统必须定时定点进行全面的检测保养，其中：每季度至少1次包括对机房、服务器、前段点位及传输部分的清洁，时间为每季度的第一个星期。</w:t>
      </w:r>
    </w:p>
    <w:p w14:paraId="6AAAD4AE">
      <w:pPr>
        <w:tabs>
          <w:tab w:val="left" w:pos="360"/>
        </w:tabs>
        <w:spacing w:line="360" w:lineRule="auto"/>
        <w:ind w:firstLine="480"/>
        <w:contextualSpacing/>
        <w:rPr>
          <w:rFonts w:hint="eastAsia" w:hAnsi="宋体" w:cs="楷体"/>
          <w:color w:val="auto"/>
          <w:sz w:val="24"/>
          <w:szCs w:val="24"/>
        </w:rPr>
      </w:pPr>
      <w:r>
        <w:rPr>
          <w:rFonts w:hint="eastAsia" w:hAnsi="宋体" w:cs="楷体"/>
          <w:color w:val="auto"/>
          <w:sz w:val="24"/>
          <w:szCs w:val="24"/>
        </w:rPr>
        <w:t>3、软件应用维保：软件优化与升级、故障排除及恢复、病毒防范及消除、硬盘垃圾清理、定期数据备份（每季一次）、故障数据及时恢复等。</w:t>
      </w:r>
    </w:p>
    <w:p w14:paraId="3D598743">
      <w:pPr>
        <w:tabs>
          <w:tab w:val="left" w:pos="360"/>
        </w:tabs>
        <w:spacing w:line="360" w:lineRule="auto"/>
        <w:ind w:firstLine="480"/>
        <w:contextualSpacing/>
        <w:rPr>
          <w:rFonts w:hint="eastAsia" w:hAnsi="宋体" w:cs="楷体"/>
          <w:color w:val="auto"/>
          <w:sz w:val="24"/>
          <w:szCs w:val="24"/>
        </w:rPr>
      </w:pPr>
      <w:r>
        <w:rPr>
          <w:rFonts w:hint="eastAsia" w:hAnsi="宋体" w:cs="楷体"/>
          <w:color w:val="auto"/>
          <w:sz w:val="24"/>
          <w:szCs w:val="24"/>
        </w:rPr>
        <w:t>4、布线系统维保：必须对线缆线路整理整改、标志标签检查校核整改、网络交换无线通讯设备测试、存储测试、光端机传输测试等。</w:t>
      </w:r>
    </w:p>
    <w:p w14:paraId="7D9678A0">
      <w:pPr>
        <w:tabs>
          <w:tab w:val="left" w:pos="360"/>
        </w:tabs>
        <w:spacing w:line="360" w:lineRule="auto"/>
        <w:ind w:firstLine="480"/>
        <w:contextualSpacing/>
        <w:rPr>
          <w:rFonts w:hint="eastAsia" w:hAnsi="宋体" w:cs="楷体"/>
          <w:color w:val="auto"/>
          <w:sz w:val="24"/>
          <w:szCs w:val="24"/>
        </w:rPr>
      </w:pPr>
      <w:r>
        <w:rPr>
          <w:rFonts w:hint="eastAsia" w:hAnsi="宋体" w:cs="楷体"/>
          <w:color w:val="auto"/>
          <w:sz w:val="24"/>
          <w:szCs w:val="24"/>
        </w:rPr>
        <w:t>5、定期检查：</w:t>
      </w:r>
      <w:r>
        <w:rPr>
          <w:rFonts w:hint="eastAsia" w:hAnsi="宋体"/>
          <w:color w:val="auto"/>
          <w:sz w:val="24"/>
          <w:szCs w:val="24"/>
        </w:rPr>
        <w:t>提供主动性维护服务，进行定期检查、隐患排查和及时修理，保障设备可靠、线路稳定、使用感知良好。主要包括日常巡检、安全巡检、设备维护和障碍处理</w:t>
      </w:r>
      <w:r>
        <w:rPr>
          <w:rFonts w:hAnsi="宋体"/>
          <w:color w:val="auto"/>
          <w:sz w:val="24"/>
          <w:szCs w:val="24"/>
        </w:rPr>
        <w:t>,</w:t>
      </w:r>
      <w:r>
        <w:rPr>
          <w:rFonts w:hint="eastAsia" w:hAnsi="宋体"/>
          <w:color w:val="auto"/>
          <w:sz w:val="24"/>
          <w:szCs w:val="24"/>
        </w:rPr>
        <w:t>完成全部设备维护作业计划的实施、网络障碍和相关用户障碍的相应处理、管控、跟踪和升级汇报。</w:t>
      </w:r>
    </w:p>
    <w:p w14:paraId="6E972F59">
      <w:pPr>
        <w:tabs>
          <w:tab w:val="left" w:pos="360"/>
        </w:tabs>
        <w:spacing w:line="360" w:lineRule="auto"/>
        <w:ind w:firstLine="480"/>
        <w:contextualSpacing/>
        <w:rPr>
          <w:rFonts w:hint="eastAsia" w:hAnsi="宋体" w:cs="楷体"/>
          <w:color w:val="auto"/>
          <w:sz w:val="24"/>
          <w:szCs w:val="24"/>
        </w:rPr>
      </w:pPr>
      <w:r>
        <w:rPr>
          <w:rFonts w:hAnsi="宋体" w:cs="楷体"/>
          <w:color w:val="auto"/>
          <w:sz w:val="24"/>
          <w:szCs w:val="24"/>
        </w:rPr>
        <w:t>6</w:t>
      </w:r>
      <w:r>
        <w:rPr>
          <w:rFonts w:hint="eastAsia" w:hAnsi="宋体" w:cs="楷体"/>
          <w:color w:val="auto"/>
          <w:sz w:val="24"/>
          <w:szCs w:val="24"/>
        </w:rPr>
        <w:t>、每年必须做好所有系统设施设备的资产管理及登记，完成采购方临时交办的工作任务。</w:t>
      </w:r>
    </w:p>
    <w:p w14:paraId="4E94DB69">
      <w:pPr>
        <w:tabs>
          <w:tab w:val="left" w:pos="360"/>
        </w:tabs>
        <w:spacing w:line="360" w:lineRule="auto"/>
        <w:ind w:firstLine="482" w:firstLineChars="200"/>
        <w:contextualSpacing/>
        <w:rPr>
          <w:rFonts w:hint="eastAsia" w:hAnsi="宋体" w:cs="楷体"/>
          <w:color w:val="auto"/>
          <w:sz w:val="24"/>
          <w:szCs w:val="24"/>
        </w:rPr>
      </w:pPr>
      <w:r>
        <w:rPr>
          <w:rFonts w:hint="eastAsia" w:hAnsi="宋体" w:cs="楷体"/>
          <w:b/>
          <w:bCs/>
          <w:color w:val="auto"/>
          <w:sz w:val="24"/>
          <w:szCs w:val="24"/>
        </w:rPr>
        <w:t>（三）监控系统故障恢复服务</w:t>
      </w:r>
    </w:p>
    <w:p w14:paraId="42277C83">
      <w:pPr>
        <w:tabs>
          <w:tab w:val="left" w:pos="360"/>
        </w:tabs>
        <w:spacing w:line="360" w:lineRule="auto"/>
        <w:ind w:firstLine="480"/>
        <w:contextualSpacing/>
        <w:rPr>
          <w:rFonts w:hint="eastAsia" w:hAnsi="宋体" w:cs="楷体"/>
          <w:color w:val="auto"/>
          <w:sz w:val="24"/>
          <w:szCs w:val="24"/>
        </w:rPr>
      </w:pPr>
      <w:r>
        <w:rPr>
          <w:rFonts w:hint="eastAsia" w:hAnsi="宋体" w:cs="楷体"/>
          <w:color w:val="auto"/>
          <w:sz w:val="24"/>
          <w:szCs w:val="24"/>
          <w:shd w:val="clear" w:color="auto" w:fill="FFFFFF"/>
        </w:rPr>
        <w:t>1、故障响应：必须做到 24小时报修响应，及时排除一切故障；检修人员到达故障现场，不超过6小时。</w:t>
      </w:r>
    </w:p>
    <w:p w14:paraId="4D6D8D03">
      <w:pPr>
        <w:spacing w:line="360" w:lineRule="auto"/>
        <w:ind w:firstLine="480"/>
        <w:rPr>
          <w:rFonts w:hint="eastAsia" w:hAnsi="宋体" w:cs="楷体"/>
          <w:color w:val="auto"/>
          <w:sz w:val="24"/>
          <w:szCs w:val="24"/>
          <w:shd w:val="clear" w:color="auto" w:fill="FFFFFF"/>
        </w:rPr>
      </w:pPr>
      <w:r>
        <w:rPr>
          <w:rFonts w:hint="eastAsia" w:hAnsi="宋体" w:cs="楷体"/>
          <w:color w:val="auto"/>
          <w:sz w:val="24"/>
          <w:szCs w:val="24"/>
          <w:shd w:val="clear" w:color="auto" w:fill="FFFFFF"/>
        </w:rPr>
        <w:t>2、系统故障恢复：软件及操作系统故障必须6小时内应急修复；对于设备故障,应提供替代设备，保证系统正常工作：前端设备24小时内修复、后端设备12小时内修复（以上时间均包括响应时间在内）。修复后必须由甲方相关人员确认。未按时修复的，每延长1小时，扣款2000元。</w:t>
      </w:r>
    </w:p>
    <w:p w14:paraId="06C60D60">
      <w:pPr>
        <w:spacing w:line="360" w:lineRule="auto"/>
        <w:ind w:firstLine="420"/>
        <w:rPr>
          <w:rFonts w:hint="eastAsia" w:hAnsi="宋体"/>
          <w:color w:val="auto"/>
          <w:sz w:val="24"/>
          <w:szCs w:val="24"/>
        </w:rPr>
      </w:pPr>
      <w:r>
        <w:rPr>
          <w:rFonts w:hint="eastAsia" w:hAnsi="宋体" w:cs="仿宋_GB2312"/>
          <w:color w:val="auto"/>
          <w:sz w:val="24"/>
        </w:rPr>
        <w:t>3、线路维护要求：</w:t>
      </w:r>
      <w:r>
        <w:rPr>
          <w:rFonts w:hint="eastAsia" w:hAnsi="宋体"/>
          <w:color w:val="auto"/>
          <w:sz w:val="24"/>
          <w:szCs w:val="24"/>
        </w:rPr>
        <w:t>签订合同后15日内中标方需提供全部线路服务；接入运营商负责专网线路的日常维护，应确保网络运行畅通稳定，运营商应提供完善的应急预案，并每年为用户提供免费的网络优化工作，确保用户租用链路更稳定运行，全天24小时有人值班受理故障。在线路发生故障时，应在接到通知后2小时之内派技术人员到现场，24小时之内予以恢复（遇有不可抗力的情况除外）。未按时修复的，每延长1小时，扣款2000元。</w:t>
      </w:r>
    </w:p>
    <w:p w14:paraId="38DCAB73">
      <w:pPr>
        <w:spacing w:line="360" w:lineRule="auto"/>
        <w:ind w:firstLine="480"/>
        <w:rPr>
          <w:rFonts w:hint="eastAsia" w:hAnsi="宋体" w:cs="仿宋_GB2312"/>
          <w:color w:val="auto"/>
          <w:sz w:val="24"/>
        </w:rPr>
      </w:pPr>
      <w:r>
        <w:rPr>
          <w:rFonts w:hAnsi="宋体" w:cs="仿宋_GB2312"/>
          <w:color w:val="auto"/>
          <w:sz w:val="24"/>
        </w:rPr>
        <w:t>4</w:t>
      </w:r>
      <w:r>
        <w:rPr>
          <w:rFonts w:hint="eastAsia" w:hAnsi="宋体" w:cs="仿宋_GB2312"/>
          <w:color w:val="auto"/>
          <w:sz w:val="24"/>
        </w:rPr>
        <w:t>、系统软件升级：根据需要维保方必须及时完成软件升级，升级后的软件系统替代原有软件系统纳入维保范围。</w:t>
      </w:r>
    </w:p>
    <w:p w14:paraId="59581834">
      <w:pPr>
        <w:spacing w:line="360" w:lineRule="auto"/>
        <w:ind w:firstLine="480"/>
        <w:rPr>
          <w:rFonts w:hint="eastAsia" w:hAnsi="宋体" w:cs="仿宋_GB2312"/>
          <w:color w:val="auto"/>
          <w:sz w:val="24"/>
        </w:rPr>
      </w:pPr>
      <w:r>
        <w:rPr>
          <w:rFonts w:hAnsi="宋体" w:cs="仿宋_GB2312"/>
          <w:color w:val="auto"/>
          <w:sz w:val="24"/>
        </w:rPr>
        <w:t>5</w:t>
      </w:r>
      <w:r>
        <w:rPr>
          <w:rFonts w:hint="eastAsia" w:hAnsi="宋体" w:cs="仿宋_GB2312"/>
          <w:color w:val="auto"/>
          <w:sz w:val="24"/>
        </w:rPr>
        <w:t>、设备维修更换费用：维修、保养服务中，必须更换的设备和零配件以及因不可抗拒因素造成设备损坏及零配件更换，其设备器材更换费用和人工费用一律由维保方承担。</w:t>
      </w:r>
    </w:p>
    <w:p w14:paraId="106B5230">
      <w:pPr>
        <w:spacing w:line="360" w:lineRule="auto"/>
        <w:ind w:firstLine="480"/>
        <w:rPr>
          <w:rFonts w:hint="eastAsia" w:hAnsi="宋体" w:cs="楷体"/>
          <w:color w:val="auto"/>
          <w:sz w:val="24"/>
          <w:szCs w:val="24"/>
        </w:rPr>
      </w:pPr>
      <w:r>
        <w:rPr>
          <w:rFonts w:hAnsi="宋体" w:cs="楷体"/>
          <w:color w:val="auto"/>
          <w:sz w:val="24"/>
          <w:szCs w:val="24"/>
          <w:shd w:val="clear" w:color="auto" w:fill="FFFFFF"/>
        </w:rPr>
        <w:t>6</w:t>
      </w:r>
      <w:r>
        <w:rPr>
          <w:rFonts w:hint="eastAsia" w:hAnsi="宋体" w:cs="楷体"/>
          <w:color w:val="auto"/>
          <w:sz w:val="24"/>
          <w:szCs w:val="24"/>
          <w:shd w:val="clear" w:color="auto" w:fill="FFFFFF"/>
        </w:rPr>
        <w:t>、修复确认：所有系统在维护保养及故障维修</w:t>
      </w:r>
      <w:r>
        <w:rPr>
          <w:rFonts w:hint="eastAsia" w:hAnsi="宋体" w:cs="楷体"/>
          <w:color w:val="auto"/>
          <w:sz w:val="24"/>
          <w:szCs w:val="24"/>
        </w:rPr>
        <w:t>恢复正常后，都需由采购方签字确认。</w:t>
      </w:r>
    </w:p>
    <w:p w14:paraId="36305711">
      <w:pPr>
        <w:spacing w:line="360" w:lineRule="auto"/>
        <w:ind w:firstLine="480"/>
        <w:rPr>
          <w:rFonts w:hint="eastAsia" w:hAnsi="宋体" w:cs="仿宋_GB2312"/>
          <w:color w:val="auto"/>
          <w:sz w:val="24"/>
        </w:rPr>
      </w:pPr>
      <w:r>
        <w:rPr>
          <w:rFonts w:hAnsi="宋体" w:cs="仿宋_GB2312"/>
          <w:color w:val="auto"/>
          <w:sz w:val="24"/>
        </w:rPr>
        <w:t>7</w:t>
      </w:r>
      <w:r>
        <w:rPr>
          <w:rFonts w:hint="eastAsia" w:hAnsi="宋体" w:cs="仿宋_GB2312"/>
          <w:color w:val="auto"/>
          <w:sz w:val="24"/>
        </w:rPr>
        <w:t>、确保惠山公安设备全年在线完好率保持在95%以上（不可抗力除外）。</w:t>
      </w:r>
    </w:p>
    <w:p w14:paraId="05151787">
      <w:pPr>
        <w:spacing w:line="360" w:lineRule="auto"/>
        <w:ind w:firstLine="482" w:firstLineChars="200"/>
        <w:rPr>
          <w:rFonts w:hint="eastAsia" w:hAnsi="宋体" w:cs="仿宋_GB2312"/>
          <w:color w:val="auto"/>
          <w:sz w:val="24"/>
        </w:rPr>
      </w:pPr>
      <w:r>
        <w:rPr>
          <w:rFonts w:hint="eastAsia" w:hAnsi="宋体" w:cs="楷体"/>
          <w:b/>
          <w:color w:val="auto"/>
          <w:sz w:val="24"/>
          <w:szCs w:val="24"/>
        </w:rPr>
        <w:t>（四）人员配备要求</w:t>
      </w:r>
    </w:p>
    <w:p w14:paraId="2FBF0B1A">
      <w:pPr>
        <w:spacing w:line="360" w:lineRule="auto"/>
        <w:ind w:firstLine="480"/>
        <w:rPr>
          <w:rFonts w:hint="eastAsia" w:hAnsi="宋体" w:cs="仿宋_GB2312"/>
          <w:color w:val="auto"/>
          <w:sz w:val="24"/>
        </w:rPr>
      </w:pPr>
      <w:r>
        <w:rPr>
          <w:rFonts w:hint="eastAsia" w:hAnsi="宋体" w:cs="楷体"/>
          <w:color w:val="auto"/>
          <w:sz w:val="24"/>
          <w:szCs w:val="24"/>
          <w:shd w:val="clear" w:color="auto" w:fill="FFFFFF"/>
        </w:rPr>
        <w:t>1、</w:t>
      </w:r>
      <w:r>
        <w:rPr>
          <w:rFonts w:hint="eastAsia" w:hAnsi="宋体" w:cs="楷体"/>
          <w:color w:val="auto"/>
          <w:sz w:val="24"/>
          <w:szCs w:val="24"/>
        </w:rPr>
        <w:t>需要中标供应商常驻人员至现场保障维保，并要求有24小时值守，随叫随到，解决相关问题，保障系统的正常运行；</w:t>
      </w:r>
    </w:p>
    <w:p w14:paraId="1B5C2B62">
      <w:pPr>
        <w:spacing w:line="360" w:lineRule="auto"/>
        <w:ind w:firstLine="480"/>
        <w:rPr>
          <w:rFonts w:hint="eastAsia" w:hAnsi="宋体" w:cs="楷体"/>
          <w:color w:val="auto"/>
          <w:sz w:val="24"/>
          <w:szCs w:val="24"/>
        </w:rPr>
      </w:pPr>
      <w:r>
        <w:rPr>
          <w:rFonts w:hint="eastAsia" w:hAnsi="宋体" w:cs="楷体"/>
          <w:color w:val="auto"/>
          <w:sz w:val="24"/>
          <w:szCs w:val="24"/>
        </w:rPr>
        <w:t>2、现场维保人员不少于5 人，分为软件维保、硬件维保等。</w:t>
      </w:r>
    </w:p>
    <w:p w14:paraId="0F0B881C">
      <w:pPr>
        <w:spacing w:line="360" w:lineRule="auto"/>
        <w:ind w:firstLine="480"/>
        <w:rPr>
          <w:rFonts w:hint="eastAsia" w:hAnsi="宋体"/>
          <w:color w:val="auto"/>
          <w:sz w:val="24"/>
          <w:szCs w:val="24"/>
        </w:rPr>
      </w:pPr>
      <w:r>
        <w:rPr>
          <w:rFonts w:hint="eastAsia" w:hAnsi="宋体" w:cs="楷体"/>
          <w:color w:val="auto"/>
          <w:sz w:val="24"/>
          <w:szCs w:val="24"/>
        </w:rPr>
        <w:t>3、</w:t>
      </w:r>
      <w:r>
        <w:rPr>
          <w:rFonts w:hint="eastAsia" w:hAnsi="宋体"/>
          <w:color w:val="auto"/>
          <w:sz w:val="24"/>
          <w:szCs w:val="24"/>
        </w:rPr>
        <w:t>重要活动现场保障工作：按需派人进行驻场保障，包含但不限于现场应急线路开通、布线放缆、设备调测和客户沟通配合等工作。</w:t>
      </w:r>
    </w:p>
    <w:p w14:paraId="22CF5073">
      <w:pPr>
        <w:spacing w:line="360" w:lineRule="auto"/>
        <w:ind w:firstLine="482" w:firstLineChars="200"/>
        <w:rPr>
          <w:rFonts w:hint="eastAsia" w:hAnsi="宋体" w:cs="楷体"/>
          <w:b/>
          <w:color w:val="auto"/>
          <w:sz w:val="24"/>
          <w:szCs w:val="24"/>
        </w:rPr>
      </w:pPr>
      <w:r>
        <w:rPr>
          <w:rFonts w:hint="eastAsia" w:hAnsi="宋体" w:cs="楷体"/>
          <w:b/>
          <w:color w:val="auto"/>
          <w:sz w:val="24"/>
          <w:szCs w:val="24"/>
        </w:rPr>
        <w:t>（五）其它注意事项</w:t>
      </w:r>
      <w:bookmarkStart w:id="135" w:name="_Toc396744040"/>
      <w:bookmarkStart w:id="136" w:name="_Toc396222913"/>
    </w:p>
    <w:p w14:paraId="14365430">
      <w:pPr>
        <w:spacing w:line="360" w:lineRule="auto"/>
        <w:ind w:firstLine="480"/>
        <w:rPr>
          <w:rFonts w:hint="eastAsia" w:hAnsi="宋体" w:cs="楷体"/>
          <w:b/>
          <w:color w:val="auto"/>
          <w:sz w:val="24"/>
          <w:szCs w:val="24"/>
        </w:rPr>
      </w:pPr>
      <w:r>
        <w:rPr>
          <w:rFonts w:hint="eastAsia" w:hAnsi="宋体" w:cs="Arial"/>
          <w:color w:val="auto"/>
          <w:sz w:val="24"/>
        </w:rPr>
        <w:t>1、</w:t>
      </w:r>
      <w:r>
        <w:rPr>
          <w:rFonts w:hint="eastAsia" w:hAnsi="宋体"/>
          <w:color w:val="auto"/>
          <w:sz w:val="24"/>
        </w:rPr>
        <w:t>注意事项</w:t>
      </w:r>
      <w:bookmarkEnd w:id="135"/>
      <w:bookmarkEnd w:id="136"/>
    </w:p>
    <w:p w14:paraId="5B344698">
      <w:pPr>
        <w:spacing w:line="360" w:lineRule="auto"/>
        <w:ind w:firstLine="480"/>
        <w:rPr>
          <w:rFonts w:hint="eastAsia" w:hAnsi="宋体"/>
          <w:color w:val="auto"/>
          <w:sz w:val="24"/>
          <w:szCs w:val="24"/>
        </w:rPr>
      </w:pPr>
      <w:r>
        <w:rPr>
          <w:rFonts w:hint="eastAsia" w:hAnsi="宋体" w:cs="仿宋_GB2312"/>
          <w:color w:val="auto"/>
          <w:sz w:val="24"/>
          <w:szCs w:val="24"/>
        </w:rPr>
        <w:t>（1）监控点终端维护工作属高空带电的危险作业，必须做好安全措施。在安全没有保障的情况下，可以推后相关维护工作，直到有足够的安全保障才可继续维护。</w:t>
      </w:r>
    </w:p>
    <w:p w14:paraId="08E6D15D">
      <w:pPr>
        <w:spacing w:line="360" w:lineRule="auto"/>
        <w:ind w:firstLine="480"/>
        <w:rPr>
          <w:rFonts w:hint="eastAsia" w:hAnsi="宋体"/>
          <w:color w:val="auto"/>
          <w:sz w:val="24"/>
          <w:szCs w:val="24"/>
        </w:rPr>
      </w:pPr>
      <w:r>
        <w:rPr>
          <w:rFonts w:hint="eastAsia" w:hAnsi="宋体" w:cs="仿宋_GB2312"/>
          <w:color w:val="auto"/>
          <w:sz w:val="24"/>
          <w:szCs w:val="24"/>
        </w:rPr>
        <w:t>（2）监控点周围有无危险物，是否影响工作人员或设备安全，如存在安全隐患的情况应及时上报主管部门。</w:t>
      </w:r>
    </w:p>
    <w:p w14:paraId="7732DF58">
      <w:pPr>
        <w:spacing w:line="360" w:lineRule="auto"/>
        <w:ind w:firstLine="480"/>
        <w:rPr>
          <w:rFonts w:hint="eastAsia" w:hAnsi="宋体"/>
          <w:color w:val="auto"/>
          <w:sz w:val="24"/>
          <w:szCs w:val="24"/>
        </w:rPr>
      </w:pPr>
      <w:r>
        <w:rPr>
          <w:rFonts w:hint="eastAsia" w:hAnsi="宋体" w:cs="仿宋_GB2312"/>
          <w:color w:val="auto"/>
          <w:sz w:val="24"/>
          <w:szCs w:val="24"/>
        </w:rPr>
        <w:t>（3）监控点周围有无其他工程正在施工，是否影响工作人员或设备安全，如存在安全隐患的情况应及时上报主管部门。</w:t>
      </w:r>
    </w:p>
    <w:p w14:paraId="066790D6">
      <w:pPr>
        <w:spacing w:line="360" w:lineRule="auto"/>
        <w:ind w:firstLine="480"/>
        <w:rPr>
          <w:rFonts w:hint="eastAsia" w:hAnsi="宋体"/>
          <w:color w:val="auto"/>
          <w:sz w:val="24"/>
          <w:szCs w:val="24"/>
        </w:rPr>
      </w:pPr>
      <w:r>
        <w:rPr>
          <w:rFonts w:hint="eastAsia" w:hAnsi="宋体" w:cs="仿宋_GB2312"/>
          <w:color w:val="auto"/>
          <w:sz w:val="24"/>
          <w:szCs w:val="24"/>
        </w:rPr>
        <w:t>（4）检测设备是否带电，是带强电还是弱电，是否在安全范围内；带强电的情况下，必须找出强电来源，清除后才能作业。</w:t>
      </w:r>
    </w:p>
    <w:p w14:paraId="1CF1678C">
      <w:pPr>
        <w:spacing w:line="360" w:lineRule="auto"/>
        <w:ind w:firstLine="480"/>
        <w:rPr>
          <w:rFonts w:hint="eastAsia" w:hAnsi="宋体"/>
          <w:color w:val="auto"/>
          <w:sz w:val="24"/>
          <w:szCs w:val="24"/>
        </w:rPr>
      </w:pPr>
      <w:r>
        <w:rPr>
          <w:rFonts w:hint="eastAsia" w:hAnsi="宋体" w:cs="仿宋_GB2312"/>
          <w:color w:val="auto"/>
          <w:sz w:val="24"/>
          <w:szCs w:val="24"/>
        </w:rPr>
        <w:t>（5）在强风、雷雨等恶劣气候条件下，不得在室外从事相关维护作业。</w:t>
      </w:r>
    </w:p>
    <w:p w14:paraId="4C926B02">
      <w:pPr>
        <w:spacing w:line="360" w:lineRule="auto"/>
        <w:ind w:firstLine="480"/>
        <w:rPr>
          <w:rFonts w:hint="eastAsia" w:hAnsi="宋体" w:cs="仿宋_GB2312"/>
          <w:color w:val="auto"/>
          <w:sz w:val="24"/>
          <w:szCs w:val="24"/>
        </w:rPr>
      </w:pPr>
      <w:r>
        <w:rPr>
          <w:rFonts w:hint="eastAsia" w:hAnsi="宋体" w:cs="仿宋_GB2312"/>
          <w:color w:val="auto"/>
          <w:sz w:val="24"/>
          <w:szCs w:val="24"/>
        </w:rPr>
        <w:t>（6）登高作业需按照相关登高规范实施，严禁违规操作。</w:t>
      </w:r>
    </w:p>
    <w:p w14:paraId="2C406F07">
      <w:pPr>
        <w:spacing w:line="360" w:lineRule="auto"/>
        <w:ind w:firstLine="480"/>
        <w:rPr>
          <w:rFonts w:hint="eastAsia" w:hAnsi="宋体"/>
          <w:color w:val="auto"/>
          <w:sz w:val="24"/>
          <w:szCs w:val="24"/>
        </w:rPr>
      </w:pPr>
      <w:r>
        <w:rPr>
          <w:rFonts w:hint="eastAsia" w:hAnsi="宋体" w:cs="仿宋_GB2312"/>
          <w:color w:val="auto"/>
          <w:sz w:val="24"/>
          <w:szCs w:val="24"/>
        </w:rPr>
        <w:t>（7）</w:t>
      </w:r>
      <w:r>
        <w:rPr>
          <w:rFonts w:hint="eastAsia" w:hAnsi="宋体"/>
          <w:color w:val="auto"/>
          <w:sz w:val="24"/>
          <w:szCs w:val="24"/>
        </w:rPr>
        <w:t>接入运营商必须确保接入专网线路质量，带宽达到(或者高于)公安视频监控业务的实际使用要求。</w:t>
      </w:r>
    </w:p>
    <w:p w14:paraId="03919727">
      <w:pPr>
        <w:spacing w:line="360" w:lineRule="auto"/>
        <w:ind w:firstLine="480"/>
        <w:rPr>
          <w:rFonts w:hint="eastAsia" w:hAnsi="宋体"/>
          <w:color w:val="auto"/>
          <w:sz w:val="24"/>
          <w:szCs w:val="24"/>
        </w:rPr>
      </w:pPr>
      <w:r>
        <w:rPr>
          <w:rFonts w:hint="eastAsia" w:hAnsi="宋体"/>
          <w:color w:val="auto"/>
          <w:sz w:val="24"/>
          <w:szCs w:val="24"/>
        </w:rPr>
        <w:t>（8）保证接入专线的基本技术指标：100%故障响应率，100%故障恢复率。</w:t>
      </w:r>
    </w:p>
    <w:p w14:paraId="3974E921">
      <w:pPr>
        <w:spacing w:line="360" w:lineRule="auto"/>
        <w:ind w:firstLine="480"/>
        <w:rPr>
          <w:rFonts w:hint="eastAsia" w:hAnsi="宋体"/>
          <w:color w:val="auto"/>
          <w:sz w:val="24"/>
          <w:szCs w:val="24"/>
        </w:rPr>
      </w:pPr>
      <w:r>
        <w:rPr>
          <w:rFonts w:hint="eastAsia" w:hAnsi="宋体"/>
          <w:color w:val="auto"/>
          <w:sz w:val="24"/>
          <w:szCs w:val="24"/>
        </w:rPr>
        <w:t>（9）接入运营商不得私自将设备接入惠山公安视频专网，必须凭用户方认可并盖章确认的单子才能进行线路接入。</w:t>
      </w:r>
    </w:p>
    <w:p w14:paraId="36207930">
      <w:pPr>
        <w:spacing w:line="360" w:lineRule="auto"/>
        <w:ind w:firstLine="420"/>
        <w:rPr>
          <w:rFonts w:hint="eastAsia" w:hAnsi="宋体"/>
          <w:color w:val="auto"/>
          <w:sz w:val="24"/>
          <w:szCs w:val="24"/>
        </w:rPr>
      </w:pPr>
      <w:r>
        <w:rPr>
          <w:rFonts w:hint="eastAsia" w:hAnsi="宋体"/>
          <w:color w:val="auto"/>
          <w:sz w:val="24"/>
          <w:szCs w:val="24"/>
        </w:rPr>
        <w:t>（1</w:t>
      </w:r>
      <w:r>
        <w:rPr>
          <w:rFonts w:hAnsi="宋体"/>
          <w:color w:val="auto"/>
          <w:sz w:val="24"/>
          <w:szCs w:val="24"/>
        </w:rPr>
        <w:t>0</w:t>
      </w:r>
      <w:r>
        <w:rPr>
          <w:rFonts w:hint="eastAsia" w:hAnsi="宋体"/>
          <w:color w:val="auto"/>
          <w:sz w:val="24"/>
          <w:szCs w:val="24"/>
        </w:rPr>
        <w:t>）接入运营商必须确保专网线路安全，确保一个节点出现病毒或者网络风暴时候，不会影响到网内其他用户及中心端的网络，预防专网内出现大规模网络风暴和计算机病毒的泛滥。</w:t>
      </w:r>
    </w:p>
    <w:p w14:paraId="48622FF8">
      <w:pPr>
        <w:spacing w:line="360" w:lineRule="auto"/>
        <w:ind w:firstLine="480"/>
        <w:rPr>
          <w:rFonts w:hint="eastAsia" w:hAnsi="宋体" w:cs="仿宋_GB2312"/>
          <w:color w:val="auto"/>
          <w:sz w:val="24"/>
          <w:szCs w:val="24"/>
        </w:rPr>
      </w:pPr>
      <w:r>
        <w:rPr>
          <w:rFonts w:hint="eastAsia" w:hAnsi="宋体" w:cs="仿宋_GB2312"/>
          <w:color w:val="auto"/>
          <w:sz w:val="24"/>
          <w:szCs w:val="24"/>
        </w:rPr>
        <w:t>（</w:t>
      </w:r>
      <w:r>
        <w:rPr>
          <w:rFonts w:hAnsi="宋体" w:cs="仿宋_GB2312"/>
          <w:color w:val="auto"/>
          <w:sz w:val="24"/>
          <w:szCs w:val="24"/>
        </w:rPr>
        <w:t>11</w:t>
      </w:r>
      <w:r>
        <w:rPr>
          <w:rFonts w:hint="eastAsia" w:hAnsi="宋体" w:cs="仿宋_GB2312"/>
          <w:color w:val="auto"/>
          <w:sz w:val="24"/>
          <w:szCs w:val="24"/>
        </w:rPr>
        <w:t>）发生安全事故，全部责任由提供运维服务方承担。</w:t>
      </w:r>
    </w:p>
    <w:p w14:paraId="12E96092">
      <w:pPr>
        <w:spacing w:line="360" w:lineRule="auto"/>
        <w:ind w:left="420"/>
        <w:rPr>
          <w:rFonts w:hint="eastAsia" w:hAnsi="宋体"/>
          <w:color w:val="auto"/>
          <w:sz w:val="24"/>
          <w:szCs w:val="24"/>
        </w:rPr>
      </w:pPr>
      <w:r>
        <w:rPr>
          <w:rFonts w:hint="eastAsia" w:hAnsi="宋体" w:cs="仿宋_GB2312"/>
          <w:color w:val="auto"/>
          <w:sz w:val="24"/>
          <w:szCs w:val="24"/>
        </w:rPr>
        <w:t>（1</w:t>
      </w:r>
      <w:r>
        <w:rPr>
          <w:rFonts w:hAnsi="宋体" w:cs="仿宋_GB2312"/>
          <w:color w:val="auto"/>
          <w:sz w:val="24"/>
          <w:szCs w:val="24"/>
        </w:rPr>
        <w:t>2</w:t>
      </w:r>
      <w:r>
        <w:rPr>
          <w:rFonts w:hint="eastAsia" w:hAnsi="宋体" w:cs="仿宋_GB2312"/>
          <w:color w:val="auto"/>
          <w:sz w:val="24"/>
          <w:szCs w:val="24"/>
        </w:rPr>
        <w:t>）因道路施工或城镇化建设导致的设备拆移恢复，由提供运维服务方免费承担,并按业主要求按时完成。</w:t>
      </w:r>
      <w:bookmarkStart w:id="137" w:name="_Toc396222914"/>
      <w:bookmarkStart w:id="138" w:name="_Toc396744041"/>
    </w:p>
    <w:p w14:paraId="7B46CA66">
      <w:pPr>
        <w:spacing w:line="360" w:lineRule="auto"/>
        <w:ind w:firstLine="480"/>
        <w:rPr>
          <w:rFonts w:hint="eastAsia" w:hAnsi="宋体" w:cs="Arial"/>
          <w:color w:val="auto"/>
          <w:sz w:val="24"/>
        </w:rPr>
      </w:pPr>
      <w:r>
        <w:rPr>
          <w:rFonts w:hint="eastAsia" w:hAnsi="宋体" w:cs="Arial"/>
          <w:color w:val="auto"/>
          <w:sz w:val="24"/>
        </w:rPr>
        <w:t>2、常用维护工具</w:t>
      </w:r>
      <w:bookmarkEnd w:id="137"/>
      <w:bookmarkEnd w:id="138"/>
    </w:p>
    <w:p w14:paraId="1E855177">
      <w:pPr>
        <w:spacing w:line="360" w:lineRule="auto"/>
        <w:ind w:left="420" w:firstLine="480"/>
        <w:rPr>
          <w:rFonts w:hint="eastAsia" w:hAnsi="宋体"/>
          <w:color w:val="auto"/>
          <w:sz w:val="24"/>
          <w:szCs w:val="24"/>
        </w:rPr>
      </w:pPr>
      <w:r>
        <w:rPr>
          <w:rFonts w:hint="eastAsia" w:hAnsi="宋体" w:cs="仿宋_GB2312"/>
          <w:color w:val="auto"/>
          <w:sz w:val="24"/>
          <w:szCs w:val="24"/>
        </w:rPr>
        <w:t>（1）常用工具：</w:t>
      </w:r>
    </w:p>
    <w:p w14:paraId="4B0FA0D7">
      <w:pPr>
        <w:numPr>
          <w:ilvl w:val="0"/>
          <w:numId w:val="4"/>
        </w:numPr>
        <w:spacing w:line="360" w:lineRule="auto"/>
        <w:rPr>
          <w:rFonts w:hint="eastAsia" w:hAnsi="宋体"/>
          <w:color w:val="auto"/>
          <w:sz w:val="24"/>
        </w:rPr>
      </w:pPr>
      <w:r>
        <w:rPr>
          <w:rFonts w:hint="eastAsia" w:hAnsi="宋体" w:cs="仿宋_GB2312"/>
          <w:color w:val="auto"/>
          <w:sz w:val="24"/>
        </w:rPr>
        <w:t>高空作业保护装备每组一套；</w:t>
      </w:r>
    </w:p>
    <w:p w14:paraId="0C24EC28">
      <w:pPr>
        <w:numPr>
          <w:ilvl w:val="0"/>
          <w:numId w:val="4"/>
        </w:numPr>
        <w:spacing w:line="360" w:lineRule="auto"/>
        <w:rPr>
          <w:rFonts w:hint="eastAsia" w:hAnsi="宋体"/>
          <w:color w:val="auto"/>
          <w:sz w:val="24"/>
        </w:rPr>
      </w:pPr>
      <w:r>
        <w:rPr>
          <w:rFonts w:hint="eastAsia" w:hAnsi="宋体" w:cs="仿宋_GB2312"/>
          <w:color w:val="auto"/>
          <w:sz w:val="24"/>
        </w:rPr>
        <w:t>测电笔、万用表、网络测试器；</w:t>
      </w:r>
    </w:p>
    <w:p w14:paraId="28346B6A">
      <w:pPr>
        <w:numPr>
          <w:ilvl w:val="0"/>
          <w:numId w:val="4"/>
        </w:numPr>
        <w:spacing w:line="360" w:lineRule="auto"/>
        <w:rPr>
          <w:rFonts w:hint="eastAsia" w:hAnsi="宋体"/>
          <w:color w:val="auto"/>
          <w:sz w:val="24"/>
        </w:rPr>
      </w:pPr>
      <w:r>
        <w:rPr>
          <w:rFonts w:hint="eastAsia" w:hAnsi="宋体" w:cs="仿宋_GB2312"/>
          <w:color w:val="auto"/>
          <w:sz w:val="24"/>
        </w:rPr>
        <w:t>常用组合工具、网线钳、铬铁、锡线；</w:t>
      </w:r>
    </w:p>
    <w:p w14:paraId="678EDF33">
      <w:pPr>
        <w:numPr>
          <w:ilvl w:val="0"/>
          <w:numId w:val="4"/>
        </w:numPr>
        <w:spacing w:line="360" w:lineRule="auto"/>
        <w:rPr>
          <w:rFonts w:hint="eastAsia" w:hAnsi="宋体"/>
          <w:color w:val="auto"/>
          <w:sz w:val="24"/>
        </w:rPr>
      </w:pPr>
      <w:r>
        <w:rPr>
          <w:rFonts w:hint="eastAsia" w:hAnsi="宋体" w:cs="仿宋_GB2312"/>
          <w:color w:val="auto"/>
          <w:sz w:val="24"/>
        </w:rPr>
        <w:t>工具车辆、竹梯、铝梯、照明灯。</w:t>
      </w:r>
    </w:p>
    <w:p w14:paraId="7DD8560D">
      <w:pPr>
        <w:spacing w:line="360" w:lineRule="auto"/>
        <w:ind w:left="420" w:firstLine="480"/>
        <w:rPr>
          <w:rFonts w:hint="eastAsia" w:hAnsi="宋体"/>
          <w:color w:val="auto"/>
          <w:sz w:val="24"/>
          <w:szCs w:val="24"/>
        </w:rPr>
      </w:pPr>
      <w:r>
        <w:rPr>
          <w:rFonts w:hint="eastAsia" w:hAnsi="宋体" w:cs="仿宋_GB2312"/>
          <w:color w:val="auto"/>
          <w:sz w:val="24"/>
          <w:szCs w:val="24"/>
        </w:rPr>
        <w:t>（2）非常用工具：</w:t>
      </w:r>
    </w:p>
    <w:p w14:paraId="12C93702">
      <w:pPr>
        <w:numPr>
          <w:ilvl w:val="0"/>
          <w:numId w:val="5"/>
        </w:numPr>
        <w:spacing w:line="360" w:lineRule="auto"/>
        <w:rPr>
          <w:rFonts w:hint="eastAsia" w:hAnsi="宋体"/>
          <w:color w:val="auto"/>
          <w:sz w:val="24"/>
        </w:rPr>
      </w:pPr>
      <w:r>
        <w:rPr>
          <w:rFonts w:hint="eastAsia" w:hAnsi="宋体" w:cs="仿宋_GB2312"/>
          <w:color w:val="auto"/>
          <w:sz w:val="24"/>
        </w:rPr>
        <w:t>升降车；</w:t>
      </w:r>
    </w:p>
    <w:p w14:paraId="7537C271">
      <w:pPr>
        <w:numPr>
          <w:ilvl w:val="0"/>
          <w:numId w:val="5"/>
        </w:numPr>
        <w:spacing w:line="360" w:lineRule="auto"/>
        <w:rPr>
          <w:rFonts w:hint="eastAsia" w:hAnsi="宋体"/>
          <w:color w:val="auto"/>
          <w:sz w:val="24"/>
        </w:rPr>
      </w:pPr>
      <w:r>
        <w:rPr>
          <w:rFonts w:hint="eastAsia" w:hAnsi="宋体" w:cs="仿宋_GB2312"/>
          <w:color w:val="auto"/>
          <w:sz w:val="24"/>
        </w:rPr>
        <w:t>冲击钻、电钻、电焊机，修枝剪；</w:t>
      </w:r>
    </w:p>
    <w:p w14:paraId="244C6088">
      <w:pPr>
        <w:numPr>
          <w:ilvl w:val="0"/>
          <w:numId w:val="5"/>
        </w:numPr>
        <w:spacing w:line="360" w:lineRule="auto"/>
        <w:rPr>
          <w:rFonts w:hint="eastAsia" w:hAnsi="宋体"/>
          <w:color w:val="auto"/>
          <w:sz w:val="24"/>
        </w:rPr>
      </w:pPr>
      <w:r>
        <w:rPr>
          <w:rFonts w:hint="eastAsia" w:hAnsi="宋体" w:cs="仿宋_GB2312"/>
          <w:color w:val="auto"/>
          <w:sz w:val="24"/>
        </w:rPr>
        <w:t>保护金属管（套）、加固角架；</w:t>
      </w:r>
    </w:p>
    <w:p w14:paraId="024F4317">
      <w:pPr>
        <w:spacing w:line="360" w:lineRule="auto"/>
        <w:ind w:left="420" w:firstLine="480"/>
        <w:rPr>
          <w:rFonts w:hint="eastAsia" w:hAnsi="宋体"/>
          <w:color w:val="auto"/>
          <w:sz w:val="24"/>
          <w:szCs w:val="24"/>
        </w:rPr>
      </w:pPr>
      <w:r>
        <w:rPr>
          <w:rFonts w:hint="eastAsia" w:hAnsi="宋体" w:cs="仿宋_GB2312"/>
          <w:color w:val="auto"/>
          <w:sz w:val="24"/>
          <w:szCs w:val="24"/>
        </w:rPr>
        <w:t>（3）常用维修材料</w:t>
      </w:r>
    </w:p>
    <w:p w14:paraId="3DF3EA09">
      <w:pPr>
        <w:numPr>
          <w:ilvl w:val="0"/>
          <w:numId w:val="6"/>
        </w:numPr>
        <w:spacing w:line="360" w:lineRule="auto"/>
        <w:rPr>
          <w:rFonts w:hint="eastAsia" w:hAnsi="宋体"/>
          <w:color w:val="auto"/>
          <w:sz w:val="24"/>
          <w:szCs w:val="24"/>
        </w:rPr>
      </w:pPr>
      <w:r>
        <w:rPr>
          <w:rFonts w:hint="eastAsia" w:hAnsi="宋体" w:cs="仿宋_GB2312"/>
          <w:color w:val="auto"/>
          <w:sz w:val="24"/>
          <w:szCs w:val="24"/>
        </w:rPr>
        <w:t>视频线、控制线、电源线、PVC管、线槽、管卡、膨胀螺丝、各规格螺丝。</w:t>
      </w:r>
    </w:p>
    <w:p w14:paraId="68093EE4">
      <w:pPr>
        <w:spacing w:line="360" w:lineRule="auto"/>
        <w:ind w:firstLine="480"/>
        <w:rPr>
          <w:rFonts w:hint="eastAsia" w:hAnsi="宋体" w:cs="Arial"/>
          <w:color w:val="auto"/>
          <w:sz w:val="24"/>
        </w:rPr>
      </w:pPr>
      <w:bookmarkStart w:id="139" w:name="_Toc396222915"/>
      <w:bookmarkStart w:id="140" w:name="_Toc396744042"/>
      <w:r>
        <w:rPr>
          <w:rFonts w:hint="eastAsia" w:hAnsi="宋体" w:cs="Arial"/>
          <w:color w:val="auto"/>
          <w:sz w:val="24"/>
        </w:rPr>
        <w:t>3、人员要求</w:t>
      </w:r>
      <w:bookmarkEnd w:id="139"/>
      <w:bookmarkEnd w:id="140"/>
    </w:p>
    <w:p w14:paraId="5E6FEC89">
      <w:pPr>
        <w:spacing w:line="360" w:lineRule="auto"/>
        <w:ind w:left="420" w:firstLine="480"/>
        <w:rPr>
          <w:rFonts w:hint="eastAsia" w:hAnsi="宋体" w:cs="仿宋_GB2312"/>
          <w:color w:val="auto"/>
          <w:sz w:val="24"/>
          <w:szCs w:val="24"/>
        </w:rPr>
      </w:pPr>
      <w:r>
        <w:rPr>
          <w:rFonts w:hint="eastAsia" w:hAnsi="宋体" w:cs="仿宋_GB2312"/>
          <w:color w:val="auto"/>
          <w:sz w:val="24"/>
          <w:szCs w:val="24"/>
        </w:rPr>
        <w:t>每组至少二～三人；</w:t>
      </w:r>
    </w:p>
    <w:p w14:paraId="1B85A1B4">
      <w:pPr>
        <w:spacing w:line="360" w:lineRule="auto"/>
        <w:ind w:left="420" w:firstLine="480"/>
        <w:rPr>
          <w:rFonts w:hint="eastAsia" w:hAnsi="宋体" w:cs="仿宋_GB2312"/>
          <w:color w:val="auto"/>
          <w:sz w:val="24"/>
          <w:szCs w:val="24"/>
        </w:rPr>
      </w:pPr>
      <w:r>
        <w:rPr>
          <w:rFonts w:hint="eastAsia" w:hAnsi="宋体" w:cs="仿宋_GB2312"/>
          <w:color w:val="auto"/>
          <w:sz w:val="24"/>
          <w:szCs w:val="24"/>
        </w:rPr>
        <w:t>有一定急救知识；</w:t>
      </w:r>
    </w:p>
    <w:p w14:paraId="5A1B7671">
      <w:pPr>
        <w:spacing w:line="360" w:lineRule="auto"/>
        <w:ind w:left="420" w:firstLine="480"/>
        <w:rPr>
          <w:rFonts w:hint="eastAsia" w:hAnsi="宋体" w:cs="仿宋_GB2312"/>
          <w:color w:val="auto"/>
          <w:sz w:val="24"/>
          <w:szCs w:val="24"/>
        </w:rPr>
      </w:pPr>
      <w:r>
        <w:rPr>
          <w:rFonts w:hint="eastAsia" w:hAnsi="宋体" w:cs="仿宋_GB2312"/>
          <w:color w:val="auto"/>
          <w:sz w:val="24"/>
          <w:szCs w:val="24"/>
        </w:rPr>
        <w:t>具有相关电路、设备维护知识；</w:t>
      </w:r>
    </w:p>
    <w:p w14:paraId="787A661C">
      <w:pPr>
        <w:spacing w:line="360" w:lineRule="auto"/>
        <w:ind w:left="420" w:firstLine="480"/>
        <w:rPr>
          <w:rFonts w:hint="eastAsia" w:hAnsi="宋体" w:cs="仿宋_GB2312"/>
          <w:color w:val="auto"/>
          <w:sz w:val="24"/>
          <w:szCs w:val="24"/>
        </w:rPr>
      </w:pPr>
      <w:r>
        <w:rPr>
          <w:rFonts w:hint="eastAsia" w:hAnsi="宋体" w:cs="仿宋_GB2312"/>
          <w:color w:val="auto"/>
          <w:sz w:val="24"/>
          <w:szCs w:val="24"/>
        </w:rPr>
        <w:t>具备相关视频终端安装经验。</w:t>
      </w:r>
    </w:p>
    <w:p w14:paraId="311F7254">
      <w:pPr>
        <w:spacing w:line="360" w:lineRule="auto"/>
        <w:ind w:firstLine="482" w:firstLineChars="200"/>
        <w:rPr>
          <w:rFonts w:hint="eastAsia" w:hAnsi="宋体" w:cs="楷体"/>
          <w:b/>
          <w:color w:val="auto"/>
          <w:sz w:val="24"/>
          <w:szCs w:val="24"/>
        </w:rPr>
      </w:pPr>
      <w:r>
        <w:rPr>
          <w:rFonts w:hint="eastAsia" w:hAnsi="宋体" w:cs="楷体"/>
          <w:b/>
          <w:color w:val="auto"/>
          <w:sz w:val="24"/>
          <w:szCs w:val="24"/>
        </w:rPr>
        <w:t>（六）服务期限</w:t>
      </w:r>
    </w:p>
    <w:p w14:paraId="6BBEA150">
      <w:pPr>
        <w:spacing w:line="360" w:lineRule="auto"/>
        <w:ind w:firstLine="720"/>
        <w:rPr>
          <w:rFonts w:hint="eastAsia" w:hAnsi="宋体" w:cs="仿宋_GB2312"/>
          <w:color w:val="auto"/>
          <w:sz w:val="24"/>
          <w:szCs w:val="24"/>
        </w:rPr>
      </w:pPr>
      <w:r>
        <w:rPr>
          <w:rFonts w:hint="eastAsia" w:hAnsi="宋体"/>
          <w:color w:val="auto"/>
          <w:sz w:val="24"/>
          <w:szCs w:val="24"/>
        </w:rPr>
        <w:t>服务期限一年，自合同签订日期算起。</w:t>
      </w:r>
    </w:p>
    <w:p w14:paraId="22F68D1E">
      <w:pPr>
        <w:spacing w:line="360" w:lineRule="auto"/>
        <w:ind w:firstLine="482" w:firstLineChars="200"/>
        <w:rPr>
          <w:rFonts w:hint="eastAsia" w:hAnsi="宋体" w:cs="楷体"/>
          <w:b/>
          <w:color w:val="auto"/>
          <w:sz w:val="24"/>
          <w:szCs w:val="24"/>
        </w:rPr>
      </w:pPr>
      <w:r>
        <w:rPr>
          <w:rFonts w:hint="eastAsia" w:hAnsi="宋体" w:cs="楷体"/>
          <w:b/>
          <w:color w:val="auto"/>
          <w:sz w:val="24"/>
          <w:szCs w:val="24"/>
        </w:rPr>
        <w:t>（七）付款方式</w:t>
      </w:r>
    </w:p>
    <w:p w14:paraId="567EEC49">
      <w:pPr>
        <w:spacing w:line="360" w:lineRule="auto"/>
        <w:ind w:firstLine="480" w:firstLineChars="200"/>
        <w:rPr>
          <w:rFonts w:hint="eastAsia" w:hAnsi="宋体" w:cs="仿宋_GB2312"/>
          <w:color w:val="auto"/>
          <w:sz w:val="24"/>
          <w:szCs w:val="24"/>
          <w:highlight w:val="none"/>
        </w:rPr>
      </w:pPr>
      <w:r>
        <w:rPr>
          <w:rFonts w:hint="eastAsia" w:hAnsi="宋体" w:cs="仿宋_GB2312"/>
          <w:color w:val="auto"/>
          <w:sz w:val="24"/>
          <w:szCs w:val="24"/>
          <w:highlight w:val="none"/>
        </w:rPr>
        <w:t>签订合同后7个工作日内付合同款的30%，</w:t>
      </w:r>
      <w:r>
        <w:rPr>
          <w:rFonts w:hint="eastAsia" w:hAnsi="宋体" w:cs="仿宋_GB2312"/>
          <w:color w:val="auto"/>
          <w:sz w:val="24"/>
          <w:szCs w:val="24"/>
          <w:highlight w:val="none"/>
          <w:lang w:val="en-US" w:eastAsia="zh-CN"/>
        </w:rPr>
        <w:t>当年年底按照实际运维时间进行支付，剩余尾款于第二年运维结束后支付</w:t>
      </w:r>
      <w:r>
        <w:rPr>
          <w:rFonts w:hint="eastAsia" w:hAnsi="宋体" w:cs="仿宋_GB2312"/>
          <w:color w:val="auto"/>
          <w:sz w:val="24"/>
          <w:szCs w:val="24"/>
          <w:highlight w:val="none"/>
        </w:rPr>
        <w:t>。</w:t>
      </w:r>
    </w:p>
    <w:p w14:paraId="473596F3">
      <w:pPr>
        <w:spacing w:line="360" w:lineRule="auto"/>
        <w:ind w:firstLine="482" w:firstLineChars="200"/>
        <w:rPr>
          <w:rFonts w:hint="eastAsia" w:hAnsi="宋体" w:cs="楷体"/>
          <w:b/>
          <w:color w:val="auto"/>
          <w:sz w:val="24"/>
          <w:szCs w:val="24"/>
        </w:rPr>
      </w:pPr>
      <w:r>
        <w:rPr>
          <w:rFonts w:hint="eastAsia" w:hAnsi="宋体" w:cs="楷体"/>
          <w:b/>
          <w:color w:val="auto"/>
          <w:sz w:val="24"/>
          <w:szCs w:val="24"/>
        </w:rPr>
        <w:t>二、项目设备和网络线路现状</w:t>
      </w:r>
    </w:p>
    <w:p w14:paraId="5CC6950C">
      <w:pPr>
        <w:spacing w:line="360" w:lineRule="auto"/>
        <w:ind w:firstLine="480" w:firstLineChars="200"/>
        <w:rPr>
          <w:rFonts w:hint="eastAsia" w:hAnsi="宋体" w:cs="楷体"/>
          <w:b/>
          <w:color w:val="auto"/>
          <w:sz w:val="24"/>
          <w:szCs w:val="24"/>
          <w:highlight w:val="none"/>
        </w:rPr>
      </w:pPr>
      <w:r>
        <w:rPr>
          <w:rFonts w:hint="eastAsia" w:hAnsi="宋体" w:cs="仿宋_GB2312"/>
          <w:color w:val="auto"/>
          <w:sz w:val="24"/>
          <w:szCs w:val="24"/>
          <w:highlight w:val="none"/>
        </w:rPr>
        <w:t>1）接入网络：5442条通信链路</w:t>
      </w:r>
    </w:p>
    <w:p w14:paraId="7AE97D68">
      <w:pPr>
        <w:spacing w:line="360" w:lineRule="auto"/>
        <w:ind w:firstLine="480" w:firstLineChars="200"/>
        <w:rPr>
          <w:rFonts w:hint="eastAsia" w:hAnsi="宋体" w:cs="仿宋_GB2312"/>
          <w:color w:val="auto"/>
          <w:sz w:val="24"/>
          <w:szCs w:val="24"/>
          <w:highlight w:val="none"/>
        </w:rPr>
      </w:pPr>
      <w:r>
        <w:rPr>
          <w:rFonts w:hint="eastAsia" w:hAnsi="宋体" w:cs="仿宋_GB2312"/>
          <w:color w:val="auto"/>
          <w:sz w:val="24"/>
          <w:szCs w:val="24"/>
          <w:highlight w:val="none"/>
        </w:rPr>
        <w:t>2）监控设备：5438台，为</w:t>
      </w:r>
      <w:r>
        <w:rPr>
          <w:rFonts w:hint="eastAsia" w:hAnsi="宋体" w:cs="仿宋_GB2312"/>
          <w:color w:val="auto"/>
          <w:sz w:val="24"/>
          <w:highlight w:val="none"/>
        </w:rPr>
        <w:t>确保惠山公安设备全年在线完好率保持在95%以上，需保障提供不低于5200台监控设备的维护。（详情见项目工作量表及监控设备参数）</w:t>
      </w:r>
    </w:p>
    <w:p w14:paraId="50349A00">
      <w:pPr>
        <w:spacing w:line="360" w:lineRule="auto"/>
        <w:ind w:firstLine="480" w:firstLineChars="200"/>
        <w:rPr>
          <w:rFonts w:hint="eastAsia" w:hAnsi="宋体" w:cs="仿宋_GB2312"/>
          <w:color w:val="auto"/>
          <w:sz w:val="24"/>
          <w:szCs w:val="24"/>
          <w:highlight w:val="none"/>
        </w:rPr>
      </w:pPr>
      <w:r>
        <w:rPr>
          <w:rFonts w:hint="eastAsia" w:hAnsi="宋体" w:cs="仿宋_GB2312"/>
          <w:color w:val="auto"/>
          <w:sz w:val="24"/>
          <w:szCs w:val="24"/>
          <w:highlight w:val="none"/>
        </w:rPr>
        <w:t>3）服务器等主机设备：3套</w:t>
      </w:r>
    </w:p>
    <w:p w14:paraId="0864A39C">
      <w:pPr>
        <w:spacing w:line="360" w:lineRule="auto"/>
        <w:ind w:firstLine="480" w:firstLineChars="200"/>
        <w:rPr>
          <w:rFonts w:hint="eastAsia" w:hAnsi="宋体" w:cs="仿宋_GB2312"/>
          <w:color w:val="auto"/>
          <w:sz w:val="24"/>
          <w:szCs w:val="24"/>
          <w:highlight w:val="none"/>
        </w:rPr>
      </w:pPr>
      <w:r>
        <w:rPr>
          <w:rFonts w:hint="eastAsia" w:hAnsi="宋体" w:cs="仿宋_GB2312"/>
          <w:color w:val="auto"/>
          <w:sz w:val="24"/>
          <w:szCs w:val="24"/>
          <w:highlight w:val="none"/>
        </w:rPr>
        <w:t>4）桌面及外围终端设备：10套（包含监控支架、杆件、设备箱等等）</w:t>
      </w:r>
    </w:p>
    <w:p w14:paraId="06F68D7F">
      <w:pPr>
        <w:spacing w:line="360" w:lineRule="auto"/>
        <w:ind w:firstLine="480" w:firstLineChars="200"/>
        <w:rPr>
          <w:rFonts w:hint="eastAsia" w:hAnsi="宋体" w:cs="仿宋_GB2312"/>
          <w:color w:val="auto"/>
          <w:sz w:val="24"/>
          <w:szCs w:val="24"/>
          <w:highlight w:val="none"/>
        </w:rPr>
      </w:pPr>
      <w:r>
        <w:rPr>
          <w:rFonts w:hint="eastAsia" w:hAnsi="宋体" w:cs="仿宋_GB2312"/>
          <w:color w:val="auto"/>
          <w:sz w:val="24"/>
          <w:szCs w:val="24"/>
          <w:highlight w:val="none"/>
        </w:rPr>
        <w:t>5）网络设备及配套：8套（包含硬盘录像机、交换机、光端机等等）</w:t>
      </w:r>
    </w:p>
    <w:p w14:paraId="3D909BDD">
      <w:pPr>
        <w:spacing w:line="360" w:lineRule="auto"/>
        <w:ind w:firstLine="480" w:firstLineChars="200"/>
        <w:rPr>
          <w:rFonts w:hint="eastAsia" w:hAnsi="宋体" w:cs="仿宋_GB2312"/>
          <w:color w:val="auto"/>
          <w:sz w:val="24"/>
          <w:szCs w:val="24"/>
          <w:highlight w:val="none"/>
        </w:rPr>
      </w:pPr>
      <w:r>
        <w:rPr>
          <w:rFonts w:hint="eastAsia" w:hAnsi="宋体" w:cs="仿宋_GB2312"/>
          <w:color w:val="auto"/>
          <w:sz w:val="24"/>
          <w:szCs w:val="24"/>
          <w:highlight w:val="none"/>
        </w:rPr>
        <w:t>6）存储设备：3套（包含硬盘及接入网关等等）</w:t>
      </w:r>
    </w:p>
    <w:p w14:paraId="10E49105">
      <w:pPr>
        <w:spacing w:line="360" w:lineRule="auto"/>
        <w:ind w:firstLine="480" w:firstLineChars="200"/>
        <w:rPr>
          <w:rFonts w:hint="eastAsia" w:hAnsi="宋体" w:cs="仿宋_GB2312"/>
          <w:color w:val="auto"/>
          <w:sz w:val="24"/>
          <w:szCs w:val="24"/>
          <w:highlight w:val="none"/>
        </w:rPr>
      </w:pPr>
      <w:r>
        <w:rPr>
          <w:rFonts w:hint="eastAsia" w:hAnsi="宋体" w:cs="仿宋_GB2312"/>
          <w:color w:val="auto"/>
          <w:sz w:val="24"/>
          <w:szCs w:val="24"/>
          <w:highlight w:val="none"/>
        </w:rPr>
        <w:t>7）安全类设备：3套</w:t>
      </w:r>
    </w:p>
    <w:p w14:paraId="7BE42B03">
      <w:pPr>
        <w:spacing w:line="360" w:lineRule="auto"/>
        <w:ind w:firstLine="480" w:firstLineChars="200"/>
        <w:rPr>
          <w:rFonts w:hint="eastAsia" w:hAnsi="宋体" w:cs="仿宋_GB2312"/>
          <w:color w:val="auto"/>
          <w:sz w:val="24"/>
          <w:szCs w:val="24"/>
          <w:highlight w:val="none"/>
        </w:rPr>
      </w:pPr>
      <w:r>
        <w:rPr>
          <w:rFonts w:hint="eastAsia" w:hAnsi="宋体" w:cs="仿宋_GB2312"/>
          <w:color w:val="auto"/>
          <w:sz w:val="24"/>
          <w:szCs w:val="24"/>
          <w:highlight w:val="none"/>
        </w:rPr>
        <w:t>8）定制化软件：8套</w:t>
      </w:r>
    </w:p>
    <w:p w14:paraId="6B1CC1C5">
      <w:pPr>
        <w:spacing w:line="360" w:lineRule="auto"/>
        <w:ind w:firstLine="480" w:firstLineChars="200"/>
        <w:rPr>
          <w:rFonts w:hint="eastAsia" w:hAnsi="宋体" w:cs="仿宋_GB2312"/>
          <w:color w:val="auto"/>
          <w:sz w:val="24"/>
          <w:szCs w:val="24"/>
          <w:highlight w:val="none"/>
        </w:rPr>
      </w:pPr>
      <w:r>
        <w:rPr>
          <w:rFonts w:hint="eastAsia" w:hAnsi="宋体" w:cs="仿宋_GB2312"/>
          <w:color w:val="auto"/>
          <w:sz w:val="24"/>
          <w:szCs w:val="24"/>
          <w:highlight w:val="none"/>
        </w:rPr>
        <w:t>9）成品软件：11套</w:t>
      </w:r>
    </w:p>
    <w:p w14:paraId="17BD59F5">
      <w:pPr>
        <w:spacing w:line="360" w:lineRule="auto"/>
        <w:ind w:firstLine="480" w:firstLineChars="200"/>
        <w:rPr>
          <w:rFonts w:hint="eastAsia" w:hAnsi="宋体" w:cs="仿宋_GB2312"/>
          <w:color w:val="auto"/>
          <w:sz w:val="24"/>
          <w:szCs w:val="24"/>
          <w:highlight w:val="none"/>
        </w:rPr>
      </w:pPr>
      <w:r>
        <w:rPr>
          <w:rFonts w:hint="eastAsia" w:hAnsi="宋体" w:cs="仿宋_GB2312"/>
          <w:color w:val="auto"/>
          <w:sz w:val="24"/>
          <w:szCs w:val="24"/>
          <w:highlight w:val="none"/>
        </w:rPr>
        <w:t>10）机房的托管维护：8个机柜（含空调、环控、UPS的维护）</w:t>
      </w:r>
    </w:p>
    <w:p w14:paraId="1A4D8C88">
      <w:pPr>
        <w:spacing w:line="360" w:lineRule="auto"/>
        <w:ind w:firstLine="480" w:firstLineChars="200"/>
        <w:rPr>
          <w:rFonts w:hint="eastAsia" w:hAnsi="宋体" w:cs="仿宋_GB2312"/>
          <w:color w:val="auto"/>
          <w:sz w:val="24"/>
          <w:szCs w:val="24"/>
        </w:rPr>
      </w:pPr>
      <w:r>
        <w:rPr>
          <w:rFonts w:hint="eastAsia" w:hAnsi="宋体" w:cs="仿宋_GB2312"/>
          <w:color w:val="auto"/>
          <w:sz w:val="24"/>
          <w:szCs w:val="24"/>
        </w:rPr>
        <w:t>项目工作量表：</w:t>
      </w:r>
    </w:p>
    <w:tbl>
      <w:tblPr>
        <w:tblStyle w:val="46"/>
        <w:tblW w:w="9415" w:type="dxa"/>
        <w:jc w:val="center"/>
        <w:tblLayout w:type="fixed"/>
        <w:tblCellMar>
          <w:top w:w="0" w:type="dxa"/>
          <w:left w:w="108" w:type="dxa"/>
          <w:bottom w:w="0" w:type="dxa"/>
          <w:right w:w="108" w:type="dxa"/>
        </w:tblCellMar>
      </w:tblPr>
      <w:tblGrid>
        <w:gridCol w:w="792"/>
        <w:gridCol w:w="1651"/>
        <w:gridCol w:w="2561"/>
        <w:gridCol w:w="919"/>
        <w:gridCol w:w="1152"/>
        <w:gridCol w:w="2340"/>
      </w:tblGrid>
      <w:tr w14:paraId="2442D425">
        <w:tblPrEx>
          <w:tblCellMar>
            <w:top w:w="0" w:type="dxa"/>
            <w:left w:w="108" w:type="dxa"/>
            <w:bottom w:w="0" w:type="dxa"/>
            <w:right w:w="108" w:type="dxa"/>
          </w:tblCellMar>
        </w:tblPrEx>
        <w:trPr>
          <w:trHeight w:val="660" w:hRule="atLeast"/>
          <w:jc w:val="center"/>
        </w:trPr>
        <w:tc>
          <w:tcPr>
            <w:tcW w:w="792" w:type="dxa"/>
            <w:tcBorders>
              <w:top w:val="single" w:color="000000" w:sz="4" w:space="0"/>
              <w:left w:val="single" w:color="000000" w:sz="4" w:space="0"/>
              <w:bottom w:val="single" w:color="000000" w:sz="4" w:space="0"/>
              <w:right w:val="single" w:color="000000" w:sz="4" w:space="0"/>
            </w:tcBorders>
            <w:noWrap/>
            <w:vAlign w:val="center"/>
          </w:tcPr>
          <w:p w14:paraId="6B6C5DAE">
            <w:pPr>
              <w:widowControl/>
              <w:jc w:val="center"/>
              <w:rPr>
                <w:b/>
                <w:bCs/>
                <w:color w:val="auto"/>
                <w:sz w:val="20"/>
                <w:highlight w:val="none"/>
              </w:rPr>
            </w:pPr>
            <w:r>
              <w:rPr>
                <w:b/>
                <w:bCs/>
                <w:color w:val="auto"/>
                <w:sz w:val="20"/>
                <w:highlight w:val="none"/>
              </w:rPr>
              <w:t>序号</w:t>
            </w:r>
          </w:p>
        </w:tc>
        <w:tc>
          <w:tcPr>
            <w:tcW w:w="1651" w:type="dxa"/>
            <w:tcBorders>
              <w:top w:val="single" w:color="000000" w:sz="4" w:space="0"/>
              <w:left w:val="single" w:color="000000" w:sz="4" w:space="0"/>
              <w:bottom w:val="single" w:color="000000" w:sz="4" w:space="0"/>
              <w:right w:val="single" w:color="000000" w:sz="4" w:space="0"/>
            </w:tcBorders>
            <w:noWrap/>
            <w:vAlign w:val="center"/>
          </w:tcPr>
          <w:p w14:paraId="5E95DA7C">
            <w:pPr>
              <w:widowControl/>
              <w:jc w:val="center"/>
              <w:rPr>
                <w:b/>
                <w:bCs/>
                <w:color w:val="auto"/>
                <w:sz w:val="20"/>
                <w:highlight w:val="none"/>
              </w:rPr>
            </w:pPr>
            <w:r>
              <w:rPr>
                <w:b/>
                <w:bCs/>
                <w:color w:val="auto"/>
                <w:sz w:val="20"/>
                <w:highlight w:val="none"/>
              </w:rPr>
              <w:t>类别</w:t>
            </w:r>
          </w:p>
        </w:tc>
        <w:tc>
          <w:tcPr>
            <w:tcW w:w="2561" w:type="dxa"/>
            <w:tcBorders>
              <w:top w:val="single" w:color="000000" w:sz="4" w:space="0"/>
              <w:left w:val="single" w:color="000000" w:sz="4" w:space="0"/>
              <w:bottom w:val="single" w:color="000000" w:sz="4" w:space="0"/>
              <w:right w:val="single" w:color="000000" w:sz="4" w:space="0"/>
            </w:tcBorders>
            <w:noWrap/>
            <w:vAlign w:val="center"/>
          </w:tcPr>
          <w:p w14:paraId="09F1C895">
            <w:pPr>
              <w:widowControl/>
              <w:jc w:val="center"/>
              <w:rPr>
                <w:b/>
                <w:bCs/>
                <w:color w:val="auto"/>
                <w:sz w:val="20"/>
                <w:highlight w:val="none"/>
              </w:rPr>
            </w:pPr>
            <w:r>
              <w:rPr>
                <w:b/>
                <w:bCs/>
                <w:color w:val="auto"/>
                <w:sz w:val="20"/>
                <w:highlight w:val="none"/>
              </w:rPr>
              <w:t>维护内容</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734E8F6">
            <w:pPr>
              <w:widowControl/>
              <w:jc w:val="center"/>
              <w:rPr>
                <w:b/>
                <w:bCs/>
                <w:color w:val="auto"/>
                <w:sz w:val="20"/>
                <w:highlight w:val="none"/>
              </w:rPr>
            </w:pPr>
            <w:r>
              <w:rPr>
                <w:b/>
                <w:bCs/>
                <w:color w:val="auto"/>
                <w:sz w:val="20"/>
                <w:highlight w:val="none"/>
              </w:rPr>
              <w:t>单位</w:t>
            </w:r>
          </w:p>
        </w:tc>
        <w:tc>
          <w:tcPr>
            <w:tcW w:w="1152" w:type="dxa"/>
            <w:tcBorders>
              <w:top w:val="single" w:color="000000" w:sz="4" w:space="0"/>
              <w:left w:val="single" w:color="000000" w:sz="4" w:space="0"/>
              <w:bottom w:val="single" w:color="000000" w:sz="4" w:space="0"/>
              <w:right w:val="single" w:color="000000" w:sz="4" w:space="0"/>
            </w:tcBorders>
            <w:noWrap/>
            <w:vAlign w:val="center"/>
          </w:tcPr>
          <w:p w14:paraId="3D34A00F">
            <w:pPr>
              <w:widowControl/>
              <w:jc w:val="center"/>
              <w:rPr>
                <w:b/>
                <w:bCs/>
                <w:color w:val="auto"/>
                <w:sz w:val="20"/>
                <w:highlight w:val="none"/>
              </w:rPr>
            </w:pPr>
            <w:r>
              <w:rPr>
                <w:b/>
                <w:bCs/>
                <w:color w:val="auto"/>
                <w:sz w:val="20"/>
                <w:highlight w:val="none"/>
              </w:rPr>
              <w:t>总数</w:t>
            </w:r>
          </w:p>
        </w:tc>
        <w:tc>
          <w:tcPr>
            <w:tcW w:w="2340" w:type="dxa"/>
            <w:tcBorders>
              <w:top w:val="single" w:color="000000" w:sz="4" w:space="0"/>
              <w:left w:val="single" w:color="000000" w:sz="4" w:space="0"/>
              <w:bottom w:val="single" w:color="000000" w:sz="4" w:space="0"/>
              <w:right w:val="single" w:color="000000" w:sz="4" w:space="0"/>
            </w:tcBorders>
            <w:noWrap/>
            <w:vAlign w:val="center"/>
          </w:tcPr>
          <w:p w14:paraId="1EE30366">
            <w:pPr>
              <w:widowControl/>
              <w:jc w:val="center"/>
              <w:rPr>
                <w:b/>
                <w:bCs/>
                <w:color w:val="auto"/>
                <w:sz w:val="20"/>
                <w:highlight w:val="none"/>
              </w:rPr>
            </w:pPr>
            <w:r>
              <w:rPr>
                <w:b/>
                <w:bCs/>
                <w:color w:val="auto"/>
                <w:sz w:val="20"/>
                <w:highlight w:val="none"/>
              </w:rPr>
              <w:t>备注</w:t>
            </w:r>
          </w:p>
        </w:tc>
      </w:tr>
      <w:tr w14:paraId="3E25B6B7">
        <w:tblPrEx>
          <w:tblCellMar>
            <w:top w:w="0" w:type="dxa"/>
            <w:left w:w="108" w:type="dxa"/>
            <w:bottom w:w="0" w:type="dxa"/>
            <w:right w:w="108" w:type="dxa"/>
          </w:tblCellMar>
        </w:tblPrEx>
        <w:trPr>
          <w:trHeight w:val="500" w:hRule="atLeast"/>
          <w:jc w:val="center"/>
        </w:trPr>
        <w:tc>
          <w:tcPr>
            <w:tcW w:w="792" w:type="dxa"/>
            <w:tcBorders>
              <w:top w:val="single" w:color="000000" w:sz="4" w:space="0"/>
              <w:left w:val="single" w:color="000000" w:sz="4" w:space="0"/>
              <w:right w:val="single" w:color="000000" w:sz="4" w:space="0"/>
            </w:tcBorders>
            <w:noWrap/>
            <w:vAlign w:val="center"/>
          </w:tcPr>
          <w:p w14:paraId="612B766E">
            <w:pPr>
              <w:widowControl/>
              <w:jc w:val="center"/>
              <w:rPr>
                <w:color w:val="auto"/>
                <w:sz w:val="20"/>
                <w:highlight w:val="none"/>
              </w:rPr>
            </w:pPr>
            <w:r>
              <w:rPr>
                <w:color w:val="auto"/>
                <w:sz w:val="20"/>
                <w:highlight w:val="none"/>
              </w:rPr>
              <w:t>1</w:t>
            </w:r>
          </w:p>
        </w:tc>
        <w:tc>
          <w:tcPr>
            <w:tcW w:w="1651" w:type="dxa"/>
            <w:tcBorders>
              <w:top w:val="single" w:color="000000" w:sz="4" w:space="0"/>
              <w:left w:val="single" w:color="000000" w:sz="4" w:space="0"/>
              <w:right w:val="single" w:color="000000" w:sz="4" w:space="0"/>
            </w:tcBorders>
            <w:vAlign w:val="center"/>
          </w:tcPr>
          <w:p w14:paraId="70B5D374">
            <w:pPr>
              <w:widowControl/>
              <w:jc w:val="center"/>
              <w:rPr>
                <w:color w:val="auto"/>
                <w:sz w:val="20"/>
                <w:highlight w:val="none"/>
              </w:rPr>
            </w:pPr>
            <w:r>
              <w:rPr>
                <w:color w:val="auto"/>
                <w:sz w:val="20"/>
                <w:highlight w:val="none"/>
              </w:rPr>
              <w:t>前端监控设备及配套</w:t>
            </w:r>
          </w:p>
        </w:tc>
        <w:tc>
          <w:tcPr>
            <w:tcW w:w="2561" w:type="dxa"/>
            <w:tcBorders>
              <w:top w:val="single" w:color="000000" w:sz="4" w:space="0"/>
              <w:left w:val="single" w:color="000000" w:sz="4" w:space="0"/>
              <w:bottom w:val="single" w:color="000000" w:sz="4" w:space="0"/>
              <w:right w:val="single" w:color="000000" w:sz="4" w:space="0"/>
            </w:tcBorders>
            <w:noWrap/>
            <w:vAlign w:val="center"/>
          </w:tcPr>
          <w:p w14:paraId="129E306F">
            <w:pPr>
              <w:widowControl/>
              <w:jc w:val="center"/>
              <w:rPr>
                <w:color w:val="auto"/>
                <w:sz w:val="20"/>
                <w:highlight w:val="none"/>
              </w:rPr>
            </w:pPr>
            <w:r>
              <w:rPr>
                <w:color w:val="auto"/>
                <w:sz w:val="20"/>
                <w:highlight w:val="none"/>
              </w:rPr>
              <w:t>前端监控设备及配套</w:t>
            </w:r>
            <w:r>
              <w:rPr>
                <w:rFonts w:hint="eastAsia"/>
                <w:color w:val="auto"/>
                <w:sz w:val="20"/>
                <w:highlight w:val="none"/>
              </w:rPr>
              <w:t>维护</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8756718">
            <w:pPr>
              <w:widowControl/>
              <w:jc w:val="center"/>
              <w:rPr>
                <w:color w:val="auto"/>
                <w:sz w:val="20"/>
                <w:highlight w:val="none"/>
              </w:rPr>
            </w:pPr>
            <w:r>
              <w:rPr>
                <w:color w:val="auto"/>
                <w:sz w:val="20"/>
                <w:highlight w:val="none"/>
              </w:rPr>
              <w:t>台</w:t>
            </w:r>
          </w:p>
        </w:tc>
        <w:tc>
          <w:tcPr>
            <w:tcW w:w="1152" w:type="dxa"/>
            <w:tcBorders>
              <w:top w:val="single" w:color="000000" w:sz="4" w:space="0"/>
              <w:left w:val="single" w:color="000000" w:sz="4" w:space="0"/>
              <w:bottom w:val="single" w:color="000000" w:sz="4" w:space="0"/>
              <w:right w:val="single" w:color="000000" w:sz="4" w:space="0"/>
            </w:tcBorders>
            <w:noWrap/>
            <w:vAlign w:val="center"/>
          </w:tcPr>
          <w:p w14:paraId="02D2DE78">
            <w:pPr>
              <w:widowControl/>
              <w:jc w:val="center"/>
              <w:rPr>
                <w:rFonts w:hint="eastAsia"/>
                <w:color w:val="auto"/>
                <w:sz w:val="20"/>
                <w:highlight w:val="none"/>
              </w:rPr>
            </w:pPr>
            <w:r>
              <w:rPr>
                <w:rFonts w:hint="eastAsia"/>
                <w:color w:val="auto"/>
                <w:sz w:val="20"/>
                <w:highlight w:val="none"/>
              </w:rPr>
              <w:t>5438</w:t>
            </w:r>
          </w:p>
        </w:tc>
        <w:tc>
          <w:tcPr>
            <w:tcW w:w="2340" w:type="dxa"/>
            <w:tcBorders>
              <w:top w:val="single" w:color="000000" w:sz="4" w:space="0"/>
              <w:left w:val="single" w:color="000000" w:sz="4" w:space="0"/>
              <w:bottom w:val="single" w:color="000000" w:sz="4" w:space="0"/>
              <w:right w:val="single" w:color="000000" w:sz="4" w:space="0"/>
            </w:tcBorders>
            <w:noWrap/>
            <w:vAlign w:val="center"/>
          </w:tcPr>
          <w:p w14:paraId="38164035">
            <w:pPr>
              <w:jc w:val="center"/>
              <w:rPr>
                <w:color w:val="auto"/>
                <w:sz w:val="20"/>
                <w:highlight w:val="none"/>
              </w:rPr>
            </w:pPr>
          </w:p>
        </w:tc>
      </w:tr>
      <w:tr w14:paraId="072CC658">
        <w:tblPrEx>
          <w:tblCellMar>
            <w:top w:w="0" w:type="dxa"/>
            <w:left w:w="108" w:type="dxa"/>
            <w:bottom w:w="0" w:type="dxa"/>
            <w:right w:w="108" w:type="dxa"/>
          </w:tblCellMar>
        </w:tblPrEx>
        <w:trPr>
          <w:trHeight w:val="500" w:hRule="atLeast"/>
          <w:jc w:val="center"/>
        </w:trPr>
        <w:tc>
          <w:tcPr>
            <w:tcW w:w="792" w:type="dxa"/>
            <w:tcBorders>
              <w:top w:val="single" w:color="000000" w:sz="4" w:space="0"/>
              <w:left w:val="single" w:color="000000" w:sz="4" w:space="0"/>
              <w:bottom w:val="single" w:color="000000" w:sz="4" w:space="0"/>
              <w:right w:val="single" w:color="000000" w:sz="4" w:space="0"/>
            </w:tcBorders>
            <w:noWrap/>
            <w:vAlign w:val="center"/>
          </w:tcPr>
          <w:p w14:paraId="6650C86D">
            <w:pPr>
              <w:widowControl/>
              <w:jc w:val="center"/>
              <w:rPr>
                <w:color w:val="auto"/>
                <w:sz w:val="20"/>
                <w:highlight w:val="none"/>
              </w:rPr>
            </w:pPr>
            <w:r>
              <w:rPr>
                <w:color w:val="auto"/>
                <w:sz w:val="20"/>
                <w:highlight w:val="none"/>
              </w:rPr>
              <w:t>2</w:t>
            </w:r>
          </w:p>
        </w:tc>
        <w:tc>
          <w:tcPr>
            <w:tcW w:w="1651" w:type="dxa"/>
            <w:tcBorders>
              <w:top w:val="single" w:color="000000" w:sz="4" w:space="0"/>
              <w:left w:val="single" w:color="000000" w:sz="4" w:space="0"/>
              <w:bottom w:val="single" w:color="000000" w:sz="4" w:space="0"/>
              <w:right w:val="single" w:color="000000" w:sz="4" w:space="0"/>
            </w:tcBorders>
            <w:vAlign w:val="center"/>
          </w:tcPr>
          <w:p w14:paraId="03A12B68">
            <w:pPr>
              <w:widowControl/>
              <w:jc w:val="center"/>
              <w:rPr>
                <w:color w:val="auto"/>
                <w:sz w:val="20"/>
                <w:highlight w:val="none"/>
              </w:rPr>
            </w:pPr>
            <w:r>
              <w:rPr>
                <w:color w:val="auto"/>
                <w:sz w:val="20"/>
                <w:highlight w:val="none"/>
              </w:rPr>
              <w:t>服务器及配套</w:t>
            </w:r>
          </w:p>
        </w:tc>
        <w:tc>
          <w:tcPr>
            <w:tcW w:w="2561" w:type="dxa"/>
            <w:tcBorders>
              <w:top w:val="single" w:color="000000" w:sz="4" w:space="0"/>
              <w:left w:val="single" w:color="000000" w:sz="4" w:space="0"/>
              <w:bottom w:val="single" w:color="000000" w:sz="4" w:space="0"/>
              <w:right w:val="single" w:color="000000" w:sz="4" w:space="0"/>
            </w:tcBorders>
            <w:vAlign w:val="center"/>
          </w:tcPr>
          <w:p w14:paraId="3FD7B043">
            <w:pPr>
              <w:widowControl/>
              <w:jc w:val="center"/>
              <w:rPr>
                <w:color w:val="auto"/>
                <w:sz w:val="20"/>
                <w:highlight w:val="none"/>
              </w:rPr>
            </w:pPr>
            <w:r>
              <w:rPr>
                <w:color w:val="auto"/>
                <w:sz w:val="20"/>
                <w:highlight w:val="none"/>
              </w:rPr>
              <w:t>服务器等</w:t>
            </w:r>
            <w:r>
              <w:rPr>
                <w:rFonts w:hint="eastAsia"/>
                <w:color w:val="auto"/>
                <w:sz w:val="20"/>
                <w:highlight w:val="none"/>
              </w:rPr>
              <w:t>主机设备的</w:t>
            </w:r>
            <w:r>
              <w:rPr>
                <w:color w:val="auto"/>
                <w:sz w:val="20"/>
                <w:highlight w:val="none"/>
              </w:rPr>
              <w:t>维护</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788CE80">
            <w:pPr>
              <w:widowControl/>
              <w:jc w:val="center"/>
              <w:rPr>
                <w:color w:val="auto"/>
                <w:sz w:val="20"/>
                <w:highlight w:val="none"/>
              </w:rPr>
            </w:pPr>
            <w:r>
              <w:rPr>
                <w:rFonts w:hint="eastAsia"/>
                <w:color w:val="auto"/>
                <w:sz w:val="20"/>
                <w:highlight w:val="none"/>
              </w:rPr>
              <w:t>套</w:t>
            </w:r>
          </w:p>
        </w:tc>
        <w:tc>
          <w:tcPr>
            <w:tcW w:w="1152" w:type="dxa"/>
            <w:tcBorders>
              <w:top w:val="single" w:color="000000" w:sz="4" w:space="0"/>
              <w:left w:val="single" w:color="000000" w:sz="4" w:space="0"/>
              <w:bottom w:val="single" w:color="000000" w:sz="4" w:space="0"/>
              <w:right w:val="single" w:color="000000" w:sz="4" w:space="0"/>
            </w:tcBorders>
            <w:noWrap/>
            <w:vAlign w:val="center"/>
          </w:tcPr>
          <w:p w14:paraId="5842D64C">
            <w:pPr>
              <w:widowControl/>
              <w:jc w:val="center"/>
              <w:rPr>
                <w:color w:val="auto"/>
                <w:sz w:val="20"/>
                <w:highlight w:val="none"/>
              </w:rPr>
            </w:pPr>
            <w:r>
              <w:rPr>
                <w:rFonts w:hint="eastAsia"/>
                <w:color w:val="auto"/>
                <w:sz w:val="20"/>
                <w:highlight w:val="none"/>
              </w:rPr>
              <w:t>3</w:t>
            </w:r>
          </w:p>
        </w:tc>
        <w:tc>
          <w:tcPr>
            <w:tcW w:w="2340" w:type="dxa"/>
            <w:tcBorders>
              <w:top w:val="single" w:color="000000" w:sz="4" w:space="0"/>
              <w:left w:val="single" w:color="000000" w:sz="4" w:space="0"/>
              <w:bottom w:val="single" w:color="000000" w:sz="4" w:space="0"/>
              <w:right w:val="single" w:color="000000" w:sz="4" w:space="0"/>
            </w:tcBorders>
            <w:noWrap/>
            <w:vAlign w:val="center"/>
          </w:tcPr>
          <w:p w14:paraId="0465C72E">
            <w:pPr>
              <w:jc w:val="center"/>
              <w:rPr>
                <w:color w:val="auto"/>
                <w:sz w:val="20"/>
                <w:highlight w:val="none"/>
              </w:rPr>
            </w:pPr>
          </w:p>
        </w:tc>
      </w:tr>
      <w:tr w14:paraId="1BED89CA">
        <w:tblPrEx>
          <w:tblCellMar>
            <w:top w:w="0" w:type="dxa"/>
            <w:left w:w="108" w:type="dxa"/>
            <w:bottom w:w="0" w:type="dxa"/>
            <w:right w:w="108" w:type="dxa"/>
          </w:tblCellMar>
        </w:tblPrEx>
        <w:trPr>
          <w:trHeight w:val="500" w:hRule="atLeast"/>
          <w:jc w:val="center"/>
        </w:trPr>
        <w:tc>
          <w:tcPr>
            <w:tcW w:w="792" w:type="dxa"/>
            <w:tcBorders>
              <w:top w:val="single" w:color="000000" w:sz="4" w:space="0"/>
              <w:left w:val="single" w:color="000000" w:sz="4" w:space="0"/>
              <w:bottom w:val="single" w:color="000000" w:sz="4" w:space="0"/>
              <w:right w:val="single" w:color="000000" w:sz="4" w:space="0"/>
            </w:tcBorders>
            <w:noWrap/>
            <w:vAlign w:val="center"/>
          </w:tcPr>
          <w:p w14:paraId="41CDBB48">
            <w:pPr>
              <w:widowControl/>
              <w:jc w:val="center"/>
              <w:rPr>
                <w:color w:val="auto"/>
                <w:sz w:val="20"/>
                <w:highlight w:val="none"/>
              </w:rPr>
            </w:pPr>
            <w:r>
              <w:rPr>
                <w:rFonts w:hint="eastAsia"/>
                <w:color w:val="auto"/>
                <w:sz w:val="20"/>
                <w:highlight w:val="none"/>
              </w:rPr>
              <w:t>3</w:t>
            </w:r>
          </w:p>
        </w:tc>
        <w:tc>
          <w:tcPr>
            <w:tcW w:w="1651" w:type="dxa"/>
            <w:tcBorders>
              <w:top w:val="single" w:color="000000" w:sz="4" w:space="0"/>
              <w:left w:val="single" w:color="000000" w:sz="4" w:space="0"/>
              <w:bottom w:val="single" w:color="000000" w:sz="4" w:space="0"/>
              <w:right w:val="single" w:color="000000" w:sz="4" w:space="0"/>
            </w:tcBorders>
            <w:vAlign w:val="center"/>
          </w:tcPr>
          <w:p w14:paraId="4AA178CC">
            <w:pPr>
              <w:widowControl/>
              <w:jc w:val="center"/>
              <w:rPr>
                <w:color w:val="auto"/>
                <w:sz w:val="20"/>
                <w:highlight w:val="none"/>
              </w:rPr>
            </w:pPr>
            <w:r>
              <w:rPr>
                <w:rFonts w:hint="eastAsia"/>
                <w:color w:val="auto"/>
                <w:sz w:val="20"/>
                <w:highlight w:val="none"/>
              </w:rPr>
              <w:t>桌面及外围设备配套</w:t>
            </w:r>
          </w:p>
        </w:tc>
        <w:tc>
          <w:tcPr>
            <w:tcW w:w="2561" w:type="dxa"/>
            <w:tcBorders>
              <w:top w:val="single" w:color="000000" w:sz="4" w:space="0"/>
              <w:left w:val="single" w:color="000000" w:sz="4" w:space="0"/>
              <w:bottom w:val="single" w:color="000000" w:sz="4" w:space="0"/>
              <w:right w:val="single" w:color="000000" w:sz="4" w:space="0"/>
            </w:tcBorders>
            <w:vAlign w:val="center"/>
          </w:tcPr>
          <w:p w14:paraId="27A96A18">
            <w:pPr>
              <w:widowControl/>
              <w:jc w:val="center"/>
              <w:rPr>
                <w:color w:val="auto"/>
                <w:sz w:val="20"/>
                <w:highlight w:val="none"/>
              </w:rPr>
            </w:pPr>
            <w:r>
              <w:rPr>
                <w:color w:val="auto"/>
                <w:sz w:val="20"/>
                <w:highlight w:val="none"/>
              </w:rPr>
              <w:t>固定计算终端、移动计算终端、外围输入输出设备、外围存储设备和外围通讯设备以及其他硬件</w:t>
            </w:r>
            <w:r>
              <w:rPr>
                <w:rFonts w:hint="eastAsia"/>
                <w:color w:val="auto"/>
                <w:sz w:val="20"/>
                <w:highlight w:val="none"/>
              </w:rPr>
              <w:t>维护</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F3A35D4">
            <w:pPr>
              <w:widowControl/>
              <w:jc w:val="center"/>
              <w:rPr>
                <w:color w:val="auto"/>
                <w:sz w:val="20"/>
                <w:highlight w:val="none"/>
              </w:rPr>
            </w:pPr>
            <w:r>
              <w:rPr>
                <w:rFonts w:hint="eastAsia"/>
                <w:color w:val="auto"/>
                <w:sz w:val="20"/>
                <w:highlight w:val="none"/>
              </w:rPr>
              <w:t>套</w:t>
            </w:r>
          </w:p>
        </w:tc>
        <w:tc>
          <w:tcPr>
            <w:tcW w:w="1152" w:type="dxa"/>
            <w:tcBorders>
              <w:top w:val="single" w:color="000000" w:sz="4" w:space="0"/>
              <w:left w:val="single" w:color="000000" w:sz="4" w:space="0"/>
              <w:bottom w:val="single" w:color="000000" w:sz="4" w:space="0"/>
              <w:right w:val="single" w:color="000000" w:sz="4" w:space="0"/>
            </w:tcBorders>
            <w:noWrap/>
            <w:vAlign w:val="center"/>
          </w:tcPr>
          <w:p w14:paraId="6C268BFF">
            <w:pPr>
              <w:widowControl/>
              <w:jc w:val="center"/>
              <w:rPr>
                <w:color w:val="auto"/>
                <w:sz w:val="20"/>
                <w:highlight w:val="none"/>
              </w:rPr>
            </w:pPr>
            <w:r>
              <w:rPr>
                <w:rFonts w:hint="eastAsia"/>
                <w:color w:val="auto"/>
                <w:sz w:val="20"/>
                <w:highlight w:val="none"/>
              </w:rPr>
              <w:t>10</w:t>
            </w:r>
          </w:p>
        </w:tc>
        <w:tc>
          <w:tcPr>
            <w:tcW w:w="2340" w:type="dxa"/>
            <w:tcBorders>
              <w:top w:val="single" w:color="000000" w:sz="4" w:space="0"/>
              <w:left w:val="single" w:color="000000" w:sz="4" w:space="0"/>
              <w:bottom w:val="single" w:color="000000" w:sz="4" w:space="0"/>
              <w:right w:val="single" w:color="000000" w:sz="4" w:space="0"/>
            </w:tcBorders>
            <w:noWrap/>
            <w:vAlign w:val="center"/>
          </w:tcPr>
          <w:p w14:paraId="208A54D8">
            <w:pPr>
              <w:jc w:val="center"/>
              <w:rPr>
                <w:color w:val="auto"/>
                <w:sz w:val="20"/>
                <w:highlight w:val="none"/>
              </w:rPr>
            </w:pPr>
          </w:p>
        </w:tc>
      </w:tr>
      <w:tr w14:paraId="794EC417">
        <w:tblPrEx>
          <w:tblCellMar>
            <w:top w:w="0" w:type="dxa"/>
            <w:left w:w="108" w:type="dxa"/>
            <w:bottom w:w="0" w:type="dxa"/>
            <w:right w:w="108" w:type="dxa"/>
          </w:tblCellMar>
        </w:tblPrEx>
        <w:trPr>
          <w:trHeight w:val="720" w:hRule="atLeast"/>
          <w:jc w:val="center"/>
        </w:trPr>
        <w:tc>
          <w:tcPr>
            <w:tcW w:w="792" w:type="dxa"/>
            <w:tcBorders>
              <w:top w:val="single" w:color="000000" w:sz="4" w:space="0"/>
              <w:left w:val="single" w:color="000000" w:sz="4" w:space="0"/>
              <w:bottom w:val="single" w:color="000000" w:sz="4" w:space="0"/>
              <w:right w:val="single" w:color="000000" w:sz="4" w:space="0"/>
            </w:tcBorders>
            <w:noWrap/>
            <w:vAlign w:val="center"/>
          </w:tcPr>
          <w:p w14:paraId="774B33C9">
            <w:pPr>
              <w:widowControl/>
              <w:jc w:val="center"/>
              <w:rPr>
                <w:color w:val="auto"/>
                <w:sz w:val="20"/>
                <w:highlight w:val="none"/>
              </w:rPr>
            </w:pPr>
            <w:r>
              <w:rPr>
                <w:rFonts w:hint="eastAsia"/>
                <w:color w:val="auto"/>
                <w:sz w:val="20"/>
                <w:highlight w:val="none"/>
              </w:rPr>
              <w:t>4</w:t>
            </w:r>
          </w:p>
        </w:tc>
        <w:tc>
          <w:tcPr>
            <w:tcW w:w="1651" w:type="dxa"/>
            <w:tcBorders>
              <w:top w:val="single" w:color="000000" w:sz="4" w:space="0"/>
              <w:left w:val="single" w:color="000000" w:sz="4" w:space="0"/>
              <w:bottom w:val="single" w:color="000000" w:sz="4" w:space="0"/>
              <w:right w:val="single" w:color="000000" w:sz="4" w:space="0"/>
            </w:tcBorders>
            <w:vAlign w:val="center"/>
          </w:tcPr>
          <w:p w14:paraId="5D9F02DC">
            <w:pPr>
              <w:widowControl/>
              <w:jc w:val="center"/>
              <w:rPr>
                <w:color w:val="auto"/>
                <w:sz w:val="20"/>
                <w:highlight w:val="none"/>
              </w:rPr>
            </w:pPr>
            <w:r>
              <w:rPr>
                <w:rFonts w:hint="eastAsia"/>
                <w:color w:val="auto"/>
                <w:sz w:val="20"/>
                <w:highlight w:val="none"/>
              </w:rPr>
              <w:t>网络设备及配套</w:t>
            </w:r>
          </w:p>
        </w:tc>
        <w:tc>
          <w:tcPr>
            <w:tcW w:w="2561" w:type="dxa"/>
            <w:tcBorders>
              <w:top w:val="single" w:color="000000" w:sz="4" w:space="0"/>
              <w:left w:val="single" w:color="000000" w:sz="4" w:space="0"/>
              <w:bottom w:val="single" w:color="000000" w:sz="4" w:space="0"/>
              <w:right w:val="single" w:color="000000" w:sz="4" w:space="0"/>
            </w:tcBorders>
            <w:vAlign w:val="center"/>
          </w:tcPr>
          <w:p w14:paraId="7E0B9354">
            <w:pPr>
              <w:widowControl/>
              <w:jc w:val="center"/>
              <w:rPr>
                <w:color w:val="auto"/>
                <w:sz w:val="20"/>
                <w:highlight w:val="none"/>
              </w:rPr>
            </w:pPr>
            <w:r>
              <w:rPr>
                <w:rFonts w:hint="eastAsia"/>
                <w:color w:val="auto"/>
                <w:sz w:val="20"/>
                <w:highlight w:val="none"/>
              </w:rPr>
              <w:t>信息通讯设备（交换机、路由器）及配套的维护</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5EBB216">
            <w:pPr>
              <w:widowControl/>
              <w:jc w:val="center"/>
              <w:rPr>
                <w:color w:val="auto"/>
                <w:sz w:val="20"/>
                <w:highlight w:val="none"/>
              </w:rPr>
            </w:pPr>
            <w:r>
              <w:rPr>
                <w:rFonts w:hint="eastAsia"/>
                <w:color w:val="auto"/>
                <w:sz w:val="20"/>
                <w:highlight w:val="none"/>
              </w:rPr>
              <w:t>套</w:t>
            </w:r>
          </w:p>
        </w:tc>
        <w:tc>
          <w:tcPr>
            <w:tcW w:w="1152" w:type="dxa"/>
            <w:tcBorders>
              <w:top w:val="single" w:color="000000" w:sz="4" w:space="0"/>
              <w:left w:val="single" w:color="000000" w:sz="4" w:space="0"/>
              <w:bottom w:val="single" w:color="000000" w:sz="4" w:space="0"/>
              <w:right w:val="single" w:color="000000" w:sz="4" w:space="0"/>
            </w:tcBorders>
            <w:noWrap/>
            <w:vAlign w:val="center"/>
          </w:tcPr>
          <w:p w14:paraId="3C75B129">
            <w:pPr>
              <w:widowControl/>
              <w:jc w:val="center"/>
              <w:rPr>
                <w:color w:val="auto"/>
                <w:sz w:val="20"/>
                <w:highlight w:val="none"/>
              </w:rPr>
            </w:pPr>
            <w:r>
              <w:rPr>
                <w:rFonts w:hint="eastAsia"/>
                <w:color w:val="auto"/>
                <w:sz w:val="20"/>
                <w:highlight w:val="none"/>
              </w:rPr>
              <w:t>8</w:t>
            </w:r>
          </w:p>
        </w:tc>
        <w:tc>
          <w:tcPr>
            <w:tcW w:w="2340" w:type="dxa"/>
            <w:tcBorders>
              <w:top w:val="single" w:color="000000" w:sz="4" w:space="0"/>
              <w:left w:val="single" w:color="000000" w:sz="4" w:space="0"/>
              <w:bottom w:val="single" w:color="000000" w:sz="4" w:space="0"/>
              <w:right w:val="single" w:color="000000" w:sz="4" w:space="0"/>
            </w:tcBorders>
            <w:noWrap/>
            <w:vAlign w:val="center"/>
          </w:tcPr>
          <w:p w14:paraId="3CAA4793">
            <w:pPr>
              <w:jc w:val="center"/>
              <w:rPr>
                <w:color w:val="auto"/>
                <w:sz w:val="20"/>
                <w:highlight w:val="none"/>
              </w:rPr>
            </w:pPr>
          </w:p>
        </w:tc>
      </w:tr>
      <w:tr w14:paraId="4B6A9196">
        <w:tblPrEx>
          <w:tblCellMar>
            <w:top w:w="0" w:type="dxa"/>
            <w:left w:w="108" w:type="dxa"/>
            <w:bottom w:w="0" w:type="dxa"/>
            <w:right w:w="108" w:type="dxa"/>
          </w:tblCellMar>
        </w:tblPrEx>
        <w:trPr>
          <w:trHeight w:val="720" w:hRule="atLeast"/>
          <w:jc w:val="center"/>
        </w:trPr>
        <w:tc>
          <w:tcPr>
            <w:tcW w:w="792" w:type="dxa"/>
            <w:tcBorders>
              <w:top w:val="single" w:color="000000" w:sz="4" w:space="0"/>
              <w:left w:val="single" w:color="000000" w:sz="4" w:space="0"/>
              <w:bottom w:val="single" w:color="000000" w:sz="4" w:space="0"/>
              <w:right w:val="single" w:color="000000" w:sz="4" w:space="0"/>
            </w:tcBorders>
            <w:noWrap/>
            <w:vAlign w:val="center"/>
          </w:tcPr>
          <w:p w14:paraId="140855AD">
            <w:pPr>
              <w:widowControl/>
              <w:jc w:val="center"/>
              <w:rPr>
                <w:color w:val="auto"/>
                <w:sz w:val="20"/>
                <w:highlight w:val="none"/>
              </w:rPr>
            </w:pPr>
            <w:r>
              <w:rPr>
                <w:rFonts w:hint="eastAsia"/>
                <w:color w:val="auto"/>
                <w:sz w:val="20"/>
                <w:highlight w:val="none"/>
              </w:rPr>
              <w:t>5</w:t>
            </w:r>
          </w:p>
        </w:tc>
        <w:tc>
          <w:tcPr>
            <w:tcW w:w="1651" w:type="dxa"/>
            <w:tcBorders>
              <w:top w:val="single" w:color="000000" w:sz="4" w:space="0"/>
              <w:left w:val="single" w:color="000000" w:sz="4" w:space="0"/>
              <w:bottom w:val="single" w:color="000000" w:sz="4" w:space="0"/>
              <w:right w:val="single" w:color="000000" w:sz="4" w:space="0"/>
            </w:tcBorders>
            <w:vAlign w:val="center"/>
          </w:tcPr>
          <w:p w14:paraId="21FBADA2">
            <w:pPr>
              <w:widowControl/>
              <w:jc w:val="center"/>
              <w:rPr>
                <w:color w:val="auto"/>
                <w:sz w:val="20"/>
                <w:highlight w:val="none"/>
              </w:rPr>
            </w:pPr>
            <w:r>
              <w:rPr>
                <w:rFonts w:hint="eastAsia"/>
                <w:color w:val="auto"/>
                <w:sz w:val="20"/>
                <w:highlight w:val="none"/>
              </w:rPr>
              <w:t>存储设备及配套</w:t>
            </w:r>
          </w:p>
        </w:tc>
        <w:tc>
          <w:tcPr>
            <w:tcW w:w="2561" w:type="dxa"/>
            <w:tcBorders>
              <w:top w:val="single" w:color="000000" w:sz="4" w:space="0"/>
              <w:left w:val="single" w:color="000000" w:sz="4" w:space="0"/>
              <w:bottom w:val="single" w:color="000000" w:sz="4" w:space="0"/>
              <w:right w:val="single" w:color="000000" w:sz="4" w:space="0"/>
            </w:tcBorders>
            <w:vAlign w:val="center"/>
          </w:tcPr>
          <w:p w14:paraId="465DC400">
            <w:pPr>
              <w:widowControl/>
              <w:jc w:val="center"/>
              <w:rPr>
                <w:color w:val="auto"/>
                <w:sz w:val="20"/>
                <w:highlight w:val="none"/>
              </w:rPr>
            </w:pPr>
            <w:r>
              <w:rPr>
                <w:rFonts w:hint="eastAsia"/>
                <w:color w:val="auto"/>
                <w:sz w:val="20"/>
                <w:highlight w:val="none"/>
              </w:rPr>
              <w:t>用于储存的设备（云存储节点、硬盘）及配套的维护</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D2A6E74">
            <w:pPr>
              <w:widowControl/>
              <w:jc w:val="center"/>
              <w:rPr>
                <w:color w:val="auto"/>
                <w:sz w:val="20"/>
                <w:highlight w:val="none"/>
              </w:rPr>
            </w:pPr>
            <w:r>
              <w:rPr>
                <w:rFonts w:hint="eastAsia"/>
                <w:color w:val="auto"/>
                <w:sz w:val="20"/>
                <w:highlight w:val="none"/>
              </w:rPr>
              <w:t>套</w:t>
            </w:r>
          </w:p>
        </w:tc>
        <w:tc>
          <w:tcPr>
            <w:tcW w:w="1152" w:type="dxa"/>
            <w:tcBorders>
              <w:top w:val="single" w:color="000000" w:sz="4" w:space="0"/>
              <w:left w:val="single" w:color="000000" w:sz="4" w:space="0"/>
              <w:bottom w:val="single" w:color="000000" w:sz="4" w:space="0"/>
              <w:right w:val="single" w:color="000000" w:sz="4" w:space="0"/>
            </w:tcBorders>
            <w:noWrap/>
            <w:vAlign w:val="center"/>
          </w:tcPr>
          <w:p w14:paraId="1CA44AE9">
            <w:pPr>
              <w:widowControl/>
              <w:jc w:val="center"/>
              <w:rPr>
                <w:color w:val="auto"/>
                <w:sz w:val="20"/>
                <w:highlight w:val="none"/>
              </w:rPr>
            </w:pPr>
            <w:r>
              <w:rPr>
                <w:rFonts w:hint="eastAsia"/>
                <w:color w:val="auto"/>
                <w:sz w:val="20"/>
                <w:highlight w:val="none"/>
              </w:rPr>
              <w:t>3</w:t>
            </w:r>
          </w:p>
        </w:tc>
        <w:tc>
          <w:tcPr>
            <w:tcW w:w="2340" w:type="dxa"/>
            <w:tcBorders>
              <w:top w:val="single" w:color="000000" w:sz="4" w:space="0"/>
              <w:left w:val="single" w:color="000000" w:sz="4" w:space="0"/>
              <w:bottom w:val="single" w:color="000000" w:sz="4" w:space="0"/>
              <w:right w:val="single" w:color="000000" w:sz="4" w:space="0"/>
            </w:tcBorders>
            <w:noWrap/>
            <w:vAlign w:val="center"/>
          </w:tcPr>
          <w:p w14:paraId="347C9A05">
            <w:pPr>
              <w:jc w:val="center"/>
              <w:rPr>
                <w:color w:val="auto"/>
                <w:sz w:val="20"/>
                <w:highlight w:val="none"/>
              </w:rPr>
            </w:pPr>
          </w:p>
        </w:tc>
      </w:tr>
      <w:tr w14:paraId="3E9A2627">
        <w:tblPrEx>
          <w:tblCellMar>
            <w:top w:w="0" w:type="dxa"/>
            <w:left w:w="108" w:type="dxa"/>
            <w:bottom w:w="0" w:type="dxa"/>
            <w:right w:w="108" w:type="dxa"/>
          </w:tblCellMar>
        </w:tblPrEx>
        <w:trPr>
          <w:trHeight w:val="720" w:hRule="atLeast"/>
          <w:jc w:val="center"/>
        </w:trPr>
        <w:tc>
          <w:tcPr>
            <w:tcW w:w="792" w:type="dxa"/>
            <w:tcBorders>
              <w:top w:val="single" w:color="000000" w:sz="4" w:space="0"/>
              <w:left w:val="single" w:color="000000" w:sz="4" w:space="0"/>
              <w:bottom w:val="single" w:color="000000" w:sz="4" w:space="0"/>
              <w:right w:val="single" w:color="000000" w:sz="4" w:space="0"/>
            </w:tcBorders>
            <w:noWrap/>
            <w:vAlign w:val="center"/>
          </w:tcPr>
          <w:p w14:paraId="797C19D4">
            <w:pPr>
              <w:widowControl/>
              <w:jc w:val="center"/>
              <w:rPr>
                <w:color w:val="auto"/>
                <w:sz w:val="20"/>
                <w:highlight w:val="none"/>
              </w:rPr>
            </w:pPr>
            <w:r>
              <w:rPr>
                <w:rFonts w:hint="eastAsia"/>
                <w:color w:val="auto"/>
                <w:sz w:val="20"/>
                <w:highlight w:val="none"/>
              </w:rPr>
              <w:t>6</w:t>
            </w:r>
          </w:p>
        </w:tc>
        <w:tc>
          <w:tcPr>
            <w:tcW w:w="1651" w:type="dxa"/>
            <w:tcBorders>
              <w:top w:val="single" w:color="000000" w:sz="4" w:space="0"/>
              <w:left w:val="single" w:color="000000" w:sz="4" w:space="0"/>
              <w:bottom w:val="single" w:color="000000" w:sz="4" w:space="0"/>
              <w:right w:val="single" w:color="000000" w:sz="4" w:space="0"/>
            </w:tcBorders>
            <w:vAlign w:val="center"/>
          </w:tcPr>
          <w:p w14:paraId="4522393A">
            <w:pPr>
              <w:widowControl/>
              <w:jc w:val="center"/>
              <w:rPr>
                <w:color w:val="auto"/>
                <w:sz w:val="20"/>
                <w:highlight w:val="none"/>
              </w:rPr>
            </w:pPr>
            <w:r>
              <w:rPr>
                <w:rFonts w:hint="eastAsia"/>
                <w:color w:val="auto"/>
                <w:sz w:val="20"/>
                <w:highlight w:val="none"/>
              </w:rPr>
              <w:t>安全类设备及配套维护</w:t>
            </w:r>
          </w:p>
        </w:tc>
        <w:tc>
          <w:tcPr>
            <w:tcW w:w="2561" w:type="dxa"/>
            <w:tcBorders>
              <w:top w:val="single" w:color="000000" w:sz="4" w:space="0"/>
              <w:left w:val="single" w:color="000000" w:sz="4" w:space="0"/>
              <w:bottom w:val="single" w:color="000000" w:sz="4" w:space="0"/>
              <w:right w:val="single" w:color="000000" w:sz="4" w:space="0"/>
            </w:tcBorders>
            <w:vAlign w:val="center"/>
          </w:tcPr>
          <w:p w14:paraId="789A1741">
            <w:pPr>
              <w:widowControl/>
              <w:jc w:val="center"/>
              <w:rPr>
                <w:color w:val="auto"/>
                <w:sz w:val="20"/>
                <w:highlight w:val="none"/>
              </w:rPr>
            </w:pPr>
            <w:r>
              <w:rPr>
                <w:rFonts w:hint="eastAsia"/>
                <w:color w:val="auto"/>
                <w:sz w:val="20"/>
                <w:highlight w:val="none"/>
              </w:rPr>
              <w:t>用于网络安全防护的设备（网闸、集控探针、防火墙）及配套的维护</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2A0FBE9">
            <w:pPr>
              <w:widowControl/>
              <w:jc w:val="center"/>
              <w:rPr>
                <w:color w:val="auto"/>
                <w:sz w:val="20"/>
                <w:highlight w:val="none"/>
              </w:rPr>
            </w:pPr>
            <w:r>
              <w:rPr>
                <w:rFonts w:hint="eastAsia"/>
                <w:color w:val="auto"/>
                <w:sz w:val="20"/>
                <w:highlight w:val="none"/>
              </w:rPr>
              <w:t>套</w:t>
            </w:r>
          </w:p>
        </w:tc>
        <w:tc>
          <w:tcPr>
            <w:tcW w:w="1152" w:type="dxa"/>
            <w:tcBorders>
              <w:top w:val="single" w:color="000000" w:sz="4" w:space="0"/>
              <w:left w:val="single" w:color="000000" w:sz="4" w:space="0"/>
              <w:bottom w:val="single" w:color="000000" w:sz="4" w:space="0"/>
              <w:right w:val="single" w:color="000000" w:sz="4" w:space="0"/>
            </w:tcBorders>
            <w:noWrap/>
            <w:vAlign w:val="center"/>
          </w:tcPr>
          <w:p w14:paraId="55E51C7D">
            <w:pPr>
              <w:widowControl/>
              <w:jc w:val="center"/>
              <w:rPr>
                <w:color w:val="auto"/>
                <w:sz w:val="20"/>
                <w:highlight w:val="none"/>
              </w:rPr>
            </w:pPr>
            <w:r>
              <w:rPr>
                <w:rFonts w:hint="eastAsia"/>
                <w:color w:val="auto"/>
                <w:sz w:val="20"/>
                <w:highlight w:val="none"/>
              </w:rPr>
              <w:t>3</w:t>
            </w:r>
          </w:p>
        </w:tc>
        <w:tc>
          <w:tcPr>
            <w:tcW w:w="2340" w:type="dxa"/>
            <w:tcBorders>
              <w:top w:val="single" w:color="000000" w:sz="4" w:space="0"/>
              <w:left w:val="single" w:color="000000" w:sz="4" w:space="0"/>
              <w:bottom w:val="single" w:color="000000" w:sz="4" w:space="0"/>
              <w:right w:val="single" w:color="000000" w:sz="4" w:space="0"/>
            </w:tcBorders>
            <w:noWrap/>
            <w:vAlign w:val="center"/>
          </w:tcPr>
          <w:p w14:paraId="36B954BC">
            <w:pPr>
              <w:jc w:val="center"/>
              <w:rPr>
                <w:color w:val="auto"/>
                <w:sz w:val="20"/>
                <w:highlight w:val="none"/>
              </w:rPr>
            </w:pPr>
          </w:p>
        </w:tc>
      </w:tr>
      <w:tr w14:paraId="43CC4933">
        <w:tblPrEx>
          <w:tblCellMar>
            <w:top w:w="0" w:type="dxa"/>
            <w:left w:w="108" w:type="dxa"/>
            <w:bottom w:w="0" w:type="dxa"/>
            <w:right w:w="108" w:type="dxa"/>
          </w:tblCellMar>
        </w:tblPrEx>
        <w:trPr>
          <w:trHeight w:val="500" w:hRule="atLeast"/>
          <w:jc w:val="center"/>
        </w:trPr>
        <w:tc>
          <w:tcPr>
            <w:tcW w:w="792" w:type="dxa"/>
            <w:tcBorders>
              <w:top w:val="single" w:color="000000" w:sz="4" w:space="0"/>
              <w:left w:val="single" w:color="000000" w:sz="4" w:space="0"/>
              <w:bottom w:val="single" w:color="000000" w:sz="4" w:space="0"/>
              <w:right w:val="single" w:color="000000" w:sz="4" w:space="0"/>
            </w:tcBorders>
            <w:noWrap/>
            <w:vAlign w:val="center"/>
          </w:tcPr>
          <w:p w14:paraId="1516DE88">
            <w:pPr>
              <w:widowControl/>
              <w:jc w:val="center"/>
              <w:rPr>
                <w:color w:val="auto"/>
                <w:sz w:val="20"/>
                <w:highlight w:val="none"/>
              </w:rPr>
            </w:pPr>
            <w:r>
              <w:rPr>
                <w:rFonts w:hint="eastAsia"/>
                <w:color w:val="auto"/>
                <w:sz w:val="20"/>
                <w:highlight w:val="none"/>
              </w:rPr>
              <w:t>7</w:t>
            </w:r>
          </w:p>
        </w:tc>
        <w:tc>
          <w:tcPr>
            <w:tcW w:w="1651" w:type="dxa"/>
            <w:tcBorders>
              <w:top w:val="single" w:color="000000" w:sz="4" w:space="0"/>
              <w:left w:val="single" w:color="000000" w:sz="4" w:space="0"/>
              <w:bottom w:val="single" w:color="000000" w:sz="4" w:space="0"/>
              <w:right w:val="single" w:color="000000" w:sz="4" w:space="0"/>
            </w:tcBorders>
            <w:vAlign w:val="center"/>
          </w:tcPr>
          <w:p w14:paraId="23D226FA">
            <w:pPr>
              <w:widowControl/>
              <w:jc w:val="center"/>
              <w:rPr>
                <w:color w:val="auto"/>
                <w:sz w:val="20"/>
                <w:highlight w:val="none"/>
              </w:rPr>
            </w:pPr>
            <w:r>
              <w:rPr>
                <w:rFonts w:hint="eastAsia"/>
                <w:color w:val="auto"/>
                <w:sz w:val="20"/>
                <w:highlight w:val="none"/>
              </w:rPr>
              <w:t>定制类软件维护</w:t>
            </w:r>
          </w:p>
        </w:tc>
        <w:tc>
          <w:tcPr>
            <w:tcW w:w="2561" w:type="dxa"/>
            <w:tcBorders>
              <w:top w:val="single" w:color="000000" w:sz="4" w:space="0"/>
              <w:left w:val="single" w:color="000000" w:sz="4" w:space="0"/>
              <w:bottom w:val="single" w:color="000000" w:sz="4" w:space="0"/>
              <w:right w:val="single" w:color="000000" w:sz="4" w:space="0"/>
            </w:tcBorders>
            <w:vAlign w:val="center"/>
          </w:tcPr>
          <w:p w14:paraId="64463B66">
            <w:pPr>
              <w:widowControl/>
              <w:jc w:val="center"/>
              <w:rPr>
                <w:color w:val="auto"/>
                <w:sz w:val="20"/>
                <w:highlight w:val="none"/>
              </w:rPr>
            </w:pPr>
            <w:r>
              <w:rPr>
                <w:rFonts w:hint="eastAsia"/>
                <w:color w:val="auto"/>
                <w:sz w:val="20"/>
                <w:highlight w:val="none"/>
              </w:rPr>
              <w:t>实战应用平台</w:t>
            </w:r>
            <w:r>
              <w:rPr>
                <w:color w:val="auto"/>
                <w:sz w:val="20"/>
                <w:highlight w:val="none"/>
              </w:rPr>
              <w:t>、</w:t>
            </w:r>
            <w:r>
              <w:rPr>
                <w:rFonts w:hint="eastAsia"/>
                <w:color w:val="auto"/>
                <w:sz w:val="20"/>
                <w:highlight w:val="none"/>
              </w:rPr>
              <w:t>违停屏控制系统、信息发布平台、平台授权扩容等</w:t>
            </w:r>
            <w:r>
              <w:rPr>
                <w:color w:val="auto"/>
                <w:sz w:val="20"/>
                <w:highlight w:val="none"/>
              </w:rPr>
              <w:t>软件</w:t>
            </w:r>
            <w:r>
              <w:rPr>
                <w:rFonts w:hint="eastAsia"/>
                <w:color w:val="auto"/>
                <w:sz w:val="20"/>
                <w:highlight w:val="none"/>
              </w:rPr>
              <w:t>维护</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DF910FB">
            <w:pPr>
              <w:widowControl/>
              <w:jc w:val="center"/>
              <w:rPr>
                <w:color w:val="auto"/>
                <w:sz w:val="20"/>
                <w:highlight w:val="none"/>
              </w:rPr>
            </w:pPr>
            <w:r>
              <w:rPr>
                <w:rFonts w:hint="eastAsia"/>
                <w:color w:val="auto"/>
                <w:sz w:val="20"/>
                <w:highlight w:val="none"/>
              </w:rPr>
              <w:t>套</w:t>
            </w:r>
          </w:p>
        </w:tc>
        <w:tc>
          <w:tcPr>
            <w:tcW w:w="1152" w:type="dxa"/>
            <w:tcBorders>
              <w:top w:val="single" w:color="000000" w:sz="4" w:space="0"/>
              <w:left w:val="single" w:color="000000" w:sz="4" w:space="0"/>
              <w:bottom w:val="single" w:color="000000" w:sz="4" w:space="0"/>
              <w:right w:val="single" w:color="000000" w:sz="4" w:space="0"/>
            </w:tcBorders>
            <w:noWrap/>
            <w:vAlign w:val="center"/>
          </w:tcPr>
          <w:p w14:paraId="69C4D7B5">
            <w:pPr>
              <w:widowControl/>
              <w:jc w:val="center"/>
              <w:rPr>
                <w:color w:val="auto"/>
                <w:sz w:val="20"/>
                <w:highlight w:val="none"/>
              </w:rPr>
            </w:pPr>
            <w:r>
              <w:rPr>
                <w:rFonts w:hint="eastAsia"/>
                <w:color w:val="auto"/>
                <w:sz w:val="20"/>
                <w:highlight w:val="none"/>
              </w:rPr>
              <w:t>8</w:t>
            </w:r>
          </w:p>
        </w:tc>
        <w:tc>
          <w:tcPr>
            <w:tcW w:w="2340" w:type="dxa"/>
            <w:tcBorders>
              <w:top w:val="single" w:color="000000" w:sz="4" w:space="0"/>
              <w:left w:val="single" w:color="000000" w:sz="4" w:space="0"/>
              <w:bottom w:val="single" w:color="000000" w:sz="4" w:space="0"/>
              <w:right w:val="single" w:color="000000" w:sz="4" w:space="0"/>
            </w:tcBorders>
            <w:noWrap/>
            <w:vAlign w:val="center"/>
          </w:tcPr>
          <w:p w14:paraId="300B9624">
            <w:pPr>
              <w:jc w:val="center"/>
              <w:rPr>
                <w:color w:val="auto"/>
                <w:sz w:val="20"/>
                <w:highlight w:val="none"/>
              </w:rPr>
            </w:pPr>
          </w:p>
        </w:tc>
      </w:tr>
      <w:tr w14:paraId="6D8A29F7">
        <w:tblPrEx>
          <w:tblCellMar>
            <w:top w:w="0" w:type="dxa"/>
            <w:left w:w="108" w:type="dxa"/>
            <w:bottom w:w="0" w:type="dxa"/>
            <w:right w:w="108" w:type="dxa"/>
          </w:tblCellMar>
        </w:tblPrEx>
        <w:trPr>
          <w:trHeight w:val="500" w:hRule="atLeast"/>
          <w:jc w:val="center"/>
        </w:trPr>
        <w:tc>
          <w:tcPr>
            <w:tcW w:w="792" w:type="dxa"/>
            <w:tcBorders>
              <w:top w:val="single" w:color="000000" w:sz="4" w:space="0"/>
              <w:left w:val="single" w:color="000000" w:sz="4" w:space="0"/>
              <w:bottom w:val="single" w:color="000000" w:sz="4" w:space="0"/>
              <w:right w:val="single" w:color="000000" w:sz="4" w:space="0"/>
            </w:tcBorders>
            <w:noWrap/>
            <w:vAlign w:val="center"/>
          </w:tcPr>
          <w:p w14:paraId="44394CBD">
            <w:pPr>
              <w:widowControl/>
              <w:jc w:val="center"/>
              <w:rPr>
                <w:color w:val="auto"/>
                <w:sz w:val="20"/>
                <w:highlight w:val="none"/>
              </w:rPr>
            </w:pPr>
            <w:r>
              <w:rPr>
                <w:rFonts w:hint="eastAsia"/>
                <w:color w:val="auto"/>
                <w:sz w:val="20"/>
                <w:highlight w:val="none"/>
              </w:rPr>
              <w:t>8</w:t>
            </w:r>
          </w:p>
        </w:tc>
        <w:tc>
          <w:tcPr>
            <w:tcW w:w="1651" w:type="dxa"/>
            <w:tcBorders>
              <w:top w:val="single" w:color="000000" w:sz="4" w:space="0"/>
              <w:left w:val="single" w:color="000000" w:sz="4" w:space="0"/>
              <w:bottom w:val="single" w:color="000000" w:sz="4" w:space="0"/>
              <w:right w:val="single" w:color="000000" w:sz="4" w:space="0"/>
            </w:tcBorders>
            <w:vAlign w:val="center"/>
          </w:tcPr>
          <w:p w14:paraId="0D22AEFF">
            <w:pPr>
              <w:widowControl/>
              <w:jc w:val="center"/>
              <w:rPr>
                <w:color w:val="auto"/>
                <w:sz w:val="20"/>
                <w:highlight w:val="none"/>
              </w:rPr>
            </w:pPr>
            <w:r>
              <w:rPr>
                <w:rFonts w:hint="eastAsia"/>
                <w:color w:val="auto"/>
                <w:sz w:val="20"/>
                <w:highlight w:val="none"/>
              </w:rPr>
              <w:t>成品软件维护</w:t>
            </w:r>
          </w:p>
        </w:tc>
        <w:tc>
          <w:tcPr>
            <w:tcW w:w="2561" w:type="dxa"/>
            <w:tcBorders>
              <w:top w:val="single" w:color="000000" w:sz="4" w:space="0"/>
              <w:left w:val="single" w:color="000000" w:sz="4" w:space="0"/>
              <w:bottom w:val="single" w:color="000000" w:sz="4" w:space="0"/>
              <w:right w:val="single" w:color="000000" w:sz="4" w:space="0"/>
            </w:tcBorders>
            <w:vAlign w:val="center"/>
          </w:tcPr>
          <w:p w14:paraId="2A43BE59">
            <w:pPr>
              <w:widowControl/>
              <w:jc w:val="center"/>
              <w:rPr>
                <w:color w:val="auto"/>
                <w:sz w:val="20"/>
                <w:highlight w:val="none"/>
              </w:rPr>
            </w:pPr>
            <w:r>
              <w:rPr>
                <w:rFonts w:hint="eastAsia"/>
                <w:color w:val="auto"/>
                <w:sz w:val="20"/>
                <w:highlight w:val="none"/>
              </w:rPr>
              <w:t>车辆抓拍系统软件、视频综合平台、人脸识别系统软件、视频汇聚平台授权人脸数据汇聚平台软件等等成品软件</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1EF11DE">
            <w:pPr>
              <w:widowControl/>
              <w:jc w:val="center"/>
              <w:rPr>
                <w:color w:val="auto"/>
                <w:sz w:val="20"/>
                <w:highlight w:val="none"/>
              </w:rPr>
            </w:pPr>
            <w:r>
              <w:rPr>
                <w:rFonts w:hint="eastAsia"/>
                <w:color w:val="auto"/>
                <w:sz w:val="20"/>
                <w:highlight w:val="none"/>
              </w:rPr>
              <w:t>套</w:t>
            </w:r>
          </w:p>
        </w:tc>
        <w:tc>
          <w:tcPr>
            <w:tcW w:w="1152" w:type="dxa"/>
            <w:tcBorders>
              <w:top w:val="single" w:color="000000" w:sz="4" w:space="0"/>
              <w:left w:val="single" w:color="000000" w:sz="4" w:space="0"/>
              <w:bottom w:val="single" w:color="000000" w:sz="4" w:space="0"/>
              <w:right w:val="single" w:color="000000" w:sz="4" w:space="0"/>
            </w:tcBorders>
            <w:noWrap/>
            <w:vAlign w:val="center"/>
          </w:tcPr>
          <w:p w14:paraId="438AE62E">
            <w:pPr>
              <w:widowControl/>
              <w:jc w:val="center"/>
              <w:rPr>
                <w:color w:val="auto"/>
                <w:sz w:val="20"/>
                <w:highlight w:val="none"/>
              </w:rPr>
            </w:pPr>
            <w:r>
              <w:rPr>
                <w:rFonts w:hint="eastAsia"/>
                <w:color w:val="auto"/>
                <w:sz w:val="20"/>
                <w:highlight w:val="none"/>
              </w:rPr>
              <w:t>11</w:t>
            </w:r>
          </w:p>
        </w:tc>
        <w:tc>
          <w:tcPr>
            <w:tcW w:w="2340" w:type="dxa"/>
            <w:tcBorders>
              <w:top w:val="single" w:color="000000" w:sz="4" w:space="0"/>
              <w:left w:val="single" w:color="000000" w:sz="4" w:space="0"/>
              <w:bottom w:val="single" w:color="000000" w:sz="4" w:space="0"/>
              <w:right w:val="single" w:color="000000" w:sz="4" w:space="0"/>
            </w:tcBorders>
            <w:noWrap/>
            <w:vAlign w:val="center"/>
          </w:tcPr>
          <w:p w14:paraId="5B02C6C6">
            <w:pPr>
              <w:jc w:val="center"/>
              <w:rPr>
                <w:color w:val="auto"/>
                <w:sz w:val="20"/>
                <w:highlight w:val="none"/>
              </w:rPr>
            </w:pPr>
          </w:p>
        </w:tc>
      </w:tr>
      <w:tr w14:paraId="1064F030">
        <w:tblPrEx>
          <w:tblCellMar>
            <w:top w:w="0" w:type="dxa"/>
            <w:left w:w="108" w:type="dxa"/>
            <w:bottom w:w="0" w:type="dxa"/>
            <w:right w:w="108" w:type="dxa"/>
          </w:tblCellMar>
        </w:tblPrEx>
        <w:trPr>
          <w:trHeight w:val="500" w:hRule="atLeast"/>
          <w:jc w:val="center"/>
        </w:trPr>
        <w:tc>
          <w:tcPr>
            <w:tcW w:w="792" w:type="dxa"/>
            <w:tcBorders>
              <w:top w:val="single" w:color="000000" w:sz="4" w:space="0"/>
              <w:left w:val="single" w:color="000000" w:sz="4" w:space="0"/>
              <w:bottom w:val="single" w:color="000000" w:sz="4" w:space="0"/>
              <w:right w:val="single" w:color="000000" w:sz="4" w:space="0"/>
            </w:tcBorders>
            <w:noWrap/>
            <w:vAlign w:val="center"/>
          </w:tcPr>
          <w:p w14:paraId="7383AF03">
            <w:pPr>
              <w:widowControl/>
              <w:jc w:val="center"/>
              <w:rPr>
                <w:color w:val="auto"/>
                <w:sz w:val="20"/>
                <w:highlight w:val="none"/>
              </w:rPr>
            </w:pPr>
            <w:r>
              <w:rPr>
                <w:rFonts w:hint="eastAsia"/>
                <w:color w:val="auto"/>
                <w:sz w:val="20"/>
                <w:highlight w:val="none"/>
              </w:rPr>
              <w:t>9</w:t>
            </w:r>
          </w:p>
        </w:tc>
        <w:tc>
          <w:tcPr>
            <w:tcW w:w="1651" w:type="dxa"/>
            <w:tcBorders>
              <w:top w:val="single" w:color="000000" w:sz="4" w:space="0"/>
              <w:left w:val="single" w:color="000000" w:sz="4" w:space="0"/>
              <w:bottom w:val="single" w:color="000000" w:sz="4" w:space="0"/>
              <w:right w:val="single" w:color="000000" w:sz="4" w:space="0"/>
            </w:tcBorders>
            <w:vAlign w:val="center"/>
          </w:tcPr>
          <w:p w14:paraId="7D99457B">
            <w:pPr>
              <w:widowControl/>
              <w:jc w:val="center"/>
              <w:rPr>
                <w:color w:val="auto"/>
                <w:sz w:val="20"/>
                <w:highlight w:val="none"/>
              </w:rPr>
            </w:pPr>
            <w:r>
              <w:rPr>
                <w:rFonts w:hint="eastAsia"/>
                <w:color w:val="auto"/>
                <w:sz w:val="20"/>
                <w:highlight w:val="none"/>
              </w:rPr>
              <w:t>机房托管维护</w:t>
            </w:r>
          </w:p>
        </w:tc>
        <w:tc>
          <w:tcPr>
            <w:tcW w:w="2561" w:type="dxa"/>
            <w:tcBorders>
              <w:top w:val="single" w:color="000000" w:sz="4" w:space="0"/>
              <w:left w:val="single" w:color="000000" w:sz="4" w:space="0"/>
              <w:bottom w:val="single" w:color="000000" w:sz="4" w:space="0"/>
              <w:right w:val="single" w:color="000000" w:sz="4" w:space="0"/>
            </w:tcBorders>
            <w:vAlign w:val="center"/>
          </w:tcPr>
          <w:p w14:paraId="2518A1D4">
            <w:pPr>
              <w:widowControl/>
              <w:jc w:val="center"/>
              <w:rPr>
                <w:color w:val="auto"/>
                <w:sz w:val="20"/>
                <w:highlight w:val="none"/>
              </w:rPr>
            </w:pPr>
            <w:r>
              <w:rPr>
                <w:rFonts w:hint="eastAsia"/>
                <w:color w:val="auto"/>
                <w:sz w:val="20"/>
                <w:highlight w:val="none"/>
              </w:rPr>
              <w:t>标准机房（含空调环孔、UPS）的维护</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06AED6B">
            <w:pPr>
              <w:widowControl/>
              <w:jc w:val="center"/>
              <w:rPr>
                <w:color w:val="auto"/>
                <w:sz w:val="20"/>
                <w:highlight w:val="none"/>
              </w:rPr>
            </w:pPr>
            <w:r>
              <w:rPr>
                <w:rFonts w:hint="eastAsia"/>
                <w:color w:val="auto"/>
                <w:sz w:val="20"/>
                <w:highlight w:val="none"/>
              </w:rPr>
              <w:t>套</w:t>
            </w:r>
          </w:p>
        </w:tc>
        <w:tc>
          <w:tcPr>
            <w:tcW w:w="1152" w:type="dxa"/>
            <w:tcBorders>
              <w:top w:val="single" w:color="000000" w:sz="4" w:space="0"/>
              <w:left w:val="single" w:color="000000" w:sz="4" w:space="0"/>
              <w:bottom w:val="single" w:color="000000" w:sz="4" w:space="0"/>
              <w:right w:val="single" w:color="000000" w:sz="4" w:space="0"/>
            </w:tcBorders>
            <w:noWrap/>
            <w:vAlign w:val="center"/>
          </w:tcPr>
          <w:p w14:paraId="7B5828E1">
            <w:pPr>
              <w:widowControl/>
              <w:jc w:val="center"/>
              <w:rPr>
                <w:color w:val="auto"/>
                <w:sz w:val="20"/>
                <w:highlight w:val="none"/>
              </w:rPr>
            </w:pPr>
            <w:r>
              <w:rPr>
                <w:rFonts w:hint="eastAsia"/>
                <w:color w:val="auto"/>
                <w:sz w:val="20"/>
                <w:highlight w:val="none"/>
              </w:rPr>
              <w:t>8</w:t>
            </w:r>
          </w:p>
        </w:tc>
        <w:tc>
          <w:tcPr>
            <w:tcW w:w="2340" w:type="dxa"/>
            <w:tcBorders>
              <w:top w:val="single" w:color="000000" w:sz="4" w:space="0"/>
              <w:left w:val="single" w:color="000000" w:sz="4" w:space="0"/>
              <w:bottom w:val="single" w:color="000000" w:sz="4" w:space="0"/>
              <w:right w:val="single" w:color="000000" w:sz="4" w:space="0"/>
            </w:tcBorders>
            <w:noWrap/>
            <w:vAlign w:val="center"/>
          </w:tcPr>
          <w:p w14:paraId="0D8803DF">
            <w:pPr>
              <w:jc w:val="center"/>
              <w:rPr>
                <w:color w:val="auto"/>
                <w:sz w:val="20"/>
                <w:highlight w:val="none"/>
              </w:rPr>
            </w:pPr>
          </w:p>
        </w:tc>
      </w:tr>
      <w:tr w14:paraId="7DF358C2">
        <w:tblPrEx>
          <w:tblCellMar>
            <w:top w:w="0" w:type="dxa"/>
            <w:left w:w="108" w:type="dxa"/>
            <w:bottom w:w="0" w:type="dxa"/>
            <w:right w:w="108" w:type="dxa"/>
          </w:tblCellMar>
        </w:tblPrEx>
        <w:trPr>
          <w:trHeight w:val="500" w:hRule="atLeast"/>
          <w:jc w:val="center"/>
        </w:trPr>
        <w:tc>
          <w:tcPr>
            <w:tcW w:w="792" w:type="dxa"/>
            <w:tcBorders>
              <w:top w:val="single" w:color="000000" w:sz="4" w:space="0"/>
              <w:left w:val="single" w:color="000000" w:sz="4" w:space="0"/>
              <w:bottom w:val="single" w:color="000000" w:sz="4" w:space="0"/>
              <w:right w:val="single" w:color="000000" w:sz="4" w:space="0"/>
            </w:tcBorders>
            <w:noWrap/>
            <w:vAlign w:val="center"/>
          </w:tcPr>
          <w:p w14:paraId="61C781A0">
            <w:pPr>
              <w:widowControl/>
              <w:jc w:val="center"/>
              <w:rPr>
                <w:color w:val="auto"/>
                <w:sz w:val="20"/>
                <w:highlight w:val="none"/>
              </w:rPr>
            </w:pPr>
            <w:r>
              <w:rPr>
                <w:rFonts w:hint="eastAsia"/>
                <w:color w:val="auto"/>
                <w:sz w:val="20"/>
                <w:highlight w:val="none"/>
              </w:rPr>
              <w:t>10</w:t>
            </w:r>
          </w:p>
        </w:tc>
        <w:tc>
          <w:tcPr>
            <w:tcW w:w="1651" w:type="dxa"/>
            <w:tcBorders>
              <w:top w:val="single" w:color="000000" w:sz="4" w:space="0"/>
              <w:left w:val="single" w:color="000000" w:sz="4" w:space="0"/>
              <w:bottom w:val="single" w:color="000000" w:sz="4" w:space="0"/>
              <w:right w:val="single" w:color="000000" w:sz="4" w:space="0"/>
            </w:tcBorders>
            <w:vAlign w:val="center"/>
          </w:tcPr>
          <w:p w14:paraId="40C8B0D1">
            <w:pPr>
              <w:widowControl/>
              <w:jc w:val="center"/>
              <w:rPr>
                <w:color w:val="auto"/>
                <w:sz w:val="20"/>
                <w:highlight w:val="none"/>
              </w:rPr>
            </w:pPr>
            <w:r>
              <w:rPr>
                <w:rFonts w:hint="eastAsia"/>
                <w:color w:val="auto"/>
                <w:sz w:val="20"/>
                <w:highlight w:val="none"/>
              </w:rPr>
              <w:t>线路资源</w:t>
            </w:r>
          </w:p>
        </w:tc>
        <w:tc>
          <w:tcPr>
            <w:tcW w:w="2561" w:type="dxa"/>
            <w:tcBorders>
              <w:top w:val="single" w:color="000000" w:sz="4" w:space="0"/>
              <w:left w:val="single" w:color="000000" w:sz="4" w:space="0"/>
              <w:bottom w:val="single" w:color="000000" w:sz="4" w:space="0"/>
              <w:right w:val="single" w:color="000000" w:sz="4" w:space="0"/>
            </w:tcBorders>
            <w:vAlign w:val="center"/>
          </w:tcPr>
          <w:p w14:paraId="2DD7113C">
            <w:pPr>
              <w:widowControl/>
              <w:jc w:val="center"/>
              <w:rPr>
                <w:color w:val="auto"/>
                <w:sz w:val="20"/>
                <w:highlight w:val="none"/>
              </w:rPr>
            </w:pPr>
            <w:r>
              <w:rPr>
                <w:rFonts w:hint="eastAsia"/>
                <w:color w:val="auto"/>
                <w:sz w:val="20"/>
                <w:highlight w:val="none"/>
              </w:rPr>
              <w:t>普通视频监控线路、违停和人脸抓拍线路、万兆线路等等</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5FD8FF2">
            <w:pPr>
              <w:widowControl/>
              <w:jc w:val="center"/>
              <w:rPr>
                <w:color w:val="auto"/>
                <w:sz w:val="20"/>
                <w:highlight w:val="none"/>
              </w:rPr>
            </w:pPr>
            <w:r>
              <w:rPr>
                <w:rFonts w:hint="eastAsia"/>
                <w:color w:val="auto"/>
                <w:sz w:val="20"/>
                <w:highlight w:val="none"/>
              </w:rPr>
              <w:t>条</w:t>
            </w:r>
          </w:p>
        </w:tc>
        <w:tc>
          <w:tcPr>
            <w:tcW w:w="1152" w:type="dxa"/>
            <w:tcBorders>
              <w:top w:val="single" w:color="000000" w:sz="4" w:space="0"/>
              <w:left w:val="single" w:color="000000" w:sz="4" w:space="0"/>
              <w:bottom w:val="single" w:color="000000" w:sz="4" w:space="0"/>
              <w:right w:val="single" w:color="000000" w:sz="4" w:space="0"/>
            </w:tcBorders>
            <w:noWrap/>
            <w:vAlign w:val="center"/>
          </w:tcPr>
          <w:p w14:paraId="594C0147">
            <w:pPr>
              <w:widowControl/>
              <w:jc w:val="center"/>
              <w:rPr>
                <w:color w:val="auto"/>
                <w:sz w:val="20"/>
                <w:highlight w:val="none"/>
              </w:rPr>
            </w:pPr>
            <w:r>
              <w:rPr>
                <w:rFonts w:hint="eastAsia"/>
                <w:color w:val="auto"/>
                <w:sz w:val="20"/>
                <w:highlight w:val="none"/>
              </w:rPr>
              <w:t>5442</w:t>
            </w:r>
          </w:p>
        </w:tc>
        <w:tc>
          <w:tcPr>
            <w:tcW w:w="2340" w:type="dxa"/>
            <w:tcBorders>
              <w:top w:val="single" w:color="000000" w:sz="4" w:space="0"/>
              <w:left w:val="single" w:color="000000" w:sz="4" w:space="0"/>
              <w:bottom w:val="single" w:color="000000" w:sz="4" w:space="0"/>
              <w:right w:val="single" w:color="000000" w:sz="4" w:space="0"/>
            </w:tcBorders>
            <w:noWrap/>
            <w:vAlign w:val="center"/>
          </w:tcPr>
          <w:p w14:paraId="36FC3F91">
            <w:pPr>
              <w:jc w:val="center"/>
              <w:rPr>
                <w:color w:val="auto"/>
                <w:sz w:val="20"/>
                <w:highlight w:val="none"/>
              </w:rPr>
            </w:pPr>
          </w:p>
        </w:tc>
      </w:tr>
    </w:tbl>
    <w:p w14:paraId="5B333880">
      <w:pPr>
        <w:spacing w:line="360" w:lineRule="auto"/>
        <w:ind w:firstLine="480"/>
        <w:rPr>
          <w:rFonts w:hint="eastAsia" w:hAnsi="宋体" w:cs="仿宋_GB2312"/>
          <w:color w:val="auto"/>
          <w:sz w:val="24"/>
          <w:szCs w:val="24"/>
          <w:highlight w:val="none"/>
        </w:rPr>
      </w:pPr>
      <w:r>
        <w:rPr>
          <w:rFonts w:hint="eastAsia" w:hAnsi="宋体" w:cs="仿宋_GB2312"/>
          <w:color w:val="auto"/>
          <w:sz w:val="24"/>
          <w:szCs w:val="24"/>
          <w:highlight w:val="none"/>
        </w:rPr>
        <w:t>由于设备使用年数较久；为确保故障第一时间能够修复；要求中标供应商提供主要核心设备备品备件：</w:t>
      </w:r>
    </w:p>
    <w:p w14:paraId="21F876D4">
      <w:pPr>
        <w:widowControl/>
        <w:ind w:firstLine="480" w:firstLineChars="200"/>
        <w:jc w:val="left"/>
        <w:rPr>
          <w:rFonts w:hint="eastAsia" w:hAnsi="宋体" w:cs="Arial"/>
          <w:b/>
          <w:bCs/>
          <w:color w:val="auto"/>
          <w:sz w:val="24"/>
          <w:highlight w:val="none"/>
        </w:rPr>
      </w:pPr>
      <w:r>
        <w:rPr>
          <w:rFonts w:hint="eastAsia" w:hAnsi="宋体" w:cs="仿宋_GB2312"/>
          <w:color w:val="auto"/>
          <w:sz w:val="24"/>
          <w:szCs w:val="24"/>
          <w:highlight w:val="none"/>
        </w:rPr>
        <w:t>监控备品备件技术参数要求：</w:t>
      </w:r>
    </w:p>
    <w:tbl>
      <w:tblPr>
        <w:tblStyle w:val="46"/>
        <w:tblW w:w="5000" w:type="pct"/>
        <w:jc w:val="center"/>
        <w:tblLayout w:type="autofit"/>
        <w:tblCellMar>
          <w:top w:w="0" w:type="dxa"/>
          <w:left w:w="108" w:type="dxa"/>
          <w:bottom w:w="0" w:type="dxa"/>
          <w:right w:w="108" w:type="dxa"/>
        </w:tblCellMar>
      </w:tblPr>
      <w:tblGrid>
        <w:gridCol w:w="837"/>
        <w:gridCol w:w="1454"/>
        <w:gridCol w:w="7846"/>
      </w:tblGrid>
      <w:tr w14:paraId="2C1E15FC">
        <w:tblPrEx>
          <w:tblCellMar>
            <w:top w:w="0" w:type="dxa"/>
            <w:left w:w="108" w:type="dxa"/>
            <w:bottom w:w="0" w:type="dxa"/>
            <w:right w:w="108" w:type="dxa"/>
          </w:tblCellMar>
        </w:tblPrEx>
        <w:trPr>
          <w:trHeight w:val="288" w:hRule="atLeast"/>
          <w:jc w:val="center"/>
        </w:trPr>
        <w:tc>
          <w:tcPr>
            <w:tcW w:w="413" w:type="pct"/>
            <w:tcBorders>
              <w:top w:val="single" w:color="000000" w:sz="4" w:space="0"/>
              <w:left w:val="single" w:color="000000" w:sz="4" w:space="0"/>
              <w:bottom w:val="single" w:color="000000" w:sz="4" w:space="0"/>
              <w:right w:val="single" w:color="000000" w:sz="4" w:space="0"/>
            </w:tcBorders>
            <w:shd w:val="clear" w:color="auto" w:fill="9BC2E6"/>
            <w:vAlign w:val="center"/>
          </w:tcPr>
          <w:p w14:paraId="668463B0">
            <w:pPr>
              <w:widowControl/>
              <w:spacing w:line="320" w:lineRule="exact"/>
              <w:jc w:val="center"/>
              <w:rPr>
                <w:rFonts w:hint="eastAsia" w:ascii="宋体" w:hAnsi="宋体" w:cs="宋体"/>
                <w:color w:val="auto"/>
                <w:sz w:val="20"/>
                <w:highlight w:val="none"/>
              </w:rPr>
            </w:pPr>
            <w:r>
              <w:rPr>
                <w:rFonts w:hint="eastAsia" w:ascii="宋体" w:hAnsi="宋体" w:cs="宋体"/>
                <w:color w:val="auto"/>
                <w:sz w:val="20"/>
                <w:highlight w:val="none"/>
              </w:rPr>
              <w:t>序号</w:t>
            </w:r>
          </w:p>
        </w:tc>
        <w:tc>
          <w:tcPr>
            <w:tcW w:w="717" w:type="pct"/>
            <w:tcBorders>
              <w:top w:val="single" w:color="000000" w:sz="4" w:space="0"/>
              <w:left w:val="single" w:color="000000" w:sz="4" w:space="0"/>
              <w:bottom w:val="single" w:color="000000" w:sz="4" w:space="0"/>
              <w:right w:val="single" w:color="000000" w:sz="4" w:space="0"/>
            </w:tcBorders>
            <w:shd w:val="clear" w:color="auto" w:fill="9BC2E6"/>
            <w:vAlign w:val="center"/>
          </w:tcPr>
          <w:p w14:paraId="2817FA2B">
            <w:pPr>
              <w:widowControl/>
              <w:spacing w:line="320" w:lineRule="exact"/>
              <w:jc w:val="center"/>
              <w:rPr>
                <w:rFonts w:hint="eastAsia" w:ascii="宋体" w:hAnsi="宋体" w:cs="宋体"/>
                <w:color w:val="auto"/>
                <w:sz w:val="20"/>
                <w:highlight w:val="none"/>
              </w:rPr>
            </w:pPr>
            <w:r>
              <w:rPr>
                <w:rFonts w:hint="eastAsia" w:ascii="宋体" w:hAnsi="宋体" w:cs="宋体"/>
                <w:color w:val="auto"/>
                <w:sz w:val="20"/>
                <w:highlight w:val="none"/>
              </w:rPr>
              <w:t>产品类别</w:t>
            </w:r>
          </w:p>
        </w:tc>
        <w:tc>
          <w:tcPr>
            <w:tcW w:w="3870" w:type="pct"/>
            <w:tcBorders>
              <w:top w:val="single" w:color="000000" w:sz="4" w:space="0"/>
              <w:left w:val="single" w:color="000000" w:sz="4" w:space="0"/>
              <w:bottom w:val="single" w:color="000000" w:sz="4" w:space="0"/>
              <w:right w:val="single" w:color="000000" w:sz="4" w:space="0"/>
            </w:tcBorders>
            <w:shd w:val="clear" w:color="auto" w:fill="9BC2E6"/>
            <w:vAlign w:val="center"/>
          </w:tcPr>
          <w:p w14:paraId="78FC3C53">
            <w:pPr>
              <w:widowControl/>
              <w:spacing w:line="320" w:lineRule="exact"/>
              <w:jc w:val="center"/>
              <w:rPr>
                <w:rFonts w:hint="eastAsia" w:ascii="宋体" w:hAnsi="宋体" w:cs="宋体"/>
                <w:color w:val="auto"/>
                <w:sz w:val="20"/>
                <w:highlight w:val="none"/>
              </w:rPr>
            </w:pPr>
            <w:r>
              <w:rPr>
                <w:rFonts w:hint="eastAsia" w:ascii="宋体" w:hAnsi="宋体" w:cs="宋体"/>
                <w:color w:val="auto"/>
                <w:sz w:val="20"/>
                <w:highlight w:val="none"/>
              </w:rPr>
              <w:t>技术规格</w:t>
            </w:r>
          </w:p>
        </w:tc>
      </w:tr>
      <w:tr w14:paraId="1F8B39E4">
        <w:tblPrEx>
          <w:tblCellMar>
            <w:top w:w="0" w:type="dxa"/>
            <w:left w:w="108" w:type="dxa"/>
            <w:bottom w:w="0" w:type="dxa"/>
            <w:right w:w="108" w:type="dxa"/>
          </w:tblCellMar>
        </w:tblPrEx>
        <w:trPr>
          <w:trHeight w:val="1378" w:hRule="atLeast"/>
          <w:jc w:val="center"/>
        </w:trPr>
        <w:tc>
          <w:tcPr>
            <w:tcW w:w="413" w:type="pct"/>
            <w:tcBorders>
              <w:top w:val="single" w:color="000000" w:sz="4" w:space="0"/>
              <w:left w:val="single" w:color="000000" w:sz="4" w:space="0"/>
              <w:bottom w:val="single" w:color="000000" w:sz="4" w:space="0"/>
              <w:right w:val="single" w:color="000000" w:sz="4" w:space="0"/>
            </w:tcBorders>
            <w:vAlign w:val="center"/>
          </w:tcPr>
          <w:p w14:paraId="56BEFEFE">
            <w:pPr>
              <w:widowControl/>
              <w:spacing w:line="320" w:lineRule="exact"/>
              <w:jc w:val="center"/>
              <w:rPr>
                <w:rFonts w:hint="eastAsia" w:ascii="宋体" w:hAnsi="宋体" w:cs="宋体"/>
                <w:color w:val="auto"/>
                <w:sz w:val="20"/>
                <w:highlight w:val="none"/>
              </w:rPr>
            </w:pPr>
            <w:r>
              <w:rPr>
                <w:rFonts w:hint="eastAsia" w:ascii="宋体" w:hAnsi="宋体" w:cs="宋体"/>
                <w:color w:val="auto"/>
                <w:sz w:val="20"/>
                <w:highlight w:val="none"/>
              </w:rPr>
              <w:t xml:space="preserve">1 </w:t>
            </w:r>
          </w:p>
        </w:tc>
        <w:tc>
          <w:tcPr>
            <w:tcW w:w="717" w:type="pct"/>
            <w:tcBorders>
              <w:top w:val="single" w:color="000000" w:sz="4" w:space="0"/>
              <w:left w:val="single" w:color="000000" w:sz="4" w:space="0"/>
              <w:bottom w:val="single" w:color="000000" w:sz="4" w:space="0"/>
              <w:right w:val="single" w:color="000000" w:sz="4" w:space="0"/>
            </w:tcBorders>
            <w:vAlign w:val="center"/>
          </w:tcPr>
          <w:p w14:paraId="0ED529AA">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高清球机</w:t>
            </w:r>
          </w:p>
        </w:tc>
        <w:tc>
          <w:tcPr>
            <w:tcW w:w="3870" w:type="pct"/>
            <w:tcBorders>
              <w:top w:val="single" w:color="000000" w:sz="4" w:space="0"/>
              <w:left w:val="single" w:color="000000" w:sz="4" w:space="0"/>
              <w:bottom w:val="single" w:color="000000" w:sz="4" w:space="0"/>
              <w:right w:val="single" w:color="000000" w:sz="4" w:space="0"/>
            </w:tcBorders>
            <w:vAlign w:val="center"/>
          </w:tcPr>
          <w:p w14:paraId="285CDB45">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视频输出支持1920×1080@25fps，分辨力不小于1100TVL，红外距离可达350米。</w:t>
            </w:r>
          </w:p>
          <w:p w14:paraId="03CC1FEA">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支持23倍光学变焦。</w:t>
            </w:r>
          </w:p>
          <w:p w14:paraId="3DBD71EE">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支持最低照度可达彩色0.0005Lux，黑白0.0001Lux。</w:t>
            </w:r>
          </w:p>
          <w:p w14:paraId="5538EDDC">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支持水平手控速度不小于550°/S，垂直速度不小于120°/S，云台定位精度小于等于0.1°。</w:t>
            </w:r>
          </w:p>
          <w:p w14:paraId="745A7E84">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水平旋转范围为360°连续旋转，垂直旋转范围为-20°~90°。</w:t>
            </w:r>
          </w:p>
          <w:p w14:paraId="142BE5A8">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支持250个预置位，可按照所设置的预置位完成不小于6条巡航路径，支持预置位视频冻结功能，可实现RS485接口优先或RJ45网络接口优先控制功能。</w:t>
            </w:r>
          </w:p>
          <w:p w14:paraId="42CDAD4B">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信噪比≥61dB，网络延时不大于100ms。</w:t>
            </w:r>
          </w:p>
          <w:p w14:paraId="56B03349">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动态范围不小于106dB，照度适应范围不小于138dB，宽动态能力综合得分不小于135。</w:t>
            </w:r>
          </w:p>
          <w:p w14:paraId="055752D6">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样机与客户端之间用150m五类非屏蔽网线直接连接，网络传输能力满足发送1000个数据包，重复测试3次，每次丢包数不大于2个。</w:t>
            </w:r>
          </w:p>
          <w:p w14:paraId="6B58ECF3">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具备较强的网络适应能力，在丢包率为20%的网络环境下，仍可正常显示监视画面。</w:t>
            </w:r>
          </w:p>
          <w:p w14:paraId="4811DBDE">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支持智能红外、透雾、强光抑制、电子防抖、数字降噪、防红外过曝功能。</w:t>
            </w:r>
          </w:p>
          <w:p w14:paraId="7497DA7F">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支持区域遮盖功能，支持设置不少于24个不规则四边形区域，可设置不同颜色，支持3D定位、断电记忆功能，支持IP地址访问控制功能，支持定时抓拍或报警联动抓图上传ftp功能。</w:t>
            </w:r>
          </w:p>
          <w:p w14:paraId="14121B71">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球机应具备本机存储功能，支持SD卡热插拔，最大支持256GB。</w:t>
            </w:r>
          </w:p>
          <w:p w14:paraId="54362622">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支持采用H.265、H.264视频编码标准，H.264编码支持Baseline/Main/HighProfile，音频编码支持G.711ulaw/G.711alaw/G.726/G.722.1。</w:t>
            </w:r>
          </w:p>
          <w:p w14:paraId="48A6637B">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支持三码流同时输出，主码流、第三码流同时支持1920×1200@60fps，1920×1080@60fps。</w:t>
            </w:r>
          </w:p>
          <w:p w14:paraId="28389FAD">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支持GB28181协议，支持标准Onvif协议。</w:t>
            </w:r>
          </w:p>
          <w:p w14:paraId="78BB6BB0">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支持区域入侵、越界入侵、徘徊、物品移除、物品遗留、人员聚集、停车，并联动报警。</w:t>
            </w:r>
          </w:p>
          <w:p w14:paraId="6364D30E">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具备较好的防护性能环境适应性，支持IP67，8kV防浪涌，工作温度范围可达-45℃-70℃。</w:t>
            </w:r>
          </w:p>
          <w:p w14:paraId="7D5A5420">
            <w:pPr>
              <w:widowControl/>
              <w:spacing w:line="320" w:lineRule="exact"/>
              <w:rPr>
                <w:rFonts w:hint="eastAsia" w:ascii="宋体" w:hAnsi="宋体" w:cs="宋体"/>
                <w:color w:val="auto"/>
                <w:sz w:val="20"/>
                <w:highlight w:val="none"/>
              </w:rPr>
            </w:pPr>
            <w:r>
              <w:rPr>
                <w:rFonts w:hint="eastAsia" w:ascii="宋体" w:hAnsi="宋体" w:cs="宋体"/>
                <w:color w:val="auto"/>
                <w:sz w:val="20"/>
                <w:highlight w:val="none"/>
              </w:rPr>
              <w:t>具备较好的电源适应性，电压在AC24V±30%或DC24V±30%范围内变化时，设备可正常工作。</w:t>
            </w:r>
          </w:p>
        </w:tc>
      </w:tr>
      <w:tr w14:paraId="00789A98">
        <w:tblPrEx>
          <w:tblCellMar>
            <w:top w:w="0" w:type="dxa"/>
            <w:left w:w="108" w:type="dxa"/>
            <w:bottom w:w="0" w:type="dxa"/>
            <w:right w:w="108" w:type="dxa"/>
          </w:tblCellMar>
        </w:tblPrEx>
        <w:trPr>
          <w:trHeight w:val="90" w:hRule="atLeast"/>
          <w:jc w:val="center"/>
        </w:trPr>
        <w:tc>
          <w:tcPr>
            <w:tcW w:w="413" w:type="pct"/>
            <w:tcBorders>
              <w:top w:val="single" w:color="000000" w:sz="4" w:space="0"/>
              <w:left w:val="single" w:color="000000" w:sz="4" w:space="0"/>
              <w:bottom w:val="single" w:color="000000" w:sz="4" w:space="0"/>
              <w:right w:val="single" w:color="000000" w:sz="4" w:space="0"/>
            </w:tcBorders>
            <w:vAlign w:val="center"/>
          </w:tcPr>
          <w:p w14:paraId="7AE597DA">
            <w:pPr>
              <w:widowControl/>
              <w:spacing w:line="320" w:lineRule="exact"/>
              <w:jc w:val="center"/>
              <w:rPr>
                <w:rFonts w:hint="eastAsia" w:ascii="宋体" w:hAnsi="宋体" w:cs="宋体"/>
                <w:color w:val="auto"/>
                <w:sz w:val="20"/>
                <w:highlight w:val="none"/>
              </w:rPr>
            </w:pPr>
            <w:r>
              <w:rPr>
                <w:rFonts w:hint="eastAsia" w:ascii="宋体" w:hAnsi="宋体" w:cs="宋体"/>
                <w:color w:val="auto"/>
                <w:sz w:val="20"/>
                <w:highlight w:val="none"/>
              </w:rPr>
              <w:t xml:space="preserve">2 </w:t>
            </w:r>
          </w:p>
        </w:tc>
        <w:tc>
          <w:tcPr>
            <w:tcW w:w="717" w:type="pct"/>
            <w:tcBorders>
              <w:top w:val="single" w:color="000000" w:sz="4" w:space="0"/>
              <w:left w:val="single" w:color="000000" w:sz="4" w:space="0"/>
              <w:bottom w:val="single" w:color="000000" w:sz="4" w:space="0"/>
              <w:right w:val="single" w:color="000000" w:sz="4" w:space="0"/>
            </w:tcBorders>
            <w:vAlign w:val="center"/>
          </w:tcPr>
          <w:p w14:paraId="78CA2818">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高清枪机</w:t>
            </w:r>
          </w:p>
        </w:tc>
        <w:tc>
          <w:tcPr>
            <w:tcW w:w="3870" w:type="pct"/>
            <w:tcBorders>
              <w:top w:val="single" w:color="000000" w:sz="4" w:space="0"/>
              <w:left w:val="single" w:color="000000" w:sz="4" w:space="0"/>
              <w:bottom w:val="single" w:color="000000" w:sz="4" w:space="0"/>
              <w:right w:val="single" w:color="000000" w:sz="4" w:space="0"/>
            </w:tcBorders>
            <w:vAlign w:val="center"/>
          </w:tcPr>
          <w:p w14:paraId="161ECEEA">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具有不小于1/1.8"靶面尺寸。</w:t>
            </w:r>
          </w:p>
          <w:p w14:paraId="19C927B8">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内置GPU芯片。</w:t>
            </w:r>
          </w:p>
          <w:p w14:paraId="6D66446B">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内置1颗不小于8GB EMMC存储芯片。</w:t>
            </w:r>
          </w:p>
          <w:p w14:paraId="436F870E">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镜头光圈大小为F1.0。</w:t>
            </w:r>
          </w:p>
          <w:p w14:paraId="61EF230F">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内置1个麦克风，支持双向语音对讲功能。</w:t>
            </w:r>
          </w:p>
          <w:p w14:paraId="213033F6">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最大支持分辨率2560*1440、帧率在1fps~30fps可调。</w:t>
            </w:r>
          </w:p>
          <w:p w14:paraId="3DE52D4E">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网络断开后，样机可将视音频录像存储至内置的存储中，且存储码流可自动转换为1280*720、15fps；当网络恢复后，样机可自动从网络断开的时刻上传存储的视音频录像。</w:t>
            </w:r>
          </w:p>
          <w:p w14:paraId="1194E989">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支持区域入侵侦测、越界侦测、进入区域侦测、离开区域侦测，每种智能周界事件可设置3个警戒区域；并独立布撤防，布撤防时间可单独设置（7*24h），联动方式单独设置。</w:t>
            </w:r>
          </w:p>
          <w:p w14:paraId="1AFE40FE">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正常工作条件下，工作4h后，可触及零部件的温度不应超过该部件的允许温升值。</w:t>
            </w:r>
          </w:p>
          <w:p w14:paraId="552F0F18">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具有低温低气压适应性，可在不高于-45℃和气压70kPa环境下正常工作，最低照度彩色：0.0002 lx，黑白:0.0001 lx。</w:t>
            </w:r>
          </w:p>
          <w:p w14:paraId="51C93ACE">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同一场景下相同图像质量下设备在H.264或H.265编码方式时，开启智能编码功能和不开启智能编码相比，码流节约80%。</w:t>
            </w:r>
          </w:p>
        </w:tc>
      </w:tr>
      <w:tr w14:paraId="7B1CCBB3">
        <w:tblPrEx>
          <w:tblCellMar>
            <w:top w:w="0" w:type="dxa"/>
            <w:left w:w="108" w:type="dxa"/>
            <w:bottom w:w="0" w:type="dxa"/>
            <w:right w:w="108" w:type="dxa"/>
          </w:tblCellMar>
        </w:tblPrEx>
        <w:trPr>
          <w:trHeight w:val="2276" w:hRule="atLeast"/>
          <w:jc w:val="center"/>
        </w:trPr>
        <w:tc>
          <w:tcPr>
            <w:tcW w:w="413" w:type="pct"/>
            <w:tcBorders>
              <w:top w:val="single" w:color="000000" w:sz="4" w:space="0"/>
              <w:left w:val="single" w:color="000000" w:sz="4" w:space="0"/>
              <w:bottom w:val="single" w:color="000000" w:sz="4" w:space="0"/>
              <w:right w:val="single" w:color="000000" w:sz="4" w:space="0"/>
            </w:tcBorders>
            <w:vAlign w:val="center"/>
          </w:tcPr>
          <w:p w14:paraId="15A15A65">
            <w:pPr>
              <w:widowControl/>
              <w:spacing w:line="320" w:lineRule="exact"/>
              <w:jc w:val="center"/>
              <w:rPr>
                <w:rFonts w:hint="eastAsia" w:ascii="宋体" w:hAnsi="宋体" w:cs="宋体"/>
                <w:color w:val="auto"/>
                <w:sz w:val="20"/>
                <w:highlight w:val="none"/>
              </w:rPr>
            </w:pPr>
            <w:r>
              <w:rPr>
                <w:rFonts w:hint="eastAsia" w:ascii="宋体" w:hAnsi="宋体" w:cs="宋体"/>
                <w:color w:val="auto"/>
                <w:sz w:val="20"/>
                <w:highlight w:val="none"/>
              </w:rPr>
              <w:t xml:space="preserve">3 </w:t>
            </w:r>
          </w:p>
        </w:tc>
        <w:tc>
          <w:tcPr>
            <w:tcW w:w="717" w:type="pct"/>
            <w:tcBorders>
              <w:top w:val="single" w:color="000000" w:sz="4" w:space="0"/>
              <w:left w:val="single" w:color="000000" w:sz="4" w:space="0"/>
              <w:bottom w:val="single" w:color="000000" w:sz="4" w:space="0"/>
              <w:right w:val="single" w:color="000000" w:sz="4" w:space="0"/>
            </w:tcBorders>
            <w:vAlign w:val="center"/>
          </w:tcPr>
          <w:p w14:paraId="2852E1E6">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300万抓拍摄像机</w:t>
            </w:r>
          </w:p>
        </w:tc>
        <w:tc>
          <w:tcPr>
            <w:tcW w:w="3870" w:type="pct"/>
            <w:tcBorders>
              <w:top w:val="single" w:color="000000" w:sz="4" w:space="0"/>
              <w:left w:val="single" w:color="000000" w:sz="4" w:space="0"/>
              <w:bottom w:val="single" w:color="000000" w:sz="4" w:space="0"/>
              <w:right w:val="single" w:color="000000" w:sz="4" w:space="0"/>
            </w:tcBorders>
            <w:vAlign w:val="center"/>
          </w:tcPr>
          <w:p w14:paraId="2F6FE463">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包含高清一体化嵌入式摄像机、高清镜头、室外防护罩、相机内置网络信号防雷器、电源适配器等。</w:t>
            </w:r>
          </w:p>
          <w:p w14:paraId="5B25A507">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图像传感器：采用1/1.8英寸GMOS。</w:t>
            </w:r>
          </w:p>
          <w:p w14:paraId="1CD91652">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设备应采用深度学习芯片。</w:t>
            </w:r>
          </w:p>
          <w:p w14:paraId="66B0FD73">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最大图像尺寸：2064*1544（不含OSD叠加），最大可支持2064*2056（含OSD叠加）。</w:t>
            </w:r>
          </w:p>
          <w:p w14:paraId="3B3A78AA">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视频帧率：在1～50fps可调。</w:t>
            </w:r>
          </w:p>
          <w:p w14:paraId="591E2D31">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视频压缩支持H.265、H.264、M-JPEG。</w:t>
            </w:r>
          </w:p>
          <w:p w14:paraId="6C1B492E">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分辨力：彩色≥1400TVL。</w:t>
            </w:r>
          </w:p>
          <w:p w14:paraId="3E0686B2">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支持专业场景模式设置功能，包括普通道路、高速路、园区、隧道、人车混行、高速票停卡口多种道路场景抓拍模式。</w:t>
            </w:r>
          </w:p>
          <w:p w14:paraId="5174A9D2">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支持安全接入功能，开启此功能后，设备只能被管理平台控制，不能通过其他方式登录或者控制设备。</w:t>
            </w:r>
          </w:p>
          <w:p w14:paraId="7A8681C8">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设备可支持30种车型识别（包括：大型普通客车、大型双层客车、大型专用校车、重型特殊结构货车、轮式平底机械、轮式挖掘机械、轮式装载机械、普通二轮摩托车、轻便侧三轮摩托车、轻便正三轮载货摩托车、轻便正三轮载客摩托车、轻便普通货车、微型轿车、大型无轨电车、小型轿车、小型面包车、中型罐式货车、中型普通客车、中型平板半挂车、中型平板货车、中型普通半挂车、中型普通货车、中型厢式半挂车、中型厢式货车、重型车辆运输车、重型集装箱车、重型集装箱车挂车、重型普通货车、重型普通全挂车、重型厢式货车），白天识别准确率≥97%，夜晚识别准确率≥95%。</w:t>
            </w:r>
          </w:p>
          <w:p w14:paraId="797FF345">
            <w:pPr>
              <w:widowControl/>
              <w:spacing w:line="320" w:lineRule="exact"/>
              <w:jc w:val="left"/>
              <w:rPr>
                <w:rFonts w:hint="eastAsia" w:ascii="宋体" w:hAnsi="宋体" w:cs="宋体"/>
                <w:b/>
                <w:color w:val="auto"/>
                <w:sz w:val="20"/>
                <w:highlight w:val="none"/>
              </w:rPr>
            </w:pPr>
            <w:r>
              <w:rPr>
                <w:rFonts w:hint="eastAsia" w:ascii="宋体" w:hAnsi="宋体" w:cs="宋体"/>
                <w:color w:val="auto"/>
                <w:sz w:val="20"/>
                <w:highlight w:val="none"/>
              </w:rPr>
              <w:t>设备可识别351种机动车品牌标志，白天识别准确率≥99%，夜晚识别准确率≥99%，可对设定区域内的天窗开启露出人部分身体、未交替让行、双车挤入单车道等行为进行图片抓拍。</w:t>
            </w:r>
          </w:p>
          <w:p w14:paraId="549A2586">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识别车头6600种车辆子品牌，车尾3600种车辆子品牌，在天气晴朗无雾，号牌无遮挡、无污损，白天环境光照度不低于200lx，晚上辅助光照度不高于30lx的条件下测试，白天识别准确率均98%，白晚上的识别准确率均≥96%。</w:t>
            </w:r>
          </w:p>
          <w:p w14:paraId="32826BEE">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支持对设定区域内的机动车、非机动车是否悬挂车牌的情况进行检测并显示。</w:t>
            </w:r>
          </w:p>
          <w:p w14:paraId="6B5332BF">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设备可对监控画面中非机动车车牌进行检测和识别，并将识别结果叠加在OSD上进行显示。</w:t>
            </w:r>
          </w:p>
          <w:p w14:paraId="019B27E1">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在IE浏览器下，应具有白平衡模式设置选项并可对10种白平衡模式进行选择。</w:t>
            </w:r>
          </w:p>
          <w:p w14:paraId="1E9F84E7">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支持可对监控画面中经过行人道未减速至设定阈值的机动车进行图片抓拍。</w:t>
            </w:r>
          </w:p>
          <w:p w14:paraId="3F23BA05">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设备可对视频画面中高度超过设定阈值的车辆进行检测并抓拍图片。</w:t>
            </w:r>
          </w:p>
          <w:p w14:paraId="2C7D4BA6">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可显示设定区域内各像素点的RGB分量值。</w:t>
            </w:r>
          </w:p>
          <w:p w14:paraId="13954147">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可通过IE浏览器设置人脸抓拍模式为最佳抓拍模式/快速抓拍模式；在最佳抓拍模式时，可设置抓拍次数、抓拍帧数间隔及抓拍阈值，次数可设置为1次~8次，间隔帧数可设置为1帧~250帧，抓拍阈值可设置为0~15。</w:t>
            </w:r>
          </w:p>
          <w:p w14:paraId="5B36D7AE">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设备可检测并抓拍喜、怒、哀、乐四种表情的人脸；可对监视画面汇总不小于40个人脸进行检测、跟踪和抓拍，并可将抓拍图片上传服务器 。</w:t>
            </w:r>
          </w:p>
          <w:p w14:paraId="7E3799C1">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开启混合抓拍模式后，设备支持正面/侧面/背面行人（包括成年人和儿童）的抓拍；支持对骑自行车、骑三轮车、骑电动车、踩平衡车、骑车带人等非机动车的抓拍；支持对轿车、客车、面包车、货车、卡车、摩托车等机动车的抓拍。</w:t>
            </w:r>
          </w:p>
          <w:p w14:paraId="34D8D3EF">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设备支持人脸区域自动曝光，可根据人脸区域和光照变化自动调节人脸区域曝光参数；可通过IE浏览器设置人脸自动曝光的参考亮度、最短持续时间和人脸过滤时间。</w:t>
            </w:r>
          </w:p>
          <w:p w14:paraId="45FA2073">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支持节假日/工作日按时间段或者全天方式限行，支持车牌号按单双号/任意尾号进行限行，支持时间和车牌号自定义组合规则进行限行。</w:t>
            </w:r>
          </w:p>
          <w:p w14:paraId="41738EC4">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支持对高速跟车过近进行检测抓拍。</w:t>
            </w:r>
          </w:p>
          <w:p w14:paraId="6F31EBE2">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在相同图像质量下，使用H.265/H.264编码格式开启智能编码模式后，平均码率可节省约85%。</w:t>
            </w:r>
          </w:p>
          <w:p w14:paraId="5374CA96">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支持多拍过滤功能，可设置多拍过滤时间段为0-320000ms，在此时间段内多次经过的车辆只抓拍一次。</w:t>
            </w:r>
          </w:p>
          <w:p w14:paraId="0E5B57DA">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支持设置多帧识别功能开启/关闭。</w:t>
            </w:r>
          </w:p>
        </w:tc>
      </w:tr>
      <w:tr w14:paraId="68678AA2">
        <w:tblPrEx>
          <w:tblCellMar>
            <w:top w:w="0" w:type="dxa"/>
            <w:left w:w="108" w:type="dxa"/>
            <w:bottom w:w="0" w:type="dxa"/>
            <w:right w:w="108" w:type="dxa"/>
          </w:tblCellMar>
        </w:tblPrEx>
        <w:trPr>
          <w:trHeight w:val="503" w:hRule="atLeast"/>
          <w:jc w:val="center"/>
        </w:trPr>
        <w:tc>
          <w:tcPr>
            <w:tcW w:w="413" w:type="pct"/>
            <w:tcBorders>
              <w:top w:val="single" w:color="000000" w:sz="4" w:space="0"/>
              <w:left w:val="single" w:color="000000" w:sz="4" w:space="0"/>
              <w:bottom w:val="single" w:color="000000" w:sz="4" w:space="0"/>
              <w:right w:val="single" w:color="000000" w:sz="4" w:space="0"/>
            </w:tcBorders>
            <w:vAlign w:val="center"/>
          </w:tcPr>
          <w:p w14:paraId="6140CD72">
            <w:pPr>
              <w:widowControl/>
              <w:spacing w:line="320" w:lineRule="exact"/>
              <w:jc w:val="center"/>
              <w:rPr>
                <w:rFonts w:hint="eastAsia" w:ascii="宋体" w:hAnsi="宋体" w:cs="宋体"/>
                <w:color w:val="auto"/>
                <w:sz w:val="20"/>
                <w:highlight w:val="none"/>
              </w:rPr>
            </w:pPr>
            <w:r>
              <w:rPr>
                <w:rFonts w:hint="eastAsia" w:ascii="宋体" w:hAnsi="宋体" w:cs="宋体"/>
                <w:color w:val="auto"/>
                <w:sz w:val="20"/>
                <w:highlight w:val="none"/>
              </w:rPr>
              <w:t xml:space="preserve">4 </w:t>
            </w:r>
          </w:p>
        </w:tc>
        <w:tc>
          <w:tcPr>
            <w:tcW w:w="717" w:type="pct"/>
            <w:tcBorders>
              <w:top w:val="single" w:color="000000" w:sz="4" w:space="0"/>
              <w:left w:val="single" w:color="000000" w:sz="4" w:space="0"/>
              <w:bottom w:val="single" w:color="000000" w:sz="4" w:space="0"/>
              <w:right w:val="single" w:color="000000" w:sz="4" w:space="0"/>
            </w:tcBorders>
            <w:vAlign w:val="center"/>
          </w:tcPr>
          <w:p w14:paraId="17ABD33B">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700万抓拍摄像机</w:t>
            </w:r>
          </w:p>
        </w:tc>
        <w:tc>
          <w:tcPr>
            <w:tcW w:w="3870" w:type="pct"/>
            <w:tcBorders>
              <w:top w:val="single" w:color="000000" w:sz="4" w:space="0"/>
              <w:left w:val="single" w:color="000000" w:sz="4" w:space="0"/>
              <w:bottom w:val="single" w:color="000000" w:sz="4" w:space="0"/>
              <w:right w:val="single" w:color="000000" w:sz="4" w:space="0"/>
            </w:tcBorders>
            <w:vAlign w:val="center"/>
          </w:tcPr>
          <w:p w14:paraId="652DAE06">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包含高清一体化嵌入式摄像机、高清镜头、室外防护罩、相机内置网络信号防雷器、电源适配器等。</w:t>
            </w:r>
          </w:p>
          <w:p w14:paraId="5B874D89">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图像传感器：采用1英寸GMOS。</w:t>
            </w:r>
          </w:p>
          <w:p w14:paraId="0AE3EEB9">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设备应采用深度学习芯片。</w:t>
            </w:r>
          </w:p>
          <w:p w14:paraId="70EC7A16">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支持主码流同时输出不少于30路4096×2160、2Mbps的25帧/s图像以提供客户端浏览。</w:t>
            </w:r>
          </w:p>
          <w:p w14:paraId="02D9EA73">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最大图像尺寸：≥4096×2160像素；字符叠加时最大可支持4096×2800。</w:t>
            </w:r>
          </w:p>
          <w:p w14:paraId="0A1D94AF">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视频帧率：在1～25fps可调。</w:t>
            </w:r>
          </w:p>
          <w:p w14:paraId="13569BD6">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支持在25%丢包率的网络环境下，正常显示监控画面。</w:t>
            </w:r>
          </w:p>
          <w:p w14:paraId="7A15FD25">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视频压缩支持H.265、H.264、M-JPEG。</w:t>
            </w:r>
          </w:p>
          <w:p w14:paraId="7D22305E">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支持车辆捕获抓拍功能，在天气晴朗无雾，号牌无遮挡、无污损，白天环境光照度不低于200lx，晚上辅助光照度不高于30lx的条件下测试，白天和晚上的捕获率均≥99%。</w:t>
            </w:r>
          </w:p>
          <w:p w14:paraId="160B27F8">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支持车牌识别功能，在天气晴朗无雾，号牌无遮挡、无污损，白天环境光照度不低于200lx，晚上辅助光照度不高于30lx的条件下测试，白天和晚上的识别准确率均≥99%。</w:t>
            </w:r>
          </w:p>
          <w:p w14:paraId="11813AC4">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支持异常车牌检测功能，可对故意遮挡及污损车牌进行判断和识别。</w:t>
            </w:r>
          </w:p>
          <w:p w14:paraId="70D6FF45">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支持车辆子品牌识别功能，通过车头可识别7100种，通过车尾可识别3800种，全天识别准确率不低于99%。</w:t>
            </w:r>
          </w:p>
          <w:p w14:paraId="7482CADD">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识别43种车型，包括轻型普通货车、轻型厢式货车、轻型平板货车、微型轿车、小型轿车、小型客车、小型越野客车、小型面包车、中型罐式货车、中型仓栅式货车、中型普通货车、中型普通半挂车、中型普通客车、中型平板货车、中型牵引车、中型厢式货车、中型厢式半挂车、中型特殊结构货车、中型平板半挂车、重型特殊结构货车、重型罐式挂车、重型普通货车、重型牵引力车、重型多结构货车、重型厢式挂车、重型车辆运输车，重型集装箱车，重型集装箱车挂车、重型普通全挂车、重型厢式货车、大型无轨电车、大型普通客车、大型双层客车、大型专用校车、专用客车、大型专项作业车、轮式平地机械，轮式挖掘机械，轮式装载机械，普通二轮摩托车，轻便侧三轮摩托车，轻便正三轮载货摩托车，轻便正三轮载客摩托车。</w:t>
            </w:r>
          </w:p>
          <w:p w14:paraId="35CB8DE6">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支持检出两眼瞳距13像素点以上的人脸图片。</w:t>
            </w:r>
          </w:p>
          <w:p w14:paraId="48473DD3">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支持检测并跟踪指定区域内160个目标（机动车、非机动车及行人）。</w:t>
            </w:r>
          </w:p>
          <w:p w14:paraId="2A4A791C">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宽动态能力≥120dB。</w:t>
            </w:r>
          </w:p>
          <w:p w14:paraId="21034EBF">
            <w:pPr>
              <w:widowControl/>
              <w:spacing w:line="320" w:lineRule="exact"/>
              <w:jc w:val="left"/>
              <w:rPr>
                <w:rFonts w:hint="eastAsia" w:ascii="宋体" w:hAnsi="宋体" w:cs="宋体"/>
                <w:b/>
                <w:color w:val="auto"/>
                <w:sz w:val="20"/>
                <w:highlight w:val="none"/>
              </w:rPr>
            </w:pPr>
            <w:r>
              <w:rPr>
                <w:rFonts w:hint="eastAsia" w:ascii="宋体" w:hAnsi="宋体" w:cs="宋体"/>
                <w:color w:val="auto"/>
                <w:sz w:val="20"/>
                <w:highlight w:val="none"/>
              </w:rPr>
              <w:t>支持车标识别功能，数据库中包含410种车标信息，白天和晚上的识别率均不低于99%。</w:t>
            </w:r>
          </w:p>
          <w:p w14:paraId="062202D3">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支持景深扩展模式设置功能。</w:t>
            </w:r>
          </w:p>
          <w:p w14:paraId="266FC421">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支持重瞳设置选项，开启后可自动调节优化画面中人脸和车牌区域的曝光。</w:t>
            </w:r>
          </w:p>
          <w:p w14:paraId="6976916E">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支持不少于14种车身颜色识别，包括黑、白、灰、红、绿、蓝、黄、粉、紫、棕、青、金、橙、银灰。</w:t>
            </w:r>
          </w:p>
          <w:p w14:paraId="1F8090C9">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支持抓图叠加OSD黑边，最大分辨率可达：4096×4296。</w:t>
            </w:r>
          </w:p>
          <w:p w14:paraId="4FE82DB1">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支持直流5V-24V电源输入，支持交流20V-320V电源同步。</w:t>
            </w:r>
          </w:p>
        </w:tc>
      </w:tr>
      <w:tr w14:paraId="28955571">
        <w:tblPrEx>
          <w:tblCellMar>
            <w:top w:w="0" w:type="dxa"/>
            <w:left w:w="108" w:type="dxa"/>
            <w:bottom w:w="0" w:type="dxa"/>
            <w:right w:w="108" w:type="dxa"/>
          </w:tblCellMar>
        </w:tblPrEx>
        <w:trPr>
          <w:trHeight w:val="699" w:hRule="atLeast"/>
          <w:jc w:val="center"/>
        </w:trPr>
        <w:tc>
          <w:tcPr>
            <w:tcW w:w="413" w:type="pct"/>
            <w:tcBorders>
              <w:top w:val="single" w:color="000000" w:sz="4" w:space="0"/>
              <w:left w:val="single" w:color="000000" w:sz="4" w:space="0"/>
              <w:bottom w:val="single" w:color="000000" w:sz="4" w:space="0"/>
              <w:right w:val="single" w:color="000000" w:sz="4" w:space="0"/>
            </w:tcBorders>
            <w:vAlign w:val="center"/>
          </w:tcPr>
          <w:p w14:paraId="19B25E2F">
            <w:pPr>
              <w:widowControl/>
              <w:spacing w:line="320" w:lineRule="exact"/>
              <w:jc w:val="center"/>
              <w:rPr>
                <w:rFonts w:hint="eastAsia" w:ascii="宋体" w:hAnsi="宋体" w:cs="宋体"/>
                <w:color w:val="auto"/>
                <w:sz w:val="20"/>
                <w:highlight w:val="none"/>
              </w:rPr>
            </w:pPr>
            <w:r>
              <w:rPr>
                <w:rFonts w:hint="eastAsia" w:ascii="宋体" w:hAnsi="宋体" w:cs="宋体"/>
                <w:color w:val="auto"/>
                <w:sz w:val="20"/>
                <w:highlight w:val="none"/>
              </w:rPr>
              <w:t xml:space="preserve">5 </w:t>
            </w:r>
          </w:p>
        </w:tc>
        <w:tc>
          <w:tcPr>
            <w:tcW w:w="717" w:type="pct"/>
            <w:tcBorders>
              <w:top w:val="single" w:color="000000" w:sz="4" w:space="0"/>
              <w:left w:val="single" w:color="000000" w:sz="4" w:space="0"/>
              <w:bottom w:val="single" w:color="000000" w:sz="4" w:space="0"/>
              <w:right w:val="single" w:color="000000" w:sz="4" w:space="0"/>
            </w:tcBorders>
            <w:vAlign w:val="center"/>
          </w:tcPr>
          <w:p w14:paraId="0F37CA4D">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高空摄像机</w:t>
            </w:r>
          </w:p>
        </w:tc>
        <w:tc>
          <w:tcPr>
            <w:tcW w:w="3870" w:type="pct"/>
            <w:tcBorders>
              <w:top w:val="single" w:color="000000" w:sz="4" w:space="0"/>
              <w:left w:val="single" w:color="000000" w:sz="4" w:space="0"/>
              <w:bottom w:val="single" w:color="000000" w:sz="4" w:space="0"/>
              <w:right w:val="single" w:color="000000" w:sz="4" w:space="0"/>
            </w:tcBorders>
            <w:vAlign w:val="center"/>
          </w:tcPr>
          <w:p w14:paraId="5A99136A">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设备支持水平旋转范围为360°连续旋转，垂直旋转范围为-20°~90°。</w:t>
            </w:r>
          </w:p>
          <w:p w14:paraId="1735F0A4">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设备运动结束静止时，其水平和垂直角度方向受到外力作用发生偏移时，能够检测角度改变并产生报警信息，报警信息可在OSD上叠加。设备具备偏移自动校正功能。设备运动结束静止时，其水平和垂直角度方向受到外力作用发生偏移时，设备可进行偏移自动校正，校正后与原位置偏差角度应不大于0.05°。</w:t>
            </w:r>
          </w:p>
          <w:p w14:paraId="0C0969D0">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设备可对监控画面中不小于40个人脸进行检测、跟踪和抓拍。</w:t>
            </w:r>
          </w:p>
          <w:p w14:paraId="5121469F">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支持对镜头前玻璃进行加热，去除玻璃上的冰状和水附着物。</w:t>
            </w:r>
          </w:p>
          <w:p w14:paraId="4DFF2DF0">
            <w:pPr>
              <w:widowControl/>
              <w:spacing w:line="320" w:lineRule="exact"/>
              <w:jc w:val="left"/>
              <w:rPr>
                <w:rFonts w:hint="eastAsia" w:ascii="宋体" w:hAnsi="宋体" w:cs="宋体"/>
                <w:b/>
                <w:color w:val="auto"/>
                <w:sz w:val="20"/>
                <w:highlight w:val="none"/>
              </w:rPr>
            </w:pPr>
            <w:r>
              <w:rPr>
                <w:rFonts w:hint="eastAsia" w:ascii="宋体" w:hAnsi="宋体" w:cs="宋体"/>
                <w:color w:val="auto"/>
                <w:sz w:val="20"/>
                <w:highlight w:val="none"/>
              </w:rPr>
              <w:t>设备支持人脸区域自动曝光，可根据人脸区域和光照变化自动调节人脸区域曝光参数</w:t>
            </w:r>
            <w:r>
              <w:rPr>
                <w:rFonts w:hint="eastAsia" w:ascii="宋体" w:hAnsi="宋体" w:cs="宋体"/>
                <w:b/>
                <w:color w:val="auto"/>
                <w:sz w:val="20"/>
                <w:highlight w:val="none"/>
              </w:rPr>
              <w:t>。</w:t>
            </w:r>
          </w:p>
          <w:p w14:paraId="3D9D2BCE">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支持7路报警输入接口，2路报警输出接口，支持1路音频输入和输出接口。最大支持512GB的SD卡。</w:t>
            </w:r>
          </w:p>
        </w:tc>
      </w:tr>
      <w:tr w14:paraId="0AD28F02">
        <w:tblPrEx>
          <w:tblCellMar>
            <w:top w:w="0" w:type="dxa"/>
            <w:left w:w="108" w:type="dxa"/>
            <w:bottom w:w="0" w:type="dxa"/>
            <w:right w:w="108" w:type="dxa"/>
          </w:tblCellMar>
        </w:tblPrEx>
        <w:trPr>
          <w:trHeight w:val="1533" w:hRule="atLeast"/>
          <w:jc w:val="center"/>
        </w:trPr>
        <w:tc>
          <w:tcPr>
            <w:tcW w:w="413" w:type="pct"/>
            <w:tcBorders>
              <w:top w:val="single" w:color="000000" w:sz="4" w:space="0"/>
              <w:left w:val="single" w:color="000000" w:sz="4" w:space="0"/>
              <w:bottom w:val="single" w:color="000000" w:sz="4" w:space="0"/>
              <w:right w:val="single" w:color="000000" w:sz="4" w:space="0"/>
            </w:tcBorders>
            <w:vAlign w:val="center"/>
          </w:tcPr>
          <w:p w14:paraId="12F4EF88">
            <w:pPr>
              <w:widowControl/>
              <w:spacing w:line="320" w:lineRule="exact"/>
              <w:jc w:val="center"/>
              <w:rPr>
                <w:rFonts w:hint="eastAsia" w:ascii="宋体" w:hAnsi="宋体" w:cs="宋体"/>
                <w:color w:val="auto"/>
                <w:sz w:val="20"/>
                <w:highlight w:val="none"/>
              </w:rPr>
            </w:pPr>
            <w:r>
              <w:rPr>
                <w:rFonts w:hint="eastAsia" w:ascii="宋体" w:hAnsi="宋体" w:cs="宋体"/>
                <w:color w:val="auto"/>
                <w:sz w:val="20"/>
                <w:highlight w:val="none"/>
              </w:rPr>
              <w:t xml:space="preserve">6 </w:t>
            </w:r>
          </w:p>
        </w:tc>
        <w:tc>
          <w:tcPr>
            <w:tcW w:w="717" w:type="pct"/>
            <w:tcBorders>
              <w:top w:val="single" w:color="000000" w:sz="4" w:space="0"/>
              <w:left w:val="single" w:color="000000" w:sz="4" w:space="0"/>
              <w:bottom w:val="single" w:color="000000" w:sz="4" w:space="0"/>
              <w:right w:val="single" w:color="000000" w:sz="4" w:space="0"/>
            </w:tcBorders>
            <w:vAlign w:val="center"/>
          </w:tcPr>
          <w:p w14:paraId="272AA9B6">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人脸抓拍摄像机</w:t>
            </w:r>
          </w:p>
        </w:tc>
        <w:tc>
          <w:tcPr>
            <w:tcW w:w="3870" w:type="pct"/>
            <w:tcBorders>
              <w:top w:val="single" w:color="000000" w:sz="4" w:space="0"/>
              <w:left w:val="single" w:color="000000" w:sz="4" w:space="0"/>
              <w:bottom w:val="single" w:color="000000" w:sz="4" w:space="0"/>
              <w:right w:val="single" w:color="000000" w:sz="4" w:space="0"/>
            </w:tcBorders>
            <w:vAlign w:val="center"/>
          </w:tcPr>
          <w:p w14:paraId="15679D54">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内置GPU芯片，支持深度学习算法，有效提升检测准确率。</w:t>
            </w:r>
          </w:p>
          <w:p w14:paraId="3BE5AE0C">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支持三种智能资源切换：通用行为分析、人脸检测、人数统计。</w:t>
            </w:r>
          </w:p>
          <w:p w14:paraId="7A1F766C">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通用行为分析：支持绊线入侵，区域入侵，快速移动（三项均支持人车分类及精准检测），物品遗留，物品搬移，徘徊检测，人员聚集，停车检测，热度图。</w:t>
            </w:r>
          </w:p>
          <w:p w14:paraId="6D8F1820">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人脸检测：对运动人脸进行检测、跟踪、抓拍、优选，输出最优的人脸抓图；支持人脸增强，人脸曝光，人脸属性提取。</w:t>
            </w:r>
          </w:p>
          <w:p w14:paraId="3CFD09E0">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可对出现在监控场景内的两眼瞳距不小于12像素的人脸进行检测，同时叠加目标提示框。</w:t>
            </w:r>
          </w:p>
          <w:p w14:paraId="6B653640">
            <w:pPr>
              <w:widowControl/>
              <w:spacing w:line="320" w:lineRule="exact"/>
              <w:jc w:val="left"/>
              <w:rPr>
                <w:rFonts w:hint="eastAsia" w:ascii="宋体" w:hAnsi="宋体" w:cs="宋体"/>
                <w:b/>
                <w:color w:val="auto"/>
                <w:sz w:val="20"/>
                <w:highlight w:val="none"/>
              </w:rPr>
            </w:pPr>
            <w:r>
              <w:rPr>
                <w:rFonts w:hint="eastAsia" w:ascii="宋体" w:hAnsi="宋体" w:cs="宋体"/>
                <w:color w:val="auto"/>
                <w:sz w:val="20"/>
                <w:highlight w:val="none"/>
              </w:rPr>
              <w:t>支持同时检测监控场景内出现的不小于40张人脸图片。</w:t>
            </w:r>
          </w:p>
          <w:p w14:paraId="3149A3FF">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人数统计：支持排队管理；支持区域内人数统计，进入/离开人数统计，并可生成人数统计日/月/年报表，导出使用（区域内人数统计、排队管理不支持报表）。</w:t>
            </w:r>
          </w:p>
          <w:p w14:paraId="167F59B2">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采用高性能200万像素1/2.8英寸CMOS图像传感器，低照度效果好，图像清晰度高。</w:t>
            </w:r>
          </w:p>
          <w:p w14:paraId="5DD5E81C">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可输出200万（1920×1080）@25fps。</w:t>
            </w:r>
          </w:p>
          <w:p w14:paraId="30481F35">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支持H.265编码，压缩比高，超低码流。</w:t>
            </w:r>
          </w:p>
          <w:p w14:paraId="017F07B8">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内置高效红外补光灯,最大监控距离100米。</w:t>
            </w:r>
          </w:p>
          <w:p w14:paraId="0309B7AC">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支持走廊模式，宽动态，3D降噪，强光抑制，背光补偿，数字水印，适用不同监控环境。</w:t>
            </w:r>
          </w:p>
          <w:p w14:paraId="4247BF5A">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支持ROI，SVC，SMART H.264/H.265，帧前滤波，灵活编码，适用不同带宽和存储环境。</w:t>
            </w:r>
          </w:p>
          <w:p w14:paraId="1409B125">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支持多种异常检测：动态检测，视频遮挡，场景变更，虚焦侦测，音频异常侦测，无SD卡，SD卡空间不足，SD卡出错，网络断开，IP冲突，非法访问，电压检测。</w:t>
            </w:r>
          </w:p>
          <w:p w14:paraId="7CE9998C">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支持报警3进2出，音频1进1出，内置MIC，最大支持256G Micro SD卡。</w:t>
            </w:r>
          </w:p>
          <w:p w14:paraId="44CFA0FC">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支持DC12V/POE供电方式，方便工程安装。</w:t>
            </w:r>
          </w:p>
          <w:p w14:paraId="74B7CD7A">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摄像机通过POE供电，使用超五类非屏蔽网线，传输距离可达380米。</w:t>
            </w:r>
          </w:p>
          <w:p w14:paraId="65985492">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支持IP67防护等级。</w:t>
            </w:r>
          </w:p>
        </w:tc>
      </w:tr>
      <w:tr w14:paraId="1FA02F6A">
        <w:tblPrEx>
          <w:tblCellMar>
            <w:top w:w="0" w:type="dxa"/>
            <w:left w:w="108" w:type="dxa"/>
            <w:bottom w:w="0" w:type="dxa"/>
            <w:right w:w="108" w:type="dxa"/>
          </w:tblCellMar>
        </w:tblPrEx>
        <w:trPr>
          <w:trHeight w:val="1607" w:hRule="atLeast"/>
          <w:jc w:val="center"/>
        </w:trPr>
        <w:tc>
          <w:tcPr>
            <w:tcW w:w="413" w:type="pct"/>
            <w:tcBorders>
              <w:top w:val="single" w:color="000000" w:sz="4" w:space="0"/>
              <w:left w:val="single" w:color="000000" w:sz="4" w:space="0"/>
              <w:bottom w:val="single" w:color="000000" w:sz="4" w:space="0"/>
              <w:right w:val="single" w:color="000000" w:sz="4" w:space="0"/>
            </w:tcBorders>
            <w:vAlign w:val="center"/>
          </w:tcPr>
          <w:p w14:paraId="1806580F">
            <w:pPr>
              <w:widowControl/>
              <w:spacing w:line="320" w:lineRule="exact"/>
              <w:jc w:val="center"/>
              <w:rPr>
                <w:rFonts w:hint="eastAsia" w:ascii="宋体" w:hAnsi="宋体" w:cs="宋体"/>
                <w:color w:val="auto"/>
                <w:sz w:val="20"/>
                <w:highlight w:val="none"/>
              </w:rPr>
            </w:pPr>
            <w:r>
              <w:rPr>
                <w:rFonts w:hint="eastAsia" w:ascii="宋体" w:hAnsi="宋体" w:cs="宋体"/>
                <w:color w:val="auto"/>
                <w:sz w:val="20"/>
                <w:highlight w:val="none"/>
              </w:rPr>
              <w:t xml:space="preserve">7 </w:t>
            </w:r>
          </w:p>
        </w:tc>
        <w:tc>
          <w:tcPr>
            <w:tcW w:w="717" w:type="pct"/>
            <w:tcBorders>
              <w:top w:val="single" w:color="000000" w:sz="4" w:space="0"/>
              <w:left w:val="single" w:color="000000" w:sz="4" w:space="0"/>
              <w:bottom w:val="single" w:color="000000" w:sz="4" w:space="0"/>
              <w:right w:val="single" w:color="000000" w:sz="4" w:space="0"/>
            </w:tcBorders>
            <w:vAlign w:val="center"/>
          </w:tcPr>
          <w:p w14:paraId="50212424">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违停抓拍球机</w:t>
            </w:r>
          </w:p>
        </w:tc>
        <w:tc>
          <w:tcPr>
            <w:tcW w:w="3870" w:type="pct"/>
            <w:tcBorders>
              <w:top w:val="single" w:color="000000" w:sz="4" w:space="0"/>
              <w:left w:val="single" w:color="000000" w:sz="4" w:space="0"/>
              <w:bottom w:val="single" w:color="000000" w:sz="4" w:space="0"/>
              <w:right w:val="single" w:color="000000" w:sz="4" w:space="0"/>
            </w:tcBorders>
            <w:vAlign w:val="center"/>
          </w:tcPr>
          <w:p w14:paraId="34713FDA">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像机靶面尺寸不小于1/1.9英寸CMOS，F1.5超大光圈，光学变倍≥32倍，数字变倍≥16倍；</w:t>
            </w:r>
          </w:p>
          <w:p w14:paraId="27575F3E">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支持星光级超低照度，彩色≤0.00021Lux，黑白≤0.0001Lux；</w:t>
            </w:r>
          </w:p>
          <w:p w14:paraId="3CB189EA">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内置红外灯补光，补光距离≥220米；</w:t>
            </w:r>
          </w:p>
          <w:p w14:paraId="4F6DF62D">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支持违章智能检测行为检测：违章停车检测、逆行检测；</w:t>
            </w:r>
          </w:p>
          <w:p w14:paraId="4485E3D1">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支持水平方向360°连续旋转，垂直方向不小于-20°～90°自动翻转180°后连续监视,无监视盲区；</w:t>
            </w:r>
          </w:p>
          <w:p w14:paraId="0641382B">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支持水平键控速度不小于0.1°～200°/s，垂直键控速度不小于0.1°～120°/s；</w:t>
            </w:r>
          </w:p>
          <w:p w14:paraId="5A4D236E">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云台定位准确度≤0.01°；</w:t>
            </w:r>
          </w:p>
          <w:p w14:paraId="7C3D8919">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支持不少于300个预置位；</w:t>
            </w:r>
          </w:p>
          <w:p w14:paraId="0DF442B7">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支持设置不少于2048条巡航路径,每条巡航可添加128个预置点；</w:t>
            </w:r>
          </w:p>
          <w:p w14:paraId="1A4CF851">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违法检测场景设置功能检查，可最多添加300个预置点场景，每个预置点下均可配置机动车逆行、欠速、压边线、压黄线、超速、违章变道、加塞、不按车道行驶、黄牌占道和非机动车有车占道智能方案，每个场景内可设置8个车道检测区域，每个场景可同时生效80个违法规则，其中机动车每条车道生效9条规则、非机动车每条车道生效1条规则。</w:t>
            </w:r>
          </w:p>
          <w:p w14:paraId="55700268">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IP等级≥IP67；在温度范围为-45℃~+70℃环境下可正常工作；</w:t>
            </w:r>
          </w:p>
          <w:p w14:paraId="36C20002">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在湿度≤95%的环境下可正常工作。</w:t>
            </w:r>
          </w:p>
          <w:p w14:paraId="696EBF78">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温升试验：设备在正常工作条件下，其外壳温度不应超过65℃，机内发热部件连续工作4的后，其温升不应超过该部件的规定值。</w:t>
            </w:r>
          </w:p>
          <w:p w14:paraId="2DE80C2C">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预置位调用速度试验：企业技术要求:最大水平预置位调用速度≥280º/s。</w:t>
            </w:r>
          </w:p>
          <w:p w14:paraId="68885324">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最大垂直预置位调用速度≥250º/s</w:t>
            </w:r>
          </w:p>
          <w:p w14:paraId="432FF45D">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抓拍图片及FTP存储文件夹名称设置检验：抓拍图片名称及ftp存储文件夹名称可按以下内容自由组合设置:年、月、日、小时、分钟、秒、毫秒、IP地址、通行方向、车道号、车速、限速值、违章类型、车牌号、车牌类型、车辆大小、车身颜色、抓图张数、图片序号、车牌颜色、车牌坐标、违章代码地点、设备所属单位、图片场景、设备编号、卡口编号、车道方向、设备编码</w:t>
            </w:r>
          </w:p>
          <w:p w14:paraId="73790710">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图片字符叠加功能检验：可在图片上叠加字符，字符可选择项包括时间、地点、车牌号码、车牌颜色、车身颜色、违法类型、违法代码、设备编号、防伪码、车标名称、车辆类型及对应编号可设置</w:t>
            </w:r>
          </w:p>
          <w:p w14:paraId="557F3392">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违法取证图片合成样式功能检验：合成图支持不同样式叠加:2张支持横排或竖排二合一;3张支持横排或竖排三合一;4张支持横排、竖排四合一、田字格四合一、横排两组二合一、竖排两组二合一;5张支持横排、竖排五合一、梯形五合一、倒梯形五合一;6张支持横排、竖排六合一、两行三列六合一、三行两列六合一、横排两组三合一、竖排两组三合一;</w:t>
            </w:r>
          </w:p>
        </w:tc>
      </w:tr>
      <w:tr w14:paraId="4A48F6D2">
        <w:tblPrEx>
          <w:tblCellMar>
            <w:top w:w="0" w:type="dxa"/>
            <w:left w:w="108" w:type="dxa"/>
            <w:bottom w:w="0" w:type="dxa"/>
            <w:right w:w="108" w:type="dxa"/>
          </w:tblCellMar>
        </w:tblPrEx>
        <w:trPr>
          <w:trHeight w:val="1397" w:hRule="atLeast"/>
          <w:jc w:val="center"/>
        </w:trPr>
        <w:tc>
          <w:tcPr>
            <w:tcW w:w="413" w:type="pct"/>
            <w:tcBorders>
              <w:top w:val="single" w:color="000000" w:sz="4" w:space="0"/>
              <w:left w:val="single" w:color="000000" w:sz="4" w:space="0"/>
              <w:bottom w:val="single" w:color="000000" w:sz="4" w:space="0"/>
              <w:right w:val="single" w:color="000000" w:sz="4" w:space="0"/>
            </w:tcBorders>
            <w:vAlign w:val="center"/>
          </w:tcPr>
          <w:p w14:paraId="0E84355B">
            <w:pPr>
              <w:widowControl/>
              <w:spacing w:line="320" w:lineRule="exact"/>
              <w:jc w:val="center"/>
              <w:rPr>
                <w:rFonts w:hint="eastAsia" w:ascii="宋体" w:hAnsi="宋体" w:cs="宋体"/>
                <w:color w:val="auto"/>
                <w:sz w:val="20"/>
                <w:highlight w:val="none"/>
              </w:rPr>
            </w:pPr>
            <w:r>
              <w:rPr>
                <w:rFonts w:hint="eastAsia" w:ascii="宋体" w:hAnsi="宋体" w:cs="宋体"/>
                <w:color w:val="auto"/>
                <w:sz w:val="20"/>
                <w:highlight w:val="none"/>
              </w:rPr>
              <w:t>8</w:t>
            </w:r>
          </w:p>
        </w:tc>
        <w:tc>
          <w:tcPr>
            <w:tcW w:w="717" w:type="pct"/>
            <w:tcBorders>
              <w:top w:val="single" w:color="000000" w:sz="4" w:space="0"/>
              <w:left w:val="single" w:color="000000" w:sz="4" w:space="0"/>
              <w:bottom w:val="single" w:color="000000" w:sz="4" w:space="0"/>
              <w:right w:val="single" w:color="000000" w:sz="4" w:space="0"/>
            </w:tcBorders>
            <w:vAlign w:val="center"/>
          </w:tcPr>
          <w:p w14:paraId="0E40C1B7">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800万像素人脸抓拍机</w:t>
            </w:r>
          </w:p>
        </w:tc>
        <w:tc>
          <w:tcPr>
            <w:tcW w:w="3870" w:type="pct"/>
            <w:tcBorders>
              <w:top w:val="single" w:color="000000" w:sz="4" w:space="0"/>
              <w:left w:val="single" w:color="000000" w:sz="4" w:space="0"/>
              <w:bottom w:val="single" w:color="000000" w:sz="4" w:space="0"/>
              <w:right w:val="single" w:color="000000" w:sz="4" w:space="0"/>
            </w:tcBorders>
            <w:vAlign w:val="center"/>
          </w:tcPr>
          <w:p w14:paraId="5112D3A2">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支持景深扩展模式选项，在相同图像参数、光圈设置的情况下，开启景深扩展功能，可使设备景深变大，使前后边缘处看到的景象更清晰</w:t>
            </w:r>
          </w:p>
        </w:tc>
      </w:tr>
      <w:tr w14:paraId="7F1B07FF">
        <w:tblPrEx>
          <w:tblCellMar>
            <w:top w:w="0" w:type="dxa"/>
            <w:left w:w="108" w:type="dxa"/>
            <w:bottom w:w="0" w:type="dxa"/>
            <w:right w:w="108" w:type="dxa"/>
          </w:tblCellMar>
        </w:tblPrEx>
        <w:trPr>
          <w:trHeight w:val="1397" w:hRule="atLeast"/>
          <w:jc w:val="center"/>
        </w:trPr>
        <w:tc>
          <w:tcPr>
            <w:tcW w:w="413" w:type="pct"/>
            <w:tcBorders>
              <w:top w:val="single" w:color="000000" w:sz="4" w:space="0"/>
              <w:left w:val="single" w:color="000000" w:sz="4" w:space="0"/>
              <w:bottom w:val="single" w:color="000000" w:sz="4" w:space="0"/>
              <w:right w:val="single" w:color="000000" w:sz="4" w:space="0"/>
            </w:tcBorders>
            <w:vAlign w:val="center"/>
          </w:tcPr>
          <w:p w14:paraId="1A786240">
            <w:pPr>
              <w:widowControl/>
              <w:spacing w:line="320" w:lineRule="exact"/>
              <w:jc w:val="center"/>
              <w:rPr>
                <w:rFonts w:hint="eastAsia" w:ascii="宋体" w:hAnsi="宋体" w:cs="宋体"/>
                <w:color w:val="auto"/>
                <w:sz w:val="20"/>
                <w:highlight w:val="none"/>
              </w:rPr>
            </w:pPr>
            <w:r>
              <w:rPr>
                <w:rFonts w:hint="eastAsia" w:ascii="宋体" w:hAnsi="宋体" w:cs="宋体"/>
                <w:color w:val="auto"/>
                <w:sz w:val="20"/>
                <w:highlight w:val="none"/>
              </w:rPr>
              <w:t>9</w:t>
            </w:r>
          </w:p>
        </w:tc>
        <w:tc>
          <w:tcPr>
            <w:tcW w:w="717" w:type="pct"/>
            <w:tcBorders>
              <w:top w:val="single" w:color="000000" w:sz="4" w:space="0"/>
              <w:left w:val="single" w:color="000000" w:sz="4" w:space="0"/>
              <w:bottom w:val="single" w:color="000000" w:sz="4" w:space="0"/>
              <w:right w:val="single" w:color="000000" w:sz="4" w:space="0"/>
            </w:tcBorders>
            <w:vAlign w:val="center"/>
          </w:tcPr>
          <w:p w14:paraId="71B0886F">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全局摄像机</w:t>
            </w:r>
          </w:p>
        </w:tc>
        <w:tc>
          <w:tcPr>
            <w:tcW w:w="3870" w:type="pct"/>
            <w:tcBorders>
              <w:top w:val="single" w:color="000000" w:sz="4" w:space="0"/>
              <w:left w:val="single" w:color="000000" w:sz="4" w:space="0"/>
              <w:bottom w:val="single" w:color="000000" w:sz="4" w:space="0"/>
              <w:right w:val="single" w:color="000000" w:sz="4" w:space="0"/>
            </w:tcBorders>
            <w:vAlign w:val="center"/>
          </w:tcPr>
          <w:p w14:paraId="077FEA44">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自动标定成功后，距测试目标中心点10m，在细节摄像机监控画面中点击中心标点，云台将转动到对应位置，全景摄像机目标中心点与监控画面中心偏差小于0.2m；</w:t>
            </w:r>
          </w:p>
          <w:p w14:paraId="692665B9">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行为分析出发后联动抓图、录像、报警上传、发送邮件、辅助输出等多种报警触发方式;当发生区域入侵、越界入侵、和快速移动时，可对行人、自行车、摩托车、三轮车和机动车进行检测，支持行为分析触发后联动抓拍、报警上传，发送邮件，联动录像，辅助输出等多种报警触发方式；</w:t>
            </w:r>
          </w:p>
          <w:p w14:paraId="06CDE23B">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在IE浏览器下，跟踪目标分类可设置，当选择的分类目标触发规则之后进行目标联动跟踪，变倍跟踪，跟踪时间可选择；</w:t>
            </w:r>
          </w:p>
          <w:p w14:paraId="45F279D6">
            <w:pPr>
              <w:widowControl/>
              <w:spacing w:line="320" w:lineRule="exact"/>
              <w:jc w:val="left"/>
              <w:rPr>
                <w:rFonts w:hint="eastAsia" w:ascii="宋体" w:hAnsi="宋体" w:cs="宋体"/>
                <w:color w:val="auto"/>
                <w:sz w:val="20"/>
                <w:highlight w:val="none"/>
              </w:rPr>
            </w:pPr>
            <w:r>
              <w:rPr>
                <w:rFonts w:hint="eastAsia" w:ascii="宋体" w:hAnsi="宋体" w:cs="宋体"/>
                <w:color w:val="auto"/>
                <w:sz w:val="20"/>
                <w:highlight w:val="none"/>
              </w:rPr>
              <w:t>支持快速智能切换，当更换当前智能模式时设备不需重启，新智能使能后即可生效。</w:t>
            </w:r>
          </w:p>
        </w:tc>
      </w:tr>
      <w:bookmarkEnd w:id="133"/>
    </w:tbl>
    <w:p w14:paraId="041099FA">
      <w:pPr>
        <w:spacing w:line="360" w:lineRule="auto"/>
        <w:jc w:val="both"/>
        <w:rPr>
          <w:rFonts w:hint="eastAsia" w:ascii="宋体" w:hAnsi="宋体"/>
          <w:b/>
          <w:color w:val="auto"/>
          <w:sz w:val="30"/>
          <w:szCs w:val="30"/>
          <w:highlight w:val="none"/>
          <w:u w:val="none"/>
        </w:rPr>
      </w:pPr>
    </w:p>
    <w:p w14:paraId="375D6E0D">
      <w:pPr>
        <w:spacing w:line="360" w:lineRule="auto"/>
        <w:jc w:val="center"/>
        <w:rPr>
          <w:rFonts w:ascii="黑体" w:hAnsi="宋体" w:eastAsia="黑体"/>
          <w:bCs/>
          <w:color w:val="auto"/>
          <w:sz w:val="24"/>
          <w:szCs w:val="24"/>
          <w:highlight w:val="none"/>
        </w:rPr>
      </w:pPr>
      <w:r>
        <w:rPr>
          <w:rFonts w:hint="eastAsia" w:ascii="宋体" w:hAnsi="宋体"/>
          <w:b/>
          <w:color w:val="auto"/>
          <w:sz w:val="30"/>
          <w:szCs w:val="30"/>
          <w:highlight w:val="none"/>
          <w:u w:val="none"/>
        </w:rPr>
        <w:t>第二部分  有关说明</w:t>
      </w:r>
    </w:p>
    <w:p w14:paraId="7191A5A4">
      <w:pPr>
        <w:numPr>
          <w:ilvl w:val="0"/>
          <w:numId w:val="0"/>
        </w:numPr>
        <w:tabs>
          <w:tab w:val="left" w:pos="525"/>
          <w:tab w:val="left" w:pos="945"/>
        </w:tabs>
        <w:spacing w:line="360" w:lineRule="auto"/>
        <w:ind w:firstLine="480"/>
        <w:rPr>
          <w:rFonts w:ascii="宋体"/>
          <w:bCs/>
          <w:color w:val="auto"/>
          <w:sz w:val="24"/>
          <w:szCs w:val="24"/>
        </w:rPr>
      </w:pPr>
      <w:r>
        <w:rPr>
          <w:rFonts w:hint="eastAsia" w:ascii="宋体" w:hAnsi="宋体"/>
          <w:bCs/>
          <w:color w:val="auto"/>
          <w:sz w:val="24"/>
          <w:szCs w:val="24"/>
          <w:lang w:val="en-US" w:eastAsia="zh-CN"/>
        </w:rPr>
        <w:t>1.</w:t>
      </w:r>
      <w:r>
        <w:rPr>
          <w:rFonts w:hint="eastAsia" w:ascii="宋体" w:hAnsi="宋体"/>
          <w:bCs/>
          <w:color w:val="auto"/>
          <w:sz w:val="24"/>
          <w:szCs w:val="24"/>
        </w:rPr>
        <w:t>投标总报价包括满足本项目服务要求的从项目中标起到项目正式交付以及服务期内所发生的一切费用。</w:t>
      </w:r>
    </w:p>
    <w:p w14:paraId="08C1327D">
      <w:pPr>
        <w:numPr>
          <w:ilvl w:val="0"/>
          <w:numId w:val="0"/>
        </w:numPr>
        <w:tabs>
          <w:tab w:val="left" w:pos="525"/>
          <w:tab w:val="left" w:pos="945"/>
        </w:tabs>
        <w:spacing w:line="360" w:lineRule="auto"/>
        <w:ind w:firstLine="480"/>
        <w:rPr>
          <w:rFonts w:ascii="宋体"/>
          <w:bCs/>
          <w:color w:val="auto"/>
          <w:sz w:val="24"/>
          <w:szCs w:val="24"/>
        </w:rPr>
      </w:pPr>
      <w:r>
        <w:rPr>
          <w:rFonts w:hint="eastAsia" w:ascii="宋体" w:hAnsi="宋体"/>
          <w:bCs/>
          <w:color w:val="auto"/>
          <w:sz w:val="24"/>
          <w:szCs w:val="24"/>
          <w:lang w:val="en-US" w:eastAsia="zh-CN"/>
        </w:rPr>
        <w:t>2.</w:t>
      </w:r>
      <w:r>
        <w:rPr>
          <w:rFonts w:hint="eastAsia" w:ascii="宋体" w:hAnsi="宋体"/>
          <w:bCs/>
          <w:color w:val="auto"/>
          <w:sz w:val="24"/>
          <w:szCs w:val="24"/>
        </w:rPr>
        <w:t>通过中国海关报关验放进入中国境内且产自中国境外的产品不在本项目的报价范围。</w:t>
      </w:r>
    </w:p>
    <w:p w14:paraId="7C4B9D12">
      <w:pPr>
        <w:numPr>
          <w:ilvl w:val="0"/>
          <w:numId w:val="0"/>
        </w:numPr>
        <w:tabs>
          <w:tab w:val="left" w:pos="525"/>
          <w:tab w:val="left" w:pos="945"/>
        </w:tabs>
        <w:spacing w:line="360" w:lineRule="auto"/>
        <w:ind w:firstLine="480"/>
        <w:rPr>
          <w:rFonts w:ascii="宋体"/>
          <w:bCs/>
          <w:color w:val="auto"/>
          <w:sz w:val="24"/>
          <w:szCs w:val="24"/>
        </w:rPr>
      </w:pPr>
      <w:r>
        <w:rPr>
          <w:rFonts w:hint="eastAsia" w:ascii="宋体"/>
          <w:bCs/>
          <w:color w:val="auto"/>
          <w:sz w:val="24"/>
          <w:szCs w:val="24"/>
          <w:lang w:val="en-US" w:eastAsia="zh-CN"/>
        </w:rPr>
        <w:t>3.</w:t>
      </w:r>
      <w:r>
        <w:rPr>
          <w:rFonts w:hint="eastAsia" w:ascii="宋体"/>
          <w:bCs/>
          <w:color w:val="auto"/>
          <w:sz w:val="24"/>
          <w:szCs w:val="24"/>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208A0BDA">
      <w:pPr>
        <w:numPr>
          <w:ilvl w:val="0"/>
          <w:numId w:val="0"/>
        </w:numPr>
        <w:tabs>
          <w:tab w:val="left" w:pos="525"/>
          <w:tab w:val="left" w:pos="945"/>
        </w:tabs>
        <w:spacing w:line="360" w:lineRule="auto"/>
        <w:ind w:firstLine="480"/>
        <w:rPr>
          <w:rFonts w:ascii="宋体"/>
          <w:bCs/>
          <w:color w:val="auto"/>
          <w:sz w:val="24"/>
          <w:szCs w:val="24"/>
        </w:rPr>
      </w:pPr>
      <w:r>
        <w:rPr>
          <w:rFonts w:hint="eastAsia" w:ascii="宋体" w:hAnsi="宋体"/>
          <w:bCs/>
          <w:color w:val="auto"/>
          <w:sz w:val="24"/>
          <w:szCs w:val="24"/>
          <w:lang w:val="en-US" w:eastAsia="zh-CN"/>
        </w:rPr>
        <w:t>4.</w:t>
      </w:r>
      <w:r>
        <w:rPr>
          <w:rFonts w:hint="eastAsia" w:ascii="宋体" w:hAnsi="宋体"/>
          <w:bCs/>
          <w:color w:val="auto"/>
          <w:sz w:val="24"/>
          <w:szCs w:val="24"/>
        </w:rPr>
        <w:t>投标人必须在满足招标文件要求的基础上进行报价，如有技术偏离请于投标偏离表中说明。</w:t>
      </w:r>
    </w:p>
    <w:p w14:paraId="2D29578F">
      <w:pPr>
        <w:numPr>
          <w:ilvl w:val="0"/>
          <w:numId w:val="0"/>
        </w:numPr>
        <w:tabs>
          <w:tab w:val="left" w:pos="525"/>
          <w:tab w:val="left" w:pos="630"/>
          <w:tab w:val="left" w:pos="735"/>
          <w:tab w:val="left" w:pos="945"/>
        </w:tabs>
        <w:spacing w:line="360" w:lineRule="auto"/>
        <w:ind w:firstLine="480"/>
        <w:rPr>
          <w:rFonts w:ascii="宋体"/>
          <w:bCs/>
          <w:color w:val="auto"/>
          <w:sz w:val="24"/>
          <w:szCs w:val="24"/>
        </w:rPr>
      </w:pPr>
      <w:r>
        <w:rPr>
          <w:rFonts w:hint="eastAsia" w:ascii="宋体" w:hAnsi="宋体"/>
          <w:bCs/>
          <w:color w:val="auto"/>
          <w:sz w:val="24"/>
          <w:szCs w:val="24"/>
          <w:lang w:val="en-US" w:eastAsia="zh-CN"/>
        </w:rPr>
        <w:t>5.</w:t>
      </w:r>
      <w:r>
        <w:rPr>
          <w:rFonts w:hint="eastAsia" w:ascii="宋体" w:hAnsi="宋体"/>
          <w:bCs/>
          <w:color w:val="auto"/>
          <w:sz w:val="24"/>
          <w:szCs w:val="24"/>
        </w:rPr>
        <w:t>本项目合同履行地点：</w:t>
      </w:r>
      <w:r>
        <w:rPr>
          <w:rFonts w:hint="eastAsia" w:ascii="宋体" w:hAnsi="宋体" w:eastAsia="宋体" w:cs="宋体"/>
          <w:color w:val="auto"/>
          <w:sz w:val="24"/>
          <w:szCs w:val="24"/>
          <w:highlight w:val="none"/>
          <w:lang w:val="zh-CN"/>
        </w:rPr>
        <w:t>采购人指定地点。</w:t>
      </w:r>
    </w:p>
    <w:p w14:paraId="1F70D63E">
      <w:pPr>
        <w:numPr>
          <w:ilvl w:val="0"/>
          <w:numId w:val="0"/>
        </w:numPr>
        <w:tabs>
          <w:tab w:val="left" w:pos="525"/>
          <w:tab w:val="left" w:pos="630"/>
          <w:tab w:val="left" w:pos="735"/>
          <w:tab w:val="left" w:pos="945"/>
        </w:tabs>
        <w:spacing w:line="360" w:lineRule="auto"/>
        <w:ind w:firstLine="480"/>
        <w:rPr>
          <w:rFonts w:ascii="宋体"/>
          <w:bCs/>
          <w:color w:val="auto"/>
          <w:sz w:val="24"/>
          <w:szCs w:val="24"/>
        </w:rPr>
      </w:pPr>
      <w:r>
        <w:rPr>
          <w:rFonts w:hint="eastAsia" w:ascii="宋体" w:hAnsi="宋体"/>
          <w:bCs/>
          <w:color w:val="auto"/>
          <w:sz w:val="24"/>
          <w:szCs w:val="24"/>
          <w:lang w:val="en-US" w:eastAsia="zh-CN"/>
        </w:rPr>
        <w:t>6.</w:t>
      </w:r>
      <w:r>
        <w:rPr>
          <w:rFonts w:hint="eastAsia" w:ascii="宋体" w:hAnsi="宋体"/>
          <w:bCs/>
          <w:color w:val="auto"/>
          <w:sz w:val="24"/>
          <w:szCs w:val="24"/>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rPr>
        <w:t>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5EC8F35">
      <w:pPr>
        <w:numPr>
          <w:ilvl w:val="0"/>
          <w:numId w:val="0"/>
        </w:numPr>
        <w:tabs>
          <w:tab w:val="left" w:pos="525"/>
          <w:tab w:val="left" w:pos="630"/>
          <w:tab w:val="left" w:pos="735"/>
          <w:tab w:val="left" w:pos="945"/>
        </w:tabs>
        <w:spacing w:line="360" w:lineRule="auto"/>
        <w:ind w:firstLine="480"/>
        <w:rPr>
          <w:rFonts w:ascii="宋体"/>
          <w:bCs/>
          <w:color w:val="auto"/>
          <w:sz w:val="24"/>
          <w:szCs w:val="24"/>
        </w:rPr>
      </w:pPr>
      <w:r>
        <w:rPr>
          <w:rFonts w:hint="eastAsia" w:ascii="宋体" w:hAnsi="宋体"/>
          <w:bCs/>
          <w:color w:val="auto"/>
          <w:sz w:val="24"/>
          <w:lang w:val="en-US" w:eastAsia="zh-CN"/>
        </w:rPr>
        <w:t>7.</w:t>
      </w:r>
      <w:r>
        <w:rPr>
          <w:rFonts w:hint="eastAsia" w:ascii="宋体" w:hAnsi="宋体"/>
          <w:bCs/>
          <w:color w:val="auto"/>
          <w:sz w:val="24"/>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02C013E4">
      <w:pPr>
        <w:numPr>
          <w:ilvl w:val="0"/>
          <w:numId w:val="0"/>
        </w:numPr>
        <w:tabs>
          <w:tab w:val="left" w:pos="525"/>
          <w:tab w:val="left" w:pos="630"/>
          <w:tab w:val="left" w:pos="735"/>
          <w:tab w:val="left" w:pos="945"/>
        </w:tabs>
        <w:spacing w:line="360" w:lineRule="auto"/>
        <w:ind w:firstLine="480"/>
        <w:rPr>
          <w:rFonts w:ascii="宋体"/>
          <w:bCs/>
          <w:color w:val="auto"/>
          <w:sz w:val="24"/>
          <w:szCs w:val="24"/>
        </w:rPr>
      </w:pPr>
      <w:r>
        <w:rPr>
          <w:rFonts w:hint="eastAsia" w:ascii="宋体"/>
          <w:bCs/>
          <w:color w:val="auto"/>
          <w:sz w:val="24"/>
          <w:szCs w:val="24"/>
          <w:lang w:val="en-US" w:eastAsia="zh-CN"/>
        </w:rPr>
        <w:t>8.</w:t>
      </w:r>
      <w:r>
        <w:rPr>
          <w:rFonts w:hint="eastAsia" w:ascii="宋体"/>
          <w:bCs/>
          <w:color w:val="auto"/>
          <w:sz w:val="24"/>
          <w:szCs w:val="24"/>
        </w:rPr>
        <w:t>依据《政府采购促进中小企业发展管理办法》规定享受扶持政策获得政府采购合同的，小微企业不得将合同分包给大中型企业，中型企业不得将合同分包给大型企业。</w:t>
      </w:r>
    </w:p>
    <w:p w14:paraId="47CF24CC">
      <w:pPr>
        <w:numPr>
          <w:ilvl w:val="0"/>
          <w:numId w:val="0"/>
        </w:numPr>
        <w:tabs>
          <w:tab w:val="left" w:pos="525"/>
          <w:tab w:val="left" w:pos="630"/>
          <w:tab w:val="left" w:pos="735"/>
          <w:tab w:val="left" w:pos="945"/>
        </w:tabs>
        <w:spacing w:line="360" w:lineRule="auto"/>
        <w:ind w:firstLine="480"/>
        <w:rPr>
          <w:rFonts w:hint="eastAsia" w:ascii="宋体" w:hAnsi="宋体"/>
          <w:bCs/>
          <w:color w:val="auto"/>
          <w:sz w:val="24"/>
        </w:rPr>
      </w:pPr>
      <w:r>
        <w:rPr>
          <w:rFonts w:hint="eastAsia" w:ascii="宋体" w:hAnsi="宋体"/>
          <w:bCs/>
          <w:color w:val="auto"/>
          <w:sz w:val="24"/>
          <w:lang w:val="en-US" w:eastAsia="zh-CN"/>
        </w:rPr>
        <w:t>9.</w:t>
      </w:r>
      <w:r>
        <w:rPr>
          <w:rFonts w:hint="eastAsia" w:ascii="宋体" w:hAnsi="宋体"/>
          <w:bCs/>
          <w:color w:val="auto"/>
          <w:sz w:val="24"/>
        </w:rPr>
        <w:t>开标后，投标人须自行准备设备（包括但不限于笔记本电脑、无线网络）登录</w:t>
      </w:r>
      <w:r>
        <w:rPr>
          <w:rFonts w:hint="eastAsia" w:ascii="宋体" w:hAnsi="宋体"/>
          <w:bCs/>
          <w:color w:val="auto"/>
          <w:sz w:val="24"/>
          <w:szCs w:val="24"/>
        </w:rPr>
        <w:t>“苏采云”系统</w:t>
      </w:r>
      <w:r>
        <w:rPr>
          <w:rFonts w:hint="eastAsia" w:ascii="宋体" w:hAnsi="宋体"/>
          <w:bCs/>
          <w:color w:val="auto"/>
          <w:sz w:val="24"/>
        </w:rPr>
        <w:t>，按招标文件规定时间解密后，在评标过程中保持在线，等待评标委员会的询标和评标结果，中途不得离开。如未按要求应答，由此所产生的损失及风险由投标人自行承担。</w:t>
      </w:r>
    </w:p>
    <w:p w14:paraId="5565A2EE">
      <w:pPr>
        <w:numPr>
          <w:ilvl w:val="0"/>
          <w:numId w:val="0"/>
        </w:numPr>
        <w:tabs>
          <w:tab w:val="left" w:pos="525"/>
          <w:tab w:val="left" w:pos="630"/>
          <w:tab w:val="left" w:pos="735"/>
          <w:tab w:val="left" w:pos="945"/>
        </w:tabs>
        <w:spacing w:line="360" w:lineRule="auto"/>
        <w:ind w:firstLine="480"/>
        <w:rPr>
          <w:rFonts w:hint="eastAsia" w:ascii="宋体" w:hAnsi="宋体" w:eastAsia="宋体" w:cs="Times New Roman"/>
          <w:bCs/>
          <w:color w:val="auto"/>
          <w:sz w:val="24"/>
        </w:rPr>
      </w:pPr>
      <w:r>
        <w:rPr>
          <w:rFonts w:hint="eastAsia" w:ascii="宋体" w:hAnsi="宋体" w:eastAsia="宋体" w:cs="Times New Roman"/>
          <w:bCs/>
          <w:color w:val="auto"/>
          <w:sz w:val="24"/>
          <w:lang w:val="en-US" w:eastAsia="zh-CN"/>
        </w:rPr>
        <w:t>10.合同签订前，采购人有权对中标供应商的投标文件中的相关证书、检测报告、社保证明等资料进行检验核对，如提供虚假材料将依法上报行业监管部门，供应商自行承担不利后果。</w:t>
      </w:r>
    </w:p>
    <w:p w14:paraId="0D121C99">
      <w:pPr>
        <w:numPr>
          <w:ilvl w:val="0"/>
          <w:numId w:val="0"/>
        </w:numPr>
        <w:tabs>
          <w:tab w:val="left" w:pos="525"/>
          <w:tab w:val="left" w:pos="630"/>
          <w:tab w:val="left" w:pos="735"/>
          <w:tab w:val="left" w:pos="945"/>
        </w:tabs>
        <w:spacing w:line="360" w:lineRule="auto"/>
        <w:jc w:val="center"/>
        <w:rPr>
          <w:rFonts w:hint="eastAsia" w:ascii="宋体" w:hAnsi="宋体"/>
          <w:b/>
          <w:color w:val="auto"/>
          <w:sz w:val="30"/>
          <w:szCs w:val="30"/>
          <w:highlight w:val="none"/>
          <w:u w:val="none"/>
        </w:rPr>
      </w:pPr>
    </w:p>
    <w:p w14:paraId="665C272D">
      <w:pPr>
        <w:numPr>
          <w:ilvl w:val="0"/>
          <w:numId w:val="0"/>
        </w:numPr>
        <w:tabs>
          <w:tab w:val="left" w:pos="525"/>
          <w:tab w:val="left" w:pos="630"/>
          <w:tab w:val="left" w:pos="735"/>
          <w:tab w:val="left" w:pos="945"/>
        </w:tabs>
        <w:spacing w:line="360" w:lineRule="auto"/>
        <w:jc w:val="center"/>
        <w:rPr>
          <w:rFonts w:hint="eastAsia" w:ascii="宋体" w:hAnsi="宋体"/>
          <w:b/>
          <w:bCs/>
          <w:color w:val="auto"/>
          <w:sz w:val="30"/>
          <w:szCs w:val="30"/>
          <w:highlight w:val="none"/>
        </w:rPr>
      </w:pPr>
      <w:r>
        <w:rPr>
          <w:rFonts w:hint="eastAsia" w:ascii="宋体" w:hAnsi="宋体"/>
          <w:b/>
          <w:color w:val="auto"/>
          <w:sz w:val="30"/>
          <w:szCs w:val="30"/>
          <w:highlight w:val="none"/>
          <w:u w:val="none"/>
        </w:rPr>
        <w:t>第三部分  政府采购政策（包括但不限于下列具体政策要求）</w:t>
      </w:r>
    </w:p>
    <w:p w14:paraId="3C9C4F5B">
      <w:pPr>
        <w:numPr>
          <w:ilvl w:val="1"/>
          <w:numId w:val="7"/>
        </w:numPr>
        <w:tabs>
          <w:tab w:val="left" w:pos="525"/>
          <w:tab w:val="left" w:pos="945"/>
          <w:tab w:val="clear" w:pos="780"/>
        </w:tabs>
        <w:spacing w:line="360" w:lineRule="auto"/>
        <w:ind w:left="0" w:firstLine="525"/>
        <w:rPr>
          <w:rFonts w:hint="eastAsia" w:ascii="宋体"/>
          <w:bCs/>
          <w:color w:val="auto"/>
          <w:sz w:val="24"/>
          <w:szCs w:val="24"/>
          <w:highlight w:val="none"/>
        </w:rPr>
      </w:pPr>
      <w:r>
        <w:rPr>
          <w:rFonts w:hint="eastAsia" w:ascii="宋体"/>
          <w:bCs/>
          <w:color w:val="auto"/>
          <w:sz w:val="24"/>
          <w:szCs w:val="24"/>
          <w:highlight w:val="none"/>
        </w:rPr>
        <w:t>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281C012">
      <w:pPr>
        <w:numPr>
          <w:ilvl w:val="1"/>
          <w:numId w:val="7"/>
        </w:numPr>
        <w:tabs>
          <w:tab w:val="left" w:pos="525"/>
          <w:tab w:val="left" w:pos="945"/>
          <w:tab w:val="clear" w:pos="780"/>
        </w:tabs>
        <w:spacing w:line="360" w:lineRule="auto"/>
        <w:ind w:left="0" w:firstLine="525"/>
        <w:rPr>
          <w:rFonts w:hint="eastAsia" w:ascii="宋体"/>
          <w:bCs/>
          <w:color w:val="auto"/>
          <w:sz w:val="24"/>
          <w:szCs w:val="24"/>
          <w:highlight w:val="none"/>
        </w:rPr>
      </w:pPr>
      <w:r>
        <w:rPr>
          <w:rFonts w:hint="eastAsia"/>
          <w:color w:val="auto"/>
          <w:sz w:val="24"/>
          <w:szCs w:val="24"/>
          <w:highlight w:val="none"/>
        </w:rPr>
        <w:t>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06BE7086">
      <w:pPr>
        <w:numPr>
          <w:ilvl w:val="1"/>
          <w:numId w:val="7"/>
        </w:numPr>
        <w:tabs>
          <w:tab w:val="left" w:pos="525"/>
          <w:tab w:val="left" w:pos="945"/>
          <w:tab w:val="clear" w:pos="780"/>
        </w:tabs>
        <w:spacing w:line="360" w:lineRule="auto"/>
        <w:ind w:left="0" w:firstLine="525"/>
        <w:rPr>
          <w:rFonts w:hint="eastAsia" w:ascii="宋体" w:hAnsi="宋体" w:cs="宋体"/>
          <w:color w:val="auto"/>
          <w:sz w:val="24"/>
          <w:szCs w:val="24"/>
          <w:highlight w:val="none"/>
        </w:rPr>
      </w:pPr>
      <w:r>
        <w:rPr>
          <w:rFonts w:hint="eastAsia" w:ascii="宋体"/>
          <w:bCs/>
          <w:color w:val="auto"/>
          <w:sz w:val="24"/>
          <w:szCs w:val="24"/>
          <w:highlight w:val="none"/>
        </w:rPr>
        <w:t>根据国家扶持中小企业的有关政策，在我中心组织的采购项目中标（成交）的供应商，如需要政府采购合同融资，请按锡财购【2022】7号文件执行。</w:t>
      </w:r>
    </w:p>
    <w:p w14:paraId="220D4F30">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合同融资</w:t>
      </w:r>
      <w:r>
        <w:rPr>
          <w:rFonts w:ascii="宋体"/>
          <w:bCs/>
          <w:color w:val="auto"/>
          <w:sz w:val="24"/>
          <w:szCs w:val="24"/>
          <w:highlight w:val="none"/>
          <w:lang w:val="en"/>
        </w:rPr>
        <w:t>,</w:t>
      </w:r>
      <w:r>
        <w:rPr>
          <w:rFonts w:hint="eastAsia" w:ascii="宋体"/>
          <w:bCs/>
          <w:color w:val="auto"/>
          <w:sz w:val="24"/>
          <w:szCs w:val="24"/>
          <w:highlight w:val="none"/>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auto"/>
          <w:sz w:val="24"/>
          <w:szCs w:val="24"/>
          <w:highlight w:val="none"/>
        </w:rPr>
        <w:t>“苏采云”系统</w:t>
      </w:r>
      <w:r>
        <w:rPr>
          <w:rFonts w:hint="eastAsia" w:ascii="宋体"/>
          <w:bCs/>
          <w:color w:val="auto"/>
          <w:sz w:val="24"/>
          <w:szCs w:val="24"/>
          <w:highlight w:val="none"/>
        </w:rPr>
        <w:t>凭政府采购中标、成交通知书或政府采购合同向采购人提出此合同有融资需求，采购人在</w:t>
      </w:r>
      <w:r>
        <w:rPr>
          <w:rFonts w:hint="eastAsia" w:ascii="宋体" w:hAnsi="宋体"/>
          <w:bCs/>
          <w:color w:val="auto"/>
          <w:sz w:val="24"/>
          <w:szCs w:val="24"/>
          <w:highlight w:val="none"/>
        </w:rPr>
        <w:t>“苏采云”系统</w:t>
      </w:r>
      <w:r>
        <w:rPr>
          <w:rFonts w:hint="eastAsia" w:ascii="宋体"/>
          <w:bCs/>
          <w:color w:val="auto"/>
          <w:sz w:val="24"/>
          <w:szCs w:val="24"/>
          <w:highlight w:val="none"/>
        </w:rPr>
        <w:t>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30599406">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中标、成交供应商可根据自身情况，自行决定是否选择采用合同融资形式， 在无锡政府采购网——政采贷专栏提供的银行名录内自主选择合作银行。</w:t>
      </w:r>
    </w:p>
    <w:p w14:paraId="4C5B9EE4">
      <w:pPr>
        <w:numPr>
          <w:ilvl w:val="1"/>
          <w:numId w:val="7"/>
        </w:numPr>
        <w:tabs>
          <w:tab w:val="left" w:pos="525"/>
          <w:tab w:val="left" w:pos="945"/>
          <w:tab w:val="clear" w:pos="780"/>
        </w:tabs>
        <w:spacing w:line="360" w:lineRule="auto"/>
        <w:ind w:left="0" w:firstLine="525"/>
        <w:rPr>
          <w:rFonts w:hint="eastAsia" w:ascii="宋体" w:hAnsi="宋体" w:cs="宋体"/>
          <w:color w:val="auto"/>
          <w:sz w:val="24"/>
          <w:szCs w:val="24"/>
          <w:highlight w:val="none"/>
        </w:rPr>
      </w:pPr>
      <w:r>
        <w:rPr>
          <w:rFonts w:hint="eastAsia" w:ascii="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231BA55">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中标、成交供应商可以根据自身情况，自行决定是否采用电子履约保函形式，具体操作可登陆江苏政府采购网的保险保函模块进行办理。</w:t>
      </w:r>
    </w:p>
    <w:p w14:paraId="478F0199">
      <w:pPr>
        <w:numPr>
          <w:ilvl w:val="1"/>
          <w:numId w:val="7"/>
        </w:numPr>
        <w:tabs>
          <w:tab w:val="left" w:pos="525"/>
          <w:tab w:val="left" w:pos="945"/>
          <w:tab w:val="clear" w:pos="780"/>
        </w:tabs>
        <w:spacing w:line="360" w:lineRule="auto"/>
        <w:ind w:left="0" w:firstLine="480"/>
        <w:rPr>
          <w:rFonts w:hint="eastAsia" w:ascii="宋体"/>
          <w:bCs/>
          <w:color w:val="auto"/>
          <w:sz w:val="24"/>
          <w:szCs w:val="24"/>
          <w:highlight w:val="none"/>
        </w:rPr>
      </w:pPr>
      <w:r>
        <w:rPr>
          <w:rFonts w:hint="eastAsia" w:ascii="宋体" w:hAnsi="宋体" w:cs="宋体"/>
          <w:color w:val="auto"/>
          <w:sz w:val="24"/>
          <w:szCs w:val="24"/>
          <w:highlight w:val="none"/>
        </w:rPr>
        <w:t>本项目中如有涉及到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供应商应满足采购文件要求。</w:t>
      </w:r>
      <w:r>
        <w:rPr>
          <w:rFonts w:hint="eastAsia" w:ascii="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履约验收管理时，可对所提供的七种软硬件进行验收，必要时可以委托依法取得检测、认证资质的机构进行检测、认证。</w:t>
      </w:r>
    </w:p>
    <w:p w14:paraId="639F9DF2">
      <w:pPr>
        <w:numPr>
          <w:ilvl w:val="1"/>
          <w:numId w:val="7"/>
        </w:numPr>
        <w:tabs>
          <w:tab w:val="left" w:pos="525"/>
          <w:tab w:val="left" w:pos="945"/>
          <w:tab w:val="clear" w:pos="780"/>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7ECD86B">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3B81B8B">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采购人原则上应当自收到发票后10个工作日内将资金支付到合同约定的供应商账户。</w:t>
      </w:r>
    </w:p>
    <w:p w14:paraId="4A529F7E">
      <w:pPr>
        <w:numPr>
          <w:ilvl w:val="0"/>
          <w:numId w:val="0"/>
        </w:numPr>
        <w:tabs>
          <w:tab w:val="left" w:pos="525"/>
          <w:tab w:val="left" w:pos="945"/>
        </w:tabs>
        <w:spacing w:line="360" w:lineRule="auto"/>
        <w:ind w:left="525"/>
        <w:rPr>
          <w:rFonts w:hint="eastAsia" w:ascii="宋体" w:hAnsi="宋体" w:eastAsia="宋体" w:cs="Times New Roman"/>
          <w:bCs/>
          <w:color w:val="auto"/>
          <w:sz w:val="24"/>
          <w:szCs w:val="24"/>
          <w:highlight w:val="none"/>
        </w:rPr>
      </w:pPr>
    </w:p>
    <w:p w14:paraId="5B0536BE">
      <w:pPr>
        <w:pStyle w:val="41"/>
        <w:numPr>
          <w:ilvl w:val="0"/>
          <w:numId w:val="0"/>
        </w:numPr>
        <w:spacing w:before="0" w:beforeAutospacing="0" w:after="0" w:afterAutospacing="0" w:line="360" w:lineRule="auto"/>
        <w:rPr>
          <w:rFonts w:hint="eastAsia" w:ascii="宋体" w:hAnsi="宋体" w:eastAsia="宋体" w:cs="宋体"/>
          <w:color w:val="auto"/>
          <w:highlight w:val="none"/>
        </w:rPr>
      </w:pPr>
    </w:p>
    <w:p w14:paraId="5A2A03BD">
      <w:pPr>
        <w:pStyle w:val="2"/>
        <w:pageBreakBefore/>
        <w:jc w:val="center"/>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第四章</w:t>
      </w:r>
      <w:r>
        <w:rPr>
          <w:rFonts w:hint="eastAsia" w:ascii="黑体" w:hAnsi="黑体" w:eastAsia="黑体"/>
          <w:b w:val="0"/>
          <w:color w:val="auto"/>
          <w:sz w:val="32"/>
          <w:szCs w:val="32"/>
          <w:highlight w:val="none"/>
          <w:lang w:val="en-US" w:eastAsia="zh-CN"/>
        </w:rPr>
        <w:t xml:space="preserve">  </w:t>
      </w:r>
      <w:r>
        <w:rPr>
          <w:rFonts w:hint="eastAsia" w:ascii="黑体" w:hAnsi="黑体" w:eastAsia="黑体"/>
          <w:b w:val="0"/>
          <w:color w:val="auto"/>
          <w:sz w:val="32"/>
          <w:szCs w:val="32"/>
          <w:highlight w:val="none"/>
        </w:rPr>
        <w:t>合同书（格式文本）</w:t>
      </w:r>
      <w:bookmarkEnd w:id="134"/>
    </w:p>
    <w:p w14:paraId="46F18B53">
      <w:pPr>
        <w:spacing w:line="360" w:lineRule="auto"/>
        <w:jc w:val="center"/>
        <w:rPr>
          <w:rFonts w:ascii="黑体" w:hAnsi="宋体" w:eastAsia="黑体"/>
          <w:b/>
          <w:color w:val="auto"/>
          <w:sz w:val="28"/>
          <w:szCs w:val="28"/>
          <w:highlight w:val="none"/>
        </w:rPr>
      </w:pPr>
      <w:bookmarkStart w:id="141" w:name="_Toc61444675"/>
      <w:r>
        <w:rPr>
          <w:rFonts w:hint="eastAsia" w:ascii="黑体" w:hAnsi="宋体" w:eastAsia="黑体"/>
          <w:b/>
          <w:color w:val="auto"/>
          <w:sz w:val="28"/>
          <w:szCs w:val="28"/>
          <w:highlight w:val="none"/>
        </w:rPr>
        <w:t>合同书（服务）格式条款</w:t>
      </w:r>
    </w:p>
    <w:p w14:paraId="3E7DBA19">
      <w:pPr>
        <w:spacing w:line="360" w:lineRule="auto"/>
        <w:ind w:firstLine="480"/>
        <w:rPr>
          <w:rFonts w:ascii="黑体" w:eastAsia="黑体"/>
          <w:b/>
          <w:color w:val="auto"/>
          <w:sz w:val="28"/>
          <w:szCs w:val="28"/>
          <w:highlight w:val="none"/>
        </w:rPr>
      </w:pPr>
      <w:r>
        <w:rPr>
          <w:rFonts w:hint="eastAsia" w:ascii="宋体" w:hAnsi="宋体"/>
          <w:b/>
          <w:color w:val="auto"/>
          <w:sz w:val="24"/>
          <w:szCs w:val="24"/>
          <w:highlight w:val="none"/>
        </w:rPr>
        <w:t>根据《中华人民共和国政府采购法》及相关法规、《中华人民共和国民法典》，遵循平等、自愿、公平和诚实信用的原则，甲乙双方就项目（项目编号： ）实施及有关事项协商一致，共同达成如下协议：</w:t>
      </w:r>
    </w:p>
    <w:p w14:paraId="400F4FB7">
      <w:pPr>
        <w:spacing w:line="440" w:lineRule="exact"/>
        <w:rPr>
          <w:rFonts w:ascii="宋体"/>
          <w:bCs/>
          <w:color w:val="auto"/>
          <w:sz w:val="24"/>
          <w:szCs w:val="24"/>
          <w:highlight w:val="none"/>
          <w:u w:val="single"/>
        </w:rPr>
      </w:pPr>
      <w:r>
        <w:rPr>
          <w:rFonts w:hint="eastAsia" w:ascii="宋体" w:hAnsi="宋体"/>
          <w:bCs/>
          <w:color w:val="auto"/>
          <w:sz w:val="24"/>
          <w:szCs w:val="24"/>
          <w:highlight w:val="none"/>
        </w:rPr>
        <w:t>需方（采购人）：</w:t>
      </w:r>
    </w:p>
    <w:p w14:paraId="37265724">
      <w:pPr>
        <w:spacing w:line="440" w:lineRule="exact"/>
        <w:rPr>
          <w:rFonts w:ascii="宋体"/>
          <w:bCs/>
          <w:color w:val="auto"/>
          <w:sz w:val="24"/>
          <w:szCs w:val="24"/>
          <w:highlight w:val="none"/>
          <w:u w:val="single"/>
        </w:rPr>
      </w:pPr>
      <w:r>
        <w:rPr>
          <w:rFonts w:hint="eastAsia" w:ascii="宋体" w:hAnsi="宋体"/>
          <w:bCs/>
          <w:color w:val="auto"/>
          <w:sz w:val="24"/>
          <w:szCs w:val="24"/>
          <w:highlight w:val="none"/>
        </w:rPr>
        <w:t>供方（中标方）：</w:t>
      </w:r>
    </w:p>
    <w:p w14:paraId="076228BF">
      <w:pPr>
        <w:tabs>
          <w:tab w:val="left" w:pos="210"/>
          <w:tab w:val="left" w:pos="450"/>
          <w:tab w:val="left" w:pos="840"/>
          <w:tab w:val="left" w:pos="1260"/>
        </w:tabs>
        <w:spacing w:line="440" w:lineRule="exact"/>
        <w:ind w:left="523"/>
        <w:rPr>
          <w:rFonts w:ascii="宋体"/>
          <w:bCs/>
          <w:color w:val="auto"/>
          <w:sz w:val="24"/>
          <w:szCs w:val="24"/>
          <w:highlight w:val="none"/>
        </w:rPr>
      </w:pPr>
      <w:r>
        <w:rPr>
          <w:rFonts w:hint="eastAsia" w:ascii="宋体" w:hAnsi="宋体"/>
          <w:bCs/>
          <w:color w:val="auto"/>
          <w:sz w:val="24"/>
          <w:szCs w:val="24"/>
          <w:highlight w:val="none"/>
        </w:rPr>
        <w:t>一、采购项目编号：</w:t>
      </w:r>
    </w:p>
    <w:p w14:paraId="512096A7">
      <w:pPr>
        <w:tabs>
          <w:tab w:val="left" w:pos="210"/>
          <w:tab w:val="left" w:pos="450"/>
          <w:tab w:val="left" w:pos="840"/>
          <w:tab w:val="left" w:pos="1260"/>
        </w:tabs>
        <w:spacing w:line="440" w:lineRule="exact"/>
        <w:ind w:left="523"/>
        <w:rPr>
          <w:rFonts w:ascii="宋体"/>
          <w:bCs/>
          <w:color w:val="auto"/>
          <w:sz w:val="24"/>
          <w:szCs w:val="24"/>
          <w:highlight w:val="none"/>
        </w:rPr>
      </w:pPr>
      <w:r>
        <w:rPr>
          <w:rFonts w:hint="eastAsia" w:ascii="宋体" w:hAnsi="宋体"/>
          <w:bCs/>
          <w:color w:val="auto"/>
          <w:sz w:val="24"/>
          <w:szCs w:val="24"/>
          <w:highlight w:val="none"/>
        </w:rPr>
        <w:t>二、采购项目名称：</w:t>
      </w:r>
    </w:p>
    <w:p w14:paraId="1CF4774F">
      <w:pPr>
        <w:tabs>
          <w:tab w:val="left" w:pos="210"/>
          <w:tab w:val="left" w:pos="450"/>
          <w:tab w:val="left" w:pos="840"/>
          <w:tab w:val="left" w:pos="1260"/>
        </w:tabs>
        <w:spacing w:line="440" w:lineRule="exact"/>
        <w:ind w:left="523"/>
        <w:rPr>
          <w:rFonts w:ascii="宋体"/>
          <w:bCs/>
          <w:color w:val="auto"/>
          <w:sz w:val="24"/>
          <w:szCs w:val="24"/>
          <w:highlight w:val="none"/>
        </w:rPr>
      </w:pPr>
      <w:r>
        <w:rPr>
          <w:rFonts w:hint="eastAsia" w:ascii="宋体" w:hAnsi="宋体"/>
          <w:bCs/>
          <w:color w:val="auto"/>
          <w:sz w:val="24"/>
          <w:szCs w:val="24"/>
          <w:highlight w:val="none"/>
        </w:rPr>
        <w:t>三、中标（成交）总金额：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（大写）；</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（小写）</w:t>
      </w:r>
    </w:p>
    <w:p w14:paraId="6ECF4A63">
      <w:pPr>
        <w:tabs>
          <w:tab w:val="left" w:pos="210"/>
          <w:tab w:val="left" w:pos="450"/>
          <w:tab w:val="left" w:pos="840"/>
          <w:tab w:val="left" w:pos="1260"/>
        </w:tabs>
        <w:spacing w:line="440" w:lineRule="exact"/>
        <w:ind w:left="523"/>
        <w:rPr>
          <w:rFonts w:ascii="宋体"/>
          <w:bCs/>
          <w:color w:val="auto"/>
          <w:sz w:val="24"/>
          <w:szCs w:val="24"/>
          <w:highlight w:val="none"/>
        </w:rPr>
      </w:pPr>
      <w:r>
        <w:rPr>
          <w:rFonts w:hint="eastAsia" w:ascii="宋体" w:hAnsi="宋体"/>
          <w:bCs/>
          <w:color w:val="auto"/>
          <w:sz w:val="24"/>
          <w:szCs w:val="24"/>
          <w:highlight w:val="none"/>
        </w:rPr>
        <w:t>四、项目服务期限：</w:t>
      </w:r>
    </w:p>
    <w:p w14:paraId="0CE63468">
      <w:pPr>
        <w:tabs>
          <w:tab w:val="left" w:pos="210"/>
          <w:tab w:val="left" w:pos="450"/>
          <w:tab w:val="left" w:pos="840"/>
          <w:tab w:val="left" w:pos="1260"/>
        </w:tabs>
        <w:spacing w:line="440" w:lineRule="exact"/>
        <w:ind w:left="523"/>
        <w:rPr>
          <w:rFonts w:ascii="宋体"/>
          <w:bCs/>
          <w:color w:val="auto"/>
          <w:sz w:val="24"/>
          <w:szCs w:val="24"/>
          <w:highlight w:val="none"/>
        </w:rPr>
      </w:pPr>
      <w:r>
        <w:rPr>
          <w:rFonts w:hint="eastAsia" w:ascii="宋体" w:hAnsi="宋体"/>
          <w:bCs/>
          <w:color w:val="auto"/>
          <w:sz w:val="24"/>
          <w:szCs w:val="24"/>
          <w:highlight w:val="none"/>
        </w:rPr>
        <w:t>五、项目整体免费服务期：</w:t>
      </w:r>
    </w:p>
    <w:p w14:paraId="2C9EB324">
      <w:pPr>
        <w:tabs>
          <w:tab w:val="left" w:pos="210"/>
          <w:tab w:val="left" w:pos="450"/>
          <w:tab w:val="left" w:pos="840"/>
          <w:tab w:val="left" w:pos="1260"/>
        </w:tabs>
        <w:spacing w:line="440" w:lineRule="exact"/>
        <w:ind w:left="523"/>
        <w:rPr>
          <w:rFonts w:ascii="宋体"/>
          <w:bCs/>
          <w:color w:val="auto"/>
          <w:sz w:val="24"/>
          <w:szCs w:val="24"/>
          <w:highlight w:val="none"/>
        </w:rPr>
      </w:pPr>
      <w:r>
        <w:rPr>
          <w:rFonts w:hint="eastAsia" w:ascii="宋体" w:hAnsi="宋体"/>
          <w:bCs/>
          <w:color w:val="auto"/>
          <w:sz w:val="24"/>
          <w:szCs w:val="24"/>
          <w:highlight w:val="none"/>
        </w:rPr>
        <w:t>六、货款支付步骤和办法：</w:t>
      </w:r>
    </w:p>
    <w:p w14:paraId="6456861D">
      <w:pPr>
        <w:tabs>
          <w:tab w:val="left" w:pos="210"/>
          <w:tab w:val="left" w:pos="450"/>
          <w:tab w:val="left" w:pos="840"/>
          <w:tab w:val="left" w:pos="1260"/>
        </w:tabs>
        <w:spacing w:line="440" w:lineRule="exact"/>
        <w:ind w:left="523"/>
        <w:rPr>
          <w:rFonts w:ascii="宋体"/>
          <w:bCs/>
          <w:color w:val="auto"/>
          <w:sz w:val="24"/>
          <w:szCs w:val="24"/>
          <w:highlight w:val="none"/>
        </w:rPr>
      </w:pPr>
      <w:r>
        <w:rPr>
          <w:rFonts w:hint="eastAsia" w:ascii="宋体" w:hAnsi="宋体"/>
          <w:bCs/>
          <w:color w:val="auto"/>
          <w:sz w:val="24"/>
          <w:szCs w:val="24"/>
          <w:highlight w:val="none"/>
        </w:rPr>
        <w:t>七、合同书不可分割部分：</w:t>
      </w:r>
    </w:p>
    <w:p w14:paraId="23DFCAEF">
      <w:pPr>
        <w:tabs>
          <w:tab w:val="left" w:pos="210"/>
          <w:tab w:val="left" w:pos="420"/>
          <w:tab w:val="left" w:pos="1155"/>
        </w:tabs>
        <w:spacing w:line="440" w:lineRule="exact"/>
        <w:ind w:firstLine="480"/>
        <w:rPr>
          <w:rFonts w:ascii="宋体"/>
          <w:bCs/>
          <w:color w:val="auto"/>
          <w:sz w:val="24"/>
          <w:szCs w:val="24"/>
          <w:highlight w:val="none"/>
        </w:rPr>
      </w:pPr>
      <w:r>
        <w:rPr>
          <w:rFonts w:hint="eastAsia" w:ascii="宋体" w:hAnsi="宋体"/>
          <w:bCs/>
          <w:color w:val="auto"/>
          <w:sz w:val="24"/>
          <w:szCs w:val="24"/>
          <w:highlight w:val="none"/>
        </w:rPr>
        <w:t>招标（采购）文件、投标（报价）文件、合同条款及中标</w:t>
      </w:r>
      <w:r>
        <w:rPr>
          <w:rFonts w:hint="eastAsia" w:ascii="宋体" w:hAnsi="宋体"/>
          <w:color w:val="auto"/>
          <w:sz w:val="24"/>
          <w:szCs w:val="24"/>
          <w:highlight w:val="none"/>
        </w:rPr>
        <w:t>（成交）</w:t>
      </w:r>
      <w:r>
        <w:rPr>
          <w:rFonts w:hint="eastAsia" w:ascii="宋体" w:hAnsi="宋体"/>
          <w:bCs/>
          <w:color w:val="auto"/>
          <w:sz w:val="24"/>
          <w:szCs w:val="24"/>
          <w:highlight w:val="none"/>
        </w:rPr>
        <w:t>通知书，供方在投标（响应）、评标（评审）过程中所作其它有关承诺、声明、书面澄清等均为合同不可分割的部分，与主合同具有同等法律效力。</w:t>
      </w:r>
    </w:p>
    <w:p w14:paraId="33304A04">
      <w:pPr>
        <w:tabs>
          <w:tab w:val="left" w:pos="210"/>
          <w:tab w:val="left" w:pos="735"/>
          <w:tab w:val="left" w:pos="1155"/>
        </w:tabs>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八、合同书组成：</w:t>
      </w:r>
    </w:p>
    <w:p w14:paraId="3FF12150">
      <w:pPr>
        <w:tabs>
          <w:tab w:val="left" w:pos="210"/>
          <w:tab w:val="left" w:pos="735"/>
          <w:tab w:val="left" w:pos="1155"/>
        </w:tabs>
        <w:spacing w:line="440" w:lineRule="exact"/>
        <w:ind w:firstLine="480"/>
        <w:rPr>
          <w:rFonts w:ascii="宋体" w:hAnsi="宋体"/>
          <w:bCs/>
          <w:color w:val="auto"/>
          <w:sz w:val="24"/>
          <w:szCs w:val="24"/>
          <w:highlight w:val="none"/>
        </w:rPr>
      </w:pPr>
      <w:r>
        <w:rPr>
          <w:rFonts w:hint="eastAsia" w:ascii="宋体" w:hAnsi="宋体"/>
          <w:color w:val="auto"/>
          <w:sz w:val="24"/>
          <w:szCs w:val="24"/>
          <w:highlight w:val="none"/>
        </w:rPr>
        <w:t>合同书由格式条款</w:t>
      </w:r>
      <w:r>
        <w:rPr>
          <w:rFonts w:hint="eastAsia" w:ascii="宋体" w:hAnsi="宋体"/>
          <w:bCs/>
          <w:color w:val="auto"/>
          <w:sz w:val="24"/>
          <w:szCs w:val="24"/>
          <w:highlight w:val="none"/>
        </w:rPr>
        <w:t>和合同条款二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rFonts w:hint="eastAsia" w:ascii="宋体" w:hAnsi="宋体" w:cs="宋体"/>
          <w:color w:val="auto"/>
          <w:sz w:val="24"/>
          <w:szCs w:val="24"/>
          <w:highlight w:val="none"/>
        </w:rPr>
        <w:t>与履约验收挂钩的资金支付条件及时间</w:t>
      </w:r>
      <w:r>
        <w:rPr>
          <w:rFonts w:hint="eastAsia" w:ascii="宋体" w:hAnsi="宋体"/>
          <w:bCs/>
          <w:color w:val="auto"/>
          <w:sz w:val="24"/>
          <w:szCs w:val="24"/>
          <w:highlight w:val="none"/>
        </w:rPr>
        <w:t>，验收、交付标准和方法，质量保修范围和保修期，违约责任与解决争议的方法，甲乙双方权利与义务，合同分包要求，</w:t>
      </w:r>
      <w:r>
        <w:rPr>
          <w:rFonts w:hint="eastAsia" w:ascii="宋体" w:hAnsi="宋体"/>
          <w:color w:val="auto"/>
          <w:sz w:val="24"/>
          <w:szCs w:val="24"/>
          <w:highlight w:val="none"/>
        </w:rPr>
        <w:t>合同类型</w:t>
      </w:r>
      <w:r>
        <w:rPr>
          <w:rFonts w:hint="eastAsia" w:ascii="宋体" w:hAnsi="宋体"/>
          <w:bCs/>
          <w:color w:val="auto"/>
          <w:sz w:val="24"/>
          <w:szCs w:val="24"/>
          <w:highlight w:val="none"/>
        </w:rPr>
        <w:t>等。</w:t>
      </w:r>
    </w:p>
    <w:p w14:paraId="0FA2A4CE">
      <w:pPr>
        <w:tabs>
          <w:tab w:val="left" w:pos="210"/>
          <w:tab w:val="left" w:pos="735"/>
          <w:tab w:val="left" w:pos="115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九、合同备案：</w:t>
      </w:r>
    </w:p>
    <w:p w14:paraId="4A20227D">
      <w:pPr>
        <w:tabs>
          <w:tab w:val="left" w:pos="210"/>
          <w:tab w:val="left" w:pos="735"/>
          <w:tab w:val="left" w:pos="1155"/>
        </w:tabs>
        <w:spacing w:line="440" w:lineRule="exact"/>
        <w:ind w:firstLine="480"/>
        <w:rPr>
          <w:rFonts w:ascii="宋体" w:hAnsi="宋体"/>
          <w:bCs/>
          <w:color w:val="auto"/>
          <w:sz w:val="24"/>
          <w:szCs w:val="24"/>
          <w:highlight w:val="none"/>
        </w:rPr>
      </w:pPr>
      <w:r>
        <w:rPr>
          <w:rFonts w:hint="eastAsia" w:ascii="宋体"/>
          <w:bCs/>
          <w:color w:val="auto"/>
          <w:sz w:val="24"/>
          <w:szCs w:val="24"/>
          <w:highlight w:val="none"/>
        </w:rPr>
        <w:t>合同一式四份，供需双方各执一份，区财政局采购办(镇、街道招标办)一份,区采购中心一份。</w:t>
      </w:r>
    </w:p>
    <w:p w14:paraId="4B35DE73">
      <w:pPr>
        <w:tabs>
          <w:tab w:val="left" w:pos="210"/>
          <w:tab w:val="left" w:pos="840"/>
          <w:tab w:val="left" w:pos="115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十、合同书生效及注意事项：</w:t>
      </w:r>
    </w:p>
    <w:p w14:paraId="08CFBE17">
      <w:pPr>
        <w:tabs>
          <w:tab w:val="left" w:pos="210"/>
          <w:tab w:val="left" w:pos="840"/>
          <w:tab w:val="left" w:pos="115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合同书格式条款与合同条款共同组成完整合同书。采购人在确定中标（成交）供应商之日起三十个日历天内，完成合同书签订工作。供需双方在合同书上确认签章后，合同即生效并经系统自动将合同书推送“无锡市政府采购网”进行公示。</w:t>
      </w:r>
    </w:p>
    <w:p w14:paraId="74C33850">
      <w:pPr>
        <w:tabs>
          <w:tab w:val="left" w:pos="210"/>
          <w:tab w:val="left" w:pos="840"/>
          <w:tab w:val="left" w:pos="115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十一、供需双方如有其它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p>
    <w:p w14:paraId="59832A0E">
      <w:pPr>
        <w:tabs>
          <w:tab w:val="left" w:pos="210"/>
          <w:tab w:val="left" w:pos="840"/>
          <w:tab w:val="left" w:pos="115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十二、根据《政府采购法》第四十九、五十条规定，甲乙双方不得擅自变更、中止或终止合同。</w:t>
      </w:r>
    </w:p>
    <w:bookmarkEnd w:id="141"/>
    <w:p w14:paraId="335C3429">
      <w:pPr>
        <w:spacing w:line="440" w:lineRule="exact"/>
        <w:rPr>
          <w:rFonts w:ascii="宋体" w:hAnsi="宋体"/>
          <w:bCs/>
          <w:color w:val="auto"/>
          <w:sz w:val="24"/>
          <w:szCs w:val="24"/>
          <w:highlight w:val="none"/>
        </w:rPr>
      </w:pPr>
    </w:p>
    <w:p w14:paraId="08548DE8">
      <w:pPr>
        <w:pStyle w:val="2"/>
        <w:pageBreakBefore/>
        <w:rPr>
          <w:rFonts w:ascii="黑体" w:hAnsi="黑体" w:eastAsia="黑体"/>
          <w:b w:val="0"/>
          <w:color w:val="auto"/>
          <w:sz w:val="32"/>
          <w:szCs w:val="32"/>
          <w:highlight w:val="none"/>
        </w:rPr>
      </w:pPr>
      <w:bookmarkStart w:id="142" w:name="_Toc86134314"/>
      <w:r>
        <w:rPr>
          <w:rFonts w:hint="eastAsia" w:ascii="黑体" w:hAnsi="黑体" w:eastAsia="黑体"/>
          <w:b w:val="0"/>
          <w:color w:val="auto"/>
          <w:sz w:val="32"/>
          <w:szCs w:val="32"/>
          <w:highlight w:val="none"/>
        </w:rPr>
        <w:t>合同条款</w:t>
      </w:r>
      <w:bookmarkEnd w:id="142"/>
    </w:p>
    <w:p w14:paraId="79B2A041">
      <w:pPr>
        <w:spacing w:line="440" w:lineRule="exact"/>
        <w:ind w:firstLine="480"/>
        <w:jc w:val="center"/>
        <w:rPr>
          <w:rFonts w:ascii="宋体" w:hAnsi="宋体"/>
          <w:bCs/>
          <w:color w:val="auto"/>
          <w:sz w:val="24"/>
          <w:szCs w:val="24"/>
          <w:highlight w:val="none"/>
        </w:rPr>
      </w:pPr>
      <w:r>
        <w:rPr>
          <w:rFonts w:hint="eastAsia" w:ascii="宋体" w:hAnsi="宋体"/>
          <w:bCs/>
          <w:color w:val="auto"/>
          <w:sz w:val="24"/>
          <w:szCs w:val="24"/>
          <w:highlight w:val="none"/>
        </w:rPr>
        <w:t>（根据相关法律规定以及招标文件确定事项订立）</w:t>
      </w:r>
    </w:p>
    <w:p w14:paraId="4CF55AA5">
      <w:pPr>
        <w:spacing w:line="440" w:lineRule="exact"/>
        <w:rPr>
          <w:rFonts w:ascii="宋体" w:hAnsi="宋体"/>
          <w:bCs/>
          <w:color w:val="auto"/>
          <w:sz w:val="24"/>
          <w:szCs w:val="24"/>
          <w:highlight w:val="none"/>
        </w:rPr>
      </w:pPr>
    </w:p>
    <w:p w14:paraId="769901D4">
      <w:pPr>
        <w:spacing w:line="360" w:lineRule="auto"/>
        <w:ind w:firstLine="525"/>
        <w:rPr>
          <w:rFonts w:ascii="宋体"/>
          <w:bCs/>
          <w:color w:val="auto"/>
          <w:sz w:val="24"/>
          <w:szCs w:val="24"/>
          <w:highlight w:val="none"/>
        </w:rPr>
      </w:pPr>
      <w:r>
        <w:rPr>
          <w:rFonts w:hint="eastAsia" w:ascii="宋体" w:hAnsi="宋体"/>
          <w:bCs/>
          <w:color w:val="auto"/>
          <w:sz w:val="24"/>
          <w:szCs w:val="24"/>
          <w:highlight w:val="none"/>
        </w:rPr>
        <w:t>（一）合同内容：需方向供方购买。</w:t>
      </w:r>
    </w:p>
    <w:p w14:paraId="63375A05">
      <w:pPr>
        <w:spacing w:line="360" w:lineRule="auto"/>
        <w:ind w:firstLine="525"/>
        <w:rPr>
          <w:rFonts w:ascii="宋体"/>
          <w:bCs/>
          <w:color w:val="auto"/>
          <w:sz w:val="24"/>
          <w:szCs w:val="24"/>
          <w:highlight w:val="none"/>
        </w:rPr>
      </w:pPr>
      <w:r>
        <w:rPr>
          <w:rFonts w:hint="eastAsia" w:ascii="宋体" w:hAnsi="宋体"/>
          <w:bCs/>
          <w:color w:val="auto"/>
          <w:sz w:val="24"/>
          <w:szCs w:val="24"/>
          <w:highlight w:val="none"/>
        </w:rPr>
        <w:t>（二）价格及支付：</w:t>
      </w:r>
    </w:p>
    <w:p w14:paraId="2F1A1DAC">
      <w:pPr>
        <w:tabs>
          <w:tab w:val="left" w:pos="525"/>
          <w:tab w:val="left" w:pos="1050"/>
          <w:tab w:val="left" w:pos="1155"/>
        </w:tabs>
        <w:spacing w:line="360" w:lineRule="auto"/>
        <w:ind w:firstLine="523"/>
        <w:rPr>
          <w:rFonts w:ascii="宋体"/>
          <w:bCs/>
          <w:color w:val="auto"/>
          <w:sz w:val="24"/>
          <w:szCs w:val="24"/>
          <w:highlight w:val="none"/>
        </w:rPr>
      </w:pPr>
      <w:r>
        <w:rPr>
          <w:rFonts w:hint="eastAsia" w:ascii="宋体" w:hAnsi="宋体"/>
          <w:bCs/>
          <w:color w:val="auto"/>
          <w:sz w:val="24"/>
          <w:szCs w:val="24"/>
          <w:highlight w:val="none"/>
        </w:rPr>
        <w:t>1. 按此次中标价格执行，合同总标的额为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57E1E70F">
      <w:pPr>
        <w:numPr>
          <w:ilvl w:val="1"/>
          <w:numId w:val="8"/>
        </w:numPr>
        <w:tabs>
          <w:tab w:val="left" w:pos="945"/>
          <w:tab w:val="left" w:pos="210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付款方式：</w:t>
      </w:r>
    </w:p>
    <w:p w14:paraId="45EF6CB3">
      <w:pPr>
        <w:numPr>
          <w:ilvl w:val="1"/>
          <w:numId w:val="8"/>
        </w:numPr>
        <w:tabs>
          <w:tab w:val="left" w:pos="945"/>
          <w:tab w:val="left" w:pos="210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履约保证金的缴纳和退付：</w:t>
      </w:r>
    </w:p>
    <w:p w14:paraId="2767EA2C">
      <w:pPr>
        <w:tabs>
          <w:tab w:val="left" w:pos="945"/>
          <w:tab w:val="left" w:pos="21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w:t>
      </w:r>
    </w:p>
    <w:p w14:paraId="39C4BC6B">
      <w:pPr>
        <w:tabs>
          <w:tab w:val="left" w:pos="945"/>
          <w:tab w:val="left" w:pos="21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3187A183">
      <w:pPr>
        <w:tabs>
          <w:tab w:val="left" w:pos="945"/>
          <w:tab w:val="left" w:pos="2100"/>
        </w:tabs>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7ED26A23">
      <w:pPr>
        <w:tabs>
          <w:tab w:val="left" w:pos="945"/>
          <w:tab w:val="left" w:pos="2100"/>
        </w:tabs>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471E56C4">
      <w:pPr>
        <w:tabs>
          <w:tab w:val="left" w:pos="945"/>
          <w:tab w:val="left" w:pos="2100"/>
        </w:tabs>
        <w:spacing w:line="360" w:lineRule="auto"/>
        <w:ind w:firstLine="480"/>
        <w:rPr>
          <w:rFonts w:ascii="宋体" w:hAnsi="宋体"/>
          <w:bCs/>
          <w:color w:val="auto"/>
          <w:sz w:val="24"/>
          <w:highlight w:val="none"/>
        </w:rPr>
      </w:pPr>
      <w:r>
        <w:rPr>
          <w:rFonts w:hint="eastAsia" w:ascii="宋体" w:hAnsi="宋体"/>
          <w:bCs/>
          <w:color w:val="auto"/>
          <w:sz w:val="24"/>
          <w:highlight w:val="none"/>
        </w:rPr>
        <w:t>履约保证金不予退还的情形：</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4D05B740">
      <w:pPr>
        <w:tabs>
          <w:tab w:val="left" w:pos="945"/>
          <w:tab w:val="left" w:pos="2100"/>
        </w:tabs>
        <w:spacing w:line="360" w:lineRule="auto"/>
        <w:ind w:firstLine="480"/>
        <w:rPr>
          <w:rFonts w:ascii="宋体"/>
          <w:bCs/>
          <w:color w:val="auto"/>
          <w:sz w:val="24"/>
          <w:szCs w:val="24"/>
          <w:highlight w:val="none"/>
        </w:rPr>
      </w:pPr>
      <w:r>
        <w:rPr>
          <w:rFonts w:hint="eastAsia" w:ascii="宋体" w:hAnsi="宋体"/>
          <w:bCs/>
          <w:color w:val="auto"/>
          <w:sz w:val="24"/>
          <w:highlight w:val="none"/>
        </w:rPr>
        <w:t>逾期退还履约保证金的违约责任：</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08DC6DF4">
      <w:pPr>
        <w:tabs>
          <w:tab w:val="left" w:pos="0"/>
          <w:tab w:val="left" w:pos="855"/>
          <w:tab w:val="left" w:pos="1365"/>
        </w:tabs>
        <w:spacing w:line="360" w:lineRule="auto"/>
        <w:ind w:left="525"/>
        <w:rPr>
          <w:rFonts w:ascii="宋体"/>
          <w:bCs/>
          <w:color w:val="auto"/>
          <w:sz w:val="24"/>
          <w:szCs w:val="24"/>
          <w:highlight w:val="none"/>
        </w:rPr>
      </w:pPr>
      <w:r>
        <w:rPr>
          <w:rFonts w:hint="eastAsia" w:ascii="宋体" w:hAnsi="宋体"/>
          <w:bCs/>
          <w:color w:val="auto"/>
          <w:sz w:val="24"/>
          <w:szCs w:val="24"/>
          <w:highlight w:val="none"/>
        </w:rPr>
        <w:t>（三）知识产权</w:t>
      </w:r>
    </w:p>
    <w:p w14:paraId="2D1A877B">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23024138">
      <w:pPr>
        <w:tabs>
          <w:tab w:val="left" w:pos="735"/>
          <w:tab w:val="left" w:pos="855"/>
        </w:tabs>
        <w:spacing w:line="360" w:lineRule="auto"/>
        <w:ind w:left="521"/>
        <w:rPr>
          <w:rFonts w:ascii="宋体"/>
          <w:bCs/>
          <w:color w:val="auto"/>
          <w:sz w:val="24"/>
          <w:szCs w:val="24"/>
          <w:highlight w:val="none"/>
        </w:rPr>
      </w:pPr>
      <w:r>
        <w:rPr>
          <w:rFonts w:hint="eastAsia" w:ascii="宋体" w:hAnsi="宋体"/>
          <w:bCs/>
          <w:color w:val="auto"/>
          <w:sz w:val="24"/>
          <w:szCs w:val="24"/>
          <w:highlight w:val="none"/>
        </w:rPr>
        <w:t>（四）质量要求与检验：</w:t>
      </w:r>
    </w:p>
    <w:p w14:paraId="1E50AAEC">
      <w:pPr>
        <w:tabs>
          <w:tab w:val="left" w:pos="525"/>
          <w:tab w:val="left" w:pos="1050"/>
          <w:tab w:val="left" w:pos="1155"/>
        </w:tabs>
        <w:spacing w:line="360" w:lineRule="auto"/>
        <w:ind w:firstLine="520"/>
        <w:rPr>
          <w:rFonts w:ascii="宋体"/>
          <w:bCs/>
          <w:color w:val="auto"/>
          <w:sz w:val="24"/>
          <w:szCs w:val="24"/>
          <w:highlight w:val="none"/>
        </w:rPr>
      </w:pPr>
      <w:r>
        <w:rPr>
          <w:rFonts w:hint="eastAsia" w:ascii="宋体" w:hAnsi="宋体"/>
          <w:bCs/>
          <w:color w:val="auto"/>
          <w:sz w:val="24"/>
          <w:szCs w:val="24"/>
          <w:highlight w:val="none"/>
        </w:rPr>
        <w:t>1.供方应严格按照招标文件的有关规定和供方投标文件提供合格的货物及服务。</w:t>
      </w:r>
    </w:p>
    <w:p w14:paraId="691F60C0">
      <w:pPr>
        <w:tabs>
          <w:tab w:val="left" w:pos="1050"/>
          <w:tab w:val="left" w:pos="1155"/>
        </w:tabs>
        <w:spacing w:line="360" w:lineRule="auto"/>
        <w:ind w:firstLine="520"/>
        <w:rPr>
          <w:rFonts w:ascii="宋体"/>
          <w:bCs/>
          <w:color w:val="auto"/>
          <w:sz w:val="24"/>
          <w:szCs w:val="24"/>
          <w:highlight w:val="none"/>
        </w:rPr>
      </w:pPr>
      <w:r>
        <w:rPr>
          <w:rFonts w:hint="eastAsia" w:ascii="宋体" w:hAnsi="宋体"/>
          <w:bCs/>
          <w:color w:val="auto"/>
          <w:sz w:val="24"/>
          <w:szCs w:val="24"/>
          <w:highlight w:val="none"/>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28C8AE7D">
      <w:pPr>
        <w:tabs>
          <w:tab w:val="left" w:pos="420"/>
          <w:tab w:val="left" w:pos="1050"/>
          <w:tab w:val="left" w:pos="1155"/>
        </w:tabs>
        <w:spacing w:line="360" w:lineRule="auto"/>
        <w:ind w:firstLine="520"/>
        <w:rPr>
          <w:rFonts w:ascii="宋体"/>
          <w:bCs/>
          <w:color w:val="auto"/>
          <w:sz w:val="24"/>
          <w:szCs w:val="24"/>
          <w:highlight w:val="none"/>
        </w:rPr>
      </w:pPr>
      <w:r>
        <w:rPr>
          <w:rFonts w:hint="eastAsia" w:ascii="宋体" w:hAnsi="宋体"/>
          <w:bCs/>
          <w:color w:val="auto"/>
          <w:sz w:val="24"/>
          <w:szCs w:val="24"/>
          <w:highlight w:val="none"/>
        </w:rPr>
        <w:t>3.货物的到货验收包括：数量、外观、质量、性能、随机备件、装箱单、质量证书等随机资料及包装完整无破损。</w:t>
      </w:r>
    </w:p>
    <w:p w14:paraId="1A4079B4">
      <w:pPr>
        <w:tabs>
          <w:tab w:val="left" w:pos="1050"/>
          <w:tab w:val="left" w:pos="1155"/>
        </w:tabs>
        <w:spacing w:line="360" w:lineRule="auto"/>
        <w:ind w:firstLine="520"/>
        <w:rPr>
          <w:rFonts w:ascii="宋体"/>
          <w:bCs/>
          <w:color w:val="auto"/>
          <w:sz w:val="24"/>
          <w:szCs w:val="24"/>
          <w:highlight w:val="none"/>
        </w:rPr>
      </w:pPr>
      <w:r>
        <w:rPr>
          <w:rFonts w:hint="eastAsia" w:ascii="宋体" w:hAnsi="宋体"/>
          <w:bCs/>
          <w:color w:val="auto"/>
          <w:sz w:val="24"/>
          <w:szCs w:val="24"/>
          <w:highlight w:val="none"/>
        </w:rPr>
        <w:t>4.货物和系统调试验收标准：按行业通行标准、厂方出厂标准、招标文件要求和供方投标文件的承诺，并不低于国家相关标准。</w:t>
      </w:r>
    </w:p>
    <w:p w14:paraId="3BC51CA0">
      <w:pPr>
        <w:tabs>
          <w:tab w:val="left" w:pos="1050"/>
          <w:tab w:val="left" w:pos="1155"/>
        </w:tabs>
        <w:spacing w:line="360" w:lineRule="auto"/>
        <w:ind w:firstLine="520"/>
        <w:rPr>
          <w:rFonts w:ascii="宋体"/>
          <w:bCs/>
          <w:color w:val="auto"/>
          <w:sz w:val="24"/>
          <w:szCs w:val="24"/>
          <w:highlight w:val="none"/>
        </w:rPr>
      </w:pPr>
      <w:r>
        <w:rPr>
          <w:rFonts w:hint="eastAsia" w:ascii="宋体" w:hAnsi="宋体"/>
          <w:bCs/>
          <w:color w:val="auto"/>
          <w:sz w:val="24"/>
          <w:szCs w:val="24"/>
          <w:highlight w:val="none"/>
        </w:rPr>
        <w:t>5.货物运到需方指定地点并经需方验证签收后，由于需方保管不善造成的质量问题，供方应负责修理，但有关费用由需方承担。</w:t>
      </w:r>
    </w:p>
    <w:p w14:paraId="69D4FBD1">
      <w:pPr>
        <w:tabs>
          <w:tab w:val="left" w:pos="1050"/>
          <w:tab w:val="left" w:pos="1155"/>
        </w:tabs>
        <w:spacing w:line="360" w:lineRule="auto"/>
        <w:ind w:firstLine="520"/>
        <w:rPr>
          <w:rFonts w:ascii="宋体"/>
          <w:bCs/>
          <w:color w:val="auto"/>
          <w:sz w:val="24"/>
          <w:szCs w:val="24"/>
          <w:highlight w:val="none"/>
        </w:rPr>
      </w:pPr>
      <w:r>
        <w:rPr>
          <w:rFonts w:hint="eastAsia" w:ascii="宋体" w:hAnsi="宋体"/>
          <w:bCs/>
          <w:color w:val="auto"/>
          <w:sz w:val="24"/>
          <w:szCs w:val="24"/>
          <w:highlight w:val="none"/>
        </w:rPr>
        <w:t>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p>
    <w:p w14:paraId="68959FEA">
      <w:pPr>
        <w:tabs>
          <w:tab w:val="left" w:pos="1050"/>
          <w:tab w:val="left" w:pos="1155"/>
        </w:tabs>
        <w:spacing w:line="360" w:lineRule="auto"/>
        <w:ind w:firstLine="520"/>
        <w:rPr>
          <w:rFonts w:ascii="宋体"/>
          <w:bCs/>
          <w:color w:val="auto"/>
          <w:sz w:val="24"/>
          <w:szCs w:val="24"/>
          <w:highlight w:val="none"/>
        </w:rPr>
      </w:pPr>
      <w:r>
        <w:rPr>
          <w:rFonts w:hint="eastAsia" w:ascii="宋体" w:hAnsi="宋体"/>
          <w:bCs/>
          <w:color w:val="auto"/>
          <w:sz w:val="24"/>
          <w:szCs w:val="24"/>
          <w:highlight w:val="none"/>
        </w:rPr>
        <w:t>7.需方不得擅自变更招投标文件约定的性能、指标等相关内容，如有变更应按《中华人民共和国政府采购法》、财政部《政府采购货物和服务招标投标管理办法》的相关程序执行。</w:t>
      </w:r>
    </w:p>
    <w:p w14:paraId="13555413">
      <w:pPr>
        <w:spacing w:line="360" w:lineRule="auto"/>
        <w:ind w:left="-2" w:firstLine="520"/>
        <w:rPr>
          <w:rFonts w:ascii="宋体"/>
          <w:bCs/>
          <w:color w:val="auto"/>
          <w:sz w:val="24"/>
          <w:szCs w:val="24"/>
          <w:highlight w:val="none"/>
        </w:rPr>
      </w:pPr>
      <w:r>
        <w:rPr>
          <w:rFonts w:hint="eastAsia" w:ascii="宋体" w:hAnsi="宋体"/>
          <w:bCs/>
          <w:color w:val="auto"/>
          <w:sz w:val="24"/>
          <w:szCs w:val="24"/>
          <w:highlight w:val="none"/>
        </w:rPr>
        <w:t>（五）交货条件：</w:t>
      </w:r>
    </w:p>
    <w:p w14:paraId="35AB5902">
      <w:pPr>
        <w:tabs>
          <w:tab w:val="left" w:pos="420"/>
          <w:tab w:val="left" w:pos="1155"/>
        </w:tabs>
        <w:spacing w:line="360" w:lineRule="auto"/>
        <w:ind w:firstLine="520"/>
        <w:rPr>
          <w:rFonts w:ascii="宋体"/>
          <w:bCs/>
          <w:color w:val="auto"/>
          <w:sz w:val="24"/>
          <w:szCs w:val="24"/>
          <w:highlight w:val="none"/>
        </w:rPr>
      </w:pPr>
      <w:r>
        <w:rPr>
          <w:rFonts w:hint="eastAsia" w:ascii="宋体" w:hAnsi="宋体"/>
          <w:bCs/>
          <w:color w:val="auto"/>
          <w:sz w:val="24"/>
          <w:szCs w:val="24"/>
          <w:highlight w:val="none"/>
        </w:rPr>
        <w:t>1.交货日期（或完工期）：</w:t>
      </w:r>
    </w:p>
    <w:p w14:paraId="3196C549">
      <w:pPr>
        <w:tabs>
          <w:tab w:val="left" w:pos="1155"/>
        </w:tabs>
        <w:spacing w:line="360" w:lineRule="auto"/>
        <w:ind w:firstLine="520"/>
        <w:rPr>
          <w:rFonts w:ascii="宋体"/>
          <w:bCs/>
          <w:color w:val="auto"/>
          <w:sz w:val="24"/>
          <w:szCs w:val="24"/>
          <w:highlight w:val="none"/>
        </w:rPr>
      </w:pPr>
      <w:r>
        <w:rPr>
          <w:rFonts w:hint="eastAsia" w:ascii="宋体" w:hAnsi="宋体"/>
          <w:bCs/>
          <w:color w:val="auto"/>
          <w:sz w:val="24"/>
          <w:szCs w:val="24"/>
          <w:highlight w:val="none"/>
        </w:rPr>
        <w:t>2.供方在验收时应先用信函、传真、电子邮件等书面方式通知需方。</w:t>
      </w:r>
    </w:p>
    <w:p w14:paraId="0772670C">
      <w:pPr>
        <w:tabs>
          <w:tab w:val="left" w:pos="1155"/>
        </w:tabs>
        <w:spacing w:line="360" w:lineRule="auto"/>
        <w:ind w:firstLine="520"/>
        <w:rPr>
          <w:rFonts w:ascii="宋体"/>
          <w:bCs/>
          <w:color w:val="auto"/>
          <w:sz w:val="24"/>
          <w:szCs w:val="24"/>
          <w:highlight w:val="none"/>
        </w:rPr>
      </w:pPr>
      <w:r>
        <w:rPr>
          <w:rFonts w:hint="eastAsia" w:ascii="宋体" w:hAnsi="宋体"/>
          <w:bCs/>
          <w:color w:val="auto"/>
          <w:sz w:val="24"/>
          <w:szCs w:val="24"/>
          <w:highlight w:val="none"/>
        </w:rPr>
        <w:t>3.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7ADF131B">
      <w:pPr>
        <w:tabs>
          <w:tab w:val="left" w:pos="1155"/>
        </w:tabs>
        <w:spacing w:line="360" w:lineRule="auto"/>
        <w:ind w:firstLine="520"/>
        <w:rPr>
          <w:rFonts w:ascii="宋体"/>
          <w:bCs/>
          <w:color w:val="auto"/>
          <w:sz w:val="24"/>
          <w:szCs w:val="24"/>
          <w:highlight w:val="none"/>
        </w:rPr>
      </w:pPr>
      <w:r>
        <w:rPr>
          <w:rFonts w:hint="eastAsia" w:ascii="宋体" w:hAnsi="宋体"/>
          <w:bCs/>
          <w:color w:val="auto"/>
          <w:sz w:val="24"/>
          <w:szCs w:val="24"/>
          <w:highlight w:val="none"/>
        </w:rPr>
        <w:t>4.货物交货时，所有货物必须带有货物质量检验合格证书、中文质保单、装箱单、中文货物安装使用说明书。其它附件所有部件必须原包装。</w:t>
      </w:r>
    </w:p>
    <w:p w14:paraId="2475E6C0">
      <w:pPr>
        <w:tabs>
          <w:tab w:val="left" w:pos="945"/>
          <w:tab w:val="left" w:pos="1155"/>
        </w:tabs>
        <w:spacing w:line="360" w:lineRule="auto"/>
        <w:ind w:left="2" w:firstLine="520"/>
        <w:rPr>
          <w:rFonts w:ascii="宋体"/>
          <w:bCs/>
          <w:color w:val="auto"/>
          <w:sz w:val="24"/>
          <w:szCs w:val="24"/>
          <w:highlight w:val="none"/>
        </w:rPr>
      </w:pPr>
      <w:r>
        <w:rPr>
          <w:rFonts w:hint="eastAsia" w:ascii="宋体" w:hAnsi="宋体"/>
          <w:bCs/>
          <w:color w:val="auto"/>
          <w:sz w:val="24"/>
          <w:szCs w:val="24"/>
          <w:highlight w:val="none"/>
        </w:rPr>
        <w:t>5.运输及到货地点：由供方负责办理运输并承担所有费用，直接送到需方指定地点，即：以合同书上的地点为准。</w:t>
      </w:r>
    </w:p>
    <w:p w14:paraId="46D3D39C">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（六）安装调试及售后服务：</w:t>
      </w:r>
    </w:p>
    <w:p w14:paraId="397E6154">
      <w:pPr>
        <w:tabs>
          <w:tab w:val="left" w:pos="525"/>
          <w:tab w:val="left" w:pos="840"/>
          <w:tab w:val="left" w:pos="945"/>
          <w:tab w:val="left" w:pos="196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1.供方负责本项目的安装和调试，并保证其提供的货物符合国家、行业、地方、招投标文件及合同规定的质量、性能和标准，并正确且安全地安装。</w:t>
      </w:r>
    </w:p>
    <w:p w14:paraId="2AAEF2B4">
      <w:pPr>
        <w:tabs>
          <w:tab w:val="left" w:pos="525"/>
          <w:tab w:val="left" w:pos="840"/>
          <w:tab w:val="left" w:pos="945"/>
          <w:tab w:val="left" w:pos="1050"/>
          <w:tab w:val="left" w:pos="196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2.供方提供的服务全部按照国家有关法律法规规章和“三包”规定以及按招标文件要求和供方投标文件中的承诺执行。</w:t>
      </w:r>
    </w:p>
    <w:p w14:paraId="3E73B6A1">
      <w:pPr>
        <w:tabs>
          <w:tab w:val="left" w:pos="525"/>
          <w:tab w:val="left" w:pos="840"/>
          <w:tab w:val="left" w:pos="945"/>
          <w:tab w:val="left" w:pos="1050"/>
          <w:tab w:val="left" w:pos="196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3.质保期后的货物维护由双方协商再定。</w:t>
      </w:r>
    </w:p>
    <w:p w14:paraId="6D77495A">
      <w:pPr>
        <w:tabs>
          <w:tab w:val="left" w:pos="525"/>
          <w:tab w:val="left" w:pos="840"/>
          <w:tab w:val="left" w:pos="945"/>
          <w:tab w:val="left" w:pos="1050"/>
          <w:tab w:val="left" w:pos="196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4.需方应向供方现场调试的技术人员及维修人员提供方便条件，有关费用由供方负责。</w:t>
      </w:r>
    </w:p>
    <w:p w14:paraId="46EFBC1B">
      <w:pPr>
        <w:tabs>
          <w:tab w:val="left" w:pos="525"/>
          <w:tab w:val="left" w:pos="840"/>
          <w:tab w:val="left" w:pos="945"/>
          <w:tab w:val="left" w:pos="1050"/>
          <w:tab w:val="left" w:pos="196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5.需方如要求供方提供招标文件及供方投标文件以外的其它服务，其费用另定。</w:t>
      </w:r>
    </w:p>
    <w:p w14:paraId="07DF7744">
      <w:pPr>
        <w:spacing w:line="360" w:lineRule="auto"/>
        <w:ind w:firstLine="360"/>
        <w:rPr>
          <w:rFonts w:ascii="宋体"/>
          <w:bCs/>
          <w:color w:val="auto"/>
          <w:sz w:val="24"/>
          <w:szCs w:val="24"/>
          <w:highlight w:val="none"/>
        </w:rPr>
      </w:pPr>
      <w:r>
        <w:rPr>
          <w:rFonts w:hint="eastAsia" w:ascii="宋体" w:hAnsi="宋体"/>
          <w:bCs/>
          <w:color w:val="auto"/>
          <w:sz w:val="24"/>
          <w:szCs w:val="24"/>
          <w:highlight w:val="none"/>
        </w:rPr>
        <w:t>（七）违约责任：</w:t>
      </w:r>
    </w:p>
    <w:p w14:paraId="5F7759AC">
      <w:pPr>
        <w:tabs>
          <w:tab w:val="left" w:pos="0"/>
          <w:tab w:val="left" w:pos="315"/>
          <w:tab w:val="left" w:pos="525"/>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5814213B">
      <w:pPr>
        <w:tabs>
          <w:tab w:val="left" w:pos="0"/>
          <w:tab w:val="left" w:pos="315"/>
          <w:tab w:val="left" w:pos="525"/>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310F9546">
      <w:pPr>
        <w:tabs>
          <w:tab w:val="left" w:pos="105"/>
          <w:tab w:val="left" w:pos="315"/>
          <w:tab w:val="left" w:pos="525"/>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3.需方无正当理由逾期付款时，每逾期一日，需方应按照逾期付款金额的万分之五的标准累计计算向供方支付违约金。</w:t>
      </w:r>
    </w:p>
    <w:p w14:paraId="79B02554">
      <w:pPr>
        <w:tabs>
          <w:tab w:val="left" w:pos="105"/>
          <w:tab w:val="left" w:pos="315"/>
          <w:tab w:val="left" w:pos="525"/>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4.由于需方的原因要求延期交货，需方应按规定承付货款，并承担供方提供的代为保管费。（有关仓储规定另议）</w:t>
      </w:r>
    </w:p>
    <w:p w14:paraId="6AA331F3">
      <w:pPr>
        <w:tabs>
          <w:tab w:val="left" w:pos="105"/>
          <w:tab w:val="left" w:pos="315"/>
          <w:tab w:val="left" w:pos="525"/>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p>
    <w:p w14:paraId="4EE16316">
      <w:pPr>
        <w:tabs>
          <w:tab w:val="left" w:pos="105"/>
          <w:tab w:val="left" w:pos="315"/>
          <w:tab w:val="left" w:pos="525"/>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100103E7">
      <w:pPr>
        <w:tabs>
          <w:tab w:val="left" w:pos="105"/>
          <w:tab w:val="left" w:pos="315"/>
          <w:tab w:val="left" w:pos="525"/>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7.如遭遇不可抗力事件，遭遇不可抗力的一方应尽快以书面形式将不可抗力的情况和原因通知另一方，并积极采取措施防止损失扩大。因不可抗力造成的损失，供、需双方按照法律规定处理。</w:t>
      </w:r>
    </w:p>
    <w:p w14:paraId="5AF73637">
      <w:pPr>
        <w:tabs>
          <w:tab w:val="left" w:pos="105"/>
          <w:tab w:val="left" w:pos="315"/>
          <w:tab w:val="left" w:pos="525"/>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8.招标文件及合同中所述之“不可抗力”系指不可预见、不可避免、不可克服的事件，包括但不限于：战争、洪水、台风、地震及其他法律、法规规定的事件。</w:t>
      </w:r>
    </w:p>
    <w:p w14:paraId="778A20C0">
      <w:pPr>
        <w:spacing w:line="360" w:lineRule="auto"/>
        <w:ind w:firstLine="360"/>
        <w:rPr>
          <w:rFonts w:ascii="宋体"/>
          <w:bCs/>
          <w:color w:val="auto"/>
          <w:sz w:val="24"/>
          <w:szCs w:val="24"/>
          <w:highlight w:val="none"/>
        </w:rPr>
      </w:pPr>
      <w:r>
        <w:rPr>
          <w:rFonts w:hint="eastAsia" w:ascii="宋体" w:hAnsi="宋体"/>
          <w:bCs/>
          <w:color w:val="auto"/>
          <w:sz w:val="24"/>
          <w:szCs w:val="24"/>
          <w:highlight w:val="none"/>
        </w:rPr>
        <w:t>（八）合同生效及其它：</w:t>
      </w:r>
    </w:p>
    <w:p w14:paraId="21CD49E9">
      <w:pPr>
        <w:tabs>
          <w:tab w:val="left" w:pos="0"/>
          <w:tab w:val="left" w:pos="525"/>
          <w:tab w:val="left" w:pos="741"/>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1.合同经供需双方代表签字并盖章。</w:t>
      </w:r>
    </w:p>
    <w:p w14:paraId="6309E8C1">
      <w:pPr>
        <w:tabs>
          <w:tab w:val="left" w:pos="0"/>
          <w:tab w:val="left" w:pos="525"/>
          <w:tab w:val="left" w:pos="741"/>
          <w:tab w:val="left" w:pos="945"/>
        </w:tabs>
        <w:spacing w:line="360" w:lineRule="auto"/>
        <w:ind w:firstLine="480"/>
        <w:rPr>
          <w:rFonts w:ascii="宋体"/>
          <w:color w:val="auto"/>
          <w:sz w:val="24"/>
          <w:szCs w:val="24"/>
          <w:highlight w:val="none"/>
        </w:rPr>
      </w:pPr>
      <w:r>
        <w:rPr>
          <w:rFonts w:hint="eastAsia" w:ascii="宋体" w:hAnsi="宋体"/>
          <w:bCs/>
          <w:color w:val="auto"/>
          <w:sz w:val="24"/>
          <w:szCs w:val="24"/>
          <w:highlight w:val="none"/>
        </w:rPr>
        <w:t>2.合同签订后供需双方即直接产生权利与义务的关系，合同执行过程中出现的问题应按照合同约定、法律法规的规定办理。在合同履行过程中，双方如有争议，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由供需双方协商处理，若协商不成，</w:t>
      </w:r>
      <w:r>
        <w:rPr>
          <w:rFonts w:hint="eastAsia" w:ascii="宋体" w:hAnsi="宋体"/>
          <w:bCs/>
          <w:color w:val="auto"/>
          <w:sz w:val="24"/>
          <w:szCs w:val="24"/>
          <w:highlight w:val="none"/>
        </w:rPr>
        <w:t>可选择以下方式处理：</w:t>
      </w:r>
    </w:p>
    <w:p w14:paraId="5A8AD0D2">
      <w:pPr>
        <w:tabs>
          <w:tab w:val="left" w:pos="525"/>
          <w:tab w:val="left" w:pos="945"/>
        </w:tabs>
        <w:spacing w:line="360" w:lineRule="auto"/>
        <w:ind w:firstLine="480"/>
        <w:rPr>
          <w:rFonts w:ascii="宋体"/>
          <w:color w:val="auto"/>
          <w:sz w:val="24"/>
          <w:szCs w:val="24"/>
          <w:highlight w:val="none"/>
        </w:rPr>
      </w:pPr>
      <w:r>
        <w:rPr>
          <w:rFonts w:hint="eastAsia" w:ascii="宋体" w:hAnsi="宋体"/>
          <w:color w:val="auto"/>
          <w:sz w:val="24"/>
          <w:szCs w:val="24"/>
          <w:highlight w:val="none"/>
        </w:rPr>
        <w:t>（1）向无锡仲裁委员会申请仲裁。</w:t>
      </w:r>
    </w:p>
    <w:p w14:paraId="0143D0E6">
      <w:pPr>
        <w:tabs>
          <w:tab w:val="left" w:pos="525"/>
          <w:tab w:val="left" w:pos="945"/>
        </w:tabs>
        <w:spacing w:line="360" w:lineRule="auto"/>
        <w:ind w:firstLine="480"/>
        <w:rPr>
          <w:rFonts w:ascii="宋体"/>
          <w:color w:val="auto"/>
          <w:sz w:val="24"/>
          <w:szCs w:val="24"/>
          <w:highlight w:val="none"/>
        </w:rPr>
      </w:pPr>
      <w:r>
        <w:rPr>
          <w:rFonts w:hint="eastAsia" w:ascii="宋体" w:hAnsi="宋体"/>
          <w:color w:val="auto"/>
          <w:sz w:val="24"/>
          <w:szCs w:val="24"/>
          <w:highlight w:val="none"/>
        </w:rPr>
        <w:t>（2）向需方所在地法院提起诉讼。</w:t>
      </w:r>
    </w:p>
    <w:p w14:paraId="2AF62C9F">
      <w:pPr>
        <w:tabs>
          <w:tab w:val="left" w:pos="0"/>
          <w:tab w:val="left" w:pos="525"/>
          <w:tab w:val="left" w:pos="741"/>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3.合同在执行过程中出现的未尽事宜，双方在不违背本合同和招标文件的原则下协商解决，协商结果以书面形式签订补充协议，且补充协议与本合同具有同等效力。</w:t>
      </w:r>
    </w:p>
    <w:p w14:paraId="1BCBEC26">
      <w:pPr>
        <w:tabs>
          <w:tab w:val="left" w:pos="0"/>
          <w:tab w:val="left" w:pos="525"/>
          <w:tab w:val="left" w:pos="741"/>
          <w:tab w:val="left" w:pos="945"/>
        </w:tabs>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4.合同中未有约定的按照有关的法律法规以及国家行业标准或技术文件规定予以解决。</w:t>
      </w:r>
    </w:p>
    <w:p w14:paraId="73D33F41">
      <w:pPr>
        <w:tabs>
          <w:tab w:val="left" w:pos="0"/>
          <w:tab w:val="left" w:pos="525"/>
          <w:tab w:val="left" w:pos="741"/>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5.供需双方确认：对本合同条款及后果均已知悉，一致确认不存在欺诈、胁迫、乘人之危、重大误解、显失公平等任何可能导致合同无效或被撤销的情形。</w:t>
      </w:r>
    </w:p>
    <w:p w14:paraId="6F9D7702">
      <w:pPr>
        <w:spacing w:line="440" w:lineRule="exact"/>
        <w:rPr>
          <w:rFonts w:ascii="宋体" w:hAnsi="宋体"/>
          <w:bCs/>
          <w:color w:val="auto"/>
          <w:sz w:val="24"/>
          <w:szCs w:val="24"/>
          <w:highlight w:val="none"/>
        </w:rPr>
      </w:pPr>
    </w:p>
    <w:p w14:paraId="013F01A6">
      <w:pPr>
        <w:spacing w:line="440" w:lineRule="exact"/>
        <w:rPr>
          <w:rFonts w:ascii="宋体" w:hAnsi="宋体"/>
          <w:bCs/>
          <w:color w:val="auto"/>
          <w:sz w:val="24"/>
          <w:szCs w:val="24"/>
          <w:highlight w:val="none"/>
        </w:rPr>
      </w:pPr>
    </w:p>
    <w:p w14:paraId="16BFBCC7">
      <w:pPr>
        <w:spacing w:line="440" w:lineRule="exact"/>
        <w:ind w:firstLine="480"/>
        <w:jc w:val="center"/>
        <w:rPr>
          <w:rFonts w:ascii="宋体" w:hAnsi="宋体"/>
          <w:bCs/>
          <w:color w:val="auto"/>
          <w:sz w:val="24"/>
          <w:szCs w:val="24"/>
          <w:highlight w:val="none"/>
        </w:rPr>
      </w:pPr>
    </w:p>
    <w:p w14:paraId="5182A6B8">
      <w:pPr>
        <w:spacing w:line="440" w:lineRule="exact"/>
        <w:rPr>
          <w:rFonts w:ascii="宋体"/>
          <w:bCs/>
          <w:color w:val="auto"/>
          <w:sz w:val="24"/>
          <w:szCs w:val="24"/>
          <w:highlight w:val="none"/>
          <w:u w:val="single"/>
        </w:rPr>
      </w:pPr>
      <w:r>
        <w:rPr>
          <w:rFonts w:hint="eastAsia" w:ascii="宋体" w:hAnsi="宋体"/>
          <w:bCs/>
          <w:color w:val="auto"/>
          <w:sz w:val="24"/>
          <w:szCs w:val="24"/>
          <w:highlight w:val="none"/>
        </w:rPr>
        <w:t>需方（采购人）：（签章）                   供方（中标方）：（签章）</w:t>
      </w:r>
    </w:p>
    <w:p w14:paraId="6D263C47">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法定（授权）代表人：                     法定（授权）代表人：</w:t>
      </w:r>
    </w:p>
    <w:p w14:paraId="4FDAC645">
      <w:pPr>
        <w:spacing w:line="440" w:lineRule="exact"/>
        <w:rPr>
          <w:rFonts w:ascii="宋体" w:hAnsi="宋体"/>
          <w:bCs/>
          <w:color w:val="auto"/>
          <w:sz w:val="24"/>
          <w:szCs w:val="24"/>
          <w:highlight w:val="none"/>
          <w:u w:val="single"/>
        </w:rPr>
      </w:pPr>
      <w:r>
        <w:rPr>
          <w:rFonts w:hint="eastAsia" w:ascii="宋体" w:hAnsi="宋体"/>
          <w:bCs/>
          <w:color w:val="auto"/>
          <w:sz w:val="24"/>
          <w:szCs w:val="24"/>
          <w:highlight w:val="none"/>
        </w:rPr>
        <w:t>地址：                                   地址：</w:t>
      </w:r>
    </w:p>
    <w:p w14:paraId="51421AC5">
      <w:pPr>
        <w:spacing w:line="440" w:lineRule="exact"/>
        <w:ind w:firstLine="480"/>
        <w:rPr>
          <w:rFonts w:ascii="宋体"/>
          <w:bCs/>
          <w:color w:val="auto"/>
          <w:sz w:val="24"/>
          <w:szCs w:val="24"/>
          <w:highlight w:val="none"/>
          <w:u w:val="single"/>
        </w:rPr>
      </w:pPr>
      <w:r>
        <w:rPr>
          <w:rFonts w:hint="eastAsia" w:ascii="宋体" w:hAnsi="宋体"/>
          <w:bCs/>
          <w:color w:val="auto"/>
          <w:sz w:val="24"/>
          <w:szCs w:val="24"/>
          <w:highlight w:val="none"/>
        </w:rPr>
        <w:t>年    月    日                           年      月       日</w:t>
      </w:r>
    </w:p>
    <w:p w14:paraId="0352D1E5">
      <w:pPr>
        <w:spacing w:line="440" w:lineRule="exact"/>
        <w:ind w:firstLine="480"/>
        <w:rPr>
          <w:rFonts w:ascii="宋体" w:hAnsi="宋体"/>
          <w:bCs/>
          <w:color w:val="auto"/>
          <w:sz w:val="24"/>
          <w:szCs w:val="24"/>
          <w:highlight w:val="none"/>
          <w:u w:val="single"/>
        </w:rPr>
      </w:pPr>
      <w:r>
        <w:rPr>
          <w:rFonts w:hint="eastAsia" w:ascii="宋体" w:hAnsi="宋体"/>
          <w:bCs/>
          <w:color w:val="auto"/>
          <w:sz w:val="24"/>
          <w:szCs w:val="24"/>
          <w:highlight w:val="none"/>
        </w:rPr>
        <w:t xml:space="preserve">                                     供方户名：</w:t>
      </w:r>
    </w:p>
    <w:p w14:paraId="285DFEEA">
      <w:pPr>
        <w:spacing w:line="44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                                         供方开户银行：</w:t>
      </w:r>
    </w:p>
    <w:p w14:paraId="36AB1900">
      <w:pPr>
        <w:spacing w:line="440" w:lineRule="exact"/>
        <w:ind w:firstLine="480"/>
        <w:rPr>
          <w:rFonts w:ascii="宋体"/>
          <w:bCs/>
          <w:color w:val="auto"/>
          <w:sz w:val="24"/>
          <w:szCs w:val="24"/>
          <w:highlight w:val="none"/>
          <w:u w:val="single"/>
        </w:rPr>
      </w:pPr>
      <w:r>
        <w:rPr>
          <w:rFonts w:hint="eastAsia" w:ascii="宋体" w:hAnsi="宋体"/>
          <w:bCs/>
          <w:color w:val="auto"/>
          <w:sz w:val="24"/>
          <w:szCs w:val="24"/>
          <w:highlight w:val="none"/>
        </w:rPr>
        <w:t xml:space="preserve">                                     供方</w:t>
      </w:r>
      <w:r>
        <w:rPr>
          <w:rFonts w:hint="eastAsia" w:ascii="宋体" w:hAnsi="宋体"/>
          <w:bCs/>
          <w:color w:val="auto"/>
          <w:sz w:val="24"/>
          <w:szCs w:val="24"/>
          <w:highlight w:val="none"/>
          <w:lang w:eastAsia="zh-CN"/>
        </w:rPr>
        <w:t>账号</w:t>
      </w:r>
      <w:r>
        <w:rPr>
          <w:rFonts w:hint="eastAsia" w:ascii="宋体" w:hAnsi="宋体"/>
          <w:bCs/>
          <w:color w:val="auto"/>
          <w:sz w:val="24"/>
          <w:szCs w:val="24"/>
          <w:highlight w:val="none"/>
        </w:rPr>
        <w:t>：</w:t>
      </w:r>
    </w:p>
    <w:p w14:paraId="1E119A94">
      <w:pPr>
        <w:tabs>
          <w:tab w:val="left" w:pos="0"/>
          <w:tab w:val="left" w:pos="525"/>
          <w:tab w:val="left" w:pos="1050"/>
        </w:tabs>
        <w:rPr>
          <w:rFonts w:hint="eastAsia" w:ascii="宋体" w:hAnsi="宋体"/>
          <w:b/>
          <w:color w:val="auto"/>
          <w:sz w:val="24"/>
          <w:szCs w:val="24"/>
          <w:highlight w:val="none"/>
        </w:rPr>
      </w:pPr>
    </w:p>
    <w:p w14:paraId="0E6A1D37">
      <w:pPr>
        <w:tabs>
          <w:tab w:val="left" w:pos="0"/>
          <w:tab w:val="left" w:pos="525"/>
          <w:tab w:val="left" w:pos="1050"/>
        </w:tabs>
        <w:rPr>
          <w:rFonts w:hint="eastAsia" w:ascii="宋体" w:hAnsi="宋体"/>
          <w:b/>
          <w:color w:val="auto"/>
          <w:sz w:val="24"/>
          <w:szCs w:val="24"/>
          <w:highlight w:val="none"/>
        </w:rPr>
      </w:pPr>
    </w:p>
    <w:p w14:paraId="31C24042">
      <w:pPr>
        <w:tabs>
          <w:tab w:val="left" w:pos="0"/>
          <w:tab w:val="left" w:pos="525"/>
          <w:tab w:val="left" w:pos="1050"/>
        </w:tabs>
        <w:rPr>
          <w:rFonts w:hint="eastAsia" w:ascii="宋体" w:hAnsi="宋体"/>
          <w:b/>
          <w:color w:val="auto"/>
          <w:sz w:val="24"/>
          <w:szCs w:val="24"/>
          <w:highlight w:val="none"/>
        </w:rPr>
      </w:pPr>
    </w:p>
    <w:p w14:paraId="372F72BE">
      <w:pPr>
        <w:tabs>
          <w:tab w:val="left" w:pos="0"/>
          <w:tab w:val="left" w:pos="525"/>
          <w:tab w:val="left" w:pos="1050"/>
        </w:tabs>
        <w:rPr>
          <w:rFonts w:hint="eastAsia" w:ascii="宋体" w:hAnsi="宋体"/>
          <w:b/>
          <w:color w:val="auto"/>
          <w:sz w:val="24"/>
          <w:szCs w:val="24"/>
          <w:highlight w:val="none"/>
        </w:rPr>
      </w:pPr>
    </w:p>
    <w:p w14:paraId="284D0479">
      <w:pPr>
        <w:tabs>
          <w:tab w:val="left" w:pos="0"/>
          <w:tab w:val="left" w:pos="525"/>
          <w:tab w:val="left" w:pos="1050"/>
        </w:tabs>
        <w:rPr>
          <w:rFonts w:hint="eastAsia" w:ascii="宋体" w:hAnsi="宋体"/>
          <w:b/>
          <w:color w:val="auto"/>
          <w:sz w:val="24"/>
          <w:szCs w:val="24"/>
          <w:highlight w:val="none"/>
        </w:rPr>
      </w:pPr>
    </w:p>
    <w:p w14:paraId="4BF4DBE1">
      <w:pPr>
        <w:tabs>
          <w:tab w:val="left" w:pos="0"/>
          <w:tab w:val="left" w:pos="525"/>
          <w:tab w:val="left" w:pos="1050"/>
        </w:tabs>
        <w:rPr>
          <w:rFonts w:hint="eastAsia" w:ascii="宋体" w:hAnsi="宋体"/>
          <w:b/>
          <w:color w:val="auto"/>
          <w:sz w:val="24"/>
          <w:szCs w:val="24"/>
          <w:highlight w:val="none"/>
        </w:rPr>
      </w:pPr>
    </w:p>
    <w:p w14:paraId="2BD6A096">
      <w:pPr>
        <w:tabs>
          <w:tab w:val="left" w:pos="0"/>
          <w:tab w:val="left" w:pos="525"/>
          <w:tab w:val="left" w:pos="1050"/>
        </w:tabs>
        <w:rPr>
          <w:rFonts w:hint="eastAsia" w:ascii="宋体" w:hAnsi="宋体"/>
          <w:b/>
          <w:color w:val="auto"/>
          <w:sz w:val="24"/>
          <w:szCs w:val="24"/>
          <w:highlight w:val="none"/>
        </w:rPr>
      </w:pPr>
    </w:p>
    <w:p w14:paraId="5CB269CA">
      <w:pPr>
        <w:tabs>
          <w:tab w:val="left" w:pos="0"/>
          <w:tab w:val="left" w:pos="525"/>
          <w:tab w:val="left" w:pos="1050"/>
        </w:tabs>
        <w:rPr>
          <w:rFonts w:hint="eastAsia" w:ascii="宋体" w:hAnsi="宋体"/>
          <w:b/>
          <w:color w:val="auto"/>
          <w:sz w:val="24"/>
          <w:szCs w:val="24"/>
          <w:highlight w:val="none"/>
        </w:rPr>
      </w:pPr>
    </w:p>
    <w:p w14:paraId="3A9D4AB8">
      <w:pPr>
        <w:tabs>
          <w:tab w:val="left" w:pos="0"/>
          <w:tab w:val="left" w:pos="525"/>
          <w:tab w:val="left" w:pos="1050"/>
        </w:tabs>
        <w:rPr>
          <w:rFonts w:hint="eastAsia" w:ascii="宋体" w:hAnsi="宋体"/>
          <w:b/>
          <w:color w:val="auto"/>
          <w:sz w:val="24"/>
          <w:szCs w:val="24"/>
          <w:highlight w:val="none"/>
        </w:rPr>
      </w:pPr>
    </w:p>
    <w:p w14:paraId="7482F6B7">
      <w:pPr>
        <w:tabs>
          <w:tab w:val="left" w:pos="0"/>
          <w:tab w:val="left" w:pos="525"/>
          <w:tab w:val="left" w:pos="1050"/>
        </w:tabs>
        <w:rPr>
          <w:rFonts w:hint="eastAsia" w:ascii="宋体" w:hAnsi="宋体"/>
          <w:b/>
          <w:color w:val="auto"/>
          <w:sz w:val="24"/>
          <w:szCs w:val="24"/>
          <w:highlight w:val="none"/>
        </w:rPr>
      </w:pPr>
    </w:p>
    <w:p w14:paraId="181718BA">
      <w:pPr>
        <w:tabs>
          <w:tab w:val="left" w:pos="0"/>
          <w:tab w:val="left" w:pos="525"/>
          <w:tab w:val="left" w:pos="1050"/>
        </w:tabs>
        <w:rPr>
          <w:rFonts w:hint="eastAsia" w:ascii="宋体" w:hAnsi="宋体"/>
          <w:b/>
          <w:color w:val="auto"/>
          <w:sz w:val="24"/>
          <w:szCs w:val="24"/>
          <w:highlight w:val="none"/>
        </w:rPr>
      </w:pPr>
    </w:p>
    <w:p w14:paraId="05C72462">
      <w:pPr>
        <w:tabs>
          <w:tab w:val="left" w:pos="0"/>
          <w:tab w:val="left" w:pos="525"/>
          <w:tab w:val="left" w:pos="1050"/>
        </w:tabs>
        <w:rPr>
          <w:rFonts w:hint="eastAsia" w:ascii="宋体" w:hAnsi="宋体"/>
          <w:b/>
          <w:color w:val="auto"/>
          <w:sz w:val="24"/>
          <w:szCs w:val="24"/>
          <w:highlight w:val="none"/>
        </w:rPr>
      </w:pPr>
    </w:p>
    <w:p w14:paraId="5CA6AE43">
      <w:pPr>
        <w:tabs>
          <w:tab w:val="left" w:pos="0"/>
          <w:tab w:val="left" w:pos="525"/>
          <w:tab w:val="left" w:pos="1050"/>
        </w:tabs>
        <w:rPr>
          <w:rFonts w:hint="eastAsia" w:ascii="宋体" w:hAnsi="宋体"/>
          <w:b/>
          <w:color w:val="auto"/>
          <w:sz w:val="24"/>
          <w:szCs w:val="24"/>
          <w:highlight w:val="none"/>
        </w:rPr>
      </w:pPr>
    </w:p>
    <w:p w14:paraId="4ADDCA3B">
      <w:pPr>
        <w:tabs>
          <w:tab w:val="left" w:pos="0"/>
          <w:tab w:val="left" w:pos="525"/>
          <w:tab w:val="left" w:pos="1050"/>
        </w:tabs>
        <w:rPr>
          <w:rFonts w:hint="eastAsia" w:ascii="宋体" w:hAnsi="宋体"/>
          <w:b/>
          <w:color w:val="auto"/>
          <w:sz w:val="24"/>
          <w:szCs w:val="24"/>
          <w:highlight w:val="none"/>
        </w:rPr>
      </w:pPr>
    </w:p>
    <w:p w14:paraId="7F95A269">
      <w:pPr>
        <w:tabs>
          <w:tab w:val="left" w:pos="0"/>
          <w:tab w:val="left" w:pos="525"/>
          <w:tab w:val="left" w:pos="1050"/>
        </w:tabs>
        <w:rPr>
          <w:rFonts w:hint="eastAsia" w:ascii="宋体" w:hAnsi="宋体"/>
          <w:b/>
          <w:color w:val="auto"/>
          <w:sz w:val="24"/>
          <w:szCs w:val="24"/>
          <w:highlight w:val="none"/>
        </w:rPr>
      </w:pPr>
    </w:p>
    <w:p w14:paraId="0F8A6EF2">
      <w:pPr>
        <w:tabs>
          <w:tab w:val="left" w:pos="0"/>
          <w:tab w:val="left" w:pos="525"/>
          <w:tab w:val="left" w:pos="1050"/>
        </w:tabs>
        <w:rPr>
          <w:rFonts w:hint="eastAsia" w:ascii="宋体" w:hAnsi="宋体"/>
          <w:b/>
          <w:color w:val="auto"/>
          <w:sz w:val="24"/>
          <w:szCs w:val="24"/>
          <w:highlight w:val="none"/>
        </w:rPr>
      </w:pPr>
    </w:p>
    <w:p w14:paraId="60B3004A">
      <w:pPr>
        <w:tabs>
          <w:tab w:val="left" w:pos="0"/>
          <w:tab w:val="left" w:pos="525"/>
          <w:tab w:val="left" w:pos="1050"/>
        </w:tabs>
        <w:rPr>
          <w:rFonts w:hint="eastAsia" w:ascii="宋体" w:hAnsi="宋体"/>
          <w:b/>
          <w:color w:val="auto"/>
          <w:sz w:val="24"/>
          <w:szCs w:val="24"/>
          <w:highlight w:val="none"/>
        </w:rPr>
      </w:pPr>
    </w:p>
    <w:p w14:paraId="527E4FC4">
      <w:pPr>
        <w:tabs>
          <w:tab w:val="left" w:pos="0"/>
          <w:tab w:val="left" w:pos="525"/>
          <w:tab w:val="left" w:pos="1050"/>
        </w:tabs>
        <w:rPr>
          <w:rFonts w:hint="eastAsia" w:ascii="宋体" w:hAnsi="宋体"/>
          <w:b/>
          <w:color w:val="auto"/>
          <w:sz w:val="24"/>
          <w:szCs w:val="24"/>
          <w:highlight w:val="none"/>
        </w:rPr>
      </w:pPr>
    </w:p>
    <w:p w14:paraId="5075104E">
      <w:pPr>
        <w:tabs>
          <w:tab w:val="left" w:pos="0"/>
          <w:tab w:val="left" w:pos="525"/>
          <w:tab w:val="left" w:pos="1050"/>
        </w:tabs>
        <w:rPr>
          <w:rFonts w:hint="eastAsia" w:ascii="宋体" w:hAnsi="宋体"/>
          <w:b/>
          <w:color w:val="auto"/>
          <w:sz w:val="24"/>
          <w:szCs w:val="24"/>
          <w:highlight w:val="none"/>
        </w:rPr>
      </w:pPr>
    </w:p>
    <w:p w14:paraId="7EBDBA9B">
      <w:pPr>
        <w:tabs>
          <w:tab w:val="left" w:pos="0"/>
          <w:tab w:val="left" w:pos="525"/>
          <w:tab w:val="left" w:pos="1050"/>
        </w:tabs>
        <w:rPr>
          <w:rFonts w:hint="eastAsia" w:ascii="宋体" w:hAnsi="宋体"/>
          <w:b/>
          <w:color w:val="auto"/>
          <w:sz w:val="24"/>
          <w:szCs w:val="24"/>
          <w:highlight w:val="none"/>
        </w:rPr>
      </w:pPr>
    </w:p>
    <w:p w14:paraId="18287EAD">
      <w:pPr>
        <w:tabs>
          <w:tab w:val="left" w:pos="0"/>
          <w:tab w:val="left" w:pos="525"/>
          <w:tab w:val="left" w:pos="1050"/>
        </w:tabs>
        <w:rPr>
          <w:rFonts w:hint="eastAsia" w:ascii="宋体" w:hAnsi="宋体"/>
          <w:b/>
          <w:color w:val="auto"/>
          <w:sz w:val="24"/>
          <w:szCs w:val="24"/>
          <w:highlight w:val="none"/>
        </w:rPr>
      </w:pPr>
    </w:p>
    <w:p w14:paraId="64B229D3">
      <w:pPr>
        <w:tabs>
          <w:tab w:val="left" w:pos="0"/>
          <w:tab w:val="left" w:pos="525"/>
          <w:tab w:val="left" w:pos="1050"/>
        </w:tabs>
        <w:rPr>
          <w:rFonts w:hint="eastAsia" w:ascii="宋体" w:hAnsi="宋体"/>
          <w:b/>
          <w:color w:val="auto"/>
          <w:sz w:val="24"/>
          <w:szCs w:val="24"/>
          <w:highlight w:val="none"/>
        </w:rPr>
      </w:pPr>
    </w:p>
    <w:p w14:paraId="44143114">
      <w:pPr>
        <w:tabs>
          <w:tab w:val="left" w:pos="0"/>
          <w:tab w:val="left" w:pos="525"/>
          <w:tab w:val="left" w:pos="1050"/>
        </w:tabs>
        <w:rPr>
          <w:rFonts w:hint="eastAsia" w:ascii="宋体" w:hAnsi="宋体"/>
          <w:b/>
          <w:color w:val="auto"/>
          <w:sz w:val="24"/>
          <w:szCs w:val="24"/>
          <w:highlight w:val="none"/>
        </w:rPr>
      </w:pPr>
    </w:p>
    <w:p w14:paraId="25FB6D90">
      <w:pPr>
        <w:tabs>
          <w:tab w:val="left" w:pos="0"/>
          <w:tab w:val="left" w:pos="525"/>
          <w:tab w:val="left" w:pos="1050"/>
        </w:tabs>
        <w:rPr>
          <w:rFonts w:hint="eastAsia" w:ascii="宋体" w:hAnsi="宋体"/>
          <w:b/>
          <w:color w:val="auto"/>
          <w:sz w:val="24"/>
          <w:szCs w:val="24"/>
          <w:highlight w:val="none"/>
        </w:rPr>
      </w:pPr>
    </w:p>
    <w:p w14:paraId="796CE4CF">
      <w:pPr>
        <w:tabs>
          <w:tab w:val="left" w:pos="0"/>
          <w:tab w:val="left" w:pos="525"/>
          <w:tab w:val="left" w:pos="1050"/>
        </w:tabs>
        <w:rPr>
          <w:rFonts w:hint="eastAsia" w:ascii="宋体" w:hAnsi="宋体"/>
          <w:b/>
          <w:color w:val="auto"/>
          <w:sz w:val="24"/>
          <w:szCs w:val="24"/>
          <w:highlight w:val="none"/>
        </w:rPr>
      </w:pPr>
    </w:p>
    <w:p w14:paraId="09A0D650">
      <w:pPr>
        <w:tabs>
          <w:tab w:val="left" w:pos="0"/>
          <w:tab w:val="left" w:pos="525"/>
          <w:tab w:val="left" w:pos="1050"/>
        </w:tabs>
        <w:rPr>
          <w:rFonts w:hint="eastAsia" w:ascii="宋体" w:hAnsi="宋体"/>
          <w:b/>
          <w:color w:val="auto"/>
          <w:sz w:val="24"/>
          <w:szCs w:val="24"/>
          <w:highlight w:val="none"/>
        </w:rPr>
      </w:pPr>
    </w:p>
    <w:p w14:paraId="21AF4430">
      <w:pPr>
        <w:tabs>
          <w:tab w:val="left" w:pos="0"/>
          <w:tab w:val="left" w:pos="525"/>
          <w:tab w:val="left" w:pos="1050"/>
        </w:tabs>
        <w:rPr>
          <w:rFonts w:hint="eastAsia" w:ascii="宋体" w:hAnsi="宋体"/>
          <w:b/>
          <w:color w:val="auto"/>
          <w:sz w:val="24"/>
          <w:szCs w:val="24"/>
          <w:highlight w:val="none"/>
        </w:rPr>
      </w:pPr>
    </w:p>
    <w:p w14:paraId="2D124164">
      <w:pPr>
        <w:tabs>
          <w:tab w:val="left" w:pos="0"/>
          <w:tab w:val="left" w:pos="525"/>
          <w:tab w:val="left" w:pos="1050"/>
        </w:tabs>
        <w:rPr>
          <w:rFonts w:hint="eastAsia" w:ascii="宋体" w:hAnsi="宋体"/>
          <w:b/>
          <w:color w:val="auto"/>
          <w:sz w:val="24"/>
          <w:szCs w:val="24"/>
          <w:highlight w:val="none"/>
        </w:rPr>
      </w:pPr>
    </w:p>
    <w:p w14:paraId="36DBE9AB">
      <w:pPr>
        <w:tabs>
          <w:tab w:val="left" w:pos="0"/>
          <w:tab w:val="left" w:pos="525"/>
          <w:tab w:val="left" w:pos="1050"/>
        </w:tabs>
        <w:rPr>
          <w:rFonts w:hint="eastAsia" w:ascii="宋体" w:hAnsi="宋体"/>
          <w:b/>
          <w:color w:val="auto"/>
          <w:sz w:val="24"/>
          <w:szCs w:val="24"/>
          <w:highlight w:val="none"/>
        </w:rPr>
      </w:pPr>
    </w:p>
    <w:p w14:paraId="178F8BB5">
      <w:pPr>
        <w:tabs>
          <w:tab w:val="left" w:pos="0"/>
          <w:tab w:val="left" w:pos="525"/>
          <w:tab w:val="left" w:pos="1050"/>
        </w:tabs>
        <w:rPr>
          <w:rFonts w:hint="eastAsia" w:ascii="宋体" w:hAnsi="宋体"/>
          <w:b/>
          <w:color w:val="auto"/>
          <w:sz w:val="24"/>
          <w:szCs w:val="24"/>
          <w:highlight w:val="none"/>
        </w:rPr>
      </w:pPr>
    </w:p>
    <w:p w14:paraId="2C9EAE1D">
      <w:pPr>
        <w:tabs>
          <w:tab w:val="left" w:pos="0"/>
          <w:tab w:val="left" w:pos="525"/>
          <w:tab w:val="left" w:pos="1050"/>
        </w:tabs>
        <w:rPr>
          <w:rFonts w:hint="eastAsia" w:ascii="宋体" w:hAnsi="宋体"/>
          <w:b/>
          <w:color w:val="auto"/>
          <w:sz w:val="24"/>
          <w:szCs w:val="24"/>
          <w:highlight w:val="none"/>
        </w:rPr>
      </w:pPr>
    </w:p>
    <w:p w14:paraId="3CD3753A">
      <w:pPr>
        <w:spacing w:after="312" w:line="340" w:lineRule="exact"/>
        <w:jc w:val="center"/>
        <w:rPr>
          <w:rFonts w:hint="eastAsia" w:ascii="黑体" w:eastAsia="黑体"/>
          <w:bCs/>
          <w:color w:val="auto"/>
          <w:sz w:val="28"/>
          <w:szCs w:val="28"/>
          <w:highlight w:val="none"/>
          <w:lang w:eastAsia="zh-CN"/>
        </w:rPr>
      </w:pPr>
      <w:r>
        <w:rPr>
          <w:rFonts w:hint="eastAsia" w:ascii="黑体" w:hAnsi="黑体" w:eastAsia="黑体"/>
          <w:b/>
          <w:color w:val="auto"/>
          <w:sz w:val="32"/>
          <w:szCs w:val="32"/>
          <w:highlight w:val="none"/>
          <w:lang w:eastAsia="zh-CN"/>
        </w:rPr>
        <w:t>第五章</w:t>
      </w:r>
      <w:r>
        <w:rPr>
          <w:rFonts w:hint="eastAsia" w:ascii="黑体" w:hAnsi="黑体" w:eastAsia="黑体"/>
          <w:b w:val="0"/>
          <w:color w:val="auto"/>
          <w:sz w:val="32"/>
          <w:szCs w:val="32"/>
          <w:highlight w:val="none"/>
          <w:lang w:val="en-US" w:eastAsia="zh-CN"/>
        </w:rPr>
        <w:t xml:space="preserve">  </w:t>
      </w:r>
      <w:r>
        <w:rPr>
          <w:rFonts w:hint="eastAsia" w:ascii="黑体" w:hAnsi="黑体" w:eastAsia="黑体"/>
          <w:b/>
          <w:color w:val="auto"/>
          <w:sz w:val="32"/>
          <w:szCs w:val="32"/>
          <w:highlight w:val="none"/>
          <w:lang w:eastAsia="zh-CN"/>
        </w:rPr>
        <w:t>评分方法与评分标准</w:t>
      </w:r>
    </w:p>
    <w:p w14:paraId="2B39B34F">
      <w:pPr>
        <w:pStyle w:val="348"/>
        <w:spacing w:before="0" w:after="0" w:line="500" w:lineRule="exact"/>
        <w:rPr>
          <w:rFonts w:hint="eastAsia" w:cs="Arial"/>
          <w:b/>
          <w:color w:val="auto"/>
          <w:sz w:val="30"/>
          <w:szCs w:val="30"/>
          <w:highlight w:val="none"/>
        </w:rPr>
      </w:pPr>
      <w:r>
        <w:rPr>
          <w:rFonts w:hint="eastAsia" w:cs="Arial"/>
          <w:b/>
          <w:color w:val="auto"/>
          <w:sz w:val="30"/>
          <w:szCs w:val="30"/>
          <w:highlight w:val="none"/>
        </w:rPr>
        <w:t>第一部分  评标方法</w:t>
      </w:r>
    </w:p>
    <w:p w14:paraId="1FA27807">
      <w:pPr>
        <w:pStyle w:val="348"/>
        <w:spacing w:before="0" w:after="0" w:line="500" w:lineRule="exact"/>
        <w:rPr>
          <w:rFonts w:hint="eastAsia" w:cs="Arial"/>
          <w:color w:val="auto"/>
          <w:highlight w:val="none"/>
        </w:rPr>
      </w:pPr>
      <w:r>
        <w:rPr>
          <w:rFonts w:hint="eastAsia" w:cs="Arial"/>
          <w:color w:val="auto"/>
          <w:highlight w:val="none"/>
        </w:rPr>
        <w:t>投标人通过初审的，方可进入比较与评价程序。</w:t>
      </w:r>
    </w:p>
    <w:p w14:paraId="1B4D943B">
      <w:pPr>
        <w:pStyle w:val="348"/>
        <w:spacing w:before="0" w:after="0" w:line="500" w:lineRule="exact"/>
        <w:rPr>
          <w:rFonts w:hint="eastAsia" w:cs="Arial"/>
          <w:color w:val="auto"/>
          <w:highlight w:val="none"/>
        </w:rPr>
      </w:pPr>
      <w:r>
        <w:rPr>
          <w:rFonts w:hint="eastAsia" w:cs="Arial"/>
          <w:color w:val="auto"/>
          <w:highlight w:val="none"/>
        </w:rPr>
        <w:t>比较与评价采用综合评分法。</w:t>
      </w:r>
    </w:p>
    <w:p w14:paraId="254F8739">
      <w:pPr>
        <w:pStyle w:val="348"/>
        <w:spacing w:before="0" w:after="0" w:line="5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评审委员会秉持公平、公正、择优的原则，独立依据各项评分标准分别评定各投标供应商的分值。评标结果将按照评审后的得分，由高到低进行排列。投标文件满足采购文件的全部实质性要求，且按照评审因素的量化指标评审得分最高的投标供应商，将成为第一中标候选人。评审</w:t>
      </w:r>
      <w:r>
        <w:rPr>
          <w:rFonts w:hint="eastAsia" w:ascii="宋体" w:hAnsi="宋体" w:eastAsia="宋体" w:cs="Times New Roman"/>
          <w:bCs/>
          <w:color w:val="auto"/>
          <w:highlight w:val="none"/>
          <w:lang w:val="en-US" w:eastAsia="zh-CN"/>
        </w:rPr>
        <w:t>总</w:t>
      </w:r>
      <w:r>
        <w:rPr>
          <w:rFonts w:hint="eastAsia" w:ascii="宋体" w:hAnsi="宋体" w:eastAsia="宋体" w:cs="Times New Roman"/>
          <w:bCs/>
          <w:color w:val="auto"/>
          <w:highlight w:val="none"/>
        </w:rPr>
        <w:t>得分相同的，则按报价得分由高到低进行排列；若总得分和报价得分均相同，则按技术部分得分由高到低进行排列</w:t>
      </w:r>
      <w:r>
        <w:rPr>
          <w:rFonts w:hint="eastAsia" w:ascii="宋体" w:hAnsi="宋体" w:eastAsia="宋体" w:cs="Times New Roman"/>
          <w:bCs/>
          <w:color w:val="auto"/>
          <w:highlight w:val="none"/>
          <w:lang w:eastAsia="zh-CN"/>
        </w:rPr>
        <w:t>，</w:t>
      </w:r>
      <w:r>
        <w:rPr>
          <w:rFonts w:hint="eastAsia" w:ascii="宋体" w:hAnsi="宋体" w:eastAsia="宋体" w:cs="Times New Roman"/>
          <w:bCs/>
          <w:color w:val="auto"/>
          <w:highlight w:val="none"/>
        </w:rPr>
        <w:t>按排名先后顺序选取3名中标候选人。</w:t>
      </w:r>
    </w:p>
    <w:p w14:paraId="4724271A">
      <w:pPr>
        <w:jc w:val="left"/>
        <w:rPr>
          <w:rFonts w:hint="eastAsia" w:ascii="黑体" w:eastAsia="黑体"/>
          <w:bCs/>
          <w:color w:val="auto"/>
          <w:sz w:val="24"/>
          <w:szCs w:val="24"/>
          <w:highlight w:val="none"/>
        </w:rPr>
      </w:pPr>
    </w:p>
    <w:p w14:paraId="6952B8AE">
      <w:pPr>
        <w:jc w:val="left"/>
        <w:rPr>
          <w:rFonts w:hint="eastAsia" w:ascii="黑体" w:eastAsia="黑体"/>
          <w:bCs/>
          <w:color w:val="auto"/>
          <w:sz w:val="24"/>
          <w:szCs w:val="24"/>
          <w:highlight w:val="none"/>
        </w:rPr>
      </w:pPr>
    </w:p>
    <w:p w14:paraId="496AA9D1">
      <w:pPr>
        <w:jc w:val="left"/>
        <w:rPr>
          <w:rFonts w:hint="eastAsia" w:ascii="黑体" w:eastAsia="黑体"/>
          <w:bCs/>
          <w:color w:val="auto"/>
          <w:sz w:val="24"/>
          <w:szCs w:val="24"/>
          <w:highlight w:val="none"/>
        </w:rPr>
      </w:pPr>
    </w:p>
    <w:p w14:paraId="5218C722">
      <w:pPr>
        <w:jc w:val="left"/>
        <w:rPr>
          <w:rFonts w:hint="eastAsia" w:ascii="黑体" w:eastAsia="黑体"/>
          <w:bCs/>
          <w:color w:val="auto"/>
          <w:sz w:val="24"/>
          <w:szCs w:val="24"/>
          <w:highlight w:val="none"/>
        </w:rPr>
      </w:pPr>
    </w:p>
    <w:p w14:paraId="2782FD3D">
      <w:pPr>
        <w:jc w:val="left"/>
        <w:rPr>
          <w:rFonts w:hint="eastAsia" w:ascii="黑体" w:eastAsia="黑体"/>
          <w:bCs/>
          <w:color w:val="auto"/>
          <w:sz w:val="24"/>
          <w:szCs w:val="24"/>
          <w:highlight w:val="none"/>
        </w:rPr>
      </w:pPr>
    </w:p>
    <w:p w14:paraId="233D521A">
      <w:pPr>
        <w:jc w:val="left"/>
        <w:rPr>
          <w:rFonts w:hint="eastAsia" w:ascii="黑体" w:eastAsia="黑体"/>
          <w:bCs/>
          <w:color w:val="auto"/>
          <w:sz w:val="24"/>
          <w:szCs w:val="24"/>
          <w:highlight w:val="none"/>
        </w:rPr>
      </w:pPr>
    </w:p>
    <w:p w14:paraId="2FE55300">
      <w:pPr>
        <w:jc w:val="left"/>
        <w:rPr>
          <w:rFonts w:hint="eastAsia" w:ascii="黑体" w:eastAsia="黑体"/>
          <w:bCs/>
          <w:color w:val="auto"/>
          <w:sz w:val="24"/>
          <w:szCs w:val="24"/>
          <w:highlight w:val="none"/>
        </w:rPr>
      </w:pPr>
    </w:p>
    <w:p w14:paraId="27A806C8">
      <w:pPr>
        <w:jc w:val="left"/>
        <w:rPr>
          <w:rFonts w:hint="eastAsia" w:ascii="黑体" w:eastAsia="黑体"/>
          <w:bCs/>
          <w:color w:val="auto"/>
          <w:sz w:val="24"/>
          <w:szCs w:val="24"/>
          <w:highlight w:val="none"/>
        </w:rPr>
      </w:pPr>
    </w:p>
    <w:p w14:paraId="333F721E">
      <w:pPr>
        <w:jc w:val="left"/>
        <w:rPr>
          <w:rFonts w:hint="eastAsia" w:ascii="黑体" w:eastAsia="黑体"/>
          <w:bCs/>
          <w:color w:val="auto"/>
          <w:sz w:val="24"/>
          <w:szCs w:val="24"/>
          <w:highlight w:val="none"/>
        </w:rPr>
      </w:pPr>
    </w:p>
    <w:p w14:paraId="15E25FB5">
      <w:pPr>
        <w:jc w:val="left"/>
        <w:rPr>
          <w:rFonts w:hint="eastAsia" w:ascii="黑体" w:eastAsia="黑体"/>
          <w:bCs/>
          <w:color w:val="auto"/>
          <w:sz w:val="24"/>
          <w:szCs w:val="24"/>
          <w:highlight w:val="none"/>
        </w:rPr>
      </w:pPr>
    </w:p>
    <w:p w14:paraId="0839EAFA">
      <w:pPr>
        <w:jc w:val="left"/>
        <w:rPr>
          <w:rFonts w:hint="eastAsia" w:ascii="黑体" w:eastAsia="黑体"/>
          <w:bCs/>
          <w:color w:val="auto"/>
          <w:sz w:val="24"/>
          <w:szCs w:val="24"/>
          <w:highlight w:val="none"/>
        </w:rPr>
      </w:pPr>
    </w:p>
    <w:p w14:paraId="75DADBD2">
      <w:pPr>
        <w:jc w:val="left"/>
        <w:rPr>
          <w:rFonts w:hint="eastAsia" w:ascii="黑体" w:eastAsia="黑体"/>
          <w:bCs/>
          <w:color w:val="auto"/>
          <w:sz w:val="24"/>
          <w:szCs w:val="24"/>
          <w:highlight w:val="none"/>
        </w:rPr>
      </w:pPr>
    </w:p>
    <w:p w14:paraId="0E1A9996">
      <w:pPr>
        <w:jc w:val="left"/>
        <w:rPr>
          <w:rFonts w:hint="eastAsia" w:ascii="黑体" w:eastAsia="黑体"/>
          <w:bCs/>
          <w:color w:val="auto"/>
          <w:sz w:val="24"/>
          <w:szCs w:val="24"/>
          <w:highlight w:val="none"/>
        </w:rPr>
      </w:pPr>
    </w:p>
    <w:p w14:paraId="3F0F11B6">
      <w:pPr>
        <w:jc w:val="left"/>
        <w:rPr>
          <w:rFonts w:hint="eastAsia" w:ascii="黑体" w:eastAsia="黑体"/>
          <w:bCs/>
          <w:color w:val="auto"/>
          <w:sz w:val="24"/>
          <w:szCs w:val="24"/>
          <w:highlight w:val="none"/>
        </w:rPr>
      </w:pPr>
    </w:p>
    <w:p w14:paraId="4149CA04">
      <w:pPr>
        <w:jc w:val="left"/>
        <w:rPr>
          <w:rFonts w:hint="eastAsia" w:ascii="黑体" w:eastAsia="黑体"/>
          <w:bCs/>
          <w:color w:val="auto"/>
          <w:sz w:val="24"/>
          <w:szCs w:val="24"/>
          <w:highlight w:val="none"/>
        </w:rPr>
      </w:pPr>
    </w:p>
    <w:p w14:paraId="5D767029">
      <w:pPr>
        <w:jc w:val="left"/>
        <w:rPr>
          <w:rFonts w:hint="eastAsia" w:ascii="黑体" w:eastAsia="黑体"/>
          <w:bCs/>
          <w:color w:val="auto"/>
          <w:sz w:val="24"/>
          <w:szCs w:val="24"/>
          <w:highlight w:val="none"/>
        </w:rPr>
      </w:pPr>
    </w:p>
    <w:p w14:paraId="5F77132F">
      <w:pPr>
        <w:jc w:val="left"/>
        <w:rPr>
          <w:rFonts w:hint="eastAsia" w:ascii="黑体" w:eastAsia="黑体"/>
          <w:bCs/>
          <w:color w:val="auto"/>
          <w:sz w:val="24"/>
          <w:szCs w:val="24"/>
          <w:highlight w:val="none"/>
        </w:rPr>
      </w:pPr>
    </w:p>
    <w:p w14:paraId="00C76319">
      <w:pPr>
        <w:jc w:val="left"/>
        <w:rPr>
          <w:rFonts w:hint="eastAsia" w:ascii="黑体" w:eastAsia="黑体"/>
          <w:bCs/>
          <w:color w:val="auto"/>
          <w:sz w:val="24"/>
          <w:szCs w:val="24"/>
          <w:highlight w:val="none"/>
        </w:rPr>
      </w:pPr>
    </w:p>
    <w:p w14:paraId="163A3250">
      <w:pPr>
        <w:jc w:val="left"/>
        <w:rPr>
          <w:rFonts w:hint="eastAsia" w:ascii="黑体" w:eastAsia="黑体"/>
          <w:bCs/>
          <w:color w:val="auto"/>
          <w:sz w:val="24"/>
          <w:szCs w:val="24"/>
          <w:highlight w:val="none"/>
        </w:rPr>
      </w:pPr>
    </w:p>
    <w:p w14:paraId="227E2F2B">
      <w:pPr>
        <w:jc w:val="left"/>
        <w:rPr>
          <w:rFonts w:hint="eastAsia" w:ascii="黑体" w:eastAsia="黑体"/>
          <w:bCs/>
          <w:color w:val="auto"/>
          <w:sz w:val="24"/>
          <w:szCs w:val="24"/>
          <w:highlight w:val="none"/>
        </w:rPr>
      </w:pPr>
    </w:p>
    <w:p w14:paraId="654C32B9">
      <w:pPr>
        <w:jc w:val="left"/>
        <w:rPr>
          <w:rFonts w:hint="eastAsia" w:ascii="黑体" w:eastAsia="黑体"/>
          <w:bCs/>
          <w:color w:val="auto"/>
          <w:sz w:val="24"/>
          <w:szCs w:val="24"/>
          <w:highlight w:val="none"/>
        </w:rPr>
      </w:pPr>
    </w:p>
    <w:p w14:paraId="19BEF805">
      <w:pPr>
        <w:jc w:val="left"/>
        <w:rPr>
          <w:rFonts w:hint="eastAsia" w:ascii="黑体" w:eastAsia="黑体"/>
          <w:bCs/>
          <w:color w:val="auto"/>
          <w:sz w:val="24"/>
          <w:szCs w:val="24"/>
          <w:highlight w:val="none"/>
        </w:rPr>
      </w:pPr>
    </w:p>
    <w:p w14:paraId="1D8B1FD3">
      <w:pPr>
        <w:jc w:val="left"/>
        <w:rPr>
          <w:rFonts w:hint="eastAsia" w:ascii="黑体" w:eastAsia="黑体"/>
          <w:bCs/>
          <w:color w:val="auto"/>
          <w:sz w:val="24"/>
          <w:szCs w:val="24"/>
          <w:highlight w:val="none"/>
        </w:rPr>
      </w:pPr>
    </w:p>
    <w:p w14:paraId="503F29A3">
      <w:pPr>
        <w:jc w:val="left"/>
        <w:rPr>
          <w:rFonts w:hint="eastAsia" w:ascii="黑体" w:eastAsia="黑体"/>
          <w:bCs/>
          <w:color w:val="auto"/>
          <w:sz w:val="24"/>
          <w:szCs w:val="24"/>
          <w:highlight w:val="none"/>
        </w:rPr>
      </w:pPr>
    </w:p>
    <w:p w14:paraId="38F6BB03">
      <w:pPr>
        <w:jc w:val="left"/>
        <w:rPr>
          <w:rFonts w:hint="eastAsia" w:ascii="黑体" w:eastAsia="黑体"/>
          <w:bCs/>
          <w:color w:val="auto"/>
          <w:sz w:val="24"/>
          <w:szCs w:val="24"/>
          <w:highlight w:val="none"/>
        </w:rPr>
      </w:pPr>
    </w:p>
    <w:p w14:paraId="33570F11">
      <w:pPr>
        <w:jc w:val="left"/>
        <w:rPr>
          <w:rFonts w:hint="eastAsia" w:ascii="黑体" w:eastAsia="黑体"/>
          <w:bCs/>
          <w:color w:val="auto"/>
          <w:sz w:val="24"/>
          <w:szCs w:val="24"/>
          <w:highlight w:val="none"/>
        </w:rPr>
      </w:pPr>
    </w:p>
    <w:p w14:paraId="62492015">
      <w:pPr>
        <w:jc w:val="left"/>
        <w:rPr>
          <w:rFonts w:hint="eastAsia" w:ascii="黑体" w:eastAsia="黑体"/>
          <w:bCs/>
          <w:color w:val="auto"/>
          <w:sz w:val="24"/>
          <w:szCs w:val="24"/>
          <w:highlight w:val="none"/>
        </w:rPr>
      </w:pPr>
    </w:p>
    <w:p w14:paraId="21F8458C">
      <w:pPr>
        <w:jc w:val="left"/>
        <w:rPr>
          <w:rFonts w:hint="eastAsia" w:ascii="黑体" w:eastAsia="黑体"/>
          <w:bCs/>
          <w:color w:val="auto"/>
          <w:sz w:val="24"/>
          <w:szCs w:val="24"/>
          <w:highlight w:val="none"/>
        </w:rPr>
      </w:pPr>
    </w:p>
    <w:p w14:paraId="0FA15D9E">
      <w:pPr>
        <w:jc w:val="left"/>
        <w:rPr>
          <w:rFonts w:hint="eastAsia" w:ascii="黑体" w:eastAsia="黑体"/>
          <w:bCs/>
          <w:color w:val="auto"/>
          <w:sz w:val="24"/>
          <w:szCs w:val="24"/>
          <w:highlight w:val="none"/>
        </w:rPr>
      </w:pPr>
    </w:p>
    <w:p w14:paraId="47E24F52">
      <w:pPr>
        <w:jc w:val="left"/>
        <w:rPr>
          <w:rFonts w:hint="eastAsia" w:ascii="黑体" w:eastAsia="黑体"/>
          <w:bCs/>
          <w:color w:val="auto"/>
          <w:sz w:val="24"/>
          <w:szCs w:val="24"/>
          <w:highlight w:val="none"/>
        </w:rPr>
      </w:pPr>
    </w:p>
    <w:p w14:paraId="4ADFBEA3">
      <w:pPr>
        <w:pStyle w:val="348"/>
        <w:spacing w:before="0" w:after="0" w:line="500" w:lineRule="exact"/>
        <w:ind w:left="0" w:firstLine="600"/>
        <w:outlineLvl w:val="0"/>
        <w:rPr>
          <w:rFonts w:hint="eastAsia" w:cs="Arial"/>
          <w:b/>
          <w:color w:val="auto"/>
          <w:sz w:val="30"/>
          <w:szCs w:val="30"/>
          <w:highlight w:val="none"/>
        </w:rPr>
      </w:pPr>
      <w:r>
        <w:rPr>
          <w:rFonts w:hint="eastAsia" w:cs="Arial"/>
          <w:b/>
          <w:color w:val="auto"/>
          <w:sz w:val="30"/>
          <w:szCs w:val="30"/>
          <w:highlight w:val="none"/>
        </w:rPr>
        <w:t>第二部分  评标标准</w:t>
      </w:r>
    </w:p>
    <w:p w14:paraId="69571A7A">
      <w:pPr>
        <w:pStyle w:val="348"/>
        <w:spacing w:before="0" w:after="0" w:line="500" w:lineRule="exact"/>
        <w:ind w:left="0" w:firstLine="560"/>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14E439C1">
      <w:pPr>
        <w:spacing w:line="500" w:lineRule="exact"/>
        <w:ind w:firstLine="480"/>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0B3BE755">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w:t>
      </w:r>
      <w:r>
        <w:rPr>
          <w:rFonts w:hint="eastAsia" w:ascii="宋体" w:hAnsi="宋体"/>
          <w:bCs/>
          <w:color w:val="auto"/>
          <w:sz w:val="24"/>
          <w:szCs w:val="24"/>
          <w:highlight w:val="none"/>
          <w:lang w:val="en-US" w:eastAsia="zh-CN"/>
        </w:rPr>
        <w:t>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23B67586">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47349150">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的扣除，用扣除后的价格参与评审。参加投标的残疾人福利性单位，应当按照《财政部、民政部、中国残疾人联合会关于促进残疾人就业政府采购政策的通知》（财库〔2017〕141号）的规定提供《残疾人福利性单位声明函》。</w:t>
      </w:r>
    </w:p>
    <w:p w14:paraId="600C02B1">
      <w:pPr>
        <w:spacing w:line="500" w:lineRule="exact"/>
        <w:ind w:firstLine="480"/>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同一投标人，上述①②③三项价格扣除优惠不得重复享受。</w:t>
      </w:r>
    </w:p>
    <w:p w14:paraId="4E152360">
      <w:pPr>
        <w:spacing w:line="500" w:lineRule="exact"/>
        <w:ind w:firstLine="480"/>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说明:1.评标价指经澄清、补正和修正算术计算错误的投标报价；</w:t>
      </w:r>
    </w:p>
    <w:p w14:paraId="0D64807C">
      <w:pPr>
        <w:spacing w:line="500" w:lineRule="exact"/>
        <w:ind w:firstLine="1024"/>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2.</w:t>
      </w:r>
      <w:r>
        <w:rPr>
          <w:rFonts w:hint="eastAsia" w:ascii="宋体" w:hAnsi="宋体" w:eastAsia="宋体" w:cs="Times New Roman"/>
          <w:bCs/>
          <w:color w:val="auto"/>
          <w:sz w:val="24"/>
          <w:szCs w:val="24"/>
          <w:highlight w:val="none"/>
        </w:rPr>
        <w:t>评标委员会认为投标人的报价显低于其他通过符合性审查投标人的报价，有可能影响服务质量或者不能诚信履约的，将要求其在规定的时间内提供线上书面说明，必要时提交相关证明材料；投标人不能证明其报价合理性的,评标委员会将其作为无效投标处理。</w:t>
      </w:r>
    </w:p>
    <w:p w14:paraId="05ACCD49">
      <w:pPr>
        <w:spacing w:line="500" w:lineRule="exact"/>
        <w:ind w:firstLine="480"/>
        <w:jc w:val="left"/>
        <w:rPr>
          <w:rFonts w:hint="eastAsia" w:ascii="宋体" w:hAnsi="宋体" w:eastAsia="宋体" w:cs="Times New Roman"/>
          <w:bCs/>
          <w:color w:val="auto"/>
          <w:sz w:val="24"/>
          <w:szCs w:val="24"/>
          <w:highlight w:val="none"/>
        </w:rPr>
      </w:pPr>
    </w:p>
    <w:p w14:paraId="7D6EEDC0">
      <w:pPr>
        <w:jc w:val="left"/>
        <w:rPr>
          <w:rFonts w:hint="eastAsia" w:ascii="黑体" w:eastAsia="黑体"/>
          <w:bCs/>
          <w:color w:val="auto"/>
          <w:sz w:val="24"/>
          <w:szCs w:val="24"/>
          <w:highlight w:val="none"/>
        </w:rPr>
      </w:pPr>
    </w:p>
    <w:p w14:paraId="143743D5">
      <w:pPr>
        <w:jc w:val="left"/>
        <w:rPr>
          <w:rFonts w:hint="eastAsia" w:ascii="黑体" w:eastAsia="黑体"/>
          <w:bCs/>
          <w:color w:val="auto"/>
          <w:sz w:val="24"/>
          <w:szCs w:val="24"/>
          <w:highlight w:val="none"/>
        </w:rPr>
      </w:pPr>
    </w:p>
    <w:p w14:paraId="616D2137">
      <w:pPr>
        <w:jc w:val="left"/>
        <w:rPr>
          <w:rFonts w:hint="eastAsia" w:ascii="黑体" w:eastAsia="黑体"/>
          <w:bCs/>
          <w:color w:val="auto"/>
          <w:sz w:val="24"/>
          <w:szCs w:val="24"/>
          <w:highlight w:val="none"/>
        </w:rPr>
      </w:pPr>
    </w:p>
    <w:p w14:paraId="403B751D">
      <w:pPr>
        <w:pStyle w:val="2"/>
        <w:jc w:val="both"/>
        <w:rPr>
          <w:rFonts w:hint="eastAsia" w:ascii="黑体" w:eastAsia="黑体"/>
          <w:bCs w:val="0"/>
          <w:color w:val="auto"/>
          <w:sz w:val="24"/>
          <w:szCs w:val="24"/>
          <w:highlight w:val="none"/>
        </w:rPr>
      </w:pPr>
    </w:p>
    <w:p w14:paraId="1BA3360D">
      <w:pPr>
        <w:rPr>
          <w:rFonts w:hint="eastAsia" w:ascii="黑体" w:eastAsia="黑体"/>
          <w:bCs/>
          <w:color w:val="auto"/>
          <w:sz w:val="24"/>
          <w:szCs w:val="24"/>
          <w:highlight w:val="none"/>
        </w:rPr>
      </w:pPr>
    </w:p>
    <w:p w14:paraId="15A6F8D3">
      <w:pPr>
        <w:spacing w:line="360" w:lineRule="auto"/>
        <w:jc w:val="left"/>
        <w:rPr>
          <w:rFonts w:hint="eastAsia" w:ascii="黑体" w:eastAsia="黑体"/>
          <w:bCs/>
          <w:color w:val="auto"/>
          <w:sz w:val="24"/>
          <w:szCs w:val="24"/>
          <w:highlight w:val="none"/>
        </w:rPr>
      </w:pPr>
    </w:p>
    <w:p w14:paraId="260B89CB">
      <w:pPr>
        <w:spacing w:line="360" w:lineRule="auto"/>
        <w:jc w:val="left"/>
        <w:rPr>
          <w:rFonts w:hint="eastAsia" w:ascii="黑体" w:eastAsia="黑体"/>
          <w:bCs/>
          <w:color w:val="auto"/>
          <w:sz w:val="24"/>
          <w:szCs w:val="24"/>
          <w:highlight w:val="none"/>
        </w:rPr>
      </w:pPr>
    </w:p>
    <w:p w14:paraId="14B29E42">
      <w:pPr>
        <w:spacing w:line="360" w:lineRule="auto"/>
        <w:jc w:val="left"/>
        <w:rPr>
          <w:rFonts w:hint="eastAsia" w:ascii="黑体" w:eastAsia="黑体"/>
          <w:bCs/>
          <w:color w:val="auto"/>
          <w:sz w:val="24"/>
          <w:szCs w:val="24"/>
          <w:highlight w:val="none"/>
        </w:rPr>
      </w:pPr>
    </w:p>
    <w:p w14:paraId="1C625F71">
      <w:pPr>
        <w:spacing w:line="360" w:lineRule="auto"/>
        <w:jc w:val="left"/>
        <w:rPr>
          <w:rFonts w:hint="eastAsia" w:ascii="黑体" w:eastAsia="黑体"/>
          <w:bCs/>
          <w:color w:val="auto"/>
          <w:sz w:val="24"/>
          <w:szCs w:val="24"/>
          <w:highlight w:val="none"/>
        </w:rPr>
      </w:pPr>
    </w:p>
    <w:p w14:paraId="6F75940E">
      <w:pPr>
        <w:spacing w:line="360" w:lineRule="auto"/>
        <w:jc w:val="left"/>
        <w:rPr>
          <w:rFonts w:hint="eastAsia" w:ascii="黑体" w:eastAsia="黑体"/>
          <w:bCs/>
          <w:color w:val="auto"/>
          <w:sz w:val="24"/>
          <w:szCs w:val="24"/>
          <w:highlight w:val="none"/>
        </w:rPr>
      </w:pPr>
    </w:p>
    <w:p w14:paraId="374F6BA2">
      <w:pPr>
        <w:spacing w:line="360" w:lineRule="auto"/>
        <w:jc w:val="left"/>
        <w:outlineLvl w:val="0"/>
        <w:rPr>
          <w:rFonts w:ascii="黑体" w:eastAsia="黑体"/>
          <w:bCs/>
          <w:color w:val="auto"/>
          <w:sz w:val="24"/>
          <w:szCs w:val="24"/>
          <w:highlight w:val="none"/>
        </w:rPr>
      </w:pPr>
      <w:r>
        <w:rPr>
          <w:rFonts w:hint="eastAsia" w:ascii="黑体" w:eastAsia="黑体"/>
          <w:bCs/>
          <w:color w:val="auto"/>
          <w:sz w:val="24"/>
          <w:szCs w:val="24"/>
          <w:highlight w:val="none"/>
        </w:rPr>
        <w:t>附件一：评分标准</w:t>
      </w:r>
    </w:p>
    <w:p w14:paraId="4A17EC69">
      <w:pPr>
        <w:numPr>
          <w:ilvl w:val="0"/>
          <w:numId w:val="0"/>
        </w:numPr>
        <w:tabs>
          <w:tab w:val="left" w:pos="525"/>
          <w:tab w:val="left" w:pos="945"/>
          <w:tab w:val="left" w:pos="1155"/>
          <w:tab w:val="left" w:pos="3823"/>
        </w:tabs>
        <w:spacing w:line="500" w:lineRule="exact"/>
        <w:ind w:left="482"/>
        <w:outlineLvl w:val="1"/>
        <w:rPr>
          <w:rFonts w:hint="eastAsia" w:hAnsi="宋体"/>
          <w:b/>
          <w:bCs/>
          <w:color w:val="auto"/>
          <w:sz w:val="24"/>
          <w:szCs w:val="24"/>
        </w:rPr>
      </w:pPr>
      <w:r>
        <w:rPr>
          <w:rFonts w:hint="eastAsia" w:hAnsi="宋体"/>
          <w:b/>
          <w:bCs/>
          <w:color w:val="auto"/>
          <w:sz w:val="24"/>
          <w:szCs w:val="24"/>
          <w:lang w:val="en-US" w:eastAsia="zh-CN"/>
        </w:rPr>
        <w:t>（一）</w:t>
      </w:r>
      <w:r>
        <w:rPr>
          <w:rFonts w:hint="eastAsia" w:hAnsi="宋体"/>
          <w:b/>
          <w:bCs/>
          <w:color w:val="auto"/>
          <w:sz w:val="24"/>
          <w:szCs w:val="24"/>
        </w:rPr>
        <w:t>价格（2</w:t>
      </w:r>
      <w:r>
        <w:rPr>
          <w:rFonts w:hint="eastAsia" w:hAnsi="宋体"/>
          <w:b/>
          <w:bCs/>
          <w:color w:val="auto"/>
          <w:sz w:val="24"/>
          <w:szCs w:val="24"/>
          <w:lang w:val="en-US" w:eastAsia="zh-CN"/>
        </w:rPr>
        <w:t>9</w:t>
      </w:r>
      <w:r>
        <w:rPr>
          <w:rFonts w:hint="eastAsia" w:hAnsi="宋体"/>
          <w:b/>
          <w:bCs/>
          <w:color w:val="auto"/>
          <w:sz w:val="24"/>
          <w:szCs w:val="24"/>
        </w:rPr>
        <w:t>分）：</w:t>
      </w:r>
    </w:p>
    <w:p w14:paraId="17980563">
      <w:pPr>
        <w:tabs>
          <w:tab w:val="left" w:pos="945"/>
          <w:tab w:val="left" w:pos="1155"/>
        </w:tabs>
        <w:spacing w:line="500" w:lineRule="exact"/>
        <w:ind w:firstLine="480"/>
        <w:rPr>
          <w:bCs/>
          <w:color w:val="auto"/>
          <w:sz w:val="24"/>
          <w:szCs w:val="24"/>
        </w:rPr>
      </w:pPr>
      <w:r>
        <w:rPr>
          <w:rFonts w:hint="eastAsia" w:hAnsi="宋体"/>
          <w:bCs/>
          <w:color w:val="auto"/>
          <w:sz w:val="24"/>
          <w:szCs w:val="24"/>
        </w:rPr>
        <w:t>采用低价优先法计算，即满足招标文件要求且投标价格最低的投标报价为评标基准价，其价格分为满分。其他投标人的价格分统一按照下列公式计算：</w:t>
      </w:r>
    </w:p>
    <w:p w14:paraId="487F5956">
      <w:pPr>
        <w:tabs>
          <w:tab w:val="left" w:pos="945"/>
          <w:tab w:val="left" w:pos="1155"/>
        </w:tabs>
        <w:spacing w:line="500" w:lineRule="exact"/>
        <w:ind w:firstLine="480"/>
        <w:rPr>
          <w:bCs/>
          <w:color w:val="auto"/>
          <w:sz w:val="24"/>
          <w:szCs w:val="24"/>
        </w:rPr>
      </w:pPr>
      <w:r>
        <w:rPr>
          <w:rFonts w:hint="eastAsia" w:hAnsi="宋体"/>
          <w:bCs/>
          <w:color w:val="auto"/>
          <w:sz w:val="24"/>
          <w:szCs w:val="24"/>
        </w:rPr>
        <w:t>投标报价得分</w:t>
      </w:r>
      <w:r>
        <w:rPr>
          <w:rFonts w:hAnsi="宋体"/>
          <w:bCs/>
          <w:color w:val="auto"/>
          <w:sz w:val="24"/>
          <w:szCs w:val="24"/>
        </w:rPr>
        <w:t>=(</w:t>
      </w:r>
      <w:r>
        <w:rPr>
          <w:rFonts w:hint="eastAsia" w:hAnsi="宋体"/>
          <w:bCs/>
          <w:color w:val="auto"/>
          <w:sz w:val="24"/>
          <w:szCs w:val="24"/>
        </w:rPr>
        <w:t>评标基准价／投标报价</w:t>
      </w:r>
      <w:r>
        <w:rPr>
          <w:rFonts w:hAnsi="宋体"/>
          <w:bCs/>
          <w:color w:val="auto"/>
          <w:sz w:val="24"/>
          <w:szCs w:val="24"/>
        </w:rPr>
        <w:t>)</w:t>
      </w:r>
      <w:r>
        <w:rPr>
          <w:rFonts w:hint="eastAsia" w:hAnsi="宋体"/>
          <w:bCs/>
          <w:color w:val="auto"/>
          <w:sz w:val="24"/>
          <w:szCs w:val="24"/>
        </w:rPr>
        <w:t>×价格权值×</w:t>
      </w:r>
      <w:r>
        <w:rPr>
          <w:rFonts w:hAnsi="宋体"/>
          <w:bCs/>
          <w:color w:val="auto"/>
          <w:sz w:val="24"/>
          <w:szCs w:val="24"/>
        </w:rPr>
        <w:t>100</w:t>
      </w:r>
      <w:r>
        <w:rPr>
          <w:rFonts w:hint="eastAsia" w:hAnsi="宋体"/>
          <w:bCs/>
          <w:color w:val="auto"/>
          <w:sz w:val="24"/>
          <w:szCs w:val="24"/>
        </w:rPr>
        <w:t>。</w:t>
      </w:r>
    </w:p>
    <w:p w14:paraId="60287E07">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关于价格扣除详见本章第二部分“一、落实政府采购政策的价格调整”。</w:t>
      </w:r>
    </w:p>
    <w:p w14:paraId="2C6F645C">
      <w:pPr>
        <w:numPr>
          <w:ilvl w:val="0"/>
          <w:numId w:val="0"/>
        </w:numPr>
        <w:tabs>
          <w:tab w:val="left" w:pos="525"/>
          <w:tab w:val="left" w:pos="945"/>
          <w:tab w:val="left" w:pos="1155"/>
          <w:tab w:val="left" w:pos="3823"/>
        </w:tabs>
        <w:spacing w:line="500" w:lineRule="exact"/>
        <w:ind w:left="482"/>
        <w:outlineLvl w:val="1"/>
        <w:rPr>
          <w:rFonts w:hint="eastAsia" w:ascii="Times New Roman" w:hAnsi="宋体" w:eastAsia="宋体" w:cs="Times New Roman"/>
          <w:b/>
          <w:bCs/>
          <w:color w:val="auto"/>
          <w:sz w:val="24"/>
          <w:szCs w:val="24"/>
        </w:rPr>
      </w:pPr>
      <w:r>
        <w:rPr>
          <w:rFonts w:hint="eastAsia" w:ascii="Times New Roman" w:hAnsi="宋体" w:eastAsia="宋体" w:cs="Times New Roman"/>
          <w:b/>
          <w:bCs/>
          <w:color w:val="auto"/>
          <w:sz w:val="24"/>
          <w:szCs w:val="24"/>
        </w:rPr>
        <w:t>（二）投标人综合评价（12分）</w:t>
      </w:r>
    </w:p>
    <w:p w14:paraId="0BD5E03B">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1、投标人具有有效的信息安全管理体系标准证书、信息技术服务管理体系标准证书、质量管理体系标准证书、环境管理体系标准证书，以上每提供一个得1分，最高4分。（投标文件中提供证书扫描件，不提供不得分）</w:t>
      </w:r>
      <w:r>
        <w:rPr>
          <w:rFonts w:hint="eastAsia" w:ascii="Times New Roman" w:hAnsi="宋体" w:eastAsia="宋体" w:cs="Times New Roman"/>
          <w:bCs/>
          <w:color w:val="auto"/>
          <w:sz w:val="24"/>
          <w:szCs w:val="24"/>
          <w:lang w:val="zh-CN"/>
        </w:rPr>
        <w:t>。</w:t>
      </w:r>
    </w:p>
    <w:p w14:paraId="05A86B63">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2、投标人具有地市级（含）以上公安机关备案的DCIM（数据中心基础设施管理系统）信息系统安全等级保护备案证明第三级的得2分，第二级的得1分，最多得2分。（投标文件中提供证书扫描件，不提供不得分）</w:t>
      </w:r>
      <w:r>
        <w:rPr>
          <w:rFonts w:hint="eastAsia" w:ascii="Times New Roman" w:hAnsi="宋体" w:eastAsia="宋体" w:cs="Times New Roman"/>
          <w:bCs/>
          <w:color w:val="auto"/>
          <w:sz w:val="24"/>
          <w:szCs w:val="24"/>
          <w:lang w:val="zh-CN"/>
        </w:rPr>
        <w:t>。</w:t>
      </w:r>
    </w:p>
    <w:p w14:paraId="05FDEEEE">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3、投标人提供自2020年1月1日以来（以合同时间为准）, 投标人承担过类似项目成功案例的每提供一个得2分，本项最多得6分；（投标文件中提供合同扫描件，不提供不得分）</w:t>
      </w:r>
    </w:p>
    <w:p w14:paraId="6D350E58">
      <w:pPr>
        <w:numPr>
          <w:ilvl w:val="0"/>
          <w:numId w:val="0"/>
        </w:numPr>
        <w:tabs>
          <w:tab w:val="left" w:pos="525"/>
          <w:tab w:val="left" w:pos="945"/>
          <w:tab w:val="left" w:pos="1155"/>
          <w:tab w:val="left" w:pos="3823"/>
        </w:tabs>
        <w:spacing w:line="500" w:lineRule="exact"/>
        <w:ind w:left="482"/>
        <w:outlineLvl w:val="1"/>
        <w:rPr>
          <w:rFonts w:hint="eastAsia" w:ascii="Times New Roman" w:hAnsi="宋体" w:eastAsia="宋体" w:cs="Times New Roman"/>
          <w:b/>
          <w:bCs/>
          <w:color w:val="auto"/>
          <w:sz w:val="24"/>
          <w:szCs w:val="24"/>
        </w:rPr>
      </w:pPr>
      <w:r>
        <w:rPr>
          <w:rFonts w:hint="eastAsia" w:ascii="Times New Roman" w:hAnsi="宋体" w:eastAsia="宋体" w:cs="Times New Roman"/>
          <w:b/>
          <w:bCs/>
          <w:color w:val="auto"/>
          <w:sz w:val="24"/>
          <w:szCs w:val="24"/>
        </w:rPr>
        <w:t>（三）项目人员配置（9分）</w:t>
      </w:r>
    </w:p>
    <w:p w14:paraId="0DA0324D">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1、投标人为本项目中信息系统建设及维护、整体服务配备一名项目负责人，该负责人具有信息系统项目管理工程师证书、系统集成项目管理工程师证书、IT服务项目经理证书，有一个证书的得1分，最多3分。（投标文件中提供证书扫描件，不提供不得分）</w:t>
      </w:r>
    </w:p>
    <w:p w14:paraId="387BD93E">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2、项目实施人员中具有 IT服务工程师证书的，每提供1个证书得1分，最多得2分。（投标文件中提供证书扫描件，不提供不得分）</w:t>
      </w:r>
    </w:p>
    <w:p w14:paraId="1A579300">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3、项目实施人员中具有系统分析师、系统架构设计师、网络工程师（中级及以上）证书的，每有一人得1分，最高3分。（投标文件中提供证书扫描件，不提供不得分）</w:t>
      </w:r>
    </w:p>
    <w:p w14:paraId="7F72E539">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4、项目实施人员中具有国家重要信息系统保护人员证书的，每有一人得1分，最高1分。（投标文件中提供证书扫描件，不提供不得分）</w:t>
      </w:r>
    </w:p>
    <w:p w14:paraId="6A15AB1B">
      <w:pPr>
        <w:tabs>
          <w:tab w:val="left" w:pos="945"/>
          <w:tab w:val="left" w:pos="1155"/>
        </w:tabs>
        <w:spacing w:line="500" w:lineRule="exact"/>
        <w:ind w:firstLine="480"/>
        <w:rPr>
          <w:rFonts w:hint="eastAsia" w:ascii="Times New Roman" w:hAnsi="宋体" w:eastAsia="宋体" w:cs="Times New Roman"/>
          <w:b/>
          <w:bCs w:val="0"/>
          <w:color w:val="auto"/>
          <w:sz w:val="24"/>
          <w:szCs w:val="24"/>
          <w:lang w:eastAsia="zh-CN"/>
        </w:rPr>
      </w:pPr>
      <w:r>
        <w:rPr>
          <w:rFonts w:hint="eastAsia" w:ascii="Times New Roman" w:hAnsi="宋体" w:eastAsia="宋体" w:cs="Times New Roman"/>
          <w:b/>
          <w:bCs w:val="0"/>
          <w:color w:val="auto"/>
          <w:sz w:val="24"/>
          <w:szCs w:val="24"/>
        </w:rPr>
        <w:t>投标文件中提供上述人员有效证书、由社保机构出具的供应商为其缴纳的近三个月中任意一个月份（不含投标当月）的社保缴费证明的原件扫描件，不提供或提供不全或提供不符合要求的不得分</w:t>
      </w:r>
      <w:r>
        <w:rPr>
          <w:rFonts w:hint="eastAsia" w:ascii="Times New Roman" w:hAnsi="宋体" w:eastAsia="宋体" w:cs="Times New Roman"/>
          <w:b/>
          <w:bCs w:val="0"/>
          <w:color w:val="auto"/>
          <w:sz w:val="24"/>
          <w:szCs w:val="24"/>
          <w:lang w:eastAsia="zh-CN"/>
        </w:rPr>
        <w:t>。</w:t>
      </w:r>
    </w:p>
    <w:p w14:paraId="649C34FD">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
          <w:bCs w:val="0"/>
          <w:color w:val="auto"/>
          <w:sz w:val="24"/>
          <w:szCs w:val="24"/>
        </w:rPr>
        <w:t>（四） 技术服务（8分）：</w:t>
      </w:r>
      <w:r>
        <w:rPr>
          <w:rFonts w:hint="eastAsia" w:ascii="Times New Roman" w:hAnsi="宋体" w:eastAsia="宋体" w:cs="Times New Roman"/>
          <w:bCs/>
          <w:color w:val="auto"/>
          <w:sz w:val="24"/>
          <w:szCs w:val="24"/>
        </w:rPr>
        <w:t>证明材料放入投标文件中，否则不得分。</w:t>
      </w:r>
    </w:p>
    <w:p w14:paraId="511E517F">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 xml:space="preserve">   ① 300万抓拍摄像机（2分）：投标人能够为本项目提供不低于设备性能参数的设备（配置要求：详见招标文件“项目技术要求和有关说明”），须提供设备厂家针对本项目的售后服务承诺函及设备检测报告（加盖生产厂商公章）。每提供一项得1分，本项最高得2分。</w:t>
      </w:r>
    </w:p>
    <w:p w14:paraId="407173E5">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② 700万抓拍摄像机（2分）投标人能够为本项目提供不低于设备性能参数的设备（配置要求：详见招标文件“项目技术要求和有关说明”），须提供设备厂家针对本项目的售后服务承诺函及设备检测报告（加盖生产厂商公章）。每提供一项得1分，本项最高得2分。</w:t>
      </w:r>
    </w:p>
    <w:p w14:paraId="141633AE">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③ 800万抓拍摄像机（2分）投标人能够为本项目提供不低于设备性能参数的设备（配置要求：详见招标文件“项目技术要求和有关说明”），须提供设备厂家针对本项目的售后服务承诺函及设备检测报告（加盖生产厂商公章）。每提供一项得1分，本项最高得2分。</w:t>
      </w:r>
    </w:p>
    <w:p w14:paraId="6510AB1B">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④ 维护服务中软件系统功能真实证明（2分）：</w:t>
      </w:r>
    </w:p>
    <w:p w14:paraId="2D5C85F0">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维护平台内容：①监控运维在线情况监测（提供功能截图复印件并加盖公章）；②一个时间段内，车辆人脸抓拍数据（提供功能截图复印件并加盖公章）;每提供一项得1分，本项最高得2分。</w:t>
      </w:r>
    </w:p>
    <w:p w14:paraId="5AC19E0F">
      <w:pPr>
        <w:tabs>
          <w:tab w:val="left" w:pos="945"/>
          <w:tab w:val="left" w:pos="1155"/>
        </w:tabs>
        <w:spacing w:line="500" w:lineRule="exact"/>
        <w:ind w:firstLine="480"/>
        <w:rPr>
          <w:rFonts w:hint="eastAsia" w:ascii="Times New Roman" w:hAnsi="宋体" w:eastAsia="宋体" w:cs="Times New Roman"/>
          <w:b/>
          <w:bCs w:val="0"/>
          <w:color w:val="auto"/>
          <w:sz w:val="24"/>
          <w:szCs w:val="24"/>
        </w:rPr>
      </w:pPr>
      <w:r>
        <w:rPr>
          <w:rFonts w:hint="eastAsia" w:ascii="Times New Roman" w:hAnsi="宋体" w:eastAsia="宋体" w:cs="Times New Roman"/>
          <w:b/>
          <w:bCs w:val="0"/>
          <w:color w:val="auto"/>
          <w:sz w:val="24"/>
          <w:szCs w:val="24"/>
        </w:rPr>
        <w:t>（五）技术方案（42分）</w:t>
      </w:r>
    </w:p>
    <w:p w14:paraId="564337BE">
      <w:pPr>
        <w:tabs>
          <w:tab w:val="left" w:pos="945"/>
          <w:tab w:val="left" w:pos="1155"/>
        </w:tabs>
        <w:spacing w:line="500" w:lineRule="exact"/>
        <w:ind w:firstLine="480"/>
        <w:rPr>
          <w:rFonts w:hint="eastAsia" w:ascii="Times New Roman" w:hAnsi="宋体" w:eastAsia="宋体" w:cs="Times New Roman"/>
          <w:b/>
          <w:bCs w:val="0"/>
          <w:color w:val="auto"/>
          <w:sz w:val="24"/>
          <w:szCs w:val="24"/>
        </w:rPr>
      </w:pPr>
      <w:r>
        <w:rPr>
          <w:rFonts w:hint="eastAsia" w:ascii="Times New Roman" w:hAnsi="宋体" w:eastAsia="宋体" w:cs="Times New Roman"/>
          <w:b/>
          <w:bCs w:val="0"/>
          <w:color w:val="auto"/>
          <w:sz w:val="24"/>
          <w:szCs w:val="24"/>
        </w:rPr>
        <w:t>注：技术方案部分属于暗标，投标人在制作技术部分相关内容时不得有体现投标人身份的内容，否则投标无效。</w:t>
      </w:r>
    </w:p>
    <w:p w14:paraId="48C601C1">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lang w:val="en-US" w:eastAsia="zh-CN"/>
        </w:rPr>
        <w:t>1.</w:t>
      </w:r>
      <w:r>
        <w:rPr>
          <w:rFonts w:hint="eastAsia" w:ascii="Times New Roman" w:hAnsi="宋体" w:eastAsia="宋体" w:cs="Times New Roman"/>
          <w:bCs/>
          <w:color w:val="auto"/>
          <w:sz w:val="24"/>
          <w:szCs w:val="24"/>
        </w:rPr>
        <w:t>项目理解（12分）：投标供应商根据项目需求书提供对项目理解情况的表述，内容包括但不限于对项目现状理解分析、对项目要达成的目标、服务工作的专业性、规范性、创新性，要求表述内容完整、合理、可行性强。以上内容不存在瑕疵：12分；以上内容存在1处瑕疵：8分；以上内容存在2处瑕疵：4分；未提供方案或不满足项目需求书要求或内容存在3处及以上瑕疵：0分。</w:t>
      </w:r>
    </w:p>
    <w:p w14:paraId="0AAA7A11">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lang w:val="en-US" w:eastAsia="zh-CN"/>
        </w:rPr>
        <w:t>2.</w:t>
      </w:r>
      <w:r>
        <w:rPr>
          <w:rFonts w:hint="eastAsia" w:ascii="Times New Roman" w:hAnsi="宋体" w:eastAsia="宋体" w:cs="Times New Roman"/>
          <w:bCs/>
          <w:color w:val="auto"/>
          <w:sz w:val="24"/>
          <w:szCs w:val="24"/>
        </w:rPr>
        <w:t xml:space="preserve"> 运维服务方案（12分）：投标供应商根据项目需求书提供对运行维护服务方案的表述，包括但不限于：前端设备、系统平台、数据存储、通信链路等方面的巡检工作，并满足日常工作、防控需要，保证前端设备完好率达到95%，要求表述内容完整、合理、可行性强。以上内容不存在瑕疵：12分；以上内容存在1处瑕疵：8分；以上内容存在2处瑕疵：4分；未提供方案或不满足项目需求书要求或内容存在3处及以上瑕疵：0分。</w:t>
      </w:r>
    </w:p>
    <w:p w14:paraId="66A91A8B">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lang w:val="en-US" w:eastAsia="zh-CN"/>
        </w:rPr>
        <w:t>3.</w:t>
      </w:r>
      <w:r>
        <w:rPr>
          <w:rFonts w:hint="eastAsia" w:ascii="Times New Roman" w:hAnsi="宋体" w:eastAsia="宋体" w:cs="Times New Roman"/>
          <w:bCs/>
          <w:color w:val="auto"/>
          <w:sz w:val="24"/>
          <w:szCs w:val="24"/>
        </w:rPr>
        <w:t>应急方案（12分）：投标供应商根据项目需求书提供对项目应急方案的表述，主要包括应急故障服务方案、系统重大故障的应急预案以及措施安排方案的完整性、合理性、可行性，并结合方案明确故障恢复时间、平时应急预案演练过程的频次等，要求表述内容详细完整，针对性强、可操作性强，思路合理。以上内容不存在瑕疵：12分；以上内容存在1处瑕疵：8分；以上内容存在2处瑕疵：4分；未提供方案或不满足项目需求书要求或内容存在3处及以上瑕疵：0分。</w:t>
      </w:r>
    </w:p>
    <w:p w14:paraId="3AC128E0">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lang w:val="en-US" w:eastAsia="zh-CN"/>
        </w:rPr>
        <w:t>4.</w:t>
      </w:r>
      <w:r>
        <w:rPr>
          <w:rFonts w:hint="eastAsia" w:ascii="Times New Roman" w:hAnsi="宋体" w:eastAsia="宋体" w:cs="Times New Roman"/>
          <w:bCs/>
          <w:color w:val="auto"/>
          <w:sz w:val="24"/>
          <w:szCs w:val="24"/>
        </w:rPr>
        <w:t>培训方案（6分）：投标供应商根据项目需求书提供对培训计划方案、培训力量等的表述。要求表述内容详细完整，针对性强、可操作性强，思路合理。以上内容不存在瑕疵：6分；以上内容存在1处瑕疵：4分；以上内容存在2处瑕疵：2分；未提供方案或不满足项目需求书要求或内容存在3处及以上瑕疵：0分。</w:t>
      </w:r>
    </w:p>
    <w:p w14:paraId="5E36DD9D">
      <w:pPr>
        <w:tabs>
          <w:tab w:val="left" w:pos="945"/>
          <w:tab w:val="left" w:pos="1155"/>
        </w:tabs>
        <w:spacing w:line="500" w:lineRule="exact"/>
        <w:ind w:firstLine="480"/>
        <w:rPr>
          <w:rFonts w:hint="eastAsia" w:ascii="Times New Roman" w:hAnsi="宋体" w:eastAsia="宋体" w:cs="Times New Roman"/>
          <w:bCs/>
          <w:color w:val="auto"/>
          <w:sz w:val="24"/>
          <w:szCs w:val="24"/>
        </w:rPr>
      </w:pPr>
      <w:r>
        <w:rPr>
          <w:rFonts w:hint="eastAsia" w:ascii="Times New Roman" w:hAnsi="宋体" w:eastAsia="宋体" w:cs="Times New Roman"/>
          <w:bCs/>
          <w:color w:val="auto"/>
          <w:sz w:val="24"/>
          <w:szCs w:val="24"/>
        </w:rPr>
        <w:t>（以上技术方案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6FF4AC71">
      <w:pPr>
        <w:tabs>
          <w:tab w:val="left" w:pos="945"/>
          <w:tab w:val="left" w:pos="1155"/>
        </w:tabs>
        <w:spacing w:line="500" w:lineRule="exact"/>
        <w:ind w:firstLine="480"/>
        <w:rPr>
          <w:rFonts w:hint="eastAsia" w:ascii="Times New Roman" w:hAnsi="宋体" w:eastAsia="宋体" w:cs="Times New Roman"/>
          <w:bCs/>
          <w:color w:val="auto"/>
          <w:sz w:val="24"/>
          <w:szCs w:val="24"/>
          <w:lang w:val="en-US" w:eastAsia="zh-CN"/>
        </w:rPr>
      </w:pPr>
    </w:p>
    <w:p w14:paraId="2F65A761">
      <w:pPr>
        <w:pStyle w:val="2"/>
        <w:rPr>
          <w:rFonts w:hint="eastAsia" w:ascii="宋体" w:hAnsi="宋体" w:eastAsia="宋体"/>
          <w:bCs/>
          <w:color w:val="auto"/>
          <w:sz w:val="24"/>
          <w:szCs w:val="24"/>
          <w:highlight w:val="none"/>
          <w:u w:val="none"/>
          <w:lang w:val="en-US" w:eastAsia="zh-CN"/>
        </w:rPr>
      </w:pPr>
    </w:p>
    <w:p w14:paraId="5F986843">
      <w:pPr>
        <w:rPr>
          <w:rFonts w:hint="eastAsia" w:ascii="宋体" w:hAnsi="宋体" w:eastAsia="宋体"/>
          <w:bCs/>
          <w:color w:val="auto"/>
          <w:sz w:val="24"/>
          <w:szCs w:val="24"/>
          <w:highlight w:val="none"/>
          <w:u w:val="none"/>
          <w:lang w:val="en-US" w:eastAsia="zh-CN"/>
        </w:rPr>
      </w:pPr>
    </w:p>
    <w:p w14:paraId="50726787">
      <w:pPr>
        <w:pStyle w:val="2"/>
        <w:rPr>
          <w:rFonts w:hint="eastAsia" w:ascii="宋体" w:hAnsi="宋体" w:eastAsia="宋体"/>
          <w:bCs/>
          <w:color w:val="auto"/>
          <w:sz w:val="24"/>
          <w:szCs w:val="24"/>
          <w:highlight w:val="none"/>
          <w:u w:val="none"/>
          <w:lang w:val="en-US" w:eastAsia="zh-CN"/>
        </w:rPr>
      </w:pPr>
    </w:p>
    <w:p w14:paraId="6085644F">
      <w:pPr>
        <w:rPr>
          <w:rFonts w:hint="eastAsia" w:ascii="宋体" w:hAnsi="宋体" w:eastAsia="宋体"/>
          <w:bCs/>
          <w:color w:val="auto"/>
          <w:sz w:val="24"/>
          <w:szCs w:val="24"/>
          <w:highlight w:val="none"/>
          <w:u w:val="none"/>
          <w:lang w:val="en-US" w:eastAsia="zh-CN"/>
        </w:rPr>
      </w:pPr>
    </w:p>
    <w:p w14:paraId="65E592A9">
      <w:pPr>
        <w:rPr>
          <w:rFonts w:hint="eastAsia" w:ascii="宋体" w:hAnsi="宋体" w:eastAsia="宋体"/>
          <w:bCs/>
          <w:color w:val="auto"/>
          <w:sz w:val="24"/>
          <w:szCs w:val="24"/>
          <w:highlight w:val="none"/>
          <w:u w:val="none"/>
          <w:lang w:val="en-US" w:eastAsia="zh-CN"/>
        </w:rPr>
      </w:pPr>
    </w:p>
    <w:p w14:paraId="13458A7B">
      <w:pPr>
        <w:rPr>
          <w:rFonts w:hint="eastAsia" w:ascii="宋体" w:hAnsi="宋体" w:eastAsia="宋体"/>
          <w:bCs/>
          <w:color w:val="auto"/>
          <w:sz w:val="24"/>
          <w:szCs w:val="24"/>
          <w:highlight w:val="none"/>
          <w:u w:val="none"/>
          <w:lang w:val="en-US" w:eastAsia="zh-CN"/>
        </w:rPr>
      </w:pPr>
    </w:p>
    <w:p w14:paraId="43AD816F">
      <w:pPr>
        <w:rPr>
          <w:rFonts w:hint="eastAsia" w:ascii="宋体" w:hAnsi="宋体" w:eastAsia="宋体"/>
          <w:bCs/>
          <w:color w:val="auto"/>
          <w:sz w:val="24"/>
          <w:szCs w:val="24"/>
          <w:highlight w:val="none"/>
          <w:u w:val="none"/>
          <w:lang w:val="en-US" w:eastAsia="zh-CN"/>
        </w:rPr>
      </w:pPr>
    </w:p>
    <w:p w14:paraId="5C0C317B">
      <w:pPr>
        <w:rPr>
          <w:rFonts w:hint="eastAsia" w:ascii="宋体" w:hAnsi="宋体" w:eastAsia="宋体"/>
          <w:bCs/>
          <w:color w:val="auto"/>
          <w:sz w:val="24"/>
          <w:szCs w:val="24"/>
          <w:highlight w:val="none"/>
          <w:u w:val="none"/>
          <w:lang w:val="en-US" w:eastAsia="zh-CN"/>
        </w:rPr>
      </w:pPr>
    </w:p>
    <w:p w14:paraId="72B0DFC2">
      <w:pPr>
        <w:rPr>
          <w:rFonts w:hint="eastAsia" w:ascii="宋体" w:hAnsi="宋体" w:eastAsia="宋体"/>
          <w:bCs/>
          <w:color w:val="auto"/>
          <w:sz w:val="24"/>
          <w:szCs w:val="24"/>
          <w:highlight w:val="none"/>
          <w:u w:val="none"/>
          <w:lang w:val="en-US" w:eastAsia="zh-CN"/>
        </w:rPr>
      </w:pPr>
    </w:p>
    <w:p w14:paraId="0F4B6E13">
      <w:pPr>
        <w:rPr>
          <w:rFonts w:hint="eastAsia" w:ascii="宋体" w:hAnsi="宋体" w:eastAsia="宋体"/>
          <w:bCs/>
          <w:color w:val="auto"/>
          <w:sz w:val="24"/>
          <w:szCs w:val="24"/>
          <w:highlight w:val="none"/>
          <w:u w:val="none"/>
          <w:lang w:val="en-US" w:eastAsia="zh-CN"/>
        </w:rPr>
      </w:pPr>
    </w:p>
    <w:p w14:paraId="5F71FE5C">
      <w:pPr>
        <w:rPr>
          <w:rFonts w:hint="eastAsia" w:ascii="宋体" w:hAnsi="宋体" w:eastAsia="宋体"/>
          <w:bCs/>
          <w:color w:val="auto"/>
          <w:sz w:val="24"/>
          <w:szCs w:val="24"/>
          <w:highlight w:val="none"/>
          <w:u w:val="none"/>
          <w:lang w:val="en-US" w:eastAsia="zh-CN"/>
        </w:rPr>
      </w:pPr>
    </w:p>
    <w:p w14:paraId="444358C8">
      <w:pPr>
        <w:rPr>
          <w:rFonts w:hint="eastAsia" w:ascii="宋体" w:hAnsi="宋体" w:eastAsia="宋体"/>
          <w:bCs/>
          <w:color w:val="auto"/>
          <w:sz w:val="24"/>
          <w:szCs w:val="24"/>
          <w:highlight w:val="none"/>
          <w:u w:val="none"/>
          <w:lang w:val="en-US" w:eastAsia="zh-CN"/>
        </w:rPr>
      </w:pPr>
    </w:p>
    <w:p w14:paraId="38D26BB1">
      <w:pPr>
        <w:rPr>
          <w:rFonts w:hint="eastAsia" w:ascii="宋体" w:hAnsi="宋体" w:eastAsia="宋体"/>
          <w:bCs/>
          <w:color w:val="auto"/>
          <w:sz w:val="24"/>
          <w:szCs w:val="24"/>
          <w:highlight w:val="none"/>
          <w:u w:val="none"/>
          <w:lang w:val="en-US" w:eastAsia="zh-CN"/>
        </w:rPr>
      </w:pPr>
    </w:p>
    <w:p w14:paraId="4CEFDF0B">
      <w:pPr>
        <w:rPr>
          <w:rFonts w:hint="eastAsia" w:ascii="宋体" w:hAnsi="宋体" w:eastAsia="宋体"/>
          <w:bCs/>
          <w:color w:val="auto"/>
          <w:sz w:val="24"/>
          <w:szCs w:val="24"/>
          <w:highlight w:val="none"/>
          <w:u w:val="none"/>
          <w:lang w:val="en-US" w:eastAsia="zh-CN"/>
        </w:rPr>
      </w:pPr>
    </w:p>
    <w:p w14:paraId="050001E1">
      <w:pPr>
        <w:rPr>
          <w:rFonts w:hint="eastAsia" w:ascii="宋体" w:hAnsi="宋体" w:eastAsia="宋体"/>
          <w:bCs/>
          <w:color w:val="auto"/>
          <w:sz w:val="24"/>
          <w:szCs w:val="24"/>
          <w:highlight w:val="none"/>
          <w:u w:val="none"/>
          <w:lang w:val="en-US" w:eastAsia="zh-CN"/>
        </w:rPr>
      </w:pPr>
    </w:p>
    <w:p w14:paraId="6FB0841E">
      <w:pPr>
        <w:rPr>
          <w:rFonts w:hint="eastAsia" w:ascii="宋体" w:hAnsi="宋体" w:eastAsia="宋体"/>
          <w:bCs/>
          <w:color w:val="auto"/>
          <w:sz w:val="24"/>
          <w:szCs w:val="24"/>
          <w:highlight w:val="none"/>
          <w:u w:val="none"/>
          <w:lang w:val="en-US" w:eastAsia="zh-CN"/>
        </w:rPr>
      </w:pPr>
    </w:p>
    <w:p w14:paraId="75C525EA">
      <w:pPr>
        <w:rPr>
          <w:rFonts w:hint="eastAsia" w:ascii="宋体" w:hAnsi="宋体" w:eastAsia="宋体"/>
          <w:bCs/>
          <w:color w:val="auto"/>
          <w:sz w:val="24"/>
          <w:szCs w:val="24"/>
          <w:highlight w:val="none"/>
          <w:u w:val="none"/>
          <w:lang w:val="en-US" w:eastAsia="zh-CN"/>
        </w:rPr>
      </w:pPr>
    </w:p>
    <w:p w14:paraId="6AC94231">
      <w:pPr>
        <w:rPr>
          <w:rFonts w:hint="eastAsia" w:ascii="宋体" w:hAnsi="宋体" w:eastAsia="宋体"/>
          <w:bCs/>
          <w:color w:val="auto"/>
          <w:sz w:val="24"/>
          <w:szCs w:val="24"/>
          <w:highlight w:val="none"/>
          <w:u w:val="none"/>
          <w:lang w:val="en-US" w:eastAsia="zh-CN"/>
        </w:rPr>
      </w:pPr>
    </w:p>
    <w:p w14:paraId="69D60D03">
      <w:pPr>
        <w:rPr>
          <w:rFonts w:hint="eastAsia" w:ascii="宋体" w:hAnsi="宋体" w:eastAsia="宋体"/>
          <w:bCs/>
          <w:color w:val="auto"/>
          <w:sz w:val="24"/>
          <w:szCs w:val="24"/>
          <w:highlight w:val="none"/>
          <w:u w:val="none"/>
          <w:lang w:val="en-US" w:eastAsia="zh-CN"/>
        </w:rPr>
      </w:pPr>
    </w:p>
    <w:p w14:paraId="1E1706B3">
      <w:pPr>
        <w:rPr>
          <w:rFonts w:hint="eastAsia" w:ascii="宋体" w:hAnsi="宋体" w:eastAsia="宋体"/>
          <w:bCs/>
          <w:color w:val="auto"/>
          <w:sz w:val="24"/>
          <w:szCs w:val="24"/>
          <w:highlight w:val="none"/>
          <w:u w:val="none"/>
          <w:lang w:val="en-US" w:eastAsia="zh-CN"/>
        </w:rPr>
      </w:pPr>
    </w:p>
    <w:p w14:paraId="7E69E6AB">
      <w:pPr>
        <w:rPr>
          <w:rFonts w:hint="eastAsia" w:ascii="宋体" w:hAnsi="宋体" w:eastAsia="宋体"/>
          <w:bCs/>
          <w:color w:val="auto"/>
          <w:sz w:val="24"/>
          <w:szCs w:val="24"/>
          <w:highlight w:val="none"/>
          <w:u w:val="none"/>
          <w:lang w:val="en-US" w:eastAsia="zh-CN"/>
        </w:rPr>
      </w:pPr>
    </w:p>
    <w:p w14:paraId="105973CD">
      <w:pPr>
        <w:rPr>
          <w:rFonts w:hint="eastAsia" w:ascii="宋体" w:hAnsi="宋体" w:eastAsia="宋体"/>
          <w:bCs/>
          <w:color w:val="auto"/>
          <w:sz w:val="24"/>
          <w:szCs w:val="24"/>
          <w:highlight w:val="none"/>
          <w:u w:val="none"/>
          <w:lang w:val="en-US" w:eastAsia="zh-CN"/>
        </w:rPr>
      </w:pPr>
    </w:p>
    <w:p w14:paraId="309562C6">
      <w:pPr>
        <w:pStyle w:val="2"/>
        <w:jc w:val="both"/>
        <w:rPr>
          <w:rFonts w:hint="eastAsia"/>
          <w:color w:val="auto"/>
          <w:highlight w:val="none"/>
          <w:lang w:val="en-US" w:eastAsia="zh-CN"/>
        </w:rPr>
      </w:pPr>
    </w:p>
    <w:p w14:paraId="510910A0">
      <w:pPr>
        <w:rPr>
          <w:rFonts w:hint="eastAsia"/>
          <w:color w:val="auto"/>
          <w:highlight w:val="none"/>
          <w:lang w:val="en-US" w:eastAsia="zh-CN"/>
        </w:rPr>
      </w:pPr>
    </w:p>
    <w:p w14:paraId="60BFCC8E">
      <w:pPr>
        <w:numPr>
          <w:ilvl w:val="0"/>
          <w:numId w:val="9"/>
        </w:numPr>
        <w:tabs>
          <w:tab w:val="left" w:pos="1050"/>
        </w:tabs>
        <w:spacing w:line="400" w:lineRule="exact"/>
        <w:jc w:val="center"/>
        <w:rPr>
          <w:rFonts w:hint="eastAsia" w:ascii="黑体" w:eastAsia="黑体"/>
          <w:bCs/>
          <w:color w:val="auto"/>
          <w:sz w:val="32"/>
          <w:szCs w:val="32"/>
          <w:highlight w:val="none"/>
        </w:rPr>
      </w:pPr>
      <w:bookmarkStart w:id="143" w:name="_Toc61444677"/>
      <w:r>
        <w:rPr>
          <w:rFonts w:hint="eastAsia" w:ascii="黑体" w:eastAsia="黑体"/>
          <w:bCs/>
          <w:color w:val="auto"/>
          <w:sz w:val="32"/>
          <w:szCs w:val="32"/>
          <w:highlight w:val="none"/>
        </w:rPr>
        <w:t xml:space="preserve"> 投标文件内容与格式</w:t>
      </w:r>
    </w:p>
    <w:p w14:paraId="663294D3">
      <w:pPr>
        <w:pStyle w:val="348"/>
        <w:numPr>
          <w:ilvl w:val="0"/>
          <w:numId w:val="10"/>
        </w:numPr>
        <w:spacing w:before="0" w:after="0" w:line="500" w:lineRule="exact"/>
        <w:ind w:firstLine="602"/>
        <w:jc w:val="center"/>
        <w:rPr>
          <w:rFonts w:hint="eastAsia" w:cs="Arial"/>
          <w:b/>
          <w:color w:val="auto"/>
          <w:sz w:val="30"/>
          <w:szCs w:val="30"/>
          <w:highlight w:val="none"/>
        </w:rPr>
      </w:pPr>
      <w:r>
        <w:rPr>
          <w:rFonts w:hint="eastAsia" w:cs="Arial"/>
          <w:b/>
          <w:color w:val="auto"/>
          <w:sz w:val="30"/>
          <w:szCs w:val="30"/>
          <w:highlight w:val="none"/>
        </w:rPr>
        <w:t xml:space="preserve"> 投标文件内容</w:t>
      </w:r>
    </w:p>
    <w:p w14:paraId="45AC2068">
      <w:pPr>
        <w:pStyle w:val="348"/>
        <w:spacing w:before="0" w:after="0" w:line="500" w:lineRule="exact"/>
        <w:ind w:firstLine="0"/>
        <w:rPr>
          <w:rFonts w:hint="eastAsia"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0B97A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10F4DA06">
            <w:pPr>
              <w:pStyle w:val="348"/>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5C18C6EB">
            <w:pPr>
              <w:pStyle w:val="348"/>
              <w:spacing w:before="0" w:after="0" w:line="240" w:lineRule="auto"/>
              <w:jc w:val="center"/>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noWrap w:val="0"/>
            <w:vAlign w:val="center"/>
          </w:tcPr>
          <w:p w14:paraId="2EB90F3E">
            <w:pPr>
              <w:pStyle w:val="348"/>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14:paraId="36A09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3EE443ED">
            <w:pPr>
              <w:pStyle w:val="34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322ED7CE">
            <w:pPr>
              <w:pStyle w:val="348"/>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16FD2EB1">
            <w:pPr>
              <w:pStyle w:val="348"/>
              <w:spacing w:before="0" w:after="0" w:line="240" w:lineRule="auto"/>
              <w:ind w:firstLine="0"/>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24891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1E11B7FD">
            <w:pPr>
              <w:pStyle w:val="34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64B95126">
            <w:pPr>
              <w:pStyle w:val="348"/>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《授权委托书》（给定格式；投标人如是自然人情形的</w:t>
            </w:r>
            <w:r>
              <w:rPr>
                <w:rFonts w:hint="eastAsia" w:ascii="宋体" w:hAnsi="宋体" w:cs="宋体"/>
                <w:color w:val="auto"/>
                <w:highlight w:val="none"/>
                <w:lang w:eastAsia="zh-CN"/>
              </w:rPr>
              <w:t>或法人亲自参与的</w:t>
            </w:r>
            <w:r>
              <w:rPr>
                <w:rFonts w:hint="eastAsia" w:ascii="宋体" w:hAnsi="宋体" w:cs="宋体"/>
                <w:color w:val="auto"/>
                <w:highlight w:val="none"/>
              </w:rPr>
              <w:t>，可不提供）。</w:t>
            </w:r>
          </w:p>
        </w:tc>
        <w:tc>
          <w:tcPr>
            <w:tcW w:w="2449" w:type="dxa"/>
            <w:vMerge w:val="continue"/>
            <w:noWrap w:val="0"/>
            <w:vAlign w:val="center"/>
          </w:tcPr>
          <w:p w14:paraId="693DBC79">
            <w:pPr>
              <w:pStyle w:val="348"/>
              <w:spacing w:before="0" w:after="0" w:line="240" w:lineRule="auto"/>
              <w:ind w:firstLine="0"/>
              <w:rPr>
                <w:rFonts w:hint="eastAsia" w:ascii="宋体" w:hAnsi="宋体" w:cs="宋体"/>
                <w:color w:val="auto"/>
                <w:highlight w:val="none"/>
              </w:rPr>
            </w:pPr>
          </w:p>
        </w:tc>
      </w:tr>
      <w:tr w14:paraId="3DD50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7A8B5C1A">
            <w:pPr>
              <w:pStyle w:val="34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7C720539">
            <w:pPr>
              <w:pStyle w:val="348"/>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42"/>
                <w:rFonts w:hint="eastAsia" w:ascii="宋体" w:hAnsi="宋体" w:cs="宋体"/>
                <w:color w:val="auto"/>
                <w:sz w:val="24"/>
                <w:szCs w:val="24"/>
                <w:highlight w:val="none"/>
              </w:rPr>
              <w:t>。</w:t>
            </w:r>
          </w:p>
        </w:tc>
        <w:tc>
          <w:tcPr>
            <w:tcW w:w="2449" w:type="dxa"/>
            <w:vMerge w:val="continue"/>
            <w:noWrap w:val="0"/>
            <w:vAlign w:val="center"/>
          </w:tcPr>
          <w:p w14:paraId="49C8F0CB">
            <w:pPr>
              <w:pStyle w:val="348"/>
              <w:spacing w:before="0" w:after="0" w:line="240" w:lineRule="auto"/>
              <w:ind w:firstLine="0"/>
              <w:rPr>
                <w:rFonts w:hint="eastAsia" w:ascii="宋体" w:hAnsi="宋体" w:cs="宋体"/>
                <w:color w:val="auto"/>
                <w:highlight w:val="none"/>
              </w:rPr>
            </w:pPr>
          </w:p>
        </w:tc>
      </w:tr>
      <w:tr w14:paraId="0E9AB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67027A5A">
            <w:pPr>
              <w:pStyle w:val="34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3CC29F45">
            <w:pPr>
              <w:pStyle w:val="348"/>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noWrap w:val="0"/>
            <w:vAlign w:val="center"/>
          </w:tcPr>
          <w:p w14:paraId="601097CC">
            <w:pPr>
              <w:pStyle w:val="348"/>
              <w:spacing w:before="0" w:after="0" w:line="240" w:lineRule="auto"/>
              <w:ind w:firstLine="0"/>
              <w:rPr>
                <w:rFonts w:hint="eastAsia" w:ascii="宋体" w:hAnsi="宋体" w:cs="宋体"/>
                <w:color w:val="auto"/>
                <w:highlight w:val="none"/>
              </w:rPr>
            </w:pPr>
          </w:p>
        </w:tc>
      </w:tr>
      <w:tr w14:paraId="6CBE7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0244FC09">
            <w:pPr>
              <w:pStyle w:val="34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1320E3B7">
            <w:pPr>
              <w:pStyle w:val="348"/>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7C8DFCD3">
            <w:pPr>
              <w:pStyle w:val="348"/>
              <w:spacing w:before="0" w:after="0" w:line="240" w:lineRule="auto"/>
              <w:ind w:firstLine="0"/>
              <w:rPr>
                <w:rFonts w:hint="eastAsia" w:ascii="宋体" w:hAnsi="宋体" w:cs="宋体"/>
                <w:color w:val="auto"/>
                <w:highlight w:val="none"/>
              </w:rPr>
            </w:pPr>
          </w:p>
        </w:tc>
      </w:tr>
      <w:tr w14:paraId="5EEDE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18622D8E">
            <w:pPr>
              <w:pStyle w:val="34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6</w:t>
            </w:r>
          </w:p>
        </w:tc>
        <w:tc>
          <w:tcPr>
            <w:tcW w:w="6104" w:type="dxa"/>
            <w:noWrap w:val="0"/>
            <w:vAlign w:val="center"/>
          </w:tcPr>
          <w:p w14:paraId="622E9986">
            <w:pPr>
              <w:pStyle w:val="348"/>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6080F73E">
            <w:pPr>
              <w:pStyle w:val="348"/>
              <w:spacing w:before="0" w:after="0" w:line="240" w:lineRule="auto"/>
              <w:ind w:firstLine="0"/>
              <w:rPr>
                <w:rFonts w:hint="eastAsia" w:ascii="宋体" w:hAnsi="宋体" w:cs="宋体"/>
                <w:color w:val="auto"/>
                <w:highlight w:val="none"/>
              </w:rPr>
            </w:pPr>
          </w:p>
        </w:tc>
      </w:tr>
      <w:tr w14:paraId="3ED5B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1CEC3F0C">
            <w:pPr>
              <w:pStyle w:val="348"/>
              <w:spacing w:before="0" w:after="0" w:line="240" w:lineRule="auto"/>
              <w:ind w:firstLine="0"/>
              <w:jc w:val="center"/>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7</w:t>
            </w:r>
          </w:p>
        </w:tc>
        <w:tc>
          <w:tcPr>
            <w:tcW w:w="6104" w:type="dxa"/>
            <w:noWrap w:val="0"/>
            <w:vAlign w:val="center"/>
          </w:tcPr>
          <w:p w14:paraId="541A2E91">
            <w:pPr>
              <w:pStyle w:val="348"/>
              <w:spacing w:before="0" w:after="0" w:line="240" w:lineRule="auto"/>
              <w:ind w:firstLine="0"/>
              <w:jc w:val="both"/>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w:t>
            </w:r>
          </w:p>
        </w:tc>
        <w:tc>
          <w:tcPr>
            <w:tcW w:w="2449" w:type="dxa"/>
            <w:noWrap w:val="0"/>
            <w:vAlign w:val="center"/>
          </w:tcPr>
          <w:p w14:paraId="42B6DC6A">
            <w:pPr>
              <w:pStyle w:val="348"/>
              <w:spacing w:before="0" w:after="0" w:line="240" w:lineRule="auto"/>
              <w:ind w:firstLine="0"/>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532A2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50E21C89">
            <w:pPr>
              <w:pStyle w:val="348"/>
              <w:spacing w:before="0" w:after="0" w:line="240" w:lineRule="auto"/>
              <w:ind w:firstLine="0"/>
              <w:jc w:val="center"/>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8</w:t>
            </w:r>
          </w:p>
        </w:tc>
        <w:tc>
          <w:tcPr>
            <w:tcW w:w="6104" w:type="dxa"/>
            <w:noWrap w:val="0"/>
            <w:vAlign w:val="center"/>
          </w:tcPr>
          <w:p w14:paraId="4473A3BE">
            <w:pPr>
              <w:pStyle w:val="348"/>
              <w:spacing w:before="0" w:after="0" w:line="240" w:lineRule="auto"/>
              <w:ind w:firstLine="0"/>
              <w:jc w:val="both"/>
              <w:rPr>
                <w:rFonts w:hint="eastAsia" w:ascii="宋体" w:hAnsi="宋体" w:cs="宋体"/>
                <w:bCs/>
                <w:color w:val="auto"/>
                <w:highlight w:val="none"/>
              </w:rPr>
            </w:pPr>
            <w:r>
              <w:rPr>
                <w:rFonts w:hint="eastAsia" w:ascii="宋体" w:hAnsi="宋体" w:cs="宋体"/>
                <w:bCs/>
                <w:color w:val="auto"/>
                <w:highlight w:val="none"/>
              </w:rPr>
              <w:t>《联合体协议》（如有，格式自拟</w:t>
            </w:r>
            <w:r>
              <w:rPr>
                <w:rFonts w:hint="eastAsia" w:ascii="宋体" w:hAnsi="宋体" w:cs="宋体"/>
                <w:bCs/>
                <w:color w:val="auto"/>
                <w:highlight w:val="none"/>
                <w:lang w:eastAsia="zh-CN"/>
              </w:rPr>
              <w:t>，内容供须完整</w:t>
            </w:r>
            <w:r>
              <w:rPr>
                <w:rFonts w:hint="eastAsia" w:ascii="宋体" w:hAnsi="宋体" w:cs="宋体"/>
                <w:bCs/>
                <w:color w:val="auto"/>
                <w:highlight w:val="none"/>
              </w:rPr>
              <w:t>）。</w:t>
            </w:r>
          </w:p>
        </w:tc>
        <w:tc>
          <w:tcPr>
            <w:tcW w:w="2449" w:type="dxa"/>
            <w:noWrap w:val="0"/>
            <w:vAlign w:val="center"/>
          </w:tcPr>
          <w:p w14:paraId="5D643D56">
            <w:pPr>
              <w:pStyle w:val="348"/>
              <w:spacing w:before="0" w:after="0" w:line="240" w:lineRule="auto"/>
              <w:ind w:firstLine="0"/>
              <w:rPr>
                <w:rFonts w:hint="eastAsia" w:ascii="宋体" w:hAnsi="宋体" w:cs="宋体"/>
                <w:color w:val="auto"/>
                <w:highlight w:val="none"/>
              </w:rPr>
            </w:pPr>
            <w:r>
              <w:rPr>
                <w:rFonts w:hint="eastAsia" w:ascii="宋体" w:hAnsi="宋体"/>
                <w:color w:val="auto"/>
                <w:highlight w:val="none"/>
              </w:rPr>
              <w:t>如接受联合体投标且投标人为联合体时</w:t>
            </w:r>
          </w:p>
        </w:tc>
      </w:tr>
    </w:tbl>
    <w:p w14:paraId="656D082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7B6D2FF7">
      <w:pPr>
        <w:numPr>
          <w:ilvl w:val="0"/>
          <w:numId w:val="0"/>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ascii="宋体" w:hAnsi="宋体"/>
          <w:color w:val="auto"/>
          <w:sz w:val="24"/>
          <w:szCs w:val="24"/>
          <w:highlight w:val="none"/>
        </w:rPr>
        <w:t>上述资格证明文件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16C61C6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3F25F4B">
      <w:pPr>
        <w:numPr>
          <w:ilvl w:val="0"/>
          <w:numId w:val="0"/>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CB18CC4">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72875F0C">
      <w:pPr>
        <w:spacing w:line="500" w:lineRule="exact"/>
        <w:ind w:firstLine="48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3.</w:t>
      </w:r>
      <w:r>
        <w:rPr>
          <w:rFonts w:hint="eastAsia" w:ascii="宋体" w:hAnsi="宋体" w:eastAsia="宋体" w:cs="Times New Roman"/>
          <w:b/>
          <w:bCs/>
          <w:color w:val="auto"/>
          <w:sz w:val="24"/>
          <w:szCs w:val="24"/>
          <w:highlight w:val="none"/>
        </w:rPr>
        <w:t>上述</w:t>
      </w:r>
      <w:r>
        <w:rPr>
          <w:rFonts w:ascii="宋体" w:hAnsi="宋体" w:eastAsia="宋体" w:cs="Times New Roman"/>
          <w:b/>
          <w:bCs/>
          <w:color w:val="auto"/>
          <w:sz w:val="24"/>
          <w:szCs w:val="24"/>
          <w:highlight w:val="none"/>
        </w:rPr>
        <w:t>资格证明文件第</w:t>
      </w:r>
      <w:r>
        <w:rPr>
          <w:rFonts w:hint="eastAsia" w:ascii="宋体" w:hAnsi="宋体" w:eastAsia="宋体" w:cs="Times New Roman"/>
          <w:b/>
          <w:bCs/>
          <w:color w:val="auto"/>
          <w:sz w:val="24"/>
          <w:szCs w:val="24"/>
          <w:highlight w:val="none"/>
        </w:rPr>
        <w:t>8项，联合体</w:t>
      </w:r>
      <w:r>
        <w:rPr>
          <w:rFonts w:hint="eastAsia" w:ascii="宋体" w:hAnsi="宋体" w:eastAsia="宋体" w:cs="Times New Roman"/>
          <w:b/>
          <w:bCs/>
          <w:color w:val="auto"/>
          <w:sz w:val="24"/>
          <w:szCs w:val="24"/>
          <w:highlight w:val="none"/>
          <w:lang w:eastAsia="zh-CN"/>
        </w:rPr>
        <w:t>协议</w:t>
      </w:r>
      <w:r>
        <w:rPr>
          <w:rFonts w:hint="eastAsia" w:ascii="宋体" w:hAnsi="宋体" w:eastAsia="宋体" w:cs="Times New Roman"/>
          <w:b/>
          <w:bCs/>
          <w:color w:val="auto"/>
          <w:sz w:val="24"/>
          <w:szCs w:val="24"/>
          <w:highlight w:val="none"/>
        </w:rPr>
        <w:t>要求如下：①提交联合体各成员单位共同签订的联合体投标协议书，明确联合体主体单位及其他成员单位各自的权利和义务以及应当承担的责任；②联合体各方签订联合体投标协议书后，不得再以自己的名义单独或者以其他联合体成员的名义申请同一标段的投标；③联合体一旦中标，联合体各方应当共同与采购人签订合同，就中标项目向采购人承担连带责任;④联合体成员不得超过2名，各成员均应为中华人民共和国境内合法注册的独立法人企业或其他组织，联合体主体单位需拥有中华人民共和国基础电信业务经营许可证（相关许可证及资格可为投标人自有或投标人总公司所有），或投标人具有项目所在地通信运营商（具有中华人民共和国基础电信业务经营许可证的）出具的电路服务授权书。</w:t>
      </w:r>
    </w:p>
    <w:p w14:paraId="78555E73">
      <w:pPr>
        <w:spacing w:line="500" w:lineRule="exact"/>
        <w:ind w:firstLine="480"/>
        <w:rPr>
          <w:rFonts w:hint="default" w:ascii="宋体" w:hAnsi="宋体" w:eastAsia="宋体" w:cs="Times New Roman"/>
          <w:b/>
          <w:bCs/>
          <w:color w:val="auto"/>
          <w:sz w:val="24"/>
          <w:szCs w:val="24"/>
          <w:highlight w:val="none"/>
          <w:lang w:val="en-US"/>
        </w:rPr>
      </w:pPr>
      <w:r>
        <w:rPr>
          <w:rFonts w:hint="eastAsia" w:ascii="宋体" w:hAnsi="宋体" w:eastAsia="宋体" w:cs="Times New Roman"/>
          <w:b/>
          <w:bCs/>
          <w:color w:val="auto"/>
          <w:sz w:val="24"/>
          <w:szCs w:val="24"/>
          <w:highlight w:val="none"/>
          <w:lang w:val="en-US" w:eastAsia="zh-CN"/>
        </w:rPr>
        <w:t>联合体协议内容须包含上述4个内容，内容不完整则为无效投标文件。</w:t>
      </w:r>
    </w:p>
    <w:p w14:paraId="345D985E">
      <w:pPr>
        <w:spacing w:line="50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如项目接受联合体投标且投标人为联合体时，</w:t>
      </w:r>
      <w:r>
        <w:rPr>
          <w:rFonts w:ascii="宋体" w:hAnsi="宋体"/>
          <w:b/>
          <w:bCs/>
          <w:color w:val="auto"/>
          <w:sz w:val="24"/>
          <w:szCs w:val="24"/>
          <w:highlight w:val="none"/>
        </w:rPr>
        <w:t>上述资格证明文件</w:t>
      </w:r>
      <w:r>
        <w:rPr>
          <w:rFonts w:hint="eastAsia" w:ascii="宋体" w:hAnsi="宋体"/>
          <w:b/>
          <w:bCs/>
          <w:color w:val="auto"/>
          <w:sz w:val="24"/>
          <w:szCs w:val="24"/>
          <w:highlight w:val="none"/>
        </w:rPr>
        <w:t>中：第2、6项可由联合体主体单位（即联合体牵头人）代表联合体提供；第1、3、4、5联合体各方均须提供。</w:t>
      </w:r>
    </w:p>
    <w:p w14:paraId="19A48BC9">
      <w:pPr>
        <w:pStyle w:val="348"/>
        <w:numPr>
          <w:ilvl w:val="0"/>
          <w:numId w:val="0"/>
        </w:numPr>
        <w:spacing w:before="0" w:after="0" w:line="500" w:lineRule="exact"/>
        <w:jc w:val="both"/>
        <w:rPr>
          <w:rFonts w:hint="eastAsia" w:cs="Arial"/>
          <w:b/>
          <w:color w:val="auto"/>
          <w:sz w:val="30"/>
          <w:szCs w:val="30"/>
          <w:highlight w:val="none"/>
        </w:rPr>
      </w:pPr>
    </w:p>
    <w:p w14:paraId="707DDFA7">
      <w:pPr>
        <w:pStyle w:val="348"/>
        <w:numPr>
          <w:ilvl w:val="0"/>
          <w:numId w:val="0"/>
        </w:numPr>
        <w:spacing w:before="0" w:after="0" w:line="500" w:lineRule="exact"/>
        <w:jc w:val="both"/>
        <w:rPr>
          <w:rFonts w:hint="eastAsia" w:cs="Arial"/>
          <w:b/>
          <w:color w:val="auto"/>
          <w:sz w:val="30"/>
          <w:szCs w:val="30"/>
          <w:highlight w:val="none"/>
        </w:rPr>
      </w:pPr>
    </w:p>
    <w:p w14:paraId="137C68A4">
      <w:pPr>
        <w:pStyle w:val="348"/>
        <w:numPr>
          <w:ilvl w:val="0"/>
          <w:numId w:val="0"/>
        </w:numPr>
        <w:spacing w:before="0" w:after="0" w:line="500" w:lineRule="exact"/>
        <w:jc w:val="both"/>
        <w:rPr>
          <w:rFonts w:hint="eastAsia" w:cs="Arial"/>
          <w:b/>
          <w:color w:val="auto"/>
          <w:sz w:val="30"/>
          <w:szCs w:val="30"/>
          <w:highlight w:val="none"/>
        </w:rPr>
      </w:pPr>
    </w:p>
    <w:p w14:paraId="1C9A634A">
      <w:pPr>
        <w:pStyle w:val="348"/>
        <w:numPr>
          <w:ilvl w:val="0"/>
          <w:numId w:val="0"/>
        </w:numPr>
        <w:spacing w:before="0" w:after="0" w:line="500" w:lineRule="exact"/>
        <w:jc w:val="both"/>
        <w:rPr>
          <w:rFonts w:hint="eastAsia" w:cs="Arial"/>
          <w:b/>
          <w:color w:val="auto"/>
          <w:sz w:val="30"/>
          <w:szCs w:val="30"/>
          <w:highlight w:val="none"/>
        </w:rPr>
      </w:pPr>
    </w:p>
    <w:p w14:paraId="33ACBF8B">
      <w:pPr>
        <w:pStyle w:val="348"/>
        <w:numPr>
          <w:ilvl w:val="0"/>
          <w:numId w:val="0"/>
        </w:numPr>
        <w:spacing w:before="0" w:after="0" w:line="500" w:lineRule="exact"/>
        <w:jc w:val="both"/>
        <w:rPr>
          <w:rFonts w:hint="eastAsia" w:cs="Arial"/>
          <w:b/>
          <w:color w:val="auto"/>
          <w:sz w:val="30"/>
          <w:szCs w:val="30"/>
          <w:highlight w:val="none"/>
        </w:rPr>
      </w:pPr>
    </w:p>
    <w:p w14:paraId="3CFB5CB1">
      <w:pPr>
        <w:pStyle w:val="348"/>
        <w:numPr>
          <w:ilvl w:val="0"/>
          <w:numId w:val="0"/>
        </w:numPr>
        <w:spacing w:before="0" w:after="0" w:line="500" w:lineRule="exact"/>
        <w:jc w:val="both"/>
        <w:rPr>
          <w:rFonts w:hint="eastAsia" w:cs="Arial"/>
          <w:b/>
          <w:color w:val="auto"/>
          <w:sz w:val="30"/>
          <w:szCs w:val="30"/>
          <w:highlight w:val="none"/>
        </w:rPr>
      </w:pPr>
    </w:p>
    <w:p w14:paraId="2FE76E05">
      <w:pPr>
        <w:pStyle w:val="348"/>
        <w:numPr>
          <w:ilvl w:val="0"/>
          <w:numId w:val="0"/>
        </w:numPr>
        <w:spacing w:before="0" w:after="0" w:line="500" w:lineRule="exact"/>
        <w:jc w:val="both"/>
        <w:rPr>
          <w:rFonts w:hint="eastAsia" w:cs="Arial"/>
          <w:b/>
          <w:color w:val="auto"/>
          <w:sz w:val="30"/>
          <w:szCs w:val="30"/>
          <w:highlight w:val="none"/>
        </w:rPr>
      </w:pPr>
    </w:p>
    <w:p w14:paraId="641D6F2D">
      <w:pPr>
        <w:pStyle w:val="348"/>
        <w:numPr>
          <w:ilvl w:val="0"/>
          <w:numId w:val="0"/>
        </w:numPr>
        <w:spacing w:before="0" w:after="0" w:line="500" w:lineRule="exact"/>
        <w:jc w:val="both"/>
        <w:rPr>
          <w:rFonts w:hint="eastAsia" w:cs="Arial"/>
          <w:b/>
          <w:color w:val="auto"/>
          <w:sz w:val="30"/>
          <w:szCs w:val="30"/>
          <w:highlight w:val="none"/>
        </w:rPr>
      </w:pPr>
    </w:p>
    <w:p w14:paraId="752BE3D2">
      <w:pPr>
        <w:pStyle w:val="348"/>
        <w:numPr>
          <w:ilvl w:val="0"/>
          <w:numId w:val="0"/>
        </w:numPr>
        <w:spacing w:before="0" w:after="0" w:line="500" w:lineRule="exact"/>
        <w:jc w:val="both"/>
        <w:rPr>
          <w:rFonts w:hint="eastAsia" w:cs="Arial"/>
          <w:b/>
          <w:color w:val="auto"/>
          <w:sz w:val="30"/>
          <w:szCs w:val="30"/>
          <w:highlight w:val="none"/>
        </w:rPr>
      </w:pPr>
    </w:p>
    <w:p w14:paraId="6CCDBFDD">
      <w:pPr>
        <w:rPr>
          <w:b/>
          <w:color w:val="auto"/>
          <w:sz w:val="28"/>
          <w:szCs w:val="28"/>
          <w:highlight w:val="none"/>
        </w:rPr>
      </w:pPr>
      <w:r>
        <w:rPr>
          <w:rFonts w:hint="eastAsia"/>
          <w:b/>
          <w:color w:val="auto"/>
          <w:sz w:val="28"/>
          <w:szCs w:val="28"/>
          <w:highlight w:val="none"/>
        </w:rPr>
        <w:t>二、符合性证明文件及其他证明文件</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525"/>
        <w:gridCol w:w="1549"/>
      </w:tblGrid>
      <w:tr w14:paraId="5F5CA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49189EC">
            <w:pPr>
              <w:pStyle w:val="348"/>
              <w:spacing w:before="0" w:after="0" w:line="240" w:lineRule="auto"/>
              <w:ind w:firstLine="0"/>
              <w:jc w:val="center"/>
              <w:rPr>
                <w:rFonts w:hint="eastAsia" w:cs="Arial"/>
                <w:b/>
                <w:color w:val="auto"/>
                <w:highlight w:val="none"/>
              </w:rPr>
            </w:pPr>
            <w:r>
              <w:rPr>
                <w:rFonts w:hint="eastAsia" w:cs="Arial"/>
                <w:b/>
                <w:color w:val="auto"/>
                <w:highlight w:val="none"/>
              </w:rPr>
              <w:t>序号</w:t>
            </w:r>
          </w:p>
        </w:tc>
        <w:tc>
          <w:tcPr>
            <w:tcW w:w="6525" w:type="dxa"/>
            <w:noWrap w:val="0"/>
            <w:vAlign w:val="center"/>
          </w:tcPr>
          <w:p w14:paraId="3721AFF9">
            <w:pPr>
              <w:pStyle w:val="348"/>
              <w:spacing w:before="0" w:after="0" w:line="240" w:lineRule="auto"/>
              <w:ind w:firstLine="0"/>
              <w:jc w:val="center"/>
              <w:rPr>
                <w:rFonts w:hint="eastAsia" w:cs="Arial"/>
                <w:b/>
                <w:color w:val="auto"/>
                <w:highlight w:val="none"/>
              </w:rPr>
            </w:pPr>
            <w:r>
              <w:rPr>
                <w:rFonts w:hint="eastAsia" w:ascii="宋体" w:hAnsi="宋体" w:cs="宋体"/>
                <w:b/>
                <w:color w:val="auto"/>
                <w:highlight w:val="none"/>
              </w:rPr>
              <w:t>评审项及评审要求</w:t>
            </w:r>
          </w:p>
        </w:tc>
        <w:tc>
          <w:tcPr>
            <w:tcW w:w="1549" w:type="dxa"/>
            <w:noWrap w:val="0"/>
            <w:vAlign w:val="center"/>
          </w:tcPr>
          <w:p w14:paraId="5FCA00EA">
            <w:pPr>
              <w:pStyle w:val="348"/>
              <w:spacing w:before="0" w:after="0" w:line="240" w:lineRule="auto"/>
              <w:ind w:firstLine="0"/>
              <w:jc w:val="center"/>
              <w:rPr>
                <w:rFonts w:hint="eastAsia" w:cs="Arial"/>
                <w:b/>
                <w:color w:val="auto"/>
                <w:highlight w:val="none"/>
              </w:rPr>
            </w:pPr>
            <w:r>
              <w:rPr>
                <w:rFonts w:hint="eastAsia" w:cs="Arial"/>
                <w:b/>
                <w:color w:val="auto"/>
                <w:highlight w:val="none"/>
              </w:rPr>
              <w:t>审查因素</w:t>
            </w:r>
          </w:p>
        </w:tc>
      </w:tr>
      <w:tr w14:paraId="5E33A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4F30049">
            <w:pPr>
              <w:pStyle w:val="348"/>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1</w:t>
            </w:r>
          </w:p>
        </w:tc>
        <w:tc>
          <w:tcPr>
            <w:tcW w:w="6525" w:type="dxa"/>
            <w:noWrap w:val="0"/>
            <w:vAlign w:val="center"/>
          </w:tcPr>
          <w:p w14:paraId="1170D04F">
            <w:pPr>
              <w:pStyle w:val="348"/>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投标函（给定格式）</w:t>
            </w:r>
          </w:p>
        </w:tc>
        <w:tc>
          <w:tcPr>
            <w:tcW w:w="1549" w:type="dxa"/>
            <w:vMerge w:val="restart"/>
            <w:noWrap w:val="0"/>
            <w:vAlign w:val="center"/>
          </w:tcPr>
          <w:p w14:paraId="118D604B">
            <w:pPr>
              <w:pStyle w:val="348"/>
              <w:spacing w:before="0" w:after="0" w:line="240" w:lineRule="auto"/>
              <w:ind w:firstLine="0"/>
              <w:jc w:val="both"/>
              <w:rPr>
                <w:rFonts w:hint="eastAsia" w:cs="Arial"/>
                <w:color w:val="auto"/>
                <w:highlight w:val="none"/>
              </w:rPr>
            </w:pPr>
            <w:r>
              <w:rPr>
                <w:rFonts w:hint="eastAsia" w:cs="Arial"/>
                <w:color w:val="auto"/>
                <w:highlight w:val="none"/>
              </w:rPr>
              <w:t>符合性证明文件</w:t>
            </w:r>
          </w:p>
        </w:tc>
      </w:tr>
      <w:tr w14:paraId="32364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863B23B">
            <w:pPr>
              <w:pStyle w:val="348"/>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2</w:t>
            </w:r>
          </w:p>
        </w:tc>
        <w:tc>
          <w:tcPr>
            <w:tcW w:w="6525" w:type="dxa"/>
            <w:noWrap w:val="0"/>
            <w:vAlign w:val="center"/>
          </w:tcPr>
          <w:p w14:paraId="782A5EFC">
            <w:pPr>
              <w:pStyle w:val="348"/>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承诺书（给定格式）</w:t>
            </w:r>
          </w:p>
        </w:tc>
        <w:tc>
          <w:tcPr>
            <w:tcW w:w="1549" w:type="dxa"/>
            <w:vMerge w:val="continue"/>
            <w:noWrap w:val="0"/>
            <w:vAlign w:val="center"/>
          </w:tcPr>
          <w:p w14:paraId="61F26684">
            <w:pPr>
              <w:pStyle w:val="348"/>
              <w:spacing w:before="0" w:after="0" w:line="240" w:lineRule="auto"/>
              <w:ind w:firstLine="0"/>
              <w:jc w:val="both"/>
              <w:rPr>
                <w:rFonts w:hint="eastAsia" w:cs="Arial"/>
                <w:color w:val="auto"/>
                <w:highlight w:val="none"/>
              </w:rPr>
            </w:pPr>
          </w:p>
        </w:tc>
      </w:tr>
      <w:tr w14:paraId="753C5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F877E7C">
            <w:pPr>
              <w:pStyle w:val="348"/>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3</w:t>
            </w:r>
          </w:p>
        </w:tc>
        <w:tc>
          <w:tcPr>
            <w:tcW w:w="6525" w:type="dxa"/>
            <w:noWrap w:val="0"/>
            <w:vAlign w:val="center"/>
          </w:tcPr>
          <w:p w14:paraId="43E9B153">
            <w:pPr>
              <w:pStyle w:val="348"/>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开标一览表（给定格式）</w:t>
            </w:r>
          </w:p>
        </w:tc>
        <w:tc>
          <w:tcPr>
            <w:tcW w:w="1549" w:type="dxa"/>
            <w:vMerge w:val="continue"/>
            <w:noWrap w:val="0"/>
            <w:vAlign w:val="center"/>
          </w:tcPr>
          <w:p w14:paraId="1AEAF64A">
            <w:pPr>
              <w:pStyle w:val="348"/>
              <w:spacing w:before="0" w:after="0" w:line="240" w:lineRule="auto"/>
              <w:ind w:firstLine="0"/>
              <w:jc w:val="both"/>
              <w:rPr>
                <w:rFonts w:hint="eastAsia" w:cs="Arial"/>
                <w:color w:val="auto"/>
                <w:highlight w:val="none"/>
              </w:rPr>
            </w:pPr>
          </w:p>
        </w:tc>
      </w:tr>
      <w:tr w14:paraId="194A8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DC6E6AA">
            <w:pPr>
              <w:pStyle w:val="348"/>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4</w:t>
            </w:r>
          </w:p>
        </w:tc>
        <w:tc>
          <w:tcPr>
            <w:tcW w:w="6525" w:type="dxa"/>
            <w:noWrap w:val="0"/>
            <w:vAlign w:val="center"/>
          </w:tcPr>
          <w:p w14:paraId="43AB65C0">
            <w:pPr>
              <w:pStyle w:val="348"/>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分项报价表（给定格式）</w:t>
            </w:r>
          </w:p>
        </w:tc>
        <w:tc>
          <w:tcPr>
            <w:tcW w:w="1549" w:type="dxa"/>
            <w:vMerge w:val="continue"/>
            <w:noWrap w:val="0"/>
            <w:vAlign w:val="center"/>
          </w:tcPr>
          <w:p w14:paraId="7433DBFE">
            <w:pPr>
              <w:pStyle w:val="348"/>
              <w:spacing w:before="0" w:after="0" w:line="240" w:lineRule="auto"/>
              <w:ind w:firstLine="0"/>
              <w:jc w:val="both"/>
              <w:rPr>
                <w:rFonts w:hint="eastAsia" w:cs="Arial"/>
                <w:color w:val="auto"/>
                <w:highlight w:val="none"/>
              </w:rPr>
            </w:pPr>
          </w:p>
        </w:tc>
      </w:tr>
      <w:tr w14:paraId="37E5C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2032DE7">
            <w:pPr>
              <w:pStyle w:val="348"/>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5</w:t>
            </w:r>
          </w:p>
        </w:tc>
        <w:tc>
          <w:tcPr>
            <w:tcW w:w="6525" w:type="dxa"/>
            <w:noWrap w:val="0"/>
            <w:vAlign w:val="center"/>
          </w:tcPr>
          <w:p w14:paraId="47E4B4E8">
            <w:pPr>
              <w:pStyle w:val="348"/>
              <w:spacing w:before="0" w:after="0" w:line="24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549" w:type="dxa"/>
            <w:vMerge w:val="continue"/>
            <w:noWrap w:val="0"/>
            <w:vAlign w:val="center"/>
          </w:tcPr>
          <w:p w14:paraId="7A5376DC">
            <w:pPr>
              <w:pStyle w:val="348"/>
              <w:spacing w:before="0" w:after="0" w:line="240" w:lineRule="auto"/>
              <w:ind w:firstLine="0"/>
              <w:jc w:val="both"/>
              <w:rPr>
                <w:rFonts w:hint="eastAsia" w:cs="Arial"/>
                <w:color w:val="auto"/>
                <w:highlight w:val="none"/>
              </w:rPr>
            </w:pPr>
          </w:p>
        </w:tc>
      </w:tr>
      <w:tr w14:paraId="11FBF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2AE52B6">
            <w:pPr>
              <w:pStyle w:val="348"/>
              <w:spacing w:before="0" w:after="0" w:line="240" w:lineRule="auto"/>
              <w:ind w:firstLine="0"/>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6</w:t>
            </w:r>
          </w:p>
        </w:tc>
        <w:tc>
          <w:tcPr>
            <w:tcW w:w="6525" w:type="dxa"/>
            <w:noWrap w:val="0"/>
            <w:vAlign w:val="center"/>
          </w:tcPr>
          <w:p w14:paraId="713EA56B">
            <w:pPr>
              <w:pStyle w:val="348"/>
              <w:spacing w:before="0" w:after="0" w:line="240" w:lineRule="auto"/>
              <w:ind w:firstLine="0"/>
              <w:jc w:val="both"/>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549" w:type="dxa"/>
            <w:vMerge w:val="continue"/>
            <w:noWrap w:val="0"/>
            <w:vAlign w:val="top"/>
          </w:tcPr>
          <w:p w14:paraId="61FD2660">
            <w:pPr>
              <w:pStyle w:val="348"/>
              <w:spacing w:before="0" w:after="0" w:line="240" w:lineRule="auto"/>
              <w:ind w:firstLine="0"/>
              <w:rPr>
                <w:rFonts w:hint="eastAsia" w:cs="Arial"/>
                <w:color w:val="auto"/>
                <w:highlight w:val="none"/>
              </w:rPr>
            </w:pPr>
          </w:p>
        </w:tc>
      </w:tr>
    </w:tbl>
    <w:p w14:paraId="713E9C5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47B5723">
      <w:pPr>
        <w:numPr>
          <w:ilvl w:val="0"/>
          <w:numId w:val="0"/>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4D1CF04D">
      <w:pPr>
        <w:numPr>
          <w:ilvl w:val="0"/>
          <w:numId w:val="0"/>
        </w:numPr>
        <w:spacing w:line="500" w:lineRule="exact"/>
        <w:ind w:firstLine="480"/>
        <w:rPr>
          <w:rFonts w:hint="default" w:eastAsia="宋体" w:cs="Arial"/>
          <w:b/>
          <w:color w:val="auto"/>
          <w:sz w:val="30"/>
          <w:szCs w:val="30"/>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w:t>
      </w:r>
      <w:bookmarkEnd w:id="143"/>
      <w:r>
        <w:rPr>
          <w:rFonts w:hint="eastAsia" w:ascii="宋体" w:hAnsi="宋体" w:cs="宋体"/>
          <w:color w:val="auto"/>
          <w:sz w:val="24"/>
          <w:szCs w:val="24"/>
          <w:highlight w:val="none"/>
          <w:lang w:eastAsia="zh-CN"/>
        </w:rPr>
        <w:t>如有第</w:t>
      </w:r>
      <w:r>
        <w:rPr>
          <w:rFonts w:hint="eastAsia" w:ascii="宋体" w:hAnsi="宋体" w:cs="宋体"/>
          <w:color w:val="auto"/>
          <w:sz w:val="24"/>
          <w:szCs w:val="24"/>
          <w:highlight w:val="none"/>
          <w:lang w:val="en-US" w:eastAsia="zh-CN"/>
        </w:rPr>
        <w:t>6项，须联合体各方均需提供。</w:t>
      </w:r>
    </w:p>
    <w:p w14:paraId="12E69EC3">
      <w:pPr>
        <w:jc w:val="both"/>
        <w:rPr>
          <w:rFonts w:hint="eastAsia" w:cs="Arial"/>
          <w:b/>
          <w:color w:val="auto"/>
          <w:sz w:val="30"/>
          <w:szCs w:val="30"/>
          <w:highlight w:val="none"/>
        </w:rPr>
      </w:pPr>
    </w:p>
    <w:p w14:paraId="272AE12B">
      <w:pPr>
        <w:jc w:val="both"/>
        <w:rPr>
          <w:rFonts w:hint="eastAsia" w:cs="Arial"/>
          <w:b/>
          <w:color w:val="auto"/>
          <w:sz w:val="30"/>
          <w:szCs w:val="30"/>
          <w:highlight w:val="none"/>
        </w:rPr>
      </w:pPr>
    </w:p>
    <w:p w14:paraId="58B171D9">
      <w:pPr>
        <w:jc w:val="both"/>
        <w:rPr>
          <w:rFonts w:hint="eastAsia" w:cs="Arial"/>
          <w:b/>
          <w:color w:val="auto"/>
          <w:sz w:val="30"/>
          <w:szCs w:val="30"/>
          <w:highlight w:val="none"/>
        </w:rPr>
      </w:pPr>
    </w:p>
    <w:p w14:paraId="74AE33F2">
      <w:pPr>
        <w:jc w:val="both"/>
        <w:rPr>
          <w:rFonts w:hint="eastAsia" w:cs="Arial"/>
          <w:b/>
          <w:color w:val="auto"/>
          <w:sz w:val="30"/>
          <w:szCs w:val="30"/>
          <w:highlight w:val="none"/>
        </w:rPr>
      </w:pPr>
    </w:p>
    <w:p w14:paraId="2E1A9DFD">
      <w:pPr>
        <w:jc w:val="both"/>
        <w:rPr>
          <w:rFonts w:hint="eastAsia" w:cs="Arial"/>
          <w:b/>
          <w:color w:val="auto"/>
          <w:sz w:val="30"/>
          <w:szCs w:val="30"/>
          <w:highlight w:val="none"/>
        </w:rPr>
      </w:pPr>
    </w:p>
    <w:p w14:paraId="543A1C92">
      <w:pPr>
        <w:jc w:val="both"/>
        <w:rPr>
          <w:rFonts w:hint="eastAsia" w:cs="Arial"/>
          <w:b/>
          <w:color w:val="auto"/>
          <w:sz w:val="30"/>
          <w:szCs w:val="30"/>
          <w:highlight w:val="none"/>
        </w:rPr>
      </w:pPr>
    </w:p>
    <w:p w14:paraId="73D03613">
      <w:pPr>
        <w:jc w:val="both"/>
        <w:rPr>
          <w:rFonts w:hint="eastAsia" w:cs="Arial"/>
          <w:b/>
          <w:color w:val="auto"/>
          <w:sz w:val="30"/>
          <w:szCs w:val="30"/>
          <w:highlight w:val="none"/>
        </w:rPr>
      </w:pPr>
    </w:p>
    <w:p w14:paraId="17E4BDE5">
      <w:pPr>
        <w:jc w:val="both"/>
        <w:rPr>
          <w:rFonts w:hint="eastAsia" w:cs="Arial"/>
          <w:b/>
          <w:color w:val="auto"/>
          <w:sz w:val="30"/>
          <w:szCs w:val="30"/>
          <w:highlight w:val="none"/>
        </w:rPr>
      </w:pPr>
    </w:p>
    <w:p w14:paraId="01B2E9BB">
      <w:pPr>
        <w:jc w:val="both"/>
        <w:rPr>
          <w:rFonts w:hint="eastAsia" w:cs="Arial"/>
          <w:b/>
          <w:color w:val="auto"/>
          <w:sz w:val="30"/>
          <w:szCs w:val="30"/>
          <w:highlight w:val="none"/>
        </w:rPr>
      </w:pPr>
    </w:p>
    <w:p w14:paraId="2F18BB04">
      <w:pPr>
        <w:jc w:val="both"/>
        <w:rPr>
          <w:rFonts w:hint="eastAsia" w:cs="Arial"/>
          <w:b/>
          <w:color w:val="auto"/>
          <w:sz w:val="30"/>
          <w:szCs w:val="30"/>
          <w:highlight w:val="none"/>
        </w:rPr>
      </w:pPr>
    </w:p>
    <w:p w14:paraId="729D2E30">
      <w:pPr>
        <w:jc w:val="both"/>
        <w:rPr>
          <w:rFonts w:hint="eastAsia" w:cs="Arial"/>
          <w:b/>
          <w:color w:val="auto"/>
          <w:sz w:val="30"/>
          <w:szCs w:val="30"/>
          <w:highlight w:val="none"/>
        </w:rPr>
      </w:pPr>
    </w:p>
    <w:p w14:paraId="2AB246AF">
      <w:pPr>
        <w:jc w:val="both"/>
        <w:rPr>
          <w:rFonts w:hint="eastAsia" w:cs="Arial"/>
          <w:b/>
          <w:color w:val="auto"/>
          <w:sz w:val="30"/>
          <w:szCs w:val="30"/>
          <w:highlight w:val="none"/>
        </w:rPr>
      </w:pPr>
    </w:p>
    <w:p w14:paraId="3004345A">
      <w:pPr>
        <w:jc w:val="both"/>
        <w:rPr>
          <w:rFonts w:hint="eastAsia" w:cs="Arial"/>
          <w:b/>
          <w:color w:val="auto"/>
          <w:sz w:val="30"/>
          <w:szCs w:val="30"/>
          <w:highlight w:val="none"/>
        </w:rPr>
      </w:pPr>
    </w:p>
    <w:p w14:paraId="10ADE832">
      <w:pPr>
        <w:jc w:val="both"/>
        <w:rPr>
          <w:rFonts w:hint="eastAsia" w:cs="Arial"/>
          <w:b/>
          <w:color w:val="auto"/>
          <w:sz w:val="30"/>
          <w:szCs w:val="30"/>
          <w:highlight w:val="none"/>
        </w:rPr>
      </w:pPr>
    </w:p>
    <w:p w14:paraId="3A1CB6E7">
      <w:pPr>
        <w:jc w:val="both"/>
        <w:rPr>
          <w:rFonts w:hint="eastAsia" w:cs="Arial"/>
          <w:b/>
          <w:color w:val="auto"/>
          <w:sz w:val="30"/>
          <w:szCs w:val="30"/>
          <w:highlight w:val="none"/>
        </w:rPr>
      </w:pPr>
    </w:p>
    <w:p w14:paraId="5260F9D2">
      <w:pPr>
        <w:jc w:val="both"/>
        <w:rPr>
          <w:rFonts w:hint="eastAsia" w:cs="Arial"/>
          <w:b/>
          <w:color w:val="auto"/>
          <w:sz w:val="30"/>
          <w:szCs w:val="30"/>
          <w:highlight w:val="none"/>
        </w:rPr>
      </w:pPr>
    </w:p>
    <w:p w14:paraId="0355E644">
      <w:pPr>
        <w:jc w:val="both"/>
        <w:rPr>
          <w:rFonts w:hint="eastAsia" w:cs="Arial"/>
          <w:b/>
          <w:color w:val="auto"/>
          <w:sz w:val="30"/>
          <w:szCs w:val="30"/>
          <w:highlight w:val="none"/>
        </w:rPr>
      </w:pPr>
    </w:p>
    <w:p w14:paraId="64DC4644">
      <w:pPr>
        <w:jc w:val="both"/>
        <w:rPr>
          <w:rFonts w:hint="eastAsia" w:cs="Arial"/>
          <w:b/>
          <w:color w:val="auto"/>
          <w:sz w:val="30"/>
          <w:szCs w:val="30"/>
          <w:highlight w:val="none"/>
        </w:rPr>
      </w:pPr>
    </w:p>
    <w:p w14:paraId="1DE50E9D">
      <w:pPr>
        <w:jc w:val="both"/>
        <w:rPr>
          <w:rFonts w:hint="eastAsia" w:cs="Arial"/>
          <w:b/>
          <w:color w:val="auto"/>
          <w:sz w:val="30"/>
          <w:szCs w:val="30"/>
          <w:highlight w:val="none"/>
        </w:rPr>
      </w:pPr>
    </w:p>
    <w:p w14:paraId="1A083FB3">
      <w:pPr>
        <w:ind w:firstLine="480"/>
        <w:jc w:val="center"/>
        <w:rPr>
          <w:rFonts w:hint="eastAsia" w:cs="Arial"/>
          <w:b/>
          <w:color w:val="auto"/>
          <w:sz w:val="30"/>
          <w:szCs w:val="30"/>
          <w:highlight w:val="none"/>
        </w:rPr>
      </w:pPr>
      <w:r>
        <w:rPr>
          <w:rFonts w:hint="eastAsia" w:cs="Arial"/>
          <w:b/>
          <w:color w:val="auto"/>
          <w:sz w:val="30"/>
          <w:szCs w:val="30"/>
          <w:highlight w:val="none"/>
        </w:rPr>
        <w:t>第二部分  投标文件格式</w:t>
      </w:r>
    </w:p>
    <w:p w14:paraId="66740B22">
      <w:pPr>
        <w:pStyle w:val="348"/>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28B84103">
      <w:pPr>
        <w:jc w:val="center"/>
        <w:rPr>
          <w:rFonts w:hint="eastAsia" w:ascii="宋体" w:hAnsi="宋体"/>
          <w:b/>
          <w:color w:val="auto"/>
          <w:sz w:val="72"/>
          <w:highlight w:val="none"/>
          <w:shd w:val="clear" w:color="FFFFFF" w:fill="D9D9D9"/>
        </w:rPr>
      </w:pPr>
    </w:p>
    <w:p w14:paraId="797AC51C">
      <w:pPr>
        <w:jc w:val="center"/>
        <w:rPr>
          <w:rFonts w:hint="eastAsia" w:ascii="宋体" w:hAnsi="宋体"/>
          <w:b/>
          <w:color w:val="auto"/>
          <w:sz w:val="72"/>
          <w:highlight w:val="none"/>
          <w:shd w:val="clear" w:color="FFFFFF" w:fill="D9D9D9"/>
        </w:rPr>
      </w:pPr>
    </w:p>
    <w:p w14:paraId="4655BBBE">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3460BEF7">
      <w:pPr>
        <w:jc w:val="center"/>
        <w:rPr>
          <w:rFonts w:hint="eastAsia" w:ascii="宋体" w:hAnsi="宋体"/>
          <w:b/>
          <w:color w:val="auto"/>
          <w:sz w:val="72"/>
          <w:highlight w:val="none"/>
          <w:shd w:val="clear" w:color="FFFFFF" w:fill="D9D9D9"/>
        </w:rPr>
      </w:pPr>
    </w:p>
    <w:p w14:paraId="4F5429DA">
      <w:pPr>
        <w:jc w:val="center"/>
        <w:rPr>
          <w:rFonts w:hint="eastAsia" w:ascii="宋体" w:hAnsi="宋体"/>
          <w:b/>
          <w:color w:val="auto"/>
          <w:sz w:val="72"/>
          <w:highlight w:val="none"/>
          <w:shd w:val="clear" w:color="FFFFFF" w:fill="D9D9D9"/>
        </w:rPr>
      </w:pPr>
    </w:p>
    <w:p w14:paraId="37B907E3">
      <w:pPr>
        <w:jc w:val="center"/>
        <w:rPr>
          <w:rFonts w:hint="eastAsia" w:ascii="宋体" w:hAnsi="宋体"/>
          <w:b/>
          <w:color w:val="auto"/>
          <w:sz w:val="72"/>
          <w:highlight w:val="none"/>
          <w:shd w:val="clear" w:color="FFFFFF" w:fill="D9D9D9"/>
        </w:rPr>
      </w:pPr>
    </w:p>
    <w:p w14:paraId="0DED46BE">
      <w:pPr>
        <w:jc w:val="center"/>
        <w:rPr>
          <w:rFonts w:hint="eastAsia" w:ascii="宋体" w:hAnsi="宋体"/>
          <w:b/>
          <w:color w:val="auto"/>
          <w:sz w:val="72"/>
          <w:highlight w:val="none"/>
          <w:shd w:val="clear" w:color="FFFFFF" w:fill="D9D9D9"/>
        </w:rPr>
      </w:pPr>
    </w:p>
    <w:p w14:paraId="371A2D90">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项目编号：</w:t>
      </w:r>
      <w:r>
        <w:rPr>
          <w:rFonts w:hint="eastAsia" w:ascii="黑体" w:hAnsi="华文中宋" w:eastAsia="黑体" w:cs="Times New Roman"/>
          <w:bCs/>
          <w:color w:val="auto"/>
          <w:sz w:val="30"/>
          <w:szCs w:val="30"/>
          <w:highlight w:val="none"/>
          <w:lang w:eastAsia="zh-CN"/>
        </w:rPr>
        <w:t xml:space="preserve">JSZC-320206-JZCG-G2026-0025 </w:t>
      </w:r>
    </w:p>
    <w:p w14:paraId="5A5D4744">
      <w:pPr>
        <w:ind w:left="3289" w:hanging="15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val="en-US" w:eastAsia="zh-CN"/>
        </w:rPr>
        <w:t>惠山区2026年度社会治安监控系统运维项目（硬件、线路）</w:t>
      </w:r>
    </w:p>
    <w:p w14:paraId="6B1A0BC7">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06BFCB9D">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598BB755">
      <w:pPr>
        <w:spacing w:line="440" w:lineRule="exact"/>
        <w:rPr>
          <w:rFonts w:hint="eastAsia" w:ascii="宋体" w:hAnsi="宋体" w:cs="宋体"/>
          <w:b/>
          <w:color w:val="auto"/>
          <w:sz w:val="28"/>
          <w:szCs w:val="28"/>
          <w:highlight w:val="none"/>
        </w:rPr>
      </w:pPr>
      <w:bookmarkStart w:id="144" w:name="_Toc61444678"/>
    </w:p>
    <w:p w14:paraId="5074E8E8">
      <w:pPr>
        <w:spacing w:line="440" w:lineRule="exact"/>
        <w:rPr>
          <w:rFonts w:hint="eastAsia" w:ascii="宋体" w:hAnsi="宋体" w:cs="宋体"/>
          <w:b/>
          <w:color w:val="auto"/>
          <w:sz w:val="28"/>
          <w:szCs w:val="28"/>
          <w:highlight w:val="none"/>
        </w:rPr>
      </w:pPr>
    </w:p>
    <w:p w14:paraId="26C223EF">
      <w:pPr>
        <w:spacing w:line="440" w:lineRule="exact"/>
        <w:rPr>
          <w:rFonts w:hint="eastAsia" w:ascii="宋体" w:hAnsi="宋体" w:cs="宋体"/>
          <w:b/>
          <w:color w:val="auto"/>
          <w:sz w:val="28"/>
          <w:szCs w:val="28"/>
          <w:highlight w:val="none"/>
        </w:rPr>
      </w:pPr>
    </w:p>
    <w:p w14:paraId="6B09F3E1">
      <w:pPr>
        <w:spacing w:line="440" w:lineRule="exact"/>
        <w:rPr>
          <w:rFonts w:hint="eastAsia" w:ascii="宋体" w:hAnsi="宋体" w:cs="宋体"/>
          <w:b/>
          <w:color w:val="auto"/>
          <w:sz w:val="28"/>
          <w:szCs w:val="28"/>
          <w:highlight w:val="none"/>
        </w:rPr>
      </w:pPr>
    </w:p>
    <w:p w14:paraId="0EB622C8">
      <w:pPr>
        <w:spacing w:line="440" w:lineRule="exact"/>
        <w:rPr>
          <w:rFonts w:hint="eastAsia" w:ascii="宋体" w:hAnsi="宋体" w:cs="宋体"/>
          <w:b/>
          <w:color w:val="auto"/>
          <w:sz w:val="28"/>
          <w:szCs w:val="28"/>
          <w:highlight w:val="none"/>
        </w:rPr>
      </w:pPr>
    </w:p>
    <w:p w14:paraId="6E8DD277">
      <w:pPr>
        <w:spacing w:line="440" w:lineRule="exact"/>
        <w:rPr>
          <w:rFonts w:hint="eastAsia" w:ascii="宋体" w:hAnsi="宋体" w:cs="宋体"/>
          <w:b/>
          <w:color w:val="auto"/>
          <w:sz w:val="28"/>
          <w:szCs w:val="28"/>
          <w:highlight w:val="none"/>
        </w:rPr>
      </w:pPr>
    </w:p>
    <w:p w14:paraId="339EB73F">
      <w:pPr>
        <w:spacing w:line="440" w:lineRule="exact"/>
        <w:rPr>
          <w:rFonts w:hint="eastAsia" w:ascii="宋体" w:hAnsi="宋体" w:cs="宋体"/>
          <w:b/>
          <w:color w:val="auto"/>
          <w:sz w:val="28"/>
          <w:szCs w:val="28"/>
          <w:highlight w:val="none"/>
        </w:rPr>
      </w:pPr>
    </w:p>
    <w:p w14:paraId="340CDB0D">
      <w:pPr>
        <w:spacing w:line="440" w:lineRule="exact"/>
        <w:rPr>
          <w:rFonts w:hint="eastAsia" w:ascii="宋体" w:hAnsi="宋体" w:cs="宋体"/>
          <w:b/>
          <w:color w:val="auto"/>
          <w:sz w:val="28"/>
          <w:szCs w:val="28"/>
          <w:highlight w:val="none"/>
        </w:rPr>
      </w:pPr>
    </w:p>
    <w:p w14:paraId="79B1D807">
      <w:pPr>
        <w:spacing w:line="440" w:lineRule="exact"/>
        <w:rPr>
          <w:rFonts w:hint="eastAsia" w:ascii="宋体" w:hAnsi="宋体" w:cs="宋体"/>
          <w:b/>
          <w:color w:val="auto"/>
          <w:sz w:val="28"/>
          <w:szCs w:val="28"/>
          <w:highlight w:val="none"/>
        </w:rPr>
      </w:pPr>
    </w:p>
    <w:p w14:paraId="45BBFF2D">
      <w:pPr>
        <w:spacing w:line="440" w:lineRule="exact"/>
        <w:rPr>
          <w:rFonts w:hint="eastAsia" w:ascii="宋体" w:hAnsi="宋体" w:cs="宋体"/>
          <w:b/>
          <w:color w:val="auto"/>
          <w:sz w:val="28"/>
          <w:szCs w:val="28"/>
          <w:highlight w:val="none"/>
        </w:rPr>
      </w:pPr>
    </w:p>
    <w:p w14:paraId="69C9DD31">
      <w:pPr>
        <w:spacing w:line="440" w:lineRule="exact"/>
        <w:rPr>
          <w:rFonts w:hint="eastAsia" w:ascii="Arial" w:hAnsi="Arial"/>
          <w:b/>
          <w:color w:val="auto"/>
          <w:sz w:val="28"/>
          <w:szCs w:val="28"/>
          <w:highlight w:val="none"/>
        </w:rPr>
      </w:pPr>
      <w:r>
        <w:rPr>
          <w:rFonts w:hint="eastAsia" w:ascii="宋体" w:hAnsi="宋体" w:cs="宋体"/>
          <w:b/>
          <w:color w:val="auto"/>
          <w:sz w:val="28"/>
          <w:szCs w:val="28"/>
          <w:highlight w:val="none"/>
        </w:rPr>
        <w:t>二、授权委托书（给定格式）：</w:t>
      </w:r>
    </w:p>
    <w:p w14:paraId="0404E8F5">
      <w:pPr>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27C7FC5C">
      <w:pPr>
        <w:pStyle w:val="349"/>
        <w:keepNext w:val="0"/>
        <w:keepLines w:val="0"/>
        <w:pageBreakBefore w:val="0"/>
        <w:widowControl w:val="0"/>
        <w:spacing w:line="460" w:lineRule="exact"/>
        <w:ind w:firstLine="480"/>
        <w:rPr>
          <w:rFonts w:hint="eastAsia"/>
          <w:color w:val="auto"/>
          <w:sz w:val="24"/>
          <w:szCs w:val="24"/>
          <w:highlight w:val="none"/>
        </w:rPr>
      </w:pPr>
      <w:r>
        <w:rPr>
          <w:rFonts w:hint="eastAsia"/>
          <w:color w:val="auto"/>
          <w:sz w:val="24"/>
          <w:szCs w:val="24"/>
          <w:highlight w:val="none"/>
        </w:rPr>
        <w:t>我公司（单位）针对</w:t>
      </w:r>
      <w:r>
        <w:rPr>
          <w:rFonts w:hint="eastAsia" w:ascii="黑体" w:eastAsia="黑体" w:cs="Times New Roman"/>
          <w:bCs/>
          <w:color w:val="auto"/>
          <w:sz w:val="24"/>
          <w:szCs w:val="24"/>
          <w:highlight w:val="none"/>
          <w:lang w:eastAsia="zh-CN"/>
        </w:rPr>
        <w:t>JSZC-320206-JZCG-G2026-0025</w:t>
      </w:r>
      <w:r>
        <w:rPr>
          <w:rFonts w:hint="eastAsia" w:ascii="黑体" w:hAnsi="Times New Roman" w:eastAsia="黑体" w:cs="Times New Roman"/>
          <w:bCs/>
          <w:color w:val="auto"/>
          <w:sz w:val="24"/>
          <w:szCs w:val="24"/>
          <w:highlight w:val="none"/>
          <w:lang w:eastAsia="zh-CN"/>
        </w:rPr>
        <w:t xml:space="preserve"> </w:t>
      </w:r>
      <w:r>
        <w:rPr>
          <w:rFonts w:hint="eastAsia" w:ascii="宋体" w:hAnsi="宋体"/>
          <w:bCs/>
          <w:color w:val="auto"/>
          <w:sz w:val="24"/>
          <w:szCs w:val="24"/>
          <w:highlight w:val="none"/>
        </w:rPr>
        <w:t>项目，兹授权：</w:t>
      </w:r>
    </w:p>
    <w:p w14:paraId="789C5B72">
      <w:pPr>
        <w:pStyle w:val="349"/>
        <w:keepNext w:val="0"/>
        <w:keepLines w:val="0"/>
        <w:pageBreakBefore w:val="0"/>
        <w:widowControl w:val="0"/>
        <w:spacing w:line="460" w:lineRule="exact"/>
        <w:ind w:firstLine="480"/>
        <w:rPr>
          <w:rFonts w:hint="eastAsia"/>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2944F9C0">
      <w:pPr>
        <w:pStyle w:val="349"/>
        <w:keepNext w:val="0"/>
        <w:keepLines w:val="0"/>
        <w:pageBreakBefore w:val="0"/>
        <w:widowControl w:val="0"/>
        <w:spacing w:line="460" w:lineRule="exact"/>
        <w:ind w:firstLine="480"/>
        <w:rPr>
          <w:rFonts w:hint="eastAsia"/>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2F39D624">
      <w:pPr>
        <w:pStyle w:val="349"/>
        <w:keepNext w:val="0"/>
        <w:keepLines w:val="0"/>
        <w:pageBreakBefore w:val="0"/>
        <w:widowControl w:val="0"/>
        <w:spacing w:line="460" w:lineRule="exact"/>
        <w:ind w:firstLine="480"/>
        <w:rPr>
          <w:rFonts w:hint="eastAsia"/>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639B1D63">
      <w:pPr>
        <w:pStyle w:val="349"/>
        <w:keepNext w:val="0"/>
        <w:keepLines w:val="0"/>
        <w:pageBreakBefore w:val="0"/>
        <w:widowControl w:val="0"/>
        <w:spacing w:line="460" w:lineRule="exact"/>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6B38C5A8">
      <w:pPr>
        <w:pStyle w:val="349"/>
        <w:keepNext w:val="0"/>
        <w:keepLines w:val="0"/>
        <w:pageBreakBefore w:val="0"/>
        <w:widowControl w:val="0"/>
        <w:spacing w:line="460" w:lineRule="exact"/>
        <w:ind w:firstLine="480"/>
        <w:rPr>
          <w:rFonts w:hint="eastAsia"/>
          <w:color w:val="auto"/>
          <w:sz w:val="24"/>
          <w:szCs w:val="24"/>
          <w:highlight w:val="none"/>
        </w:rPr>
      </w:pPr>
      <w:r>
        <w:rPr>
          <w:rFonts w:hint="eastAsia"/>
          <w:color w:val="auto"/>
          <w:sz w:val="24"/>
          <w:szCs w:val="24"/>
          <w:highlight w:val="none"/>
        </w:rPr>
        <w:t>特此授权委托。</w:t>
      </w:r>
    </w:p>
    <w:p w14:paraId="7DABCE26">
      <w:pPr>
        <w:pStyle w:val="349"/>
        <w:keepNext w:val="0"/>
        <w:keepLines w:val="0"/>
        <w:pageBreakBefore w:val="0"/>
        <w:widowControl w:val="0"/>
        <w:spacing w:line="460" w:lineRule="exact"/>
        <w:ind w:firstLine="0"/>
        <w:rPr>
          <w:rFonts w:hint="eastAsia"/>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0BA22C90">
      <w:pPr>
        <w:pStyle w:val="349"/>
        <w:keepNext w:val="0"/>
        <w:keepLines w:val="0"/>
        <w:pageBreakBefore w:val="0"/>
        <w:widowControl w:val="0"/>
        <w:spacing w:line="460" w:lineRule="exact"/>
        <w:ind w:firstLine="0"/>
        <w:rPr>
          <w:rFonts w:hint="eastAsia"/>
          <w:color w:val="auto"/>
          <w:sz w:val="24"/>
          <w:szCs w:val="24"/>
          <w:highlight w:val="none"/>
        </w:rPr>
      </w:pPr>
      <w:r>
        <w:rPr>
          <w:rFonts w:hint="eastAsia"/>
          <w:color w:val="auto"/>
          <w:sz w:val="24"/>
          <w:szCs w:val="24"/>
          <w:highlight w:val="none"/>
        </w:rPr>
        <w:t>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p>
    <w:p w14:paraId="60A1D46B">
      <w:pPr>
        <w:pStyle w:val="349"/>
        <w:keepNext w:val="0"/>
        <w:keepLines w:val="0"/>
        <w:pageBreakBefore w:val="0"/>
        <w:widowControl w:val="0"/>
        <w:spacing w:line="460" w:lineRule="exact"/>
        <w:ind w:firstLine="0"/>
        <w:rPr>
          <w:rFonts w:hint="eastAsia"/>
          <w:color w:val="auto"/>
          <w:sz w:val="24"/>
          <w:szCs w:val="24"/>
          <w:highlight w:val="none"/>
        </w:rPr>
      </w:pPr>
      <w:r>
        <w:rPr>
          <w:rFonts w:hint="eastAsia" w:ascii="宋体" w:hAnsi="宋体" w:cs="宋体"/>
          <w:b/>
          <w:color w:val="auto"/>
          <w:sz w:val="30"/>
          <w:highlight w:val="none"/>
        </w:rPr>
        <w:t>(被授权人身份证原件扫描件附后)</w:t>
      </w:r>
    </w:p>
    <w:p w14:paraId="4E87CAE6">
      <w:pPr>
        <w:pStyle w:val="349"/>
        <w:keepNext w:val="0"/>
        <w:keepLines w:val="0"/>
        <w:pageBreakBefore w:val="0"/>
        <w:widowControl w:val="0"/>
        <w:spacing w:line="460" w:lineRule="exact"/>
        <w:ind w:firstLine="480"/>
        <w:rPr>
          <w:rFonts w:hint="eastAsia"/>
          <w:color w:val="auto"/>
          <w:sz w:val="24"/>
          <w:szCs w:val="24"/>
          <w:highlight w:val="none"/>
        </w:rPr>
      </w:pPr>
      <w:r>
        <w:rPr>
          <w:rFonts w:hint="eastAsia"/>
          <w:color w:val="auto"/>
          <w:sz w:val="24"/>
          <w:szCs w:val="24"/>
          <w:highlight w:val="none"/>
        </w:rPr>
        <w:t>说明：</w:t>
      </w:r>
    </w:p>
    <w:p w14:paraId="3A9F0946">
      <w:pPr>
        <w:pStyle w:val="349"/>
        <w:keepNext w:val="0"/>
        <w:keepLines w:val="0"/>
        <w:pageBreakBefore w:val="0"/>
        <w:widowControl w:val="0"/>
        <w:numPr>
          <w:ilvl w:val="0"/>
          <w:numId w:val="0"/>
        </w:numPr>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lang w:val="en-US" w:eastAsia="zh-CN"/>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3550539C">
      <w:pPr>
        <w:pStyle w:val="349"/>
        <w:keepNext w:val="0"/>
        <w:keepLines w:val="0"/>
        <w:pageBreakBefore w:val="0"/>
        <w:widowControl w:val="0"/>
        <w:numPr>
          <w:ilvl w:val="0"/>
          <w:numId w:val="0"/>
        </w:numPr>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lang w:val="en-US" w:eastAsia="zh-CN"/>
        </w:rPr>
        <w:t>2.</w:t>
      </w:r>
      <w:r>
        <w:rPr>
          <w:rFonts w:hint="eastAsia" w:ascii="宋体" w:hAnsi="宋体"/>
          <w:color w:val="auto"/>
          <w:sz w:val="24"/>
          <w:szCs w:val="20"/>
          <w:highlight w:val="none"/>
        </w:rPr>
        <w:t>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5D4BA0F3">
      <w:pPr>
        <w:pStyle w:val="349"/>
        <w:keepNext w:val="0"/>
        <w:keepLines w:val="0"/>
        <w:pageBreakBefore w:val="0"/>
        <w:widowControl w:val="0"/>
        <w:numPr>
          <w:ilvl w:val="0"/>
          <w:numId w:val="0"/>
        </w:numPr>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lang w:val="en-US" w:eastAsia="zh-CN"/>
        </w:rPr>
        <w:t>3.</w:t>
      </w:r>
      <w:r>
        <w:rPr>
          <w:rFonts w:hint="eastAsia" w:ascii="宋体" w:hAnsi="宋体"/>
          <w:color w:val="auto"/>
          <w:sz w:val="24"/>
          <w:szCs w:val="20"/>
          <w:highlight w:val="none"/>
        </w:rPr>
        <w:t>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58129B86">
      <w:pPr>
        <w:pStyle w:val="349"/>
        <w:keepNext w:val="0"/>
        <w:keepLines w:val="0"/>
        <w:pageBreakBefore w:val="0"/>
        <w:widowControl w:val="0"/>
        <w:numPr>
          <w:ilvl w:val="0"/>
          <w:numId w:val="0"/>
        </w:numPr>
        <w:spacing w:line="460" w:lineRule="exact"/>
        <w:ind w:firstLine="480"/>
        <w:rPr>
          <w:rFonts w:hint="eastAsia" w:ascii="宋体" w:hAnsi="宋体"/>
          <w:color w:val="auto"/>
          <w:sz w:val="24"/>
          <w:szCs w:val="20"/>
          <w:highlight w:val="none"/>
        </w:rPr>
      </w:pP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被授权人为外籍、港、澳、台地区人士的，其身份证明须提供有效的护照或港澳同胞来往内地通行证、台湾同胞来往大陆通行证，或其它可在中国大陆有效居留的许可证明。</w:t>
      </w:r>
    </w:p>
    <w:p w14:paraId="1BD96F1D">
      <w:pPr>
        <w:numPr>
          <w:ilvl w:val="0"/>
          <w:numId w:val="0"/>
        </w:numPr>
        <w:tabs>
          <w:tab w:val="left" w:pos="1050"/>
        </w:tabs>
        <w:spacing w:line="400" w:lineRule="exact"/>
        <w:jc w:val="both"/>
        <w:rPr>
          <w:rFonts w:hint="eastAsia" w:ascii="黑体" w:eastAsia="黑体"/>
          <w:bCs/>
          <w:color w:val="auto"/>
          <w:sz w:val="32"/>
          <w:szCs w:val="32"/>
          <w:highlight w:val="none"/>
        </w:rPr>
      </w:pPr>
    </w:p>
    <w:p w14:paraId="14724A5E">
      <w:pPr>
        <w:numPr>
          <w:ilvl w:val="0"/>
          <w:numId w:val="0"/>
        </w:numPr>
        <w:tabs>
          <w:tab w:val="left" w:pos="1050"/>
        </w:tabs>
        <w:spacing w:line="400" w:lineRule="exact"/>
        <w:jc w:val="both"/>
        <w:rPr>
          <w:rFonts w:hint="eastAsia" w:ascii="黑体" w:eastAsia="黑体"/>
          <w:bCs/>
          <w:color w:val="auto"/>
          <w:sz w:val="32"/>
          <w:szCs w:val="32"/>
          <w:highlight w:val="none"/>
        </w:rPr>
      </w:pPr>
    </w:p>
    <w:p w14:paraId="075028BD">
      <w:pPr>
        <w:numPr>
          <w:ilvl w:val="0"/>
          <w:numId w:val="0"/>
        </w:numPr>
        <w:tabs>
          <w:tab w:val="left" w:pos="1050"/>
        </w:tabs>
        <w:spacing w:line="400" w:lineRule="exact"/>
        <w:jc w:val="both"/>
        <w:rPr>
          <w:rFonts w:hint="eastAsia" w:ascii="黑体" w:eastAsia="黑体"/>
          <w:bCs/>
          <w:color w:val="auto"/>
          <w:sz w:val="32"/>
          <w:szCs w:val="32"/>
          <w:highlight w:val="none"/>
        </w:rPr>
      </w:pPr>
    </w:p>
    <w:p w14:paraId="25933C66">
      <w:pPr>
        <w:numPr>
          <w:ilvl w:val="0"/>
          <w:numId w:val="0"/>
        </w:numPr>
        <w:tabs>
          <w:tab w:val="left" w:pos="1050"/>
        </w:tabs>
        <w:spacing w:line="400" w:lineRule="exact"/>
        <w:jc w:val="both"/>
        <w:rPr>
          <w:rFonts w:hint="eastAsia" w:ascii="黑体" w:eastAsia="黑体"/>
          <w:bCs/>
          <w:color w:val="auto"/>
          <w:sz w:val="32"/>
          <w:szCs w:val="32"/>
          <w:highlight w:val="none"/>
        </w:rPr>
      </w:pPr>
    </w:p>
    <w:p w14:paraId="7CD8387B">
      <w:pPr>
        <w:numPr>
          <w:ilvl w:val="0"/>
          <w:numId w:val="0"/>
        </w:numPr>
        <w:tabs>
          <w:tab w:val="left" w:pos="1050"/>
        </w:tabs>
        <w:spacing w:line="400" w:lineRule="exact"/>
        <w:jc w:val="both"/>
        <w:rPr>
          <w:rFonts w:hint="eastAsia" w:ascii="黑体" w:eastAsia="黑体"/>
          <w:bCs/>
          <w:color w:val="auto"/>
          <w:sz w:val="32"/>
          <w:szCs w:val="32"/>
          <w:highlight w:val="none"/>
        </w:rPr>
      </w:pPr>
    </w:p>
    <w:p w14:paraId="524BE320">
      <w:pPr>
        <w:numPr>
          <w:ilvl w:val="0"/>
          <w:numId w:val="0"/>
        </w:numPr>
        <w:tabs>
          <w:tab w:val="left" w:pos="1050"/>
        </w:tabs>
        <w:spacing w:line="400" w:lineRule="exact"/>
        <w:jc w:val="both"/>
        <w:rPr>
          <w:rFonts w:hint="eastAsia" w:ascii="黑体" w:eastAsia="黑体"/>
          <w:bCs/>
          <w:color w:val="auto"/>
          <w:sz w:val="32"/>
          <w:szCs w:val="32"/>
          <w:highlight w:val="none"/>
        </w:rPr>
      </w:pPr>
    </w:p>
    <w:p w14:paraId="074C11D3">
      <w:pPr>
        <w:numPr>
          <w:ilvl w:val="0"/>
          <w:numId w:val="0"/>
        </w:numPr>
        <w:tabs>
          <w:tab w:val="left" w:pos="1050"/>
        </w:tabs>
        <w:spacing w:line="400" w:lineRule="exact"/>
        <w:jc w:val="both"/>
        <w:rPr>
          <w:rFonts w:hint="eastAsia" w:ascii="黑体" w:eastAsia="黑体"/>
          <w:bCs/>
          <w:color w:val="auto"/>
          <w:sz w:val="32"/>
          <w:szCs w:val="32"/>
          <w:highlight w:val="none"/>
        </w:rPr>
      </w:pPr>
    </w:p>
    <w:p w14:paraId="37F3A9AA">
      <w:pPr>
        <w:numPr>
          <w:ilvl w:val="0"/>
          <w:numId w:val="0"/>
        </w:numPr>
        <w:tabs>
          <w:tab w:val="left" w:pos="1050"/>
        </w:tabs>
        <w:spacing w:line="400" w:lineRule="exact"/>
        <w:jc w:val="both"/>
        <w:rPr>
          <w:rFonts w:hint="eastAsia" w:ascii="黑体" w:eastAsia="黑体"/>
          <w:bCs/>
          <w:color w:val="auto"/>
          <w:sz w:val="32"/>
          <w:szCs w:val="32"/>
          <w:highlight w:val="none"/>
        </w:rPr>
      </w:pPr>
    </w:p>
    <w:p w14:paraId="53AB7429">
      <w:pPr>
        <w:numPr>
          <w:ilvl w:val="0"/>
          <w:numId w:val="0"/>
        </w:numPr>
        <w:tabs>
          <w:tab w:val="left" w:pos="1050"/>
        </w:tabs>
        <w:spacing w:line="400" w:lineRule="exact"/>
        <w:jc w:val="both"/>
        <w:rPr>
          <w:rFonts w:hint="eastAsia" w:ascii="黑体" w:eastAsia="黑体"/>
          <w:bCs/>
          <w:color w:val="auto"/>
          <w:sz w:val="32"/>
          <w:szCs w:val="32"/>
          <w:highlight w:val="none"/>
        </w:rPr>
      </w:pPr>
    </w:p>
    <w:p w14:paraId="520A2081">
      <w:pPr>
        <w:numPr>
          <w:ilvl w:val="0"/>
          <w:numId w:val="0"/>
        </w:numPr>
        <w:tabs>
          <w:tab w:val="left" w:pos="1050"/>
        </w:tabs>
        <w:spacing w:line="400" w:lineRule="exact"/>
        <w:jc w:val="both"/>
        <w:rPr>
          <w:rFonts w:hint="eastAsia" w:ascii="黑体" w:eastAsia="黑体"/>
          <w:bCs/>
          <w:color w:val="auto"/>
          <w:sz w:val="32"/>
          <w:szCs w:val="32"/>
          <w:highlight w:val="none"/>
        </w:rPr>
      </w:pPr>
    </w:p>
    <w:p w14:paraId="60CEF46E">
      <w:pPr>
        <w:numPr>
          <w:ilvl w:val="0"/>
          <w:numId w:val="0"/>
        </w:numPr>
        <w:tabs>
          <w:tab w:val="left" w:pos="1050"/>
        </w:tabs>
        <w:spacing w:line="400" w:lineRule="exact"/>
        <w:jc w:val="both"/>
        <w:rPr>
          <w:rFonts w:hint="eastAsia" w:ascii="黑体" w:eastAsia="黑体"/>
          <w:bCs/>
          <w:color w:val="auto"/>
          <w:sz w:val="32"/>
          <w:szCs w:val="32"/>
          <w:highlight w:val="none"/>
        </w:rPr>
      </w:pPr>
    </w:p>
    <w:p w14:paraId="2A848507">
      <w:pPr>
        <w:pStyle w:val="349"/>
        <w:ind w:firstLine="0"/>
        <w:rPr>
          <w:rFonts w:hint="eastAsia" w:ascii="宋体" w:hAnsi="宋体" w:cs="宋体"/>
          <w:b/>
          <w:color w:val="auto"/>
          <w:szCs w:val="28"/>
          <w:highlight w:val="none"/>
        </w:rPr>
      </w:pPr>
    </w:p>
    <w:p w14:paraId="4E905F0C">
      <w:pPr>
        <w:pStyle w:val="349"/>
        <w:ind w:firstLine="0"/>
        <w:rPr>
          <w:rFonts w:hint="eastAsia" w:ascii="宋体" w:hAnsi="宋体" w:cs="宋体"/>
          <w:b/>
          <w:color w:val="auto"/>
          <w:szCs w:val="28"/>
          <w:highlight w:val="none"/>
        </w:rPr>
      </w:pPr>
      <w:r>
        <w:rPr>
          <w:rFonts w:hint="eastAsia" w:ascii="宋体" w:hAnsi="宋体" w:cs="宋体"/>
          <w:b/>
          <w:color w:val="auto"/>
          <w:szCs w:val="28"/>
          <w:highlight w:val="none"/>
        </w:rPr>
        <w:t>三、资格声明函（给定格式）：</w:t>
      </w:r>
    </w:p>
    <w:p w14:paraId="7C348561">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资格声明函</w:t>
      </w:r>
    </w:p>
    <w:p w14:paraId="33B32B8A">
      <w:pPr>
        <w:spacing w:line="480" w:lineRule="auto"/>
        <w:jc w:val="center"/>
        <w:rPr>
          <w:rFonts w:ascii="宋体"/>
          <w:bCs/>
          <w:color w:val="auto"/>
          <w:sz w:val="24"/>
          <w:szCs w:val="24"/>
          <w:highlight w:val="none"/>
        </w:rPr>
      </w:pPr>
    </w:p>
    <w:p w14:paraId="428840FC">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无锡市惠山区政府采购中心</w:t>
      </w:r>
      <w:r>
        <w:rPr>
          <w:rFonts w:hint="eastAsia" w:ascii="宋体" w:hAnsi="宋体"/>
          <w:bCs/>
          <w:color w:val="auto"/>
          <w:sz w:val="24"/>
          <w:szCs w:val="24"/>
          <w:highlight w:val="none"/>
        </w:rPr>
        <w:t>：</w:t>
      </w:r>
    </w:p>
    <w:p w14:paraId="7D8B26A0">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黑体" w:eastAsia="黑体" w:cs="Times New Roman"/>
          <w:bCs/>
          <w:color w:val="auto"/>
          <w:sz w:val="24"/>
          <w:szCs w:val="24"/>
          <w:highlight w:val="none"/>
          <w:lang w:eastAsia="zh-CN"/>
        </w:rPr>
        <w:t>JSZC-320206-JZCG-G2026-0025</w:t>
      </w:r>
      <w:r>
        <w:rPr>
          <w:rFonts w:hint="eastAsia" w:ascii="黑体" w:hAnsi="Times New Roman" w:eastAsia="黑体" w:cs="Times New Roman"/>
          <w:bCs/>
          <w:color w:val="auto"/>
          <w:sz w:val="24"/>
          <w:szCs w:val="24"/>
          <w:highlight w:val="none"/>
          <w:lang w:eastAsia="zh-CN"/>
        </w:rPr>
        <w:t xml:space="preserve"> </w:t>
      </w:r>
      <w:r>
        <w:rPr>
          <w:rFonts w:hint="eastAsia" w:ascii="宋体" w:hAnsi="宋体"/>
          <w:bCs/>
          <w:color w:val="auto"/>
          <w:sz w:val="24"/>
          <w:szCs w:val="24"/>
          <w:highlight w:val="none"/>
        </w:rPr>
        <w:t>进行投标，并作如下声明</w:t>
      </w:r>
    </w:p>
    <w:p w14:paraId="0EB51C45">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44470FA6">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27CA8AD1">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8A639DD">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61554626">
      <w:pPr>
        <w:spacing w:line="480" w:lineRule="auto"/>
        <w:rPr>
          <w:rFonts w:ascii="宋体"/>
          <w:bCs/>
          <w:color w:val="auto"/>
          <w:sz w:val="24"/>
          <w:szCs w:val="24"/>
          <w:highlight w:val="none"/>
        </w:rPr>
      </w:pPr>
    </w:p>
    <w:p w14:paraId="5F7DAE92">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bookmarkEnd w:id="144"/>
    </w:p>
    <w:p w14:paraId="6E552EB8">
      <w:pPr>
        <w:spacing w:line="440" w:lineRule="exact"/>
        <w:rPr>
          <w:rFonts w:hint="eastAsia" w:ascii="宋体" w:hAnsi="宋体" w:cs="宋体"/>
          <w:b/>
          <w:color w:val="auto"/>
          <w:sz w:val="28"/>
          <w:szCs w:val="28"/>
          <w:highlight w:val="none"/>
        </w:rPr>
      </w:pPr>
    </w:p>
    <w:p w14:paraId="65C9E2A0">
      <w:pPr>
        <w:spacing w:line="440" w:lineRule="exact"/>
        <w:rPr>
          <w:rFonts w:hint="eastAsia" w:ascii="宋体" w:hAnsi="宋体" w:cs="宋体"/>
          <w:b/>
          <w:color w:val="auto"/>
          <w:sz w:val="28"/>
          <w:szCs w:val="28"/>
          <w:highlight w:val="none"/>
        </w:rPr>
      </w:pPr>
    </w:p>
    <w:p w14:paraId="3A310A14">
      <w:pPr>
        <w:spacing w:line="440" w:lineRule="exact"/>
        <w:rPr>
          <w:rFonts w:hint="eastAsia" w:ascii="宋体" w:hAnsi="宋体" w:cs="宋体"/>
          <w:b/>
          <w:color w:val="auto"/>
          <w:sz w:val="28"/>
          <w:szCs w:val="28"/>
          <w:highlight w:val="none"/>
        </w:rPr>
      </w:pPr>
    </w:p>
    <w:p w14:paraId="4B9B847E">
      <w:pPr>
        <w:spacing w:line="440" w:lineRule="exact"/>
        <w:rPr>
          <w:rFonts w:hint="eastAsia" w:ascii="宋体" w:hAnsi="宋体" w:cs="宋体"/>
          <w:b/>
          <w:color w:val="auto"/>
          <w:sz w:val="28"/>
          <w:szCs w:val="28"/>
          <w:highlight w:val="none"/>
        </w:rPr>
      </w:pPr>
    </w:p>
    <w:p w14:paraId="3083E02A">
      <w:pPr>
        <w:spacing w:line="440" w:lineRule="exact"/>
        <w:rPr>
          <w:rFonts w:hint="eastAsia" w:ascii="宋体" w:hAnsi="宋体" w:cs="宋体"/>
          <w:b/>
          <w:color w:val="auto"/>
          <w:sz w:val="28"/>
          <w:szCs w:val="28"/>
          <w:highlight w:val="none"/>
        </w:rPr>
      </w:pPr>
    </w:p>
    <w:p w14:paraId="73BA3A2E">
      <w:pPr>
        <w:spacing w:line="440" w:lineRule="exact"/>
        <w:rPr>
          <w:rFonts w:hint="eastAsia" w:ascii="宋体" w:hAnsi="宋体" w:cs="宋体"/>
          <w:b/>
          <w:color w:val="auto"/>
          <w:sz w:val="28"/>
          <w:szCs w:val="28"/>
          <w:highlight w:val="none"/>
        </w:rPr>
      </w:pPr>
    </w:p>
    <w:p w14:paraId="212F037A">
      <w:pPr>
        <w:spacing w:line="440" w:lineRule="exact"/>
        <w:rPr>
          <w:rFonts w:hint="eastAsia" w:ascii="宋体" w:hAnsi="宋体" w:cs="宋体"/>
          <w:b/>
          <w:color w:val="auto"/>
          <w:sz w:val="28"/>
          <w:szCs w:val="28"/>
          <w:highlight w:val="none"/>
        </w:rPr>
      </w:pPr>
    </w:p>
    <w:p w14:paraId="4A2E3681">
      <w:pPr>
        <w:spacing w:line="440" w:lineRule="exact"/>
        <w:rPr>
          <w:rFonts w:hint="eastAsia" w:ascii="宋体" w:hAnsi="宋体" w:cs="宋体"/>
          <w:b/>
          <w:color w:val="auto"/>
          <w:sz w:val="28"/>
          <w:szCs w:val="28"/>
          <w:highlight w:val="none"/>
        </w:rPr>
      </w:pPr>
    </w:p>
    <w:p w14:paraId="6FB63DEA">
      <w:pPr>
        <w:spacing w:line="440" w:lineRule="exact"/>
        <w:rPr>
          <w:rFonts w:hint="eastAsia" w:ascii="宋体" w:hAnsi="宋体" w:cs="宋体"/>
          <w:b/>
          <w:color w:val="auto"/>
          <w:sz w:val="28"/>
          <w:szCs w:val="28"/>
          <w:highlight w:val="none"/>
        </w:rPr>
      </w:pPr>
    </w:p>
    <w:p w14:paraId="00AE4542">
      <w:pPr>
        <w:spacing w:line="440" w:lineRule="exact"/>
        <w:rPr>
          <w:rFonts w:hint="eastAsia" w:ascii="宋体" w:hAnsi="宋体" w:cs="宋体"/>
          <w:b/>
          <w:color w:val="auto"/>
          <w:sz w:val="28"/>
          <w:szCs w:val="28"/>
          <w:highlight w:val="none"/>
        </w:rPr>
      </w:pPr>
    </w:p>
    <w:p w14:paraId="6438E251">
      <w:pPr>
        <w:spacing w:line="440" w:lineRule="exact"/>
        <w:rPr>
          <w:rFonts w:hint="eastAsia" w:ascii="宋体" w:hAnsi="宋体" w:cs="宋体"/>
          <w:b/>
          <w:color w:val="auto"/>
          <w:sz w:val="28"/>
          <w:szCs w:val="28"/>
          <w:highlight w:val="none"/>
        </w:rPr>
      </w:pPr>
    </w:p>
    <w:p w14:paraId="396A4B01">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四、中小企业声明函（给定格式）：</w:t>
      </w:r>
    </w:p>
    <w:p w14:paraId="3DD2C8EC">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w:t>
      </w:r>
      <w:r>
        <w:rPr>
          <w:rFonts w:hint="eastAsia" w:ascii="黑体" w:eastAsia="黑体"/>
          <w:bCs/>
          <w:color w:val="auto"/>
          <w:sz w:val="28"/>
          <w:szCs w:val="28"/>
          <w:highlight w:val="none"/>
          <w:lang w:eastAsia="zh-CN"/>
        </w:rPr>
        <w:t>服务</w:t>
      </w:r>
      <w:r>
        <w:rPr>
          <w:rFonts w:ascii="黑体" w:eastAsia="黑体"/>
          <w:bCs/>
          <w:color w:val="auto"/>
          <w:sz w:val="28"/>
          <w:szCs w:val="28"/>
          <w:highlight w:val="none"/>
        </w:rPr>
        <w:t>）</w:t>
      </w:r>
    </w:p>
    <w:p w14:paraId="37C9089D">
      <w:pPr>
        <w:spacing w:line="492" w:lineRule="exact"/>
        <w:ind w:right="98" w:firstLine="640"/>
        <w:rPr>
          <w:rFonts w:ascii="宋体" w:hAnsi="宋体"/>
          <w:bCs/>
          <w:color w:val="auto"/>
          <w:sz w:val="24"/>
          <w:szCs w:val="24"/>
          <w:highlight w:val="none"/>
        </w:rPr>
      </w:pPr>
      <w:r>
        <w:rPr>
          <w:rFonts w:hint="eastAsia" w:ascii="宋体" w:hAnsi="宋体"/>
          <w:bCs/>
          <w:color w:val="auto"/>
          <w:sz w:val="24"/>
          <w:szCs w:val="24"/>
          <w:highlight w:val="none"/>
        </w:rPr>
        <w:t>本公司（联合体）郑重声明，根据《政府采购促进中小企业发展管理办法》（财库﹝2020﹞46号）的规定，本公司（联合体）参加</w:t>
      </w:r>
      <w:r>
        <w:rPr>
          <w:rFonts w:hint="eastAsia" w:ascii="宋体" w:hAnsi="宋体"/>
          <w:bCs/>
          <w:i/>
          <w:color w:val="auto"/>
          <w:sz w:val="24"/>
          <w:szCs w:val="24"/>
          <w:highlight w:val="none"/>
          <w:u w:val="single"/>
        </w:rPr>
        <w:t>（ 单 位 名 称 ）</w:t>
      </w:r>
      <w:r>
        <w:rPr>
          <w:rFonts w:hint="eastAsia" w:ascii="宋体" w:hAnsi="宋体"/>
          <w:bCs/>
          <w:color w:val="auto"/>
          <w:sz w:val="24"/>
          <w:szCs w:val="24"/>
          <w:highlight w:val="none"/>
        </w:rPr>
        <w:t>的</w:t>
      </w:r>
      <w:r>
        <w:rPr>
          <w:rFonts w:hint="eastAsia" w:ascii="宋体" w:hAnsi="宋体"/>
          <w:bCs/>
          <w:i/>
          <w:color w:val="auto"/>
          <w:sz w:val="24"/>
          <w:szCs w:val="24"/>
          <w:highlight w:val="none"/>
          <w:u w:val="single"/>
        </w:rPr>
        <w:t>（ 项 目 名 称 ）</w:t>
      </w:r>
      <w:r>
        <w:rPr>
          <w:rFonts w:hint="eastAsia" w:ascii="宋体" w:hAnsi="宋体"/>
          <w:bCs/>
          <w:color w:val="auto"/>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60636DC">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i/>
          <w:color w:val="auto"/>
          <w:sz w:val="24"/>
          <w:szCs w:val="24"/>
          <w:highlight w:val="none"/>
          <w:u w:val="single"/>
        </w:rPr>
        <w:t>（ 标 的 名 称 ）</w:t>
      </w:r>
      <w:r>
        <w:rPr>
          <w:rFonts w:hint="eastAsia" w:ascii="宋体" w:hAnsi="宋体"/>
          <w:bCs/>
          <w:color w:val="auto"/>
          <w:sz w:val="24"/>
          <w:szCs w:val="24"/>
          <w:highlight w:val="none"/>
        </w:rPr>
        <w:t>，属于</w:t>
      </w:r>
      <w:r>
        <w:rPr>
          <w:rFonts w:hint="eastAsia" w:ascii="宋体" w:hAnsi="宋体"/>
          <w:bCs/>
          <w:i/>
          <w:color w:val="auto"/>
          <w:sz w:val="24"/>
          <w:szCs w:val="24"/>
          <w:highlight w:val="none"/>
          <w:u w:val="single"/>
        </w:rPr>
        <w:t>（采购文件中明确的所属行业）</w:t>
      </w:r>
      <w:r>
        <w:rPr>
          <w:rFonts w:hint="eastAsia" w:ascii="宋体" w:hAnsi="宋体"/>
          <w:bCs/>
          <w:color w:val="auto"/>
          <w:sz w:val="24"/>
          <w:szCs w:val="24"/>
          <w:highlight w:val="none"/>
        </w:rPr>
        <w:t>；承建（承接）企业为</w:t>
      </w:r>
      <w:r>
        <w:rPr>
          <w:rFonts w:hint="eastAsia" w:ascii="宋体" w:hAnsi="宋体"/>
          <w:bCs/>
          <w:i/>
          <w:color w:val="auto"/>
          <w:sz w:val="24"/>
          <w:szCs w:val="24"/>
          <w:highlight w:val="none"/>
          <w:u w:val="single"/>
        </w:rPr>
        <w:t>（企业名称）</w:t>
      </w:r>
      <w:r>
        <w:rPr>
          <w:rFonts w:hint="eastAsia" w:ascii="宋体" w:hAnsi="宋体"/>
          <w:bCs/>
          <w:color w:val="auto"/>
          <w:sz w:val="24"/>
          <w:szCs w:val="24"/>
          <w:highlight w:val="none"/>
        </w:rPr>
        <w:t>，从业人员人，营业收入为万元，资产总额为万元</w:t>
      </w:r>
      <w:r>
        <w:rPr>
          <w:rFonts w:hint="eastAsia" w:ascii="宋体" w:hAnsi="宋体"/>
          <w:bCs/>
          <w:color w:val="auto"/>
          <w:sz w:val="24"/>
          <w:szCs w:val="24"/>
          <w:highlight w:val="none"/>
          <w:vertAlign w:val="superscript"/>
        </w:rPr>
        <w:t>1</w:t>
      </w:r>
      <w:r>
        <w:rPr>
          <w:rFonts w:hint="eastAsia" w:ascii="宋体" w:hAnsi="宋体"/>
          <w:bCs/>
          <w:color w:val="auto"/>
          <w:sz w:val="24"/>
          <w:szCs w:val="24"/>
          <w:highlight w:val="none"/>
        </w:rPr>
        <w:t>，属于</w:t>
      </w:r>
      <w:r>
        <w:rPr>
          <w:rFonts w:hint="eastAsia" w:ascii="宋体" w:hAnsi="宋体"/>
          <w:bCs/>
          <w:i/>
          <w:color w:val="auto"/>
          <w:sz w:val="24"/>
          <w:szCs w:val="24"/>
          <w:highlight w:val="none"/>
          <w:u w:val="single"/>
        </w:rPr>
        <w:t>（中型企业、小型企业、微型企业）</w:t>
      </w:r>
      <w:r>
        <w:rPr>
          <w:rFonts w:hint="eastAsia" w:ascii="宋体" w:hAnsi="宋体"/>
          <w:bCs/>
          <w:color w:val="auto"/>
          <w:sz w:val="24"/>
          <w:szCs w:val="24"/>
          <w:highlight w:val="none"/>
        </w:rPr>
        <w:t>；</w:t>
      </w:r>
    </w:p>
    <w:p w14:paraId="100F8C75">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hint="eastAsia" w:ascii="宋体" w:hAnsi="宋体"/>
          <w:bCs/>
          <w:i/>
          <w:color w:val="auto"/>
          <w:sz w:val="24"/>
          <w:szCs w:val="24"/>
          <w:highlight w:val="none"/>
          <w:u w:val="single"/>
        </w:rPr>
        <w:t>（ 标 的 名 称 ）</w:t>
      </w:r>
      <w:r>
        <w:rPr>
          <w:rFonts w:hint="eastAsia" w:ascii="宋体" w:hAnsi="宋体"/>
          <w:bCs/>
          <w:color w:val="auto"/>
          <w:sz w:val="24"/>
          <w:szCs w:val="24"/>
          <w:highlight w:val="none"/>
        </w:rPr>
        <w:t>，属于</w:t>
      </w:r>
      <w:r>
        <w:rPr>
          <w:rFonts w:hint="eastAsia" w:ascii="宋体" w:hAnsi="宋体"/>
          <w:bCs/>
          <w:i/>
          <w:color w:val="auto"/>
          <w:sz w:val="24"/>
          <w:szCs w:val="24"/>
          <w:highlight w:val="none"/>
          <w:u w:val="single"/>
        </w:rPr>
        <w:t>（采购文件中明确的所属行业）</w:t>
      </w:r>
      <w:r>
        <w:rPr>
          <w:rFonts w:hint="eastAsia" w:ascii="宋体" w:hAnsi="宋体"/>
          <w:bCs/>
          <w:color w:val="auto"/>
          <w:sz w:val="24"/>
          <w:szCs w:val="24"/>
          <w:highlight w:val="none"/>
        </w:rPr>
        <w:t>；承建（承接）企业为</w:t>
      </w:r>
      <w:r>
        <w:rPr>
          <w:rFonts w:hint="eastAsia" w:ascii="宋体" w:hAnsi="宋体"/>
          <w:bCs/>
          <w:i/>
          <w:color w:val="auto"/>
          <w:sz w:val="24"/>
          <w:szCs w:val="24"/>
          <w:highlight w:val="none"/>
          <w:u w:val="single"/>
        </w:rPr>
        <w:t>（企业名称）</w:t>
      </w:r>
      <w:r>
        <w:rPr>
          <w:rFonts w:hint="eastAsia" w:ascii="宋体" w:hAnsi="宋体"/>
          <w:bCs/>
          <w:color w:val="auto"/>
          <w:sz w:val="24"/>
          <w:szCs w:val="24"/>
          <w:highlight w:val="none"/>
        </w:rPr>
        <w:t>，从业人员人，营业收入为万元，资产总额为万元，属于</w:t>
      </w:r>
      <w:r>
        <w:rPr>
          <w:rFonts w:hint="eastAsia" w:ascii="宋体" w:hAnsi="宋体"/>
          <w:bCs/>
          <w:i/>
          <w:color w:val="auto"/>
          <w:sz w:val="24"/>
          <w:szCs w:val="24"/>
          <w:highlight w:val="none"/>
          <w:u w:val="single"/>
        </w:rPr>
        <w:t>（ 中型企业 、小型企业、微型企业）</w:t>
      </w:r>
      <w:r>
        <w:rPr>
          <w:rFonts w:hint="eastAsia" w:ascii="宋体" w:hAnsi="宋体"/>
          <w:bCs/>
          <w:color w:val="auto"/>
          <w:sz w:val="24"/>
          <w:szCs w:val="24"/>
          <w:highlight w:val="none"/>
        </w:rPr>
        <w:t>；</w:t>
      </w:r>
    </w:p>
    <w:p w14:paraId="012FCC27">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w:t>
      </w:r>
    </w:p>
    <w:p w14:paraId="07B3216F">
      <w:pPr>
        <w:spacing w:line="456" w:lineRule="exact"/>
        <w:ind w:right="101" w:firstLine="645"/>
        <w:rPr>
          <w:rFonts w:ascii="宋体" w:hAnsi="宋体"/>
          <w:bCs/>
          <w:color w:val="auto"/>
          <w:sz w:val="24"/>
          <w:szCs w:val="24"/>
          <w:highlight w:val="none"/>
        </w:rPr>
      </w:pPr>
      <w:r>
        <w:rPr>
          <w:rFonts w:hint="eastAsia" w:ascii="宋体" w:hAnsi="宋体"/>
          <w:bCs/>
          <w:color w:val="auto"/>
          <w:sz w:val="24"/>
          <w:szCs w:val="24"/>
          <w:highlight w:val="none"/>
        </w:rPr>
        <w:t>以上企业，不属于大企业的分支机构，不存在控股股东为大企业的情形，也不存在与大企业的负责人为同一人的情形。</w:t>
      </w:r>
    </w:p>
    <w:p w14:paraId="167A9576">
      <w:pPr>
        <w:spacing w:line="192" w:lineRule="exact"/>
        <w:jc w:val="left"/>
        <w:rPr>
          <w:rFonts w:ascii="宋体" w:hAnsi="宋体"/>
          <w:bCs/>
          <w:color w:val="auto"/>
          <w:sz w:val="24"/>
          <w:szCs w:val="24"/>
          <w:highlight w:val="none"/>
        </w:rPr>
      </w:pPr>
    </w:p>
    <w:p w14:paraId="456DFB13">
      <w:pPr>
        <w:spacing w:line="423" w:lineRule="exact"/>
        <w:ind w:right="103" w:firstLine="640"/>
        <w:jc w:val="left"/>
        <w:rPr>
          <w:rFonts w:ascii="宋体" w:hAnsi="宋体"/>
          <w:bCs/>
          <w:color w:val="auto"/>
          <w:sz w:val="24"/>
          <w:szCs w:val="24"/>
          <w:highlight w:val="none"/>
        </w:rPr>
      </w:pPr>
      <w:r>
        <w:rPr>
          <w:rFonts w:hint="eastAsia" w:ascii="宋体" w:hAnsi="宋体"/>
          <w:bCs/>
          <w:color w:val="auto"/>
          <w:sz w:val="24"/>
          <w:szCs w:val="24"/>
          <w:highlight w:val="none"/>
        </w:rPr>
        <w:t>本企业对上述声明内容的真实性负责。如有虚假，将依法承担相应责任。</w:t>
      </w:r>
    </w:p>
    <w:p w14:paraId="7CA35C59">
      <w:pPr>
        <w:spacing w:line="226" w:lineRule="exact"/>
        <w:jc w:val="left"/>
        <w:rPr>
          <w:rFonts w:ascii="宋体" w:hAnsi="宋体"/>
          <w:bCs/>
          <w:color w:val="auto"/>
          <w:sz w:val="24"/>
          <w:szCs w:val="24"/>
          <w:highlight w:val="none"/>
        </w:rPr>
      </w:pPr>
    </w:p>
    <w:p w14:paraId="11250F87">
      <w:pPr>
        <w:spacing w:line="326" w:lineRule="exact"/>
        <w:ind w:left="3838"/>
        <w:jc w:val="left"/>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595187FE">
      <w:pPr>
        <w:spacing w:line="214" w:lineRule="exact"/>
        <w:jc w:val="left"/>
        <w:rPr>
          <w:rFonts w:ascii="宋体" w:hAnsi="宋体"/>
          <w:bCs/>
          <w:color w:val="auto"/>
          <w:sz w:val="24"/>
          <w:szCs w:val="24"/>
          <w:highlight w:val="none"/>
        </w:rPr>
      </w:pPr>
    </w:p>
    <w:p w14:paraId="5E50F2F5">
      <w:pPr>
        <w:spacing w:line="327" w:lineRule="exact"/>
        <w:ind w:left="3838"/>
        <w:jc w:val="left"/>
        <w:rPr>
          <w:rFonts w:ascii="宋体" w:hAnsi="宋体"/>
          <w:bCs/>
          <w:color w:val="auto"/>
          <w:sz w:val="24"/>
          <w:szCs w:val="24"/>
          <w:highlight w:val="none"/>
        </w:rPr>
      </w:pPr>
      <w:r>
        <w:rPr>
          <w:rFonts w:hint="eastAsia" w:ascii="宋体" w:hAnsi="宋体"/>
          <w:bCs/>
          <w:color w:val="auto"/>
          <w:sz w:val="24"/>
          <w:szCs w:val="24"/>
          <w:highlight w:val="none"/>
        </w:rPr>
        <w:t>日期：</w:t>
      </w:r>
    </w:p>
    <w:p w14:paraId="4CA0136B">
      <w:pPr>
        <w:spacing w:line="327" w:lineRule="exact"/>
        <w:jc w:val="left"/>
        <w:rPr>
          <w:rFonts w:eastAsia="仿宋"/>
          <w:color w:val="auto"/>
          <w:szCs w:val="21"/>
          <w:highlight w:val="none"/>
        </w:rPr>
      </w:pPr>
    </w:p>
    <w:p w14:paraId="289C74E3">
      <w:pPr>
        <w:spacing w:line="360" w:lineRule="auto"/>
        <w:ind w:firstLine="420"/>
        <w:rPr>
          <w:rFonts w:hint="eastAsia"/>
          <w:color w:val="auto"/>
          <w:highlight w:val="none"/>
        </w:rPr>
      </w:pPr>
    </w:p>
    <w:p w14:paraId="17FE47F9">
      <w:pPr>
        <w:spacing w:line="360" w:lineRule="auto"/>
        <w:ind w:firstLine="420"/>
        <w:rPr>
          <w:rFonts w:hint="eastAsia"/>
          <w:color w:val="auto"/>
          <w:highlight w:val="none"/>
        </w:rPr>
      </w:pPr>
      <w:r>
        <w:rPr>
          <w:rFonts w:hint="eastAsia"/>
          <w:color w:val="auto"/>
          <w:highlight w:val="none"/>
        </w:rPr>
        <w:t>注：</w:t>
      </w:r>
    </w:p>
    <w:p w14:paraId="0C2B7537">
      <w:pPr>
        <w:spacing w:line="360" w:lineRule="auto"/>
        <w:ind w:firstLine="420"/>
        <w:rPr>
          <w:color w:val="auto"/>
          <w:highlight w:val="none"/>
        </w:rPr>
      </w:pPr>
      <w:r>
        <w:rPr>
          <w:rFonts w:hint="eastAsia"/>
          <w:color w:val="auto"/>
          <w:highlight w:val="none"/>
        </w:rPr>
        <w:t>（</w:t>
      </w:r>
      <w:r>
        <w:rPr>
          <w:rFonts w:hint="eastAsia"/>
          <w:color w:val="auto"/>
          <w:highlight w:val="none"/>
          <w:lang w:val="en-US" w:eastAsia="zh-CN"/>
        </w:rPr>
        <w:t>1</w:t>
      </w:r>
      <w:r>
        <w:rPr>
          <w:rFonts w:hint="eastAsia"/>
          <w:color w:val="auto"/>
          <w:highlight w:val="none"/>
        </w:rPr>
        <w:t>）</w:t>
      </w:r>
      <w:r>
        <w:rPr>
          <w:color w:val="auto"/>
          <w:highlight w:val="none"/>
        </w:rPr>
        <w:t>从业人员、营业收入、资产总额填报上一年度数据，无上一年度数据的新成立企业可不填报。</w:t>
      </w:r>
    </w:p>
    <w:p w14:paraId="0E746F17">
      <w:pPr>
        <w:spacing w:line="360" w:lineRule="auto"/>
        <w:ind w:firstLine="420"/>
        <w:rPr>
          <w:rFonts w:hint="eastAsia"/>
          <w:color w:val="auto"/>
          <w:highlight w:val="none"/>
        </w:rPr>
      </w:pPr>
      <w:r>
        <w:rPr>
          <w:rFonts w:hint="eastAsia"/>
          <w:color w:val="auto"/>
          <w:highlight w:val="none"/>
        </w:rPr>
        <w:t>（</w:t>
      </w:r>
      <w:r>
        <w:rPr>
          <w:rFonts w:hint="eastAsia"/>
          <w:color w:val="auto"/>
          <w:highlight w:val="none"/>
          <w:lang w:val="en-US" w:eastAsia="zh-CN"/>
        </w:rPr>
        <w:t>2</w:t>
      </w:r>
      <w:r>
        <w:rPr>
          <w:rFonts w:hint="eastAsia"/>
          <w:color w:val="auto"/>
          <w:highlight w:val="none"/>
        </w:rPr>
        <w:t>）中标供应商的《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2382B53B">
      <w:pPr>
        <w:spacing w:line="360" w:lineRule="auto"/>
        <w:ind w:firstLine="420"/>
        <w:rPr>
          <w:rFonts w:hint="eastAsia"/>
          <w:color w:val="auto"/>
          <w:highlight w:val="none"/>
        </w:rPr>
      </w:pPr>
    </w:p>
    <w:p w14:paraId="5E35E1C5">
      <w:pPr>
        <w:spacing w:line="360" w:lineRule="auto"/>
        <w:ind w:firstLine="420"/>
        <w:rPr>
          <w:rFonts w:hint="eastAsia"/>
          <w:color w:val="auto"/>
          <w:highlight w:val="none"/>
        </w:rPr>
      </w:pPr>
    </w:p>
    <w:p w14:paraId="7799AC21">
      <w:pPr>
        <w:spacing w:line="360" w:lineRule="auto"/>
        <w:ind w:firstLine="420"/>
        <w:rPr>
          <w:rFonts w:hint="eastAsia"/>
          <w:color w:val="auto"/>
          <w:highlight w:val="none"/>
        </w:rPr>
      </w:pPr>
    </w:p>
    <w:p w14:paraId="127B6FB8">
      <w:pPr>
        <w:rPr>
          <w:rFonts w:hint="eastAsia"/>
          <w:color w:val="auto"/>
          <w:highlight w:val="none"/>
        </w:rPr>
      </w:pPr>
    </w:p>
    <w:p w14:paraId="7D5BBE52">
      <w:pPr>
        <w:spacing w:line="360" w:lineRule="auto"/>
        <w:rPr>
          <w:rFonts w:hint="eastAsia" w:ascii="宋体" w:hAnsi="宋体" w:cs="宋体"/>
          <w:b/>
          <w:color w:val="auto"/>
          <w:sz w:val="30"/>
          <w:szCs w:val="30"/>
          <w:highlight w:val="none"/>
        </w:rPr>
      </w:pP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047C018E">
      <w:pPr>
        <w:spacing w:line="440" w:lineRule="exact"/>
        <w:ind w:firstLine="482"/>
        <w:rPr>
          <w:rFonts w:ascii="Arial" w:hAnsi="Arial"/>
          <w:b/>
          <w:color w:val="auto"/>
          <w:sz w:val="24"/>
          <w:highlight w:val="none"/>
        </w:rPr>
      </w:pPr>
    </w:p>
    <w:p w14:paraId="7E8E21A0">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BDDC798">
      <w:pPr>
        <w:jc w:val="center"/>
        <w:rPr>
          <w:rFonts w:ascii="黑体" w:eastAsia="黑体"/>
          <w:bCs/>
          <w:color w:val="auto"/>
          <w:sz w:val="28"/>
          <w:szCs w:val="28"/>
          <w:highlight w:val="none"/>
        </w:rPr>
      </w:pPr>
    </w:p>
    <w:p w14:paraId="31523ED8">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F203679">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44E144BA">
      <w:pPr>
        <w:spacing w:line="580" w:lineRule="exact"/>
        <w:ind w:firstLine="480"/>
        <w:rPr>
          <w:rFonts w:ascii="宋体" w:hAnsi="宋体"/>
          <w:bCs/>
          <w:color w:val="auto"/>
          <w:sz w:val="24"/>
          <w:szCs w:val="24"/>
          <w:highlight w:val="none"/>
        </w:rPr>
      </w:pPr>
    </w:p>
    <w:p w14:paraId="03D2805B">
      <w:pPr>
        <w:spacing w:line="580" w:lineRule="exact"/>
        <w:ind w:firstLine="480"/>
        <w:rPr>
          <w:rFonts w:ascii="宋体" w:hAnsi="宋体"/>
          <w:bCs/>
          <w:color w:val="auto"/>
          <w:sz w:val="24"/>
          <w:szCs w:val="24"/>
          <w:highlight w:val="none"/>
        </w:rPr>
      </w:pPr>
    </w:p>
    <w:p w14:paraId="1702A25D">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53D9BB32">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4EAEE666">
      <w:pPr>
        <w:spacing w:line="360" w:lineRule="auto"/>
        <w:rPr>
          <w:rFonts w:hint="eastAsia"/>
          <w:b/>
          <w:color w:val="auto"/>
          <w:sz w:val="30"/>
          <w:szCs w:val="30"/>
          <w:highlight w:val="none"/>
        </w:rPr>
      </w:pPr>
    </w:p>
    <w:p w14:paraId="738AC7D4">
      <w:pPr>
        <w:spacing w:line="360" w:lineRule="auto"/>
        <w:rPr>
          <w:rFonts w:hint="eastAsia"/>
          <w:b/>
          <w:color w:val="auto"/>
          <w:sz w:val="30"/>
          <w:szCs w:val="30"/>
          <w:highlight w:val="none"/>
        </w:rPr>
      </w:pPr>
    </w:p>
    <w:p w14:paraId="7A6C404A">
      <w:pPr>
        <w:spacing w:line="360" w:lineRule="auto"/>
        <w:rPr>
          <w:rFonts w:hint="eastAsia"/>
          <w:b/>
          <w:color w:val="auto"/>
          <w:sz w:val="30"/>
          <w:szCs w:val="30"/>
          <w:highlight w:val="none"/>
        </w:rPr>
      </w:pPr>
    </w:p>
    <w:p w14:paraId="4CC57CAE">
      <w:pPr>
        <w:spacing w:line="360" w:lineRule="auto"/>
        <w:rPr>
          <w:rFonts w:hint="eastAsia"/>
          <w:b/>
          <w:color w:val="auto"/>
          <w:sz w:val="30"/>
          <w:szCs w:val="30"/>
          <w:highlight w:val="none"/>
        </w:rPr>
      </w:pPr>
    </w:p>
    <w:p w14:paraId="32B293FE">
      <w:pPr>
        <w:spacing w:line="360" w:lineRule="auto"/>
        <w:rPr>
          <w:rFonts w:hint="eastAsia"/>
          <w:b/>
          <w:color w:val="auto"/>
          <w:sz w:val="30"/>
          <w:szCs w:val="30"/>
          <w:highlight w:val="none"/>
        </w:rPr>
      </w:pPr>
    </w:p>
    <w:p w14:paraId="08ADE152">
      <w:pPr>
        <w:spacing w:line="360" w:lineRule="auto"/>
        <w:rPr>
          <w:rFonts w:hint="eastAsia"/>
          <w:b/>
          <w:color w:val="auto"/>
          <w:sz w:val="30"/>
          <w:szCs w:val="30"/>
          <w:highlight w:val="none"/>
        </w:rPr>
      </w:pPr>
    </w:p>
    <w:p w14:paraId="66D58D4E">
      <w:pPr>
        <w:spacing w:line="360" w:lineRule="auto"/>
        <w:rPr>
          <w:rFonts w:hint="eastAsia"/>
          <w:b/>
          <w:color w:val="auto"/>
          <w:sz w:val="30"/>
          <w:szCs w:val="30"/>
          <w:highlight w:val="none"/>
        </w:rPr>
      </w:pPr>
    </w:p>
    <w:p w14:paraId="5ED343BC">
      <w:pPr>
        <w:spacing w:line="360" w:lineRule="auto"/>
        <w:rPr>
          <w:rFonts w:hint="eastAsia"/>
          <w:b/>
          <w:color w:val="auto"/>
          <w:sz w:val="30"/>
          <w:szCs w:val="30"/>
          <w:highlight w:val="none"/>
        </w:rPr>
      </w:pPr>
    </w:p>
    <w:p w14:paraId="3F15887D">
      <w:pPr>
        <w:spacing w:line="360" w:lineRule="auto"/>
        <w:rPr>
          <w:rFonts w:hint="eastAsia"/>
          <w:b/>
          <w:color w:val="auto"/>
          <w:sz w:val="30"/>
          <w:szCs w:val="30"/>
          <w:highlight w:val="none"/>
        </w:rPr>
      </w:pPr>
    </w:p>
    <w:p w14:paraId="6779A51A">
      <w:pPr>
        <w:spacing w:line="360" w:lineRule="auto"/>
        <w:rPr>
          <w:rFonts w:hint="eastAsia"/>
          <w:b/>
          <w:color w:val="auto"/>
          <w:sz w:val="30"/>
          <w:szCs w:val="30"/>
          <w:highlight w:val="none"/>
        </w:rPr>
      </w:pPr>
    </w:p>
    <w:p w14:paraId="794982C3">
      <w:pPr>
        <w:spacing w:line="360" w:lineRule="auto"/>
        <w:rPr>
          <w:rFonts w:hint="eastAsia"/>
          <w:b/>
          <w:color w:val="auto"/>
          <w:sz w:val="30"/>
          <w:szCs w:val="30"/>
          <w:highlight w:val="none"/>
        </w:rPr>
      </w:pPr>
    </w:p>
    <w:p w14:paraId="3F4D0842">
      <w:pPr>
        <w:spacing w:line="360" w:lineRule="auto"/>
        <w:rPr>
          <w:rFonts w:hint="eastAsia"/>
          <w:b/>
          <w:color w:val="auto"/>
          <w:sz w:val="30"/>
          <w:szCs w:val="30"/>
          <w:highlight w:val="none"/>
        </w:rPr>
      </w:pPr>
    </w:p>
    <w:p w14:paraId="2C6209B9">
      <w:pPr>
        <w:spacing w:line="360" w:lineRule="auto"/>
        <w:rPr>
          <w:rFonts w:hint="eastAsia"/>
          <w:b/>
          <w:color w:val="auto"/>
          <w:sz w:val="30"/>
          <w:szCs w:val="30"/>
          <w:highlight w:val="none"/>
        </w:rPr>
      </w:pPr>
    </w:p>
    <w:p w14:paraId="3206010A">
      <w:pPr>
        <w:spacing w:line="360" w:lineRule="auto"/>
        <w:rPr>
          <w:rFonts w:hint="eastAsia"/>
          <w:b/>
          <w:color w:val="auto"/>
          <w:sz w:val="30"/>
          <w:szCs w:val="30"/>
          <w:highlight w:val="none"/>
        </w:rPr>
      </w:pPr>
      <w:r>
        <w:rPr>
          <w:rFonts w:hint="eastAsia"/>
          <w:b/>
          <w:color w:val="auto"/>
          <w:sz w:val="30"/>
          <w:szCs w:val="30"/>
          <w:highlight w:val="none"/>
        </w:rPr>
        <w:t>六</w:t>
      </w:r>
      <w:r>
        <w:rPr>
          <w:b/>
          <w:color w:val="auto"/>
          <w:sz w:val="30"/>
          <w:szCs w:val="30"/>
          <w:highlight w:val="none"/>
        </w:rPr>
        <w:t>、投标函</w:t>
      </w:r>
      <w:r>
        <w:rPr>
          <w:rFonts w:hint="eastAsia"/>
          <w:b/>
          <w:color w:val="auto"/>
          <w:sz w:val="30"/>
          <w:szCs w:val="30"/>
          <w:highlight w:val="none"/>
        </w:rPr>
        <w:t>（给定格式）：</w:t>
      </w:r>
    </w:p>
    <w:p w14:paraId="60DDD960">
      <w:pPr>
        <w:spacing w:line="360" w:lineRule="auto"/>
        <w:rPr>
          <w:rFonts w:hint="eastAsia"/>
          <w:b/>
          <w:color w:val="auto"/>
          <w:sz w:val="30"/>
          <w:szCs w:val="30"/>
          <w:highlight w:val="none"/>
        </w:rPr>
      </w:pPr>
    </w:p>
    <w:p w14:paraId="266D6A5B">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346372EB">
      <w:pPr>
        <w:spacing w:line="400" w:lineRule="exact"/>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无锡市惠山区政府采购中心</w:t>
      </w:r>
      <w:r>
        <w:rPr>
          <w:rFonts w:hint="eastAsia" w:ascii="宋体" w:hAnsi="宋体"/>
          <w:bCs/>
          <w:color w:val="auto"/>
          <w:sz w:val="24"/>
          <w:szCs w:val="24"/>
          <w:highlight w:val="none"/>
        </w:rPr>
        <w:t>：</w:t>
      </w:r>
    </w:p>
    <w:p w14:paraId="10DF8779">
      <w:pPr>
        <w:spacing w:line="400" w:lineRule="exact"/>
        <w:ind w:firstLine="480"/>
        <w:rPr>
          <w:rFonts w:ascii="宋体"/>
          <w:bCs/>
          <w:color w:val="auto"/>
          <w:sz w:val="24"/>
          <w:szCs w:val="24"/>
          <w:highlight w:val="none"/>
        </w:rPr>
      </w:pPr>
    </w:p>
    <w:p w14:paraId="692C5C42">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黑体" w:eastAsia="黑体" w:cs="Times New Roman"/>
          <w:bCs/>
          <w:color w:val="auto"/>
          <w:sz w:val="24"/>
          <w:szCs w:val="24"/>
          <w:highlight w:val="none"/>
          <w:lang w:eastAsia="zh-CN"/>
        </w:rPr>
        <w:t>JSZC-320206-JZCG-G2026-0025</w:t>
      </w:r>
      <w:r>
        <w:rPr>
          <w:rFonts w:hint="eastAsia" w:ascii="黑体" w:hAnsi="Times New Roman" w:eastAsia="黑体" w:cs="Times New Roman"/>
          <w:bCs/>
          <w:color w:val="auto"/>
          <w:sz w:val="24"/>
          <w:szCs w:val="24"/>
          <w:highlight w:val="none"/>
          <w:lang w:eastAsia="zh-CN"/>
        </w:rPr>
        <w:t xml:space="preserve"> </w:t>
      </w:r>
      <w:r>
        <w:rPr>
          <w:rFonts w:hint="eastAsia" w:ascii="宋体" w:hAnsi="宋体"/>
          <w:bCs/>
          <w:color w:val="auto"/>
          <w:sz w:val="24"/>
          <w:szCs w:val="24"/>
          <w:highlight w:val="none"/>
        </w:rPr>
        <w:t>招标文件，经仔细阅读和研究，我方决定参加此项目的投标。</w:t>
      </w:r>
    </w:p>
    <w:p w14:paraId="027D2978">
      <w:pPr>
        <w:numPr>
          <w:ilvl w:val="0"/>
          <w:numId w:val="0"/>
        </w:numPr>
        <w:tabs>
          <w:tab w:val="left" w:pos="315"/>
          <w:tab w:val="left" w:pos="840"/>
          <w:tab w:val="left" w:pos="945"/>
          <w:tab w:val="left" w:pos="1050"/>
          <w:tab w:val="left" w:pos="1260"/>
        </w:tabs>
        <w:spacing w:line="400" w:lineRule="exact"/>
        <w:ind w:firstLine="480"/>
        <w:rPr>
          <w:rFonts w:ascii="宋体"/>
          <w:bCs/>
          <w:color w:val="auto"/>
          <w:sz w:val="24"/>
          <w:szCs w:val="24"/>
          <w:highlight w:val="none"/>
        </w:rPr>
      </w:pPr>
      <w:r>
        <w:rPr>
          <w:rFonts w:hint="eastAsia" w:ascii="宋体" w:hAnsi="宋体"/>
          <w:bCs/>
          <w:color w:val="auto"/>
          <w:sz w:val="24"/>
          <w:szCs w:val="24"/>
          <w:highlight w:val="none"/>
          <w:lang w:eastAsia="zh-CN"/>
        </w:rPr>
        <w:t>一、</w:t>
      </w:r>
      <w:r>
        <w:rPr>
          <w:rFonts w:hint="eastAsia" w:ascii="宋体" w:hAnsi="宋体"/>
          <w:bCs/>
          <w:color w:val="auto"/>
          <w:sz w:val="24"/>
          <w:szCs w:val="24"/>
          <w:highlight w:val="none"/>
        </w:rPr>
        <w:t>我方愿意按照招标文件的一切要求，提供本项目的投标，投标总价见《开标一览表》。</w:t>
      </w:r>
    </w:p>
    <w:p w14:paraId="2F62D9F2">
      <w:pPr>
        <w:numPr>
          <w:ilvl w:val="0"/>
          <w:numId w:val="0"/>
        </w:numPr>
        <w:tabs>
          <w:tab w:val="left" w:pos="0"/>
          <w:tab w:val="left" w:pos="315"/>
          <w:tab w:val="left" w:pos="525"/>
          <w:tab w:val="left" w:pos="840"/>
          <w:tab w:val="left" w:pos="945"/>
          <w:tab w:val="left" w:pos="1050"/>
        </w:tabs>
        <w:spacing w:line="400" w:lineRule="exact"/>
        <w:ind w:firstLine="480"/>
        <w:rPr>
          <w:rStyle w:val="350"/>
          <w:bCs/>
          <w:color w:val="auto"/>
          <w:highlight w:val="none"/>
        </w:rPr>
      </w:pPr>
      <w:r>
        <w:rPr>
          <w:rFonts w:hint="eastAsia" w:ascii="宋体" w:hAnsi="宋体"/>
          <w:bCs/>
          <w:color w:val="auto"/>
          <w:sz w:val="24"/>
          <w:szCs w:val="24"/>
          <w:highlight w:val="none"/>
          <w:lang w:eastAsia="zh-CN"/>
        </w:rPr>
        <w:t>二、</w:t>
      </w:r>
      <w:r>
        <w:rPr>
          <w:rFonts w:hint="eastAsia" w:ascii="宋体" w:hAnsi="宋体"/>
          <w:bCs/>
          <w:color w:val="auto"/>
          <w:sz w:val="24"/>
          <w:szCs w:val="24"/>
          <w:highlight w:val="none"/>
        </w:rPr>
        <w:t>我方愿意提供</w:t>
      </w:r>
      <w:r>
        <w:rPr>
          <w:rFonts w:hint="eastAsia" w:ascii="宋体" w:hAnsi="宋体"/>
          <w:bCs/>
          <w:color w:val="auto"/>
          <w:sz w:val="24"/>
          <w:szCs w:val="24"/>
          <w:highlight w:val="none"/>
          <w:lang w:eastAsia="zh-CN"/>
        </w:rPr>
        <w:t>无锡市惠山区政府采购中心</w:t>
      </w:r>
      <w:r>
        <w:rPr>
          <w:rFonts w:hint="eastAsia" w:ascii="宋体" w:hAnsi="宋体"/>
          <w:bCs/>
          <w:color w:val="auto"/>
          <w:sz w:val="24"/>
          <w:szCs w:val="24"/>
          <w:highlight w:val="none"/>
        </w:rPr>
        <w:t>在招标文件中要求的文件、资料。</w:t>
      </w:r>
    </w:p>
    <w:p w14:paraId="13A69625">
      <w:pPr>
        <w:numPr>
          <w:ilvl w:val="0"/>
          <w:numId w:val="0"/>
        </w:numPr>
        <w:tabs>
          <w:tab w:val="left" w:pos="0"/>
          <w:tab w:val="left" w:pos="315"/>
          <w:tab w:val="left" w:pos="525"/>
          <w:tab w:val="left" w:pos="945"/>
          <w:tab w:val="left" w:pos="1050"/>
        </w:tabs>
        <w:spacing w:line="400" w:lineRule="exact"/>
        <w:ind w:firstLine="480"/>
        <w:rPr>
          <w:rFonts w:ascii="宋体"/>
          <w:bCs/>
          <w:color w:val="auto"/>
          <w:sz w:val="24"/>
          <w:szCs w:val="24"/>
          <w:highlight w:val="none"/>
        </w:rPr>
      </w:pPr>
      <w:r>
        <w:rPr>
          <w:rFonts w:hint="eastAsia" w:ascii="宋体" w:hAnsi="宋体"/>
          <w:bCs/>
          <w:color w:val="auto"/>
          <w:sz w:val="24"/>
          <w:szCs w:val="24"/>
          <w:highlight w:val="none"/>
          <w:lang w:eastAsia="zh-CN"/>
        </w:rPr>
        <w:t>三、</w:t>
      </w:r>
      <w:r>
        <w:rPr>
          <w:rFonts w:hint="eastAsia" w:ascii="宋体" w:hAnsi="宋体"/>
          <w:bCs/>
          <w:color w:val="auto"/>
          <w:sz w:val="24"/>
          <w:szCs w:val="24"/>
          <w:highlight w:val="none"/>
        </w:rPr>
        <w:t>我方同意按招标文件中的规定，从规定的开标日期起遵循本投标文件，并在规定的投标有效期期满之前均具有约束力。</w:t>
      </w:r>
    </w:p>
    <w:p w14:paraId="1C541A10">
      <w:pPr>
        <w:numPr>
          <w:ilvl w:val="0"/>
          <w:numId w:val="0"/>
        </w:numPr>
        <w:tabs>
          <w:tab w:val="left" w:pos="0"/>
          <w:tab w:val="left" w:pos="315"/>
          <w:tab w:val="left" w:pos="525"/>
          <w:tab w:val="left" w:pos="945"/>
          <w:tab w:val="left" w:pos="1050"/>
        </w:tabs>
        <w:spacing w:line="400" w:lineRule="exact"/>
        <w:ind w:firstLine="480"/>
        <w:rPr>
          <w:rFonts w:ascii="宋体"/>
          <w:bCs/>
          <w:color w:val="auto"/>
          <w:sz w:val="24"/>
          <w:szCs w:val="24"/>
          <w:highlight w:val="none"/>
        </w:rPr>
      </w:pPr>
      <w:r>
        <w:rPr>
          <w:rFonts w:hint="eastAsia" w:ascii="宋体" w:hAnsi="宋体"/>
          <w:bCs/>
          <w:color w:val="auto"/>
          <w:sz w:val="24"/>
          <w:szCs w:val="24"/>
          <w:highlight w:val="none"/>
          <w:lang w:eastAsia="zh-CN"/>
        </w:rPr>
        <w:t>四、</w:t>
      </w:r>
      <w:r>
        <w:rPr>
          <w:rFonts w:hint="eastAsia" w:ascii="宋体" w:hAnsi="宋体"/>
          <w:bCs/>
          <w:color w:val="auto"/>
          <w:sz w:val="24"/>
          <w:szCs w:val="24"/>
          <w:highlight w:val="none"/>
        </w:rPr>
        <w:t>如果我方的投标文件被接受，我方将履行招标文件中规定的每一项要求，按期、按质、按量，完成交货任务。</w:t>
      </w:r>
    </w:p>
    <w:p w14:paraId="46F54679">
      <w:pPr>
        <w:numPr>
          <w:ilvl w:val="0"/>
          <w:numId w:val="0"/>
        </w:numPr>
        <w:tabs>
          <w:tab w:val="left" w:pos="0"/>
          <w:tab w:val="left" w:pos="315"/>
          <w:tab w:val="left" w:pos="525"/>
          <w:tab w:val="left" w:pos="945"/>
          <w:tab w:val="left" w:pos="1050"/>
        </w:tabs>
        <w:spacing w:line="400" w:lineRule="exact"/>
        <w:ind w:firstLine="480"/>
        <w:rPr>
          <w:rFonts w:ascii="宋体"/>
          <w:bCs/>
          <w:color w:val="auto"/>
          <w:sz w:val="24"/>
          <w:szCs w:val="24"/>
          <w:highlight w:val="none"/>
        </w:rPr>
      </w:pPr>
      <w:r>
        <w:rPr>
          <w:rFonts w:hint="eastAsia" w:ascii="宋体" w:hAnsi="宋体"/>
          <w:bCs/>
          <w:color w:val="auto"/>
          <w:sz w:val="24"/>
          <w:szCs w:val="24"/>
          <w:highlight w:val="none"/>
          <w:lang w:eastAsia="zh-CN"/>
        </w:rPr>
        <w:t>五、</w:t>
      </w:r>
      <w:r>
        <w:rPr>
          <w:rFonts w:hint="eastAsia" w:ascii="宋体" w:hAnsi="宋体"/>
          <w:bCs/>
          <w:color w:val="auto"/>
          <w:sz w:val="24"/>
          <w:szCs w:val="24"/>
          <w:highlight w:val="none"/>
        </w:rPr>
        <w:t>我方完全同意招标文件规定的决定中标者的方式。</w:t>
      </w:r>
    </w:p>
    <w:p w14:paraId="7CDFB9B9">
      <w:pPr>
        <w:numPr>
          <w:ilvl w:val="0"/>
          <w:numId w:val="0"/>
        </w:numPr>
        <w:tabs>
          <w:tab w:val="left" w:pos="0"/>
          <w:tab w:val="left" w:pos="315"/>
          <w:tab w:val="left" w:pos="525"/>
          <w:tab w:val="left" w:pos="945"/>
          <w:tab w:val="left" w:pos="1050"/>
        </w:tabs>
        <w:spacing w:line="400" w:lineRule="exact"/>
        <w:ind w:firstLine="480"/>
        <w:rPr>
          <w:rFonts w:ascii="宋体"/>
          <w:bCs/>
          <w:color w:val="auto"/>
          <w:sz w:val="24"/>
          <w:szCs w:val="24"/>
          <w:highlight w:val="none"/>
        </w:rPr>
      </w:pPr>
      <w:r>
        <w:rPr>
          <w:rFonts w:hint="eastAsia" w:ascii="宋体" w:hAnsi="宋体"/>
          <w:bCs/>
          <w:color w:val="auto"/>
          <w:sz w:val="24"/>
          <w:szCs w:val="24"/>
          <w:highlight w:val="none"/>
          <w:lang w:eastAsia="zh-CN"/>
        </w:rPr>
        <w:t>六、</w:t>
      </w: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398BFC7B">
      <w:pPr>
        <w:numPr>
          <w:ilvl w:val="0"/>
          <w:numId w:val="0"/>
        </w:numPr>
        <w:tabs>
          <w:tab w:val="left" w:pos="0"/>
          <w:tab w:val="left" w:pos="315"/>
          <w:tab w:val="left" w:pos="525"/>
          <w:tab w:val="left" w:pos="945"/>
          <w:tab w:val="left" w:pos="1050"/>
        </w:tabs>
        <w:spacing w:line="400" w:lineRule="exact"/>
        <w:ind w:firstLine="480"/>
        <w:rPr>
          <w:rFonts w:ascii="宋体"/>
          <w:bCs/>
          <w:color w:val="auto"/>
          <w:sz w:val="24"/>
          <w:szCs w:val="24"/>
          <w:highlight w:val="none"/>
        </w:rPr>
      </w:pPr>
      <w:r>
        <w:rPr>
          <w:rFonts w:hint="eastAsia" w:ascii="宋体" w:hAnsi="宋体"/>
          <w:bCs/>
          <w:color w:val="auto"/>
          <w:sz w:val="24"/>
          <w:szCs w:val="24"/>
          <w:highlight w:val="none"/>
          <w:lang w:eastAsia="zh-CN"/>
        </w:rPr>
        <w:t>七、</w:t>
      </w:r>
      <w:r>
        <w:rPr>
          <w:rFonts w:hint="eastAsia" w:ascii="宋体" w:hAnsi="宋体"/>
          <w:bCs/>
          <w:color w:val="auto"/>
          <w:sz w:val="24"/>
          <w:szCs w:val="24"/>
          <w:highlight w:val="none"/>
        </w:rPr>
        <w:t>我方认可并遵守招标文件的所有规定，放弃对招标文件提出质疑的权利。</w:t>
      </w:r>
    </w:p>
    <w:p w14:paraId="0B108B04">
      <w:pPr>
        <w:numPr>
          <w:ilvl w:val="0"/>
          <w:numId w:val="0"/>
        </w:numPr>
        <w:tabs>
          <w:tab w:val="left" w:pos="0"/>
          <w:tab w:val="left" w:pos="315"/>
          <w:tab w:val="left" w:pos="525"/>
          <w:tab w:val="left" w:pos="945"/>
          <w:tab w:val="left" w:pos="1050"/>
        </w:tabs>
        <w:spacing w:line="400" w:lineRule="exact"/>
        <w:ind w:firstLine="480"/>
        <w:rPr>
          <w:rFonts w:ascii="宋体"/>
          <w:bCs/>
          <w:color w:val="auto"/>
          <w:sz w:val="24"/>
          <w:szCs w:val="24"/>
          <w:highlight w:val="none"/>
        </w:rPr>
      </w:pPr>
      <w:r>
        <w:rPr>
          <w:rFonts w:hint="eastAsia" w:ascii="宋体" w:hAnsi="宋体"/>
          <w:bCs/>
          <w:color w:val="auto"/>
          <w:sz w:val="24"/>
          <w:szCs w:val="24"/>
          <w:highlight w:val="none"/>
          <w:lang w:eastAsia="zh-CN"/>
        </w:rPr>
        <w:t>八、</w:t>
      </w: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42AE61A6">
      <w:pPr>
        <w:numPr>
          <w:ilvl w:val="0"/>
          <w:numId w:val="0"/>
        </w:numPr>
        <w:tabs>
          <w:tab w:val="left" w:pos="0"/>
          <w:tab w:val="left" w:pos="315"/>
          <w:tab w:val="left" w:pos="525"/>
          <w:tab w:val="left" w:pos="945"/>
          <w:tab w:val="left" w:pos="1050"/>
        </w:tabs>
        <w:spacing w:line="400" w:lineRule="exact"/>
        <w:ind w:firstLine="480"/>
        <w:rPr>
          <w:rFonts w:ascii="宋体"/>
          <w:bCs/>
          <w:color w:val="auto"/>
          <w:sz w:val="24"/>
          <w:szCs w:val="24"/>
          <w:highlight w:val="none"/>
        </w:rPr>
      </w:pPr>
      <w:r>
        <w:rPr>
          <w:rFonts w:hint="eastAsia" w:ascii="宋体" w:hAnsi="宋体"/>
          <w:bCs/>
          <w:color w:val="auto"/>
          <w:sz w:val="24"/>
          <w:szCs w:val="24"/>
          <w:highlight w:val="none"/>
          <w:lang w:eastAsia="zh-CN"/>
        </w:rPr>
        <w:t>九、</w:t>
      </w:r>
      <w:r>
        <w:rPr>
          <w:rFonts w:hint="eastAsia" w:ascii="宋体" w:hAnsi="宋体"/>
          <w:bCs/>
          <w:color w:val="auto"/>
          <w:sz w:val="24"/>
          <w:szCs w:val="24"/>
          <w:highlight w:val="none"/>
        </w:rPr>
        <w:t>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采购人交纳履约保证金。且我方如无不可抗力，又未履行招标文件、投标文件和合同条款的，一经查实，我方愿意赔偿由此而造成的一切损失，并同意接受按招标文件的相关要求对我方进行的处理。</w:t>
      </w:r>
    </w:p>
    <w:p w14:paraId="12D9204E">
      <w:pPr>
        <w:numPr>
          <w:ilvl w:val="0"/>
          <w:numId w:val="0"/>
        </w:numPr>
        <w:tabs>
          <w:tab w:val="left" w:pos="0"/>
          <w:tab w:val="left" w:pos="315"/>
          <w:tab w:val="left" w:pos="525"/>
          <w:tab w:val="left" w:pos="945"/>
          <w:tab w:val="left" w:pos="1050"/>
        </w:tabs>
        <w:spacing w:line="400" w:lineRule="exact"/>
        <w:ind w:firstLine="480"/>
        <w:rPr>
          <w:rFonts w:ascii="宋体"/>
          <w:bCs/>
          <w:color w:val="auto"/>
          <w:sz w:val="24"/>
          <w:szCs w:val="24"/>
          <w:highlight w:val="none"/>
        </w:rPr>
      </w:pPr>
      <w:r>
        <w:rPr>
          <w:rFonts w:hint="eastAsia" w:ascii="宋体" w:hAnsi="宋体"/>
          <w:bCs/>
          <w:color w:val="auto"/>
          <w:sz w:val="24"/>
          <w:szCs w:val="24"/>
          <w:highlight w:val="none"/>
          <w:lang w:eastAsia="zh-CN"/>
        </w:rPr>
        <w:t>十、</w:t>
      </w:r>
      <w:r>
        <w:rPr>
          <w:rFonts w:hint="eastAsia" w:ascii="宋体" w:hAnsi="宋体"/>
          <w:bCs/>
          <w:color w:val="auto"/>
          <w:sz w:val="24"/>
          <w:szCs w:val="24"/>
          <w:highlight w:val="none"/>
        </w:rPr>
        <w:t>我方决不提供虚假材料谋取中标、决不采取不正当手段诋毁、排挤其他供应商、决不与采购人、其它供应商或者</w:t>
      </w:r>
      <w:r>
        <w:rPr>
          <w:rFonts w:hint="eastAsia" w:ascii="宋体" w:hAnsi="宋体"/>
          <w:bCs/>
          <w:color w:val="auto"/>
          <w:sz w:val="24"/>
          <w:szCs w:val="24"/>
          <w:highlight w:val="none"/>
          <w:lang w:eastAsia="zh-CN"/>
        </w:rPr>
        <w:t>采购中心</w:t>
      </w:r>
      <w:r>
        <w:rPr>
          <w:rFonts w:hint="eastAsia" w:ascii="宋体" w:hAnsi="宋体"/>
          <w:bCs/>
          <w:color w:val="auto"/>
          <w:sz w:val="24"/>
          <w:szCs w:val="24"/>
          <w:highlight w:val="none"/>
        </w:rPr>
        <w:t>恶意串通、决不向采购人、</w:t>
      </w:r>
      <w:r>
        <w:rPr>
          <w:rFonts w:hint="eastAsia" w:ascii="宋体" w:hAnsi="宋体"/>
          <w:bCs/>
          <w:color w:val="auto"/>
          <w:sz w:val="24"/>
          <w:szCs w:val="24"/>
          <w:highlight w:val="none"/>
          <w:lang w:eastAsia="zh-CN"/>
        </w:rPr>
        <w:t>采购中心</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1694A7D4">
      <w:pPr>
        <w:spacing w:line="400" w:lineRule="exact"/>
        <w:ind w:firstLine="720"/>
        <w:rPr>
          <w:rFonts w:ascii="宋体"/>
          <w:bCs/>
          <w:color w:val="auto"/>
          <w:sz w:val="24"/>
          <w:szCs w:val="24"/>
          <w:highlight w:val="none"/>
        </w:rPr>
      </w:pPr>
    </w:p>
    <w:p w14:paraId="6C774D9E">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19B5242E">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285A7809">
      <w:pPr>
        <w:spacing w:line="400" w:lineRule="exact"/>
        <w:ind w:firstLine="480"/>
        <w:rPr>
          <w:rFonts w:ascii="宋体" w:hAnsi="宋体"/>
          <w:bCs/>
          <w:color w:val="auto"/>
          <w:sz w:val="24"/>
          <w:szCs w:val="24"/>
          <w:highlight w:val="none"/>
        </w:rPr>
      </w:pPr>
    </w:p>
    <w:p w14:paraId="617C9FBF">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78399354">
      <w:pPr>
        <w:spacing w:line="360" w:lineRule="auto"/>
        <w:rPr>
          <w:rFonts w:hint="eastAsia"/>
          <w:b/>
          <w:color w:val="auto"/>
          <w:sz w:val="30"/>
          <w:szCs w:val="30"/>
          <w:highlight w:val="none"/>
        </w:rPr>
      </w:pPr>
    </w:p>
    <w:p w14:paraId="15977110">
      <w:pPr>
        <w:spacing w:line="360" w:lineRule="auto"/>
        <w:rPr>
          <w:rFonts w:hint="eastAsia"/>
          <w:b/>
          <w:color w:val="auto"/>
          <w:sz w:val="30"/>
          <w:szCs w:val="30"/>
          <w:highlight w:val="none"/>
        </w:rPr>
      </w:pPr>
    </w:p>
    <w:p w14:paraId="7E722E12">
      <w:pPr>
        <w:spacing w:line="360" w:lineRule="auto"/>
        <w:rPr>
          <w:rFonts w:hint="eastAsia"/>
          <w:b/>
          <w:color w:val="auto"/>
          <w:sz w:val="30"/>
          <w:szCs w:val="30"/>
          <w:highlight w:val="none"/>
        </w:rPr>
      </w:pPr>
    </w:p>
    <w:p w14:paraId="33DC1BA7">
      <w:pPr>
        <w:spacing w:line="360" w:lineRule="auto"/>
        <w:rPr>
          <w:rFonts w:hint="eastAsia"/>
          <w:b/>
          <w:color w:val="auto"/>
          <w:sz w:val="30"/>
          <w:szCs w:val="30"/>
          <w:highlight w:val="none"/>
        </w:rPr>
      </w:pPr>
    </w:p>
    <w:p w14:paraId="4C1C3BBC">
      <w:pPr>
        <w:spacing w:line="360" w:lineRule="auto"/>
        <w:rPr>
          <w:rFonts w:hint="eastAsia"/>
          <w:b/>
          <w:color w:val="auto"/>
          <w:sz w:val="30"/>
          <w:szCs w:val="30"/>
          <w:highlight w:val="none"/>
        </w:rPr>
      </w:pPr>
      <w:r>
        <w:rPr>
          <w:rFonts w:hint="eastAsia"/>
          <w:b/>
          <w:color w:val="auto"/>
          <w:sz w:val="30"/>
          <w:szCs w:val="30"/>
          <w:highlight w:val="none"/>
        </w:rPr>
        <w:t>七、承诺书（给定格式）：</w:t>
      </w:r>
    </w:p>
    <w:p w14:paraId="2914097B">
      <w:pPr>
        <w:ind w:firstLine="602"/>
        <w:outlineLvl w:val="0"/>
        <w:rPr>
          <w:rFonts w:hint="eastAsia"/>
          <w:b/>
          <w:color w:val="auto"/>
          <w:sz w:val="30"/>
          <w:szCs w:val="30"/>
          <w:highlight w:val="none"/>
        </w:rPr>
      </w:pPr>
    </w:p>
    <w:p w14:paraId="4DA8722D">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75548499">
      <w:pPr>
        <w:spacing w:line="480" w:lineRule="auto"/>
        <w:ind w:firstLine="480"/>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黑体" w:eastAsia="黑体" w:cs="Times New Roman"/>
          <w:bCs/>
          <w:color w:val="auto"/>
          <w:sz w:val="24"/>
          <w:szCs w:val="24"/>
          <w:highlight w:val="none"/>
          <w:lang w:eastAsia="zh-CN"/>
        </w:rPr>
        <w:t>JSZC-320206-JZCG-G2026-0025</w:t>
      </w:r>
      <w:r>
        <w:rPr>
          <w:rFonts w:hint="eastAsia" w:ascii="黑体" w:hAnsi="Times New Roman" w:eastAsia="黑体" w:cs="Times New Roman"/>
          <w:bCs/>
          <w:color w:val="auto"/>
          <w:sz w:val="24"/>
          <w:szCs w:val="24"/>
          <w:highlight w:val="none"/>
          <w:lang w:eastAsia="zh-CN"/>
        </w:rPr>
        <w:t xml:space="preserve"> </w:t>
      </w:r>
      <w:r>
        <w:rPr>
          <w:rFonts w:hint="eastAsia" w:ascii="宋体" w:hAnsi="宋体"/>
          <w:color w:val="auto"/>
          <w:sz w:val="24"/>
          <w:szCs w:val="24"/>
          <w:highlight w:val="none"/>
        </w:rPr>
        <w:t>在此对服务保障做如下承诺：</w:t>
      </w:r>
    </w:p>
    <w:p w14:paraId="6E7B1B90">
      <w:pPr>
        <w:spacing w:line="480" w:lineRule="auto"/>
        <w:ind w:firstLine="480"/>
        <w:rPr>
          <w:rFonts w:ascii="宋体"/>
          <w:bCs/>
          <w:color w:val="auto"/>
          <w:sz w:val="24"/>
          <w:szCs w:val="24"/>
          <w:highlight w:val="none"/>
          <w:u w:val="none"/>
        </w:rPr>
      </w:pPr>
      <w:r>
        <w:rPr>
          <w:rFonts w:ascii="宋体" w:hAnsi="宋体"/>
          <w:color w:val="auto"/>
          <w:sz w:val="24"/>
          <w:szCs w:val="24"/>
          <w:highlight w:val="none"/>
          <w:u w:val="none"/>
        </w:rPr>
        <w:t>1</w:t>
      </w:r>
      <w:r>
        <w:rPr>
          <w:rFonts w:hint="eastAsia" w:ascii="宋体" w:hAnsi="宋体"/>
          <w:color w:val="auto"/>
          <w:sz w:val="24"/>
          <w:szCs w:val="24"/>
          <w:highlight w:val="none"/>
          <w:u w:val="none"/>
        </w:rPr>
        <w:t>．本公司（单位）</w:t>
      </w:r>
      <w:r>
        <w:rPr>
          <w:rFonts w:hint="eastAsia" w:ascii="宋体" w:hAnsi="宋体"/>
          <w:bCs/>
          <w:color w:val="auto"/>
          <w:sz w:val="24"/>
          <w:szCs w:val="24"/>
          <w:highlight w:val="none"/>
          <w:u w:val="none"/>
        </w:rPr>
        <w:t>对本项目所提供的货物均为原厂全新合格品；</w:t>
      </w:r>
    </w:p>
    <w:p w14:paraId="3C3B6EEC">
      <w:pPr>
        <w:spacing w:line="480" w:lineRule="auto"/>
        <w:ind w:firstLine="480"/>
        <w:rPr>
          <w:rFonts w:hint="eastAsia" w:ascii="宋体" w:hAnsi="宋体"/>
          <w:bCs/>
          <w:color w:val="auto"/>
          <w:sz w:val="24"/>
          <w:szCs w:val="24"/>
          <w:highlight w:val="none"/>
          <w:u w:val="none"/>
        </w:rPr>
      </w:pPr>
      <w:r>
        <w:rPr>
          <w:rFonts w:ascii="宋体" w:hAnsi="宋体"/>
          <w:bCs/>
          <w:color w:val="auto"/>
          <w:sz w:val="24"/>
          <w:szCs w:val="24"/>
          <w:highlight w:val="none"/>
          <w:u w:val="none"/>
        </w:rPr>
        <w:t>2</w:t>
      </w:r>
      <w:r>
        <w:rPr>
          <w:rFonts w:hint="eastAsia" w:ascii="宋体" w:hAnsi="宋体"/>
          <w:bCs/>
          <w:color w:val="auto"/>
          <w:sz w:val="24"/>
          <w:szCs w:val="24"/>
          <w:highlight w:val="none"/>
          <w:u w:val="none"/>
        </w:rPr>
        <w:t>．</w:t>
      </w:r>
      <w:r>
        <w:rPr>
          <w:rFonts w:hint="eastAsia" w:ascii="宋体" w:hAnsi="宋体"/>
          <w:color w:val="auto"/>
          <w:sz w:val="24"/>
          <w:szCs w:val="24"/>
          <w:highlight w:val="none"/>
          <w:u w:val="none"/>
        </w:rPr>
        <w:t>本公司（单位）</w:t>
      </w:r>
      <w:r>
        <w:rPr>
          <w:rFonts w:hint="eastAsia" w:ascii="宋体" w:hAnsi="宋体"/>
          <w:bCs/>
          <w:color w:val="auto"/>
          <w:sz w:val="24"/>
          <w:szCs w:val="24"/>
          <w:highlight w:val="none"/>
          <w:u w:val="none"/>
        </w:rPr>
        <w:t>具备履行合同所必需的设备和专业技术能力；</w:t>
      </w:r>
    </w:p>
    <w:p w14:paraId="26A93AF9">
      <w:pPr>
        <w:spacing w:line="480" w:lineRule="auto"/>
        <w:ind w:firstLine="480"/>
        <w:rPr>
          <w:rFonts w:hint="eastAsia" w:ascii="宋体" w:hAnsi="宋体"/>
          <w:color w:val="auto"/>
          <w:sz w:val="24"/>
          <w:szCs w:val="24"/>
          <w:highlight w:val="none"/>
          <w:u w:val="none"/>
        </w:rPr>
      </w:pPr>
      <w:r>
        <w:rPr>
          <w:rFonts w:hint="eastAsia" w:ascii="宋体" w:hAnsi="宋体"/>
          <w:bCs/>
          <w:color w:val="auto"/>
          <w:sz w:val="24"/>
          <w:szCs w:val="24"/>
          <w:highlight w:val="none"/>
          <w:u w:val="none"/>
        </w:rPr>
        <w:t>3.</w:t>
      </w:r>
      <w:r>
        <w:rPr>
          <w:rFonts w:hint="eastAsia" w:ascii="宋体"/>
          <w:bCs/>
          <w:color w:val="auto"/>
          <w:szCs w:val="21"/>
          <w:highlight w:val="none"/>
          <w:u w:val="none"/>
        </w:rPr>
        <w:t xml:space="preserve"> </w:t>
      </w:r>
      <w:r>
        <w:rPr>
          <w:rFonts w:hint="eastAsia" w:ascii="宋体" w:hAnsi="宋体"/>
          <w:color w:val="auto"/>
          <w:sz w:val="24"/>
          <w:szCs w:val="24"/>
          <w:highlight w:val="none"/>
          <w:u w:val="none"/>
        </w:rPr>
        <w:t>本公司未被“</w:t>
      </w:r>
      <w:r>
        <w:rPr>
          <w:rFonts w:hint="eastAsia" w:ascii="宋体" w:hAnsi="宋体"/>
          <w:bCs/>
          <w:color w:val="auto"/>
          <w:sz w:val="24"/>
          <w:szCs w:val="24"/>
          <w:highlight w:val="none"/>
          <w:u w:val="none"/>
        </w:rPr>
        <w:t>信用中国</w:t>
      </w:r>
      <w:r>
        <w:rPr>
          <w:rFonts w:hint="eastAsia" w:ascii="宋体" w:hAnsi="宋体"/>
          <w:color w:val="auto"/>
          <w:sz w:val="24"/>
          <w:szCs w:val="24"/>
          <w:highlight w:val="none"/>
          <w:u w:val="none"/>
        </w:rPr>
        <w:t>”</w:t>
      </w:r>
      <w:r>
        <w:rPr>
          <w:rFonts w:hint="eastAsia" w:ascii="宋体" w:hAnsi="宋体"/>
          <w:bCs/>
          <w:color w:val="auto"/>
          <w:sz w:val="24"/>
          <w:szCs w:val="24"/>
          <w:highlight w:val="none"/>
          <w:u w:val="none"/>
        </w:rPr>
        <w:t>网站（www.creditchina.gov.cn）</w:t>
      </w:r>
      <w:r>
        <w:rPr>
          <w:rFonts w:hint="eastAsia" w:ascii="宋体" w:hAnsi="宋体"/>
          <w:color w:val="auto"/>
          <w:sz w:val="24"/>
          <w:szCs w:val="24"/>
          <w:highlight w:val="none"/>
          <w:u w:val="none"/>
        </w:rPr>
        <w:t>列入失信被执行人、重大税收违法案件当事人名单、政府采购严重违法失信行为记录名单。</w:t>
      </w:r>
    </w:p>
    <w:p w14:paraId="5AF92E7B">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54D8D9C6">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068F1D04">
      <w:pPr>
        <w:tabs>
          <w:tab w:val="left" w:pos="945"/>
        </w:tabs>
        <w:spacing w:line="360" w:lineRule="auto"/>
        <w:ind w:firstLine="465"/>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1F83BD22">
      <w:pPr>
        <w:spacing w:line="480" w:lineRule="auto"/>
        <w:ind w:firstLine="960"/>
        <w:rPr>
          <w:rFonts w:hint="eastAsia" w:ascii="宋体" w:hAnsi="宋体"/>
          <w:bCs/>
          <w:color w:val="auto"/>
          <w:sz w:val="24"/>
          <w:szCs w:val="24"/>
          <w:highlight w:val="none"/>
        </w:rPr>
      </w:pPr>
      <w:r>
        <w:rPr>
          <w:rFonts w:ascii="宋体" w:hAnsi="宋体"/>
          <w:bCs/>
          <w:color w:val="auto"/>
          <w:sz w:val="24"/>
          <w:szCs w:val="24"/>
          <w:highlight w:val="none"/>
        </w:rPr>
        <w:t>…………………</w:t>
      </w:r>
    </w:p>
    <w:p w14:paraId="00B7B791">
      <w:pPr>
        <w:spacing w:line="480" w:lineRule="auto"/>
        <w:ind w:firstLine="480"/>
        <w:rPr>
          <w:rFonts w:hint="eastAsia" w:ascii="宋体" w:hAnsi="宋体"/>
          <w:color w:val="auto"/>
          <w:sz w:val="24"/>
          <w:szCs w:val="24"/>
          <w:highlight w:val="none"/>
          <w:u w:val="none"/>
        </w:rPr>
      </w:pPr>
    </w:p>
    <w:p w14:paraId="1DC0E05F">
      <w:pPr>
        <w:spacing w:line="480" w:lineRule="auto"/>
        <w:ind w:firstLine="960"/>
        <w:rPr>
          <w:rFonts w:hint="eastAsia" w:ascii="宋体" w:hAnsi="宋体"/>
          <w:bCs/>
          <w:color w:val="auto"/>
          <w:sz w:val="24"/>
          <w:szCs w:val="24"/>
          <w:highlight w:val="none"/>
        </w:rPr>
      </w:pPr>
      <w:r>
        <w:rPr>
          <w:rFonts w:hint="eastAsia" w:ascii="宋体" w:hAnsi="宋体"/>
          <w:bCs/>
          <w:color w:val="auto"/>
          <w:sz w:val="24"/>
          <w:szCs w:val="24"/>
          <w:highlight w:val="none"/>
          <w:u w:val="none"/>
        </w:rPr>
        <w:t>如违背上述承诺，本公司</w:t>
      </w:r>
      <w:r>
        <w:rPr>
          <w:rFonts w:hint="eastAsia" w:ascii="宋体" w:hAnsi="宋体"/>
          <w:color w:val="auto"/>
          <w:sz w:val="24"/>
          <w:szCs w:val="24"/>
          <w:highlight w:val="none"/>
          <w:u w:val="none"/>
        </w:rPr>
        <w:t>（单位）</w:t>
      </w:r>
      <w:r>
        <w:rPr>
          <w:rFonts w:hint="eastAsia" w:ascii="宋体" w:hAnsi="宋体"/>
          <w:bCs/>
          <w:color w:val="auto"/>
          <w:sz w:val="24"/>
          <w:szCs w:val="24"/>
          <w:highlight w:val="none"/>
          <w:u w:val="none"/>
        </w:rPr>
        <w:t>将承担一切法律责任。</w:t>
      </w: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0A3C62CE">
      <w:pPr>
        <w:spacing w:line="480" w:lineRule="auto"/>
        <w:rPr>
          <w:rFonts w:hint="eastAsia" w:ascii="宋体" w:hAnsi="宋体"/>
          <w:bCs/>
          <w:color w:val="auto"/>
          <w:sz w:val="24"/>
          <w:szCs w:val="24"/>
          <w:highlight w:val="none"/>
        </w:rPr>
      </w:pPr>
    </w:p>
    <w:p w14:paraId="0D8A1E7F">
      <w:pPr>
        <w:spacing w:line="480" w:lineRule="auto"/>
        <w:ind w:firstLine="372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079C4532">
      <w:pPr>
        <w:spacing w:line="480" w:lineRule="auto"/>
        <w:ind w:firstLine="480"/>
        <w:rPr>
          <w:rFonts w:hint="eastAsia" w:ascii="宋体" w:hAnsi="宋体"/>
          <w:bCs/>
          <w:color w:val="auto"/>
          <w:sz w:val="24"/>
          <w:szCs w:val="24"/>
          <w:highlight w:val="none"/>
        </w:rPr>
      </w:pPr>
    </w:p>
    <w:p w14:paraId="248FF7D7">
      <w:pPr>
        <w:spacing w:line="480" w:lineRule="auto"/>
        <w:ind w:firstLine="420"/>
        <w:rPr>
          <w:rFonts w:ascii="宋体"/>
          <w:bCs/>
          <w:color w:val="auto"/>
          <w:sz w:val="24"/>
          <w:szCs w:val="24"/>
          <w:highlight w:val="none"/>
        </w:rPr>
      </w:pPr>
      <w:r>
        <w:rPr>
          <w:rFonts w:hint="eastAsia" w:ascii="宋体" w:hAnsi="宋体"/>
          <w:bCs/>
          <w:color w:val="auto"/>
          <w:highlight w:val="none"/>
        </w:rPr>
        <w:t>（注：以上内容由投标单位根据采购要求自行完善。）</w:t>
      </w:r>
    </w:p>
    <w:p w14:paraId="1E0F0EFB">
      <w:pPr>
        <w:spacing w:line="480" w:lineRule="auto"/>
        <w:ind w:firstLine="480"/>
        <w:rPr>
          <w:rFonts w:ascii="宋体"/>
          <w:bCs/>
          <w:color w:val="auto"/>
          <w:sz w:val="24"/>
          <w:szCs w:val="24"/>
          <w:highlight w:val="none"/>
          <w:u w:val="none"/>
        </w:rPr>
      </w:pPr>
    </w:p>
    <w:p w14:paraId="136332B2">
      <w:pPr>
        <w:spacing w:line="480" w:lineRule="auto"/>
        <w:rPr>
          <w:rFonts w:hint="eastAsia" w:ascii="宋体" w:hAnsi="宋体"/>
          <w:color w:val="auto"/>
          <w:sz w:val="24"/>
          <w:szCs w:val="24"/>
          <w:highlight w:val="none"/>
        </w:rPr>
      </w:pPr>
    </w:p>
    <w:p w14:paraId="06035136">
      <w:pPr>
        <w:spacing w:line="480" w:lineRule="auto"/>
        <w:rPr>
          <w:rFonts w:hint="eastAsia" w:ascii="宋体" w:hAnsi="宋体"/>
          <w:color w:val="auto"/>
          <w:sz w:val="24"/>
          <w:szCs w:val="24"/>
          <w:highlight w:val="none"/>
        </w:rPr>
      </w:pPr>
    </w:p>
    <w:p w14:paraId="212E48A9">
      <w:pPr>
        <w:spacing w:line="480" w:lineRule="auto"/>
        <w:rPr>
          <w:rFonts w:hint="eastAsia" w:ascii="宋体" w:hAnsi="宋体"/>
          <w:color w:val="auto"/>
          <w:sz w:val="24"/>
          <w:szCs w:val="24"/>
          <w:highlight w:val="none"/>
        </w:rPr>
      </w:pPr>
    </w:p>
    <w:p w14:paraId="029294B0">
      <w:pPr>
        <w:spacing w:line="360" w:lineRule="auto"/>
        <w:rPr>
          <w:rFonts w:hint="eastAsia"/>
          <w:b/>
          <w:color w:val="auto"/>
          <w:sz w:val="30"/>
          <w:szCs w:val="30"/>
          <w:highlight w:val="none"/>
        </w:rPr>
      </w:pPr>
      <w:r>
        <w:rPr>
          <w:rFonts w:hint="eastAsia"/>
          <w:b/>
          <w:color w:val="auto"/>
          <w:sz w:val="30"/>
          <w:szCs w:val="30"/>
          <w:highlight w:val="none"/>
        </w:rPr>
        <w:t>八、开标一览表（给定格式）：</w:t>
      </w:r>
    </w:p>
    <w:p w14:paraId="68C92B28">
      <w:pPr>
        <w:spacing w:line="440" w:lineRule="exact"/>
        <w:ind w:firstLine="482"/>
        <w:rPr>
          <w:rFonts w:hint="eastAsia" w:ascii="Arial" w:hAnsi="Arial"/>
          <w:b/>
          <w:color w:val="auto"/>
          <w:sz w:val="24"/>
          <w:highlight w:val="none"/>
        </w:rPr>
      </w:pPr>
    </w:p>
    <w:p w14:paraId="54573CC3">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6CF675F9">
      <w:pPr>
        <w:jc w:val="center"/>
        <w:outlineLvl w:val="0"/>
        <w:rPr>
          <w:rFonts w:ascii="黑体" w:eastAsia="黑体"/>
          <w:bCs/>
          <w:color w:val="auto"/>
          <w:sz w:val="28"/>
          <w:szCs w:val="28"/>
          <w:highlight w:val="none"/>
        </w:rPr>
      </w:pPr>
    </w:p>
    <w:p w14:paraId="3EEDB07A">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cs="Times New Roman"/>
          <w:bCs/>
          <w:color w:val="auto"/>
          <w:sz w:val="24"/>
          <w:szCs w:val="24"/>
          <w:highlight w:val="none"/>
          <w:lang w:eastAsia="zh-CN"/>
        </w:rPr>
        <w:t>JSZC-320206-JZCG-G2026-0025</w:t>
      </w:r>
      <w:r>
        <w:rPr>
          <w:rFonts w:hint="eastAsia" w:ascii="黑体" w:hAnsi="Times New Roman" w:eastAsia="黑体" w:cs="Times New Roman"/>
          <w:bCs/>
          <w:color w:val="auto"/>
          <w:sz w:val="24"/>
          <w:szCs w:val="24"/>
          <w:highlight w:val="none"/>
          <w:lang w:eastAsia="zh-CN"/>
        </w:rPr>
        <w:t xml:space="preserve"> </w:t>
      </w:r>
    </w:p>
    <w:tbl>
      <w:tblPr>
        <w:tblStyle w:val="46"/>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2D794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3CDED11E">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3188" w:type="dxa"/>
            <w:noWrap w:val="0"/>
            <w:vAlign w:val="center"/>
          </w:tcPr>
          <w:p w14:paraId="4934BCA1">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6064B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23FB439B">
            <w:pPr>
              <w:pStyle w:val="302"/>
              <w:spacing w:line="400" w:lineRule="exact"/>
              <w:jc w:val="center"/>
              <w:rPr>
                <w:rFonts w:hint="default" w:hAnsi="宋体" w:eastAsia="宋体"/>
                <w:bCs/>
                <w:color w:val="auto"/>
                <w:szCs w:val="24"/>
                <w:highlight w:val="none"/>
                <w:lang w:val="en-US" w:eastAsia="zh-CN"/>
              </w:rPr>
            </w:pPr>
            <w:r>
              <w:rPr>
                <w:rFonts w:hint="eastAsia" w:hAnsi="宋体"/>
                <w:bCs/>
                <w:color w:val="auto"/>
                <w:szCs w:val="24"/>
                <w:highlight w:val="none"/>
                <w:lang w:val="en-US" w:eastAsia="zh-CN"/>
              </w:rPr>
              <w:t>惠山区2026年度社会治安监控系统运维项目（硬件、线路）</w:t>
            </w:r>
          </w:p>
        </w:tc>
        <w:tc>
          <w:tcPr>
            <w:tcW w:w="3188" w:type="dxa"/>
            <w:noWrap w:val="0"/>
            <w:vAlign w:val="center"/>
          </w:tcPr>
          <w:p w14:paraId="68226188">
            <w:pPr>
              <w:pStyle w:val="302"/>
              <w:rPr>
                <w:rFonts w:hAnsi="宋体"/>
                <w:b/>
                <w:color w:val="auto"/>
                <w:szCs w:val="24"/>
                <w:highlight w:val="none"/>
              </w:rPr>
            </w:pPr>
          </w:p>
        </w:tc>
      </w:tr>
      <w:tr w14:paraId="0508E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3605A9BE">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4E31A7A5">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投标人名称（盖章）：</w:t>
      </w:r>
    </w:p>
    <w:p w14:paraId="2925BD45">
      <w:pPr>
        <w:pageBreakBefore/>
        <w:numPr>
          <w:ilvl w:val="0"/>
          <w:numId w:val="11"/>
        </w:numPr>
        <w:outlineLvl w:val="0"/>
        <w:rPr>
          <w:rFonts w:hint="eastAsia"/>
          <w:b/>
          <w:color w:val="auto"/>
          <w:sz w:val="30"/>
          <w:szCs w:val="30"/>
          <w:highlight w:val="none"/>
        </w:rPr>
      </w:pPr>
      <w:r>
        <w:rPr>
          <w:rFonts w:hint="eastAsia"/>
          <w:b/>
          <w:color w:val="auto"/>
          <w:sz w:val="30"/>
          <w:szCs w:val="30"/>
          <w:highlight w:val="none"/>
        </w:rPr>
        <w:t>分项</w:t>
      </w:r>
      <w:r>
        <w:rPr>
          <w:b/>
          <w:color w:val="auto"/>
          <w:sz w:val="30"/>
          <w:szCs w:val="30"/>
          <w:highlight w:val="none"/>
        </w:rPr>
        <w:t>报价表</w:t>
      </w:r>
      <w:r>
        <w:rPr>
          <w:rFonts w:hint="eastAsia"/>
          <w:b/>
          <w:color w:val="auto"/>
          <w:sz w:val="30"/>
          <w:szCs w:val="30"/>
          <w:highlight w:val="none"/>
        </w:rPr>
        <w:t>（给定格式）：</w:t>
      </w:r>
    </w:p>
    <w:p w14:paraId="0BB7A3D5">
      <w:pPr>
        <w:spacing w:line="400" w:lineRule="exact"/>
        <w:jc w:val="center"/>
        <w:outlineLvl w:val="0"/>
        <w:rPr>
          <w:rFonts w:ascii="黑体" w:eastAsia="黑体"/>
          <w:bCs/>
          <w:color w:val="auto"/>
          <w:sz w:val="28"/>
          <w:szCs w:val="28"/>
          <w:highlight w:val="none"/>
          <w:u w:val="none"/>
        </w:rPr>
      </w:pPr>
      <w:r>
        <w:rPr>
          <w:rFonts w:hint="eastAsia"/>
          <w:color w:val="auto"/>
          <w:sz w:val="21"/>
          <w:highlight w:val="none"/>
          <w:lang w:val="en-US" w:eastAsia="zh-CN" w:bidi="ar-SA"/>
        </w:rPr>
        <w:tab/>
      </w:r>
      <w:r>
        <w:rPr>
          <w:rFonts w:hint="eastAsia" w:ascii="黑体" w:eastAsia="黑体"/>
          <w:bCs/>
          <w:color w:val="auto"/>
          <w:sz w:val="28"/>
          <w:szCs w:val="28"/>
          <w:highlight w:val="none"/>
          <w:u w:val="none"/>
          <w:lang w:eastAsia="zh-CN"/>
        </w:rPr>
        <w:t>分项</w:t>
      </w:r>
      <w:r>
        <w:rPr>
          <w:rFonts w:hint="eastAsia" w:ascii="黑体" w:eastAsia="黑体"/>
          <w:bCs/>
          <w:color w:val="auto"/>
          <w:sz w:val="28"/>
          <w:szCs w:val="28"/>
          <w:highlight w:val="none"/>
          <w:u w:val="none"/>
        </w:rPr>
        <w:t>报价表</w:t>
      </w:r>
    </w:p>
    <w:p w14:paraId="169E86CF">
      <w:pPr>
        <w:spacing w:line="400" w:lineRule="exact"/>
        <w:rPr>
          <w:rFonts w:hint="eastAsia" w:ascii="黑体" w:eastAsia="黑体"/>
          <w:bCs/>
          <w:color w:val="auto"/>
          <w:sz w:val="24"/>
          <w:szCs w:val="24"/>
          <w:highlight w:val="none"/>
          <w:u w:val="none"/>
          <w:lang w:eastAsia="zh-CN"/>
        </w:rPr>
      </w:pPr>
      <w:r>
        <w:rPr>
          <w:rFonts w:hint="eastAsia" w:ascii="黑体" w:eastAsia="黑体"/>
          <w:bCs/>
          <w:color w:val="auto"/>
          <w:sz w:val="24"/>
          <w:szCs w:val="24"/>
          <w:highlight w:val="none"/>
        </w:rPr>
        <w:t>项目编号：</w:t>
      </w:r>
      <w:r>
        <w:rPr>
          <w:rFonts w:hint="eastAsia" w:ascii="黑体" w:eastAsia="黑体" w:cs="Times New Roman"/>
          <w:bCs/>
          <w:color w:val="auto"/>
          <w:sz w:val="24"/>
          <w:szCs w:val="24"/>
          <w:highlight w:val="none"/>
          <w:lang w:eastAsia="zh-CN"/>
        </w:rPr>
        <w:t>JSZC-320206-JZCG-G2026-0025</w:t>
      </w:r>
      <w:r>
        <w:rPr>
          <w:rFonts w:hint="eastAsia" w:ascii="黑体" w:hAnsi="Times New Roman" w:eastAsia="黑体" w:cs="Times New Roman"/>
          <w:bCs/>
          <w:color w:val="auto"/>
          <w:sz w:val="24"/>
          <w:szCs w:val="24"/>
          <w:highlight w:val="none"/>
          <w:lang w:eastAsia="zh-CN"/>
        </w:rPr>
        <w:t xml:space="preserve"> </w:t>
      </w:r>
    </w:p>
    <w:tbl>
      <w:tblPr>
        <w:tblStyle w:val="46"/>
        <w:tblW w:w="0" w:type="auto"/>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0"/>
        <w:gridCol w:w="210"/>
        <w:gridCol w:w="1785"/>
        <w:gridCol w:w="3045"/>
        <w:gridCol w:w="1155"/>
        <w:gridCol w:w="1123"/>
        <w:gridCol w:w="1099"/>
        <w:gridCol w:w="1138"/>
      </w:tblGrid>
      <w:tr w14:paraId="77E63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5" w:hRule="atLeast"/>
        </w:trPr>
        <w:tc>
          <w:tcPr>
            <w:tcW w:w="420" w:type="dxa"/>
            <w:noWrap w:val="0"/>
            <w:tcMar>
              <w:top w:w="15" w:type="dxa"/>
              <w:left w:w="15" w:type="dxa"/>
              <w:bottom w:w="0" w:type="dxa"/>
              <w:right w:w="15" w:type="dxa"/>
            </w:tcMar>
            <w:vAlign w:val="center"/>
          </w:tcPr>
          <w:p w14:paraId="0418A528">
            <w:pPr>
              <w:spacing w:before="5"/>
              <w:jc w:val="center"/>
              <w:rPr>
                <w:color w:val="auto"/>
                <w:sz w:val="18"/>
                <w:highlight w:val="none"/>
                <w:u w:val="none"/>
              </w:rPr>
            </w:pPr>
            <w:r>
              <w:rPr>
                <w:rFonts w:hint="eastAsia"/>
                <w:color w:val="auto"/>
                <w:sz w:val="18"/>
                <w:highlight w:val="none"/>
                <w:u w:val="none"/>
              </w:rPr>
              <w:t>序号</w:t>
            </w:r>
          </w:p>
        </w:tc>
        <w:tc>
          <w:tcPr>
            <w:tcW w:w="5040" w:type="dxa"/>
            <w:gridSpan w:val="3"/>
            <w:noWrap w:val="0"/>
            <w:tcMar>
              <w:top w:w="15" w:type="dxa"/>
              <w:left w:w="15" w:type="dxa"/>
              <w:bottom w:w="0" w:type="dxa"/>
              <w:right w:w="15" w:type="dxa"/>
            </w:tcMar>
            <w:vAlign w:val="center"/>
          </w:tcPr>
          <w:p w14:paraId="09ACF967">
            <w:pPr>
              <w:spacing w:before="5"/>
              <w:jc w:val="center"/>
              <w:rPr>
                <w:rFonts w:hint="eastAsia" w:eastAsia="宋体"/>
                <w:color w:val="auto"/>
                <w:sz w:val="18"/>
                <w:highlight w:val="none"/>
                <w:u w:val="none"/>
                <w:lang w:eastAsia="zh-CN"/>
              </w:rPr>
            </w:pPr>
            <w:r>
              <w:rPr>
                <w:rFonts w:hint="eastAsia"/>
                <w:color w:val="auto"/>
                <w:sz w:val="18"/>
                <w:highlight w:val="none"/>
                <w:u w:val="none"/>
                <w:lang w:eastAsia="zh-CN"/>
              </w:rPr>
              <w:t>服务内容</w:t>
            </w:r>
          </w:p>
        </w:tc>
        <w:tc>
          <w:tcPr>
            <w:tcW w:w="1155" w:type="dxa"/>
            <w:noWrap w:val="0"/>
            <w:tcMar>
              <w:top w:w="15" w:type="dxa"/>
              <w:left w:w="15" w:type="dxa"/>
              <w:bottom w:w="0" w:type="dxa"/>
              <w:right w:w="15" w:type="dxa"/>
            </w:tcMar>
            <w:vAlign w:val="center"/>
          </w:tcPr>
          <w:p w14:paraId="05F3DDCA">
            <w:pPr>
              <w:spacing w:before="5"/>
              <w:jc w:val="center"/>
              <w:rPr>
                <w:rFonts w:hint="eastAsia" w:eastAsia="宋体"/>
                <w:color w:val="auto"/>
                <w:sz w:val="18"/>
                <w:highlight w:val="none"/>
                <w:u w:val="none"/>
                <w:lang w:eastAsia="zh-CN"/>
              </w:rPr>
            </w:pPr>
            <w:r>
              <w:rPr>
                <w:rFonts w:hint="eastAsia"/>
                <w:color w:val="auto"/>
                <w:sz w:val="18"/>
                <w:highlight w:val="none"/>
                <w:u w:val="none"/>
                <w:lang w:eastAsia="zh-CN"/>
              </w:rPr>
              <w:t>数量</w:t>
            </w:r>
          </w:p>
        </w:tc>
        <w:tc>
          <w:tcPr>
            <w:tcW w:w="1123" w:type="dxa"/>
            <w:noWrap w:val="0"/>
            <w:vAlign w:val="center"/>
          </w:tcPr>
          <w:p w14:paraId="53B18A14">
            <w:pPr>
              <w:spacing w:before="5"/>
              <w:jc w:val="center"/>
              <w:rPr>
                <w:rFonts w:hint="eastAsia" w:eastAsia="宋体"/>
                <w:color w:val="auto"/>
                <w:sz w:val="18"/>
                <w:highlight w:val="none"/>
                <w:u w:val="none"/>
                <w:lang w:eastAsia="zh-CN"/>
              </w:rPr>
            </w:pPr>
            <w:r>
              <w:rPr>
                <w:rFonts w:hint="eastAsia"/>
                <w:color w:val="auto"/>
                <w:sz w:val="18"/>
                <w:highlight w:val="none"/>
                <w:u w:val="none"/>
                <w:lang w:eastAsia="zh-CN"/>
              </w:rPr>
              <w:t>单位</w:t>
            </w:r>
          </w:p>
        </w:tc>
        <w:tc>
          <w:tcPr>
            <w:tcW w:w="1099" w:type="dxa"/>
            <w:noWrap w:val="0"/>
            <w:tcMar>
              <w:top w:w="15" w:type="dxa"/>
              <w:left w:w="15" w:type="dxa"/>
              <w:bottom w:w="0" w:type="dxa"/>
              <w:right w:w="15" w:type="dxa"/>
            </w:tcMar>
            <w:vAlign w:val="center"/>
          </w:tcPr>
          <w:p w14:paraId="5AC95A24">
            <w:pPr>
              <w:spacing w:before="5"/>
              <w:jc w:val="center"/>
              <w:rPr>
                <w:rFonts w:hint="eastAsia" w:eastAsia="宋体"/>
                <w:color w:val="auto"/>
                <w:sz w:val="18"/>
                <w:highlight w:val="none"/>
                <w:u w:val="none"/>
                <w:lang w:eastAsia="zh-CN"/>
              </w:rPr>
            </w:pPr>
            <w:r>
              <w:rPr>
                <w:rFonts w:hint="eastAsia"/>
                <w:color w:val="auto"/>
                <w:sz w:val="18"/>
                <w:highlight w:val="none"/>
                <w:u w:val="none"/>
                <w:lang w:eastAsia="zh-CN"/>
              </w:rPr>
              <w:t>单报价</w:t>
            </w:r>
          </w:p>
        </w:tc>
        <w:tc>
          <w:tcPr>
            <w:tcW w:w="1138" w:type="dxa"/>
            <w:noWrap w:val="0"/>
            <w:vAlign w:val="center"/>
          </w:tcPr>
          <w:p w14:paraId="1EDAD0B0">
            <w:pPr>
              <w:spacing w:before="5"/>
              <w:jc w:val="center"/>
              <w:rPr>
                <w:rFonts w:hint="eastAsia" w:eastAsia="宋体"/>
                <w:color w:val="auto"/>
                <w:sz w:val="18"/>
                <w:highlight w:val="none"/>
                <w:u w:val="none"/>
                <w:lang w:eastAsia="zh-CN"/>
              </w:rPr>
            </w:pPr>
            <w:r>
              <w:rPr>
                <w:rFonts w:hint="eastAsia"/>
                <w:color w:val="auto"/>
                <w:sz w:val="18"/>
                <w:highlight w:val="none"/>
                <w:u w:val="none"/>
                <w:lang w:eastAsia="zh-CN"/>
              </w:rPr>
              <w:t>分析总报价</w:t>
            </w:r>
          </w:p>
        </w:tc>
      </w:tr>
      <w:tr w14:paraId="424A4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17" w:hRule="atLeast"/>
        </w:trPr>
        <w:tc>
          <w:tcPr>
            <w:tcW w:w="420" w:type="dxa"/>
            <w:noWrap w:val="0"/>
            <w:tcMar>
              <w:top w:w="15" w:type="dxa"/>
              <w:left w:w="15" w:type="dxa"/>
              <w:bottom w:w="0" w:type="dxa"/>
              <w:right w:w="15" w:type="dxa"/>
            </w:tcMar>
            <w:vAlign w:val="center"/>
          </w:tcPr>
          <w:p w14:paraId="5F8E8008">
            <w:pPr>
              <w:pStyle w:val="28"/>
              <w:pBdr>
                <w:bottom w:val="none" w:color="auto" w:sz="0" w:space="0"/>
              </w:pBdr>
              <w:tabs>
                <w:tab w:val="clear" w:pos="4153"/>
                <w:tab w:val="clear" w:pos="8306"/>
              </w:tabs>
              <w:spacing w:before="5"/>
              <w:rPr>
                <w:rFonts w:hint="default" w:ascii="宋体"/>
                <w:color w:val="auto"/>
                <w:szCs w:val="20"/>
                <w:highlight w:val="none"/>
                <w:u w:val="none"/>
                <w:lang w:val="en-US" w:eastAsia="zh-CN"/>
              </w:rPr>
            </w:pPr>
            <w:r>
              <w:rPr>
                <w:rFonts w:hint="eastAsia" w:ascii="宋体"/>
                <w:color w:val="auto"/>
                <w:szCs w:val="20"/>
                <w:highlight w:val="none"/>
                <w:u w:val="none"/>
                <w:lang w:val="en-US" w:eastAsia="zh-CN"/>
              </w:rPr>
              <w:t>1</w:t>
            </w:r>
          </w:p>
        </w:tc>
        <w:tc>
          <w:tcPr>
            <w:tcW w:w="5040" w:type="dxa"/>
            <w:gridSpan w:val="3"/>
            <w:noWrap w:val="0"/>
            <w:tcMar>
              <w:top w:w="15" w:type="dxa"/>
              <w:left w:w="15" w:type="dxa"/>
              <w:bottom w:w="0" w:type="dxa"/>
              <w:right w:w="15" w:type="dxa"/>
            </w:tcMar>
            <w:vAlign w:val="center"/>
          </w:tcPr>
          <w:p w14:paraId="48CFBECC">
            <w:pPr>
              <w:jc w:val="center"/>
              <w:rPr>
                <w:rFonts w:ascii="宋体"/>
                <w:bCs/>
                <w:color w:val="auto"/>
                <w:sz w:val="18"/>
                <w:highlight w:val="none"/>
                <w:u w:val="none"/>
              </w:rPr>
            </w:pPr>
          </w:p>
        </w:tc>
        <w:tc>
          <w:tcPr>
            <w:tcW w:w="1155" w:type="dxa"/>
            <w:noWrap w:val="0"/>
            <w:tcMar>
              <w:top w:w="15" w:type="dxa"/>
              <w:left w:w="15" w:type="dxa"/>
              <w:bottom w:w="0" w:type="dxa"/>
              <w:right w:w="15" w:type="dxa"/>
            </w:tcMar>
            <w:vAlign w:val="center"/>
          </w:tcPr>
          <w:p w14:paraId="4E57756B">
            <w:pPr>
              <w:jc w:val="center"/>
              <w:rPr>
                <w:rFonts w:ascii="黑体" w:hAnsi="宋体" w:eastAsia="黑体"/>
                <w:b/>
                <w:bCs/>
                <w:color w:val="auto"/>
                <w:sz w:val="24"/>
                <w:szCs w:val="24"/>
                <w:highlight w:val="none"/>
                <w:u w:val="none"/>
              </w:rPr>
            </w:pPr>
            <w:r>
              <w:rPr>
                <w:rFonts w:hint="eastAsia" w:ascii="黑体" w:eastAsia="黑体"/>
                <w:b/>
                <w:bCs/>
                <w:color w:val="auto"/>
                <w:highlight w:val="none"/>
                <w:u w:val="none"/>
              </w:rPr>
              <w:t>　</w:t>
            </w:r>
          </w:p>
        </w:tc>
        <w:tc>
          <w:tcPr>
            <w:tcW w:w="1123" w:type="dxa"/>
            <w:noWrap w:val="0"/>
            <w:vAlign w:val="center"/>
          </w:tcPr>
          <w:p w14:paraId="0D04B3D1">
            <w:pPr>
              <w:jc w:val="center"/>
              <w:rPr>
                <w:rFonts w:ascii="黑体" w:hAnsi="宋体" w:eastAsia="黑体"/>
                <w:b/>
                <w:bCs/>
                <w:color w:val="auto"/>
                <w:sz w:val="24"/>
                <w:szCs w:val="24"/>
                <w:highlight w:val="none"/>
                <w:u w:val="none"/>
              </w:rPr>
            </w:pPr>
          </w:p>
        </w:tc>
        <w:tc>
          <w:tcPr>
            <w:tcW w:w="1099" w:type="dxa"/>
            <w:noWrap w:val="0"/>
            <w:tcMar>
              <w:top w:w="15" w:type="dxa"/>
              <w:left w:w="15" w:type="dxa"/>
              <w:bottom w:w="0" w:type="dxa"/>
              <w:right w:w="15" w:type="dxa"/>
            </w:tcMar>
            <w:vAlign w:val="center"/>
          </w:tcPr>
          <w:p w14:paraId="103AE235">
            <w:pPr>
              <w:jc w:val="center"/>
              <w:rPr>
                <w:rFonts w:ascii="黑体" w:hAnsi="宋体" w:eastAsia="黑体"/>
                <w:b/>
                <w:bCs/>
                <w:color w:val="auto"/>
                <w:sz w:val="24"/>
                <w:szCs w:val="24"/>
                <w:highlight w:val="none"/>
                <w:u w:val="none"/>
              </w:rPr>
            </w:pPr>
            <w:r>
              <w:rPr>
                <w:rFonts w:hint="eastAsia" w:ascii="黑体" w:eastAsia="黑体"/>
                <w:b/>
                <w:bCs/>
                <w:color w:val="auto"/>
                <w:highlight w:val="none"/>
                <w:u w:val="none"/>
              </w:rPr>
              <w:t>　</w:t>
            </w:r>
          </w:p>
        </w:tc>
        <w:tc>
          <w:tcPr>
            <w:tcW w:w="1138" w:type="dxa"/>
            <w:noWrap w:val="0"/>
            <w:vAlign w:val="center"/>
          </w:tcPr>
          <w:p w14:paraId="2CE50221">
            <w:pPr>
              <w:jc w:val="center"/>
              <w:rPr>
                <w:rFonts w:ascii="黑体" w:hAnsi="宋体" w:eastAsia="黑体"/>
                <w:b/>
                <w:bCs/>
                <w:color w:val="auto"/>
                <w:sz w:val="24"/>
                <w:szCs w:val="24"/>
                <w:highlight w:val="none"/>
                <w:u w:val="none"/>
              </w:rPr>
            </w:pPr>
          </w:p>
        </w:tc>
      </w:tr>
      <w:tr w14:paraId="59144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8" w:hRule="atLeast"/>
        </w:trPr>
        <w:tc>
          <w:tcPr>
            <w:tcW w:w="420" w:type="dxa"/>
            <w:noWrap w:val="0"/>
            <w:tcMar>
              <w:top w:w="15" w:type="dxa"/>
              <w:left w:w="15" w:type="dxa"/>
              <w:bottom w:w="0" w:type="dxa"/>
              <w:right w:w="15" w:type="dxa"/>
            </w:tcMar>
            <w:vAlign w:val="center"/>
          </w:tcPr>
          <w:p w14:paraId="4AB9703E">
            <w:pPr>
              <w:jc w:val="center"/>
              <w:rPr>
                <w:rFonts w:hint="eastAsia" w:ascii="宋体" w:eastAsia="宋体"/>
                <w:color w:val="auto"/>
                <w:sz w:val="18"/>
                <w:highlight w:val="none"/>
                <w:u w:val="none"/>
                <w:lang w:val="en-US" w:eastAsia="zh-CN"/>
              </w:rPr>
            </w:pPr>
            <w:r>
              <w:rPr>
                <w:rFonts w:hint="eastAsia" w:ascii="宋体"/>
                <w:color w:val="auto"/>
                <w:sz w:val="18"/>
                <w:highlight w:val="none"/>
                <w:u w:val="none"/>
                <w:lang w:val="en-US" w:eastAsia="zh-CN"/>
              </w:rPr>
              <w:t>2</w:t>
            </w:r>
          </w:p>
        </w:tc>
        <w:tc>
          <w:tcPr>
            <w:tcW w:w="5040" w:type="dxa"/>
            <w:gridSpan w:val="3"/>
            <w:noWrap w:val="0"/>
            <w:tcMar>
              <w:top w:w="15" w:type="dxa"/>
              <w:left w:w="15" w:type="dxa"/>
              <w:bottom w:w="0" w:type="dxa"/>
              <w:right w:w="15" w:type="dxa"/>
            </w:tcMar>
            <w:vAlign w:val="center"/>
          </w:tcPr>
          <w:p w14:paraId="1428CFC1">
            <w:pPr>
              <w:jc w:val="center"/>
              <w:rPr>
                <w:rFonts w:ascii="宋体"/>
                <w:bCs/>
                <w:color w:val="auto"/>
                <w:sz w:val="18"/>
                <w:highlight w:val="none"/>
                <w:u w:val="none"/>
              </w:rPr>
            </w:pPr>
          </w:p>
        </w:tc>
        <w:tc>
          <w:tcPr>
            <w:tcW w:w="1155" w:type="dxa"/>
            <w:noWrap w:val="0"/>
            <w:tcMar>
              <w:top w:w="15" w:type="dxa"/>
              <w:left w:w="15" w:type="dxa"/>
              <w:bottom w:w="0" w:type="dxa"/>
              <w:right w:w="15" w:type="dxa"/>
            </w:tcMar>
            <w:vAlign w:val="center"/>
          </w:tcPr>
          <w:p w14:paraId="4C5F4AE1">
            <w:pPr>
              <w:jc w:val="center"/>
              <w:rPr>
                <w:rFonts w:ascii="黑体" w:hAnsi="宋体" w:eastAsia="黑体"/>
                <w:b/>
                <w:bCs/>
                <w:color w:val="auto"/>
                <w:sz w:val="24"/>
                <w:szCs w:val="24"/>
                <w:highlight w:val="none"/>
                <w:u w:val="none"/>
              </w:rPr>
            </w:pPr>
            <w:r>
              <w:rPr>
                <w:rFonts w:hint="eastAsia" w:ascii="黑体" w:eastAsia="黑体"/>
                <w:b/>
                <w:bCs/>
                <w:color w:val="auto"/>
                <w:highlight w:val="none"/>
                <w:u w:val="none"/>
              </w:rPr>
              <w:t>　</w:t>
            </w:r>
          </w:p>
        </w:tc>
        <w:tc>
          <w:tcPr>
            <w:tcW w:w="1123" w:type="dxa"/>
            <w:noWrap w:val="0"/>
            <w:vAlign w:val="center"/>
          </w:tcPr>
          <w:p w14:paraId="649C87C6">
            <w:pPr>
              <w:jc w:val="center"/>
              <w:rPr>
                <w:rFonts w:ascii="黑体" w:hAnsi="宋体" w:eastAsia="黑体"/>
                <w:b/>
                <w:bCs/>
                <w:color w:val="auto"/>
                <w:sz w:val="24"/>
                <w:szCs w:val="24"/>
                <w:highlight w:val="none"/>
                <w:u w:val="none"/>
              </w:rPr>
            </w:pPr>
          </w:p>
        </w:tc>
        <w:tc>
          <w:tcPr>
            <w:tcW w:w="1099" w:type="dxa"/>
            <w:noWrap w:val="0"/>
            <w:tcMar>
              <w:top w:w="15" w:type="dxa"/>
              <w:left w:w="15" w:type="dxa"/>
              <w:bottom w:w="0" w:type="dxa"/>
              <w:right w:w="15" w:type="dxa"/>
            </w:tcMar>
            <w:vAlign w:val="center"/>
          </w:tcPr>
          <w:p w14:paraId="6EAE2342">
            <w:pPr>
              <w:jc w:val="center"/>
              <w:rPr>
                <w:rFonts w:ascii="黑体" w:hAnsi="宋体" w:eastAsia="黑体"/>
                <w:b/>
                <w:bCs/>
                <w:color w:val="auto"/>
                <w:sz w:val="24"/>
                <w:szCs w:val="24"/>
                <w:highlight w:val="none"/>
                <w:u w:val="none"/>
              </w:rPr>
            </w:pPr>
            <w:r>
              <w:rPr>
                <w:rFonts w:hint="eastAsia" w:ascii="黑体" w:eastAsia="黑体"/>
                <w:b/>
                <w:bCs/>
                <w:color w:val="auto"/>
                <w:highlight w:val="none"/>
                <w:u w:val="none"/>
              </w:rPr>
              <w:t>　</w:t>
            </w:r>
          </w:p>
        </w:tc>
        <w:tc>
          <w:tcPr>
            <w:tcW w:w="1138" w:type="dxa"/>
            <w:noWrap w:val="0"/>
            <w:vAlign w:val="center"/>
          </w:tcPr>
          <w:p w14:paraId="5244A486">
            <w:pPr>
              <w:jc w:val="center"/>
              <w:rPr>
                <w:rFonts w:ascii="黑体" w:hAnsi="宋体" w:eastAsia="黑体"/>
                <w:b/>
                <w:bCs/>
                <w:color w:val="auto"/>
                <w:sz w:val="24"/>
                <w:szCs w:val="24"/>
                <w:highlight w:val="none"/>
                <w:u w:val="none"/>
              </w:rPr>
            </w:pPr>
          </w:p>
        </w:tc>
      </w:tr>
      <w:tr w14:paraId="3906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2" w:hRule="atLeast"/>
        </w:trPr>
        <w:tc>
          <w:tcPr>
            <w:tcW w:w="2415" w:type="dxa"/>
            <w:gridSpan w:val="3"/>
            <w:noWrap w:val="0"/>
            <w:tcMar>
              <w:top w:w="15" w:type="dxa"/>
              <w:left w:w="15" w:type="dxa"/>
              <w:bottom w:w="0" w:type="dxa"/>
              <w:right w:w="15" w:type="dxa"/>
            </w:tcMar>
            <w:vAlign w:val="center"/>
          </w:tcPr>
          <w:p w14:paraId="21068951">
            <w:pPr>
              <w:pStyle w:val="28"/>
              <w:pBdr>
                <w:bottom w:val="none" w:color="auto" w:sz="0" w:space="0"/>
              </w:pBdr>
              <w:tabs>
                <w:tab w:val="clear" w:pos="4153"/>
                <w:tab w:val="clear" w:pos="8306"/>
              </w:tabs>
              <w:rPr>
                <w:rFonts w:ascii="宋体"/>
                <w:b/>
                <w:bCs/>
                <w:color w:val="auto"/>
                <w:sz w:val="24"/>
                <w:szCs w:val="20"/>
                <w:highlight w:val="none"/>
                <w:u w:val="none"/>
                <w:lang w:val="en-US" w:eastAsia="zh-CN"/>
              </w:rPr>
            </w:pPr>
            <w:r>
              <w:rPr>
                <w:rFonts w:hint="eastAsia" w:ascii="宋体"/>
                <w:b/>
                <w:bCs/>
                <w:color w:val="auto"/>
                <w:sz w:val="24"/>
                <w:szCs w:val="20"/>
                <w:highlight w:val="none"/>
                <w:u w:val="none"/>
                <w:lang w:val="en-US" w:eastAsia="zh-CN"/>
              </w:rPr>
              <w:t>合计报价</w:t>
            </w:r>
          </w:p>
        </w:tc>
        <w:tc>
          <w:tcPr>
            <w:tcW w:w="7560" w:type="dxa"/>
            <w:gridSpan w:val="5"/>
            <w:noWrap w:val="0"/>
            <w:tcMar>
              <w:top w:w="15" w:type="dxa"/>
              <w:left w:w="15" w:type="dxa"/>
              <w:bottom w:w="0" w:type="dxa"/>
              <w:right w:w="15" w:type="dxa"/>
            </w:tcMar>
            <w:vAlign w:val="center"/>
          </w:tcPr>
          <w:p w14:paraId="59158505">
            <w:pPr>
              <w:jc w:val="center"/>
              <w:rPr>
                <w:rFonts w:ascii="黑体" w:hAnsi="宋体" w:eastAsia="黑体"/>
                <w:b/>
                <w:bCs/>
                <w:color w:val="auto"/>
                <w:sz w:val="24"/>
                <w:szCs w:val="24"/>
                <w:highlight w:val="none"/>
                <w:u w:val="none"/>
              </w:rPr>
            </w:pPr>
          </w:p>
        </w:tc>
      </w:tr>
      <w:tr w14:paraId="0DC5D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2" w:hRule="atLeast"/>
        </w:trPr>
        <w:tc>
          <w:tcPr>
            <w:tcW w:w="2415" w:type="dxa"/>
            <w:gridSpan w:val="3"/>
            <w:shd w:val="clear"/>
            <w:noWrap w:val="0"/>
            <w:tcMar>
              <w:top w:w="15" w:type="dxa"/>
              <w:left w:w="15" w:type="dxa"/>
              <w:bottom w:w="0" w:type="dxa"/>
              <w:right w:w="15" w:type="dxa"/>
            </w:tcMar>
            <w:vAlign w:val="center"/>
          </w:tcPr>
          <w:p w14:paraId="3028087D">
            <w:pPr>
              <w:pStyle w:val="28"/>
              <w:pBdr>
                <w:bottom w:val="none" w:color="auto" w:sz="0" w:space="0"/>
              </w:pBdr>
              <w:tabs>
                <w:tab w:val="clear" w:pos="4153"/>
                <w:tab w:val="clear" w:pos="8306"/>
              </w:tabs>
              <w:rPr>
                <w:rFonts w:hint="eastAsia" w:ascii="宋体" w:hAnsi="Times New Roman" w:eastAsia="宋体" w:cs="Times New Roman"/>
                <w:b/>
                <w:bCs/>
                <w:color w:val="auto"/>
                <w:sz w:val="24"/>
                <w:szCs w:val="20"/>
                <w:highlight w:val="none"/>
                <w:u w:val="none"/>
                <w:lang w:val="en-US" w:eastAsia="zh-CN" w:bidi="ar-SA"/>
              </w:rPr>
            </w:pPr>
            <w:r>
              <w:rPr>
                <w:rFonts w:hint="eastAsia" w:ascii="宋体"/>
                <w:b/>
                <w:bCs/>
                <w:color w:val="auto"/>
                <w:sz w:val="24"/>
                <w:szCs w:val="20"/>
                <w:highlight w:val="none"/>
                <w:u w:val="none"/>
                <w:lang w:val="en-US" w:eastAsia="zh-CN"/>
              </w:rPr>
              <w:t>服务期限</w:t>
            </w:r>
          </w:p>
        </w:tc>
        <w:tc>
          <w:tcPr>
            <w:tcW w:w="7560" w:type="dxa"/>
            <w:gridSpan w:val="5"/>
            <w:shd w:val="clear"/>
            <w:noWrap w:val="0"/>
            <w:tcMar>
              <w:top w:w="15" w:type="dxa"/>
              <w:left w:w="15" w:type="dxa"/>
              <w:bottom w:w="0" w:type="dxa"/>
              <w:right w:w="15" w:type="dxa"/>
            </w:tcMar>
            <w:vAlign w:val="center"/>
          </w:tcPr>
          <w:p w14:paraId="60AB30C5">
            <w:pPr>
              <w:jc w:val="center"/>
              <w:rPr>
                <w:rFonts w:hint="eastAsia" w:ascii="黑体" w:hAnsi="宋体" w:eastAsia="黑体" w:cs="Times New Roman"/>
                <w:b/>
                <w:bCs/>
                <w:color w:val="auto"/>
                <w:sz w:val="24"/>
                <w:szCs w:val="24"/>
                <w:highlight w:val="none"/>
                <w:u w:val="none"/>
                <w:lang w:val="en-US" w:eastAsia="zh-CN" w:bidi="ar-SA"/>
              </w:rPr>
            </w:pPr>
            <w:r>
              <w:rPr>
                <w:rFonts w:hint="eastAsia" w:hAnsi="宋体"/>
                <w:color w:val="auto"/>
                <w:sz w:val="24"/>
                <w:szCs w:val="24"/>
              </w:rPr>
              <w:t>服务期限一年，自合同签订日期算起</w:t>
            </w:r>
          </w:p>
        </w:tc>
      </w:tr>
      <w:tr w14:paraId="11872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4" w:hRule="atLeast"/>
        </w:trPr>
        <w:tc>
          <w:tcPr>
            <w:tcW w:w="630" w:type="dxa"/>
            <w:gridSpan w:val="2"/>
            <w:vMerge w:val="restart"/>
            <w:noWrap w:val="0"/>
            <w:vAlign w:val="center"/>
          </w:tcPr>
          <w:p w14:paraId="74A2E11A">
            <w:pPr>
              <w:pStyle w:val="39"/>
              <w:spacing w:line="400" w:lineRule="exact"/>
              <w:ind w:firstLine="120"/>
              <w:rPr>
                <w:rFonts w:asci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t>服</w:t>
            </w:r>
          </w:p>
          <w:p w14:paraId="30CF2CEB">
            <w:pPr>
              <w:pStyle w:val="39"/>
              <w:spacing w:line="400" w:lineRule="exact"/>
              <w:ind w:firstLine="120"/>
              <w:rPr>
                <w:rFonts w:asci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t>务</w:t>
            </w:r>
          </w:p>
          <w:p w14:paraId="089ED31A">
            <w:pPr>
              <w:pStyle w:val="39"/>
              <w:spacing w:line="400" w:lineRule="exact"/>
              <w:ind w:firstLine="120"/>
              <w:rPr>
                <w:rFonts w:asci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t>承</w:t>
            </w:r>
          </w:p>
          <w:p w14:paraId="3F6A8CE1">
            <w:pPr>
              <w:pStyle w:val="39"/>
              <w:spacing w:line="400" w:lineRule="exact"/>
              <w:ind w:firstLine="120"/>
              <w:rPr>
                <w:rFonts w:ascii="宋体"/>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t>诺</w:t>
            </w:r>
          </w:p>
        </w:tc>
        <w:tc>
          <w:tcPr>
            <w:tcW w:w="9345" w:type="dxa"/>
            <w:gridSpan w:val="6"/>
            <w:noWrap w:val="0"/>
            <w:vAlign w:val="center"/>
          </w:tcPr>
          <w:p w14:paraId="76356AF8">
            <w:pPr>
              <w:numPr>
                <w:ilvl w:val="0"/>
                <w:numId w:val="12"/>
              </w:numPr>
              <w:rPr>
                <w:rFonts w:ascii="宋体"/>
                <w:bCs/>
                <w:color w:val="auto"/>
                <w:sz w:val="24"/>
                <w:szCs w:val="24"/>
                <w:highlight w:val="none"/>
                <w:u w:val="none"/>
              </w:rPr>
            </w:pPr>
            <w:r>
              <w:rPr>
                <w:rFonts w:hint="eastAsia" w:ascii="宋体" w:hAnsi="宋体"/>
                <w:bCs/>
                <w:color w:val="auto"/>
                <w:sz w:val="24"/>
                <w:szCs w:val="24"/>
                <w:highlight w:val="none"/>
                <w:u w:val="none"/>
              </w:rPr>
              <w:t>质量</w:t>
            </w:r>
            <w:r>
              <w:rPr>
                <w:rFonts w:ascii="宋体" w:hAnsi="宋体"/>
                <w:bCs/>
                <w:color w:val="auto"/>
                <w:sz w:val="24"/>
                <w:szCs w:val="24"/>
                <w:highlight w:val="none"/>
                <w:u w:val="none"/>
              </w:rPr>
              <w:t xml:space="preserve"> 2.</w:t>
            </w:r>
            <w:r>
              <w:rPr>
                <w:rFonts w:hint="eastAsia" w:ascii="宋体" w:hAnsi="宋体"/>
                <w:bCs/>
                <w:color w:val="auto"/>
                <w:sz w:val="24"/>
                <w:szCs w:val="24"/>
                <w:highlight w:val="none"/>
                <w:u w:val="none"/>
              </w:rPr>
              <w:t>安装</w:t>
            </w:r>
            <w:r>
              <w:rPr>
                <w:rFonts w:ascii="宋体" w:hAnsi="宋体"/>
                <w:bCs/>
                <w:color w:val="auto"/>
                <w:sz w:val="24"/>
                <w:szCs w:val="24"/>
                <w:highlight w:val="none"/>
                <w:u w:val="none"/>
              </w:rPr>
              <w:t xml:space="preserve"> 3."</w:t>
            </w:r>
            <w:r>
              <w:rPr>
                <w:rFonts w:hint="eastAsia" w:ascii="宋体" w:hAnsi="宋体"/>
                <w:bCs/>
                <w:color w:val="auto"/>
                <w:sz w:val="24"/>
                <w:szCs w:val="24"/>
                <w:highlight w:val="none"/>
                <w:u w:val="none"/>
              </w:rPr>
              <w:t>三包</w:t>
            </w:r>
            <w:r>
              <w:rPr>
                <w:rFonts w:ascii="宋体" w:hAnsi="宋体"/>
                <w:bCs/>
                <w:color w:val="auto"/>
                <w:sz w:val="24"/>
                <w:szCs w:val="24"/>
                <w:highlight w:val="none"/>
                <w:u w:val="none"/>
              </w:rPr>
              <w:t>"(</w:t>
            </w:r>
            <w:r>
              <w:rPr>
                <w:rFonts w:hint="eastAsia" w:ascii="宋体" w:hAnsi="宋体"/>
                <w:bCs/>
                <w:color w:val="auto"/>
                <w:sz w:val="24"/>
                <w:szCs w:val="24"/>
                <w:highlight w:val="none"/>
                <w:u w:val="none"/>
              </w:rPr>
              <w:t>包修、包退、包换</w:t>
            </w:r>
            <w:r>
              <w:rPr>
                <w:rFonts w:ascii="宋体" w:hAnsi="宋体"/>
                <w:bCs/>
                <w:color w:val="auto"/>
                <w:sz w:val="24"/>
                <w:szCs w:val="24"/>
                <w:highlight w:val="none"/>
                <w:u w:val="none"/>
              </w:rPr>
              <w:t>)4</w:t>
            </w:r>
            <w:r>
              <w:rPr>
                <w:rFonts w:ascii="宋体"/>
                <w:bCs/>
                <w:color w:val="auto"/>
                <w:sz w:val="24"/>
                <w:szCs w:val="24"/>
                <w:highlight w:val="none"/>
                <w:u w:val="none"/>
              </w:rPr>
              <w:t>.</w:t>
            </w:r>
            <w:r>
              <w:rPr>
                <w:rFonts w:hint="eastAsia" w:ascii="宋体" w:hAnsi="宋体"/>
                <w:bCs/>
                <w:color w:val="auto"/>
                <w:sz w:val="24"/>
                <w:szCs w:val="24"/>
                <w:highlight w:val="none"/>
                <w:u w:val="none"/>
              </w:rPr>
              <w:t>其他承诺</w:t>
            </w:r>
          </w:p>
          <w:p w14:paraId="4F4ED709">
            <w:pPr>
              <w:rPr>
                <w:rFonts w:ascii="宋体"/>
                <w:bCs/>
                <w:color w:val="auto"/>
                <w:sz w:val="24"/>
                <w:szCs w:val="24"/>
                <w:highlight w:val="none"/>
                <w:u w:val="none"/>
              </w:rPr>
            </w:pPr>
            <w:r>
              <w:rPr>
                <w:rFonts w:hint="eastAsia" w:ascii="宋体" w:hAnsi="宋体"/>
                <w:bCs/>
                <w:color w:val="auto"/>
                <w:sz w:val="24"/>
                <w:szCs w:val="24"/>
                <w:highlight w:val="none"/>
                <w:u w:val="none"/>
              </w:rPr>
              <w:t>（以上是主要承诺，供投标人参考，投标人应在满足招标文件要求的基础上，根据自己单位的情况作出具体承诺）</w:t>
            </w:r>
          </w:p>
        </w:tc>
      </w:tr>
      <w:tr w14:paraId="5354A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10" w:hRule="atLeast"/>
        </w:trPr>
        <w:tc>
          <w:tcPr>
            <w:tcW w:w="630" w:type="dxa"/>
            <w:gridSpan w:val="2"/>
            <w:vMerge w:val="continue"/>
            <w:noWrap w:val="0"/>
            <w:vAlign w:val="center"/>
          </w:tcPr>
          <w:p w14:paraId="3E1436EA">
            <w:pPr>
              <w:pStyle w:val="39"/>
              <w:spacing w:line="400" w:lineRule="exact"/>
              <w:rPr>
                <w:rFonts w:ascii="宋体"/>
                <w:bCs/>
                <w:color w:val="auto"/>
                <w:sz w:val="24"/>
                <w:szCs w:val="24"/>
                <w:highlight w:val="none"/>
                <w:u w:val="none"/>
                <w:lang w:val="en-US" w:eastAsia="zh-CN"/>
              </w:rPr>
            </w:pPr>
          </w:p>
        </w:tc>
        <w:tc>
          <w:tcPr>
            <w:tcW w:w="9345" w:type="dxa"/>
            <w:gridSpan w:val="6"/>
            <w:noWrap w:val="0"/>
            <w:vAlign w:val="center"/>
          </w:tcPr>
          <w:p w14:paraId="490EC6CA">
            <w:pPr>
              <w:rPr>
                <w:rFonts w:ascii="宋体"/>
                <w:bCs/>
                <w:color w:val="auto"/>
                <w:sz w:val="24"/>
                <w:szCs w:val="24"/>
                <w:highlight w:val="none"/>
                <w:u w:val="none"/>
              </w:rPr>
            </w:pPr>
          </w:p>
        </w:tc>
      </w:tr>
    </w:tbl>
    <w:p w14:paraId="50EB1A0D">
      <w:pPr>
        <w:spacing w:line="400" w:lineRule="exact"/>
        <w:rPr>
          <w:rFonts w:hint="eastAsia" w:ascii="黑体" w:eastAsia="黑体"/>
          <w:bCs/>
          <w:color w:val="auto"/>
          <w:sz w:val="24"/>
          <w:szCs w:val="24"/>
          <w:highlight w:val="none"/>
        </w:rPr>
      </w:pPr>
    </w:p>
    <w:p w14:paraId="4D9A900E">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投标人名称（盖章）：</w:t>
      </w:r>
    </w:p>
    <w:p w14:paraId="3809B7F8">
      <w:pPr>
        <w:spacing w:line="360" w:lineRule="exact"/>
        <w:outlineLvl w:val="0"/>
        <w:rPr>
          <w:rFonts w:hint="eastAsia" w:ascii="宋体" w:hAnsi="宋体"/>
          <w:b/>
          <w:color w:val="auto"/>
          <w:sz w:val="24"/>
          <w:szCs w:val="24"/>
          <w:highlight w:val="none"/>
          <w:u w:val="none"/>
        </w:rPr>
      </w:pPr>
    </w:p>
    <w:p w14:paraId="6FD41EC1">
      <w:pPr>
        <w:spacing w:line="360" w:lineRule="exact"/>
        <w:outlineLvl w:val="0"/>
        <w:rPr>
          <w:rFonts w:hint="eastAsia" w:ascii="宋体" w:hAnsi="宋体" w:eastAsia="宋体"/>
          <w:bCs/>
          <w:color w:val="auto"/>
          <w:sz w:val="24"/>
          <w:szCs w:val="24"/>
          <w:highlight w:val="none"/>
          <w:u w:val="none"/>
          <w:lang w:eastAsia="zh-CN"/>
        </w:rPr>
      </w:pPr>
      <w:r>
        <w:rPr>
          <w:rFonts w:hint="eastAsia" w:ascii="宋体" w:hAnsi="宋体"/>
          <w:b/>
          <w:color w:val="auto"/>
          <w:sz w:val="24"/>
          <w:szCs w:val="24"/>
          <w:highlight w:val="none"/>
          <w:u w:val="none"/>
        </w:rPr>
        <w:t>注：</w:t>
      </w:r>
      <w:bookmarkStart w:id="145" w:name="_GoBack"/>
      <w:bookmarkEnd w:id="145"/>
      <w:r>
        <w:rPr>
          <w:rFonts w:hint="eastAsia" w:ascii="宋体" w:hAnsi="宋体"/>
          <w:bCs/>
          <w:color w:val="auto"/>
          <w:sz w:val="24"/>
          <w:szCs w:val="24"/>
          <w:highlight w:val="none"/>
          <w:u w:val="none"/>
        </w:rPr>
        <w:t>（</w:t>
      </w:r>
      <w:r>
        <w:rPr>
          <w:rFonts w:hint="eastAsia" w:ascii="宋体" w:hAnsi="宋体"/>
          <w:bCs/>
          <w:color w:val="auto"/>
          <w:sz w:val="24"/>
          <w:szCs w:val="24"/>
          <w:highlight w:val="none"/>
          <w:u w:val="none"/>
          <w:lang w:val="en-US" w:eastAsia="zh-CN"/>
        </w:rPr>
        <w:t>1</w:t>
      </w:r>
      <w:r>
        <w:rPr>
          <w:rFonts w:hint="eastAsia" w:ascii="宋体" w:hAnsi="宋体"/>
          <w:bCs/>
          <w:color w:val="auto"/>
          <w:sz w:val="24"/>
          <w:szCs w:val="24"/>
          <w:highlight w:val="none"/>
          <w:u w:val="none"/>
        </w:rPr>
        <w:t>）投标人应当根据“项目技术要求”的内容在上表中详细填写；</w:t>
      </w:r>
      <w:r>
        <w:rPr>
          <w:rFonts w:hint="eastAsia" w:ascii="宋体" w:hAnsi="宋体"/>
          <w:bCs/>
          <w:color w:val="auto"/>
          <w:sz w:val="24"/>
          <w:szCs w:val="24"/>
          <w:highlight w:val="none"/>
          <w:u w:val="none"/>
          <w:lang w:eastAsia="zh-CN"/>
        </w:rPr>
        <w:t>不得遗漏，否则为无效投标文件。</w:t>
      </w:r>
    </w:p>
    <w:p w14:paraId="364DE44E">
      <w:pPr>
        <w:spacing w:line="360" w:lineRule="exact"/>
        <w:ind w:firstLine="315"/>
        <w:outlineLvl w:val="0"/>
        <w:rPr>
          <w:rFonts w:ascii="宋体" w:hAnsi="宋体"/>
          <w:bCs/>
          <w:color w:val="auto"/>
          <w:sz w:val="24"/>
          <w:szCs w:val="24"/>
          <w:highlight w:val="none"/>
          <w:u w:val="none"/>
        </w:rPr>
      </w:pPr>
      <w:r>
        <w:rPr>
          <w:rFonts w:hint="eastAsia" w:ascii="宋体" w:hAnsi="宋体"/>
          <w:bCs/>
          <w:color w:val="auto"/>
          <w:sz w:val="24"/>
          <w:szCs w:val="24"/>
          <w:highlight w:val="none"/>
          <w:u w:val="none"/>
        </w:rPr>
        <w:t>（</w:t>
      </w:r>
      <w:r>
        <w:rPr>
          <w:rFonts w:hint="eastAsia" w:ascii="宋体" w:hAnsi="宋体"/>
          <w:bCs/>
          <w:color w:val="auto"/>
          <w:sz w:val="24"/>
          <w:szCs w:val="24"/>
          <w:highlight w:val="none"/>
          <w:u w:val="none"/>
          <w:lang w:val="en-US" w:eastAsia="zh-CN"/>
        </w:rPr>
        <w:t>2</w:t>
      </w:r>
      <w:r>
        <w:rPr>
          <w:rFonts w:hint="eastAsia" w:ascii="宋体" w:hAnsi="宋体"/>
          <w:bCs/>
          <w:color w:val="auto"/>
          <w:sz w:val="24"/>
          <w:szCs w:val="24"/>
          <w:highlight w:val="none"/>
          <w:u w:val="none"/>
        </w:rPr>
        <w:t>）表格不够可自行延长。</w:t>
      </w:r>
    </w:p>
    <w:p w14:paraId="396C4F7B">
      <w:pPr>
        <w:tabs>
          <w:tab w:val="left" w:pos="701"/>
        </w:tabs>
        <w:jc w:val="left"/>
        <w:rPr>
          <w:rFonts w:hint="eastAsia"/>
          <w:color w:val="auto"/>
          <w:sz w:val="21"/>
          <w:highlight w:val="none"/>
          <w:lang w:val="en-US" w:eastAsia="zh-CN" w:bidi="ar-SA"/>
        </w:rPr>
      </w:pPr>
    </w:p>
    <w:p w14:paraId="3DDEDA36">
      <w:pPr>
        <w:tabs>
          <w:tab w:val="left" w:pos="701"/>
        </w:tabs>
        <w:jc w:val="left"/>
        <w:rPr>
          <w:rFonts w:hint="eastAsia"/>
          <w:color w:val="auto"/>
          <w:sz w:val="21"/>
          <w:highlight w:val="none"/>
          <w:lang w:val="en-US" w:eastAsia="zh-CN" w:bidi="ar-SA"/>
        </w:rPr>
      </w:pPr>
    </w:p>
    <w:p w14:paraId="3CAF867D">
      <w:pPr>
        <w:tabs>
          <w:tab w:val="left" w:pos="701"/>
        </w:tabs>
        <w:jc w:val="left"/>
        <w:rPr>
          <w:rFonts w:hint="eastAsia"/>
          <w:color w:val="auto"/>
          <w:sz w:val="21"/>
          <w:highlight w:val="none"/>
          <w:lang w:val="en-US" w:eastAsia="zh-CN" w:bidi="ar-SA"/>
        </w:rPr>
      </w:pPr>
    </w:p>
    <w:p w14:paraId="45C2CB11">
      <w:pPr>
        <w:tabs>
          <w:tab w:val="left" w:pos="701"/>
        </w:tabs>
        <w:jc w:val="left"/>
        <w:rPr>
          <w:rFonts w:hint="eastAsia"/>
          <w:color w:val="auto"/>
          <w:sz w:val="21"/>
          <w:highlight w:val="none"/>
          <w:lang w:val="en-US" w:eastAsia="zh-CN" w:bidi="ar-SA"/>
        </w:rPr>
      </w:pPr>
    </w:p>
    <w:p w14:paraId="18B10344">
      <w:pPr>
        <w:tabs>
          <w:tab w:val="left" w:pos="701"/>
        </w:tabs>
        <w:jc w:val="left"/>
        <w:rPr>
          <w:rFonts w:hint="eastAsia"/>
          <w:color w:val="auto"/>
          <w:sz w:val="21"/>
          <w:highlight w:val="none"/>
          <w:lang w:val="en-US" w:eastAsia="zh-CN" w:bidi="ar-SA"/>
        </w:rPr>
      </w:pPr>
    </w:p>
    <w:p w14:paraId="33977623">
      <w:pPr>
        <w:tabs>
          <w:tab w:val="left" w:pos="701"/>
        </w:tabs>
        <w:jc w:val="left"/>
        <w:rPr>
          <w:rFonts w:hint="eastAsia"/>
          <w:color w:val="auto"/>
          <w:sz w:val="21"/>
          <w:highlight w:val="none"/>
          <w:lang w:val="en-US" w:eastAsia="zh-CN" w:bidi="ar-SA"/>
        </w:rPr>
      </w:pPr>
    </w:p>
    <w:p w14:paraId="32253FF9">
      <w:pPr>
        <w:tabs>
          <w:tab w:val="left" w:pos="701"/>
        </w:tabs>
        <w:jc w:val="left"/>
        <w:rPr>
          <w:rFonts w:hint="eastAsia"/>
          <w:color w:val="auto"/>
          <w:sz w:val="21"/>
          <w:highlight w:val="none"/>
          <w:lang w:val="en-US" w:eastAsia="zh-CN" w:bidi="ar-SA"/>
        </w:rPr>
      </w:pPr>
    </w:p>
    <w:p w14:paraId="4FE4905E">
      <w:pPr>
        <w:tabs>
          <w:tab w:val="left" w:pos="701"/>
        </w:tabs>
        <w:jc w:val="left"/>
        <w:rPr>
          <w:rFonts w:hint="eastAsia"/>
          <w:color w:val="auto"/>
          <w:sz w:val="21"/>
          <w:highlight w:val="none"/>
          <w:lang w:val="en-US" w:eastAsia="zh-CN" w:bidi="ar-SA"/>
        </w:rPr>
      </w:pPr>
    </w:p>
    <w:p w14:paraId="55FE60A9">
      <w:pPr>
        <w:tabs>
          <w:tab w:val="left" w:pos="701"/>
        </w:tabs>
        <w:jc w:val="left"/>
        <w:rPr>
          <w:rFonts w:hint="eastAsia"/>
          <w:color w:val="auto"/>
          <w:sz w:val="21"/>
          <w:highlight w:val="none"/>
          <w:lang w:val="en-US" w:eastAsia="zh-CN" w:bidi="ar-SA"/>
        </w:rPr>
      </w:pPr>
    </w:p>
    <w:p w14:paraId="726675B6">
      <w:pPr>
        <w:tabs>
          <w:tab w:val="left" w:pos="701"/>
        </w:tabs>
        <w:jc w:val="left"/>
        <w:rPr>
          <w:rFonts w:hint="eastAsia"/>
          <w:color w:val="auto"/>
          <w:sz w:val="21"/>
          <w:highlight w:val="none"/>
          <w:lang w:val="en-US" w:eastAsia="zh-CN" w:bidi="ar-SA"/>
        </w:rPr>
      </w:pPr>
    </w:p>
    <w:p w14:paraId="045ED5CF">
      <w:pPr>
        <w:tabs>
          <w:tab w:val="left" w:pos="701"/>
        </w:tabs>
        <w:jc w:val="left"/>
        <w:rPr>
          <w:rFonts w:hint="eastAsia"/>
          <w:color w:val="auto"/>
          <w:sz w:val="21"/>
          <w:highlight w:val="none"/>
          <w:lang w:val="en-US" w:eastAsia="zh-CN" w:bidi="ar-SA"/>
        </w:rPr>
      </w:pPr>
    </w:p>
    <w:p w14:paraId="5D9A247F">
      <w:pPr>
        <w:tabs>
          <w:tab w:val="left" w:pos="701"/>
        </w:tabs>
        <w:jc w:val="left"/>
        <w:rPr>
          <w:rFonts w:hint="eastAsia"/>
          <w:color w:val="auto"/>
          <w:sz w:val="21"/>
          <w:highlight w:val="none"/>
          <w:lang w:val="en-US" w:eastAsia="zh-CN" w:bidi="ar-SA"/>
        </w:rPr>
      </w:pPr>
    </w:p>
    <w:p w14:paraId="751DC474">
      <w:pPr>
        <w:tabs>
          <w:tab w:val="left" w:pos="701"/>
        </w:tabs>
        <w:jc w:val="left"/>
        <w:rPr>
          <w:rFonts w:hint="eastAsia"/>
          <w:color w:val="auto"/>
          <w:sz w:val="21"/>
          <w:highlight w:val="none"/>
          <w:lang w:val="en-US" w:eastAsia="zh-CN" w:bidi="ar-SA"/>
        </w:rPr>
      </w:pPr>
    </w:p>
    <w:p w14:paraId="469E619A">
      <w:pPr>
        <w:tabs>
          <w:tab w:val="left" w:pos="701"/>
        </w:tabs>
        <w:jc w:val="left"/>
        <w:rPr>
          <w:rFonts w:hint="eastAsia"/>
          <w:color w:val="auto"/>
          <w:sz w:val="21"/>
          <w:highlight w:val="none"/>
          <w:lang w:val="en-US" w:eastAsia="zh-CN" w:bidi="ar-SA"/>
        </w:rPr>
      </w:pPr>
    </w:p>
    <w:p w14:paraId="333DCB71">
      <w:pPr>
        <w:tabs>
          <w:tab w:val="left" w:pos="701"/>
        </w:tabs>
        <w:jc w:val="left"/>
        <w:rPr>
          <w:rFonts w:hint="eastAsia"/>
          <w:color w:val="auto"/>
          <w:sz w:val="21"/>
          <w:highlight w:val="none"/>
          <w:lang w:val="en-US" w:eastAsia="zh-CN" w:bidi="ar-SA"/>
        </w:rPr>
      </w:pPr>
    </w:p>
    <w:p w14:paraId="79EC190F">
      <w:pPr>
        <w:tabs>
          <w:tab w:val="left" w:pos="701"/>
        </w:tabs>
        <w:jc w:val="left"/>
        <w:rPr>
          <w:rFonts w:hint="eastAsia"/>
          <w:color w:val="auto"/>
          <w:sz w:val="21"/>
          <w:highlight w:val="none"/>
          <w:lang w:val="en-US" w:eastAsia="zh-CN" w:bidi="ar-SA"/>
        </w:rPr>
      </w:pPr>
    </w:p>
    <w:p w14:paraId="0E3ABEF2">
      <w:pPr>
        <w:tabs>
          <w:tab w:val="left" w:pos="701"/>
        </w:tabs>
        <w:jc w:val="left"/>
        <w:rPr>
          <w:rFonts w:hint="eastAsia"/>
          <w:color w:val="auto"/>
          <w:sz w:val="21"/>
          <w:highlight w:val="none"/>
          <w:lang w:val="en-US" w:eastAsia="zh-CN" w:bidi="ar-SA"/>
        </w:rPr>
      </w:pPr>
    </w:p>
    <w:p w14:paraId="79409BB7">
      <w:pPr>
        <w:tabs>
          <w:tab w:val="left" w:pos="701"/>
        </w:tabs>
        <w:jc w:val="left"/>
        <w:rPr>
          <w:rFonts w:hint="eastAsia"/>
          <w:color w:val="auto"/>
          <w:sz w:val="21"/>
          <w:highlight w:val="none"/>
          <w:lang w:val="en-US" w:eastAsia="zh-CN" w:bidi="ar-SA"/>
        </w:rPr>
      </w:pPr>
    </w:p>
    <w:p w14:paraId="15230673">
      <w:pPr>
        <w:tabs>
          <w:tab w:val="left" w:pos="701"/>
        </w:tabs>
        <w:jc w:val="left"/>
        <w:rPr>
          <w:rFonts w:hint="eastAsia"/>
          <w:color w:val="auto"/>
          <w:sz w:val="21"/>
          <w:highlight w:val="none"/>
          <w:lang w:val="en-US" w:eastAsia="zh-CN" w:bidi="ar-SA"/>
        </w:rPr>
      </w:pPr>
    </w:p>
    <w:p w14:paraId="711899EB">
      <w:pPr>
        <w:spacing w:line="360" w:lineRule="auto"/>
        <w:rPr>
          <w:rFonts w:hint="eastAsia"/>
          <w:b/>
          <w:color w:val="auto"/>
          <w:sz w:val="30"/>
          <w:szCs w:val="30"/>
          <w:highlight w:val="none"/>
        </w:rPr>
      </w:pPr>
      <w:r>
        <w:rPr>
          <w:rFonts w:hint="eastAsia"/>
          <w:b/>
          <w:color w:val="auto"/>
          <w:sz w:val="30"/>
          <w:szCs w:val="30"/>
          <w:highlight w:val="none"/>
        </w:rPr>
        <w:t>十</w:t>
      </w:r>
      <w:r>
        <w:rPr>
          <w:b/>
          <w:color w:val="auto"/>
          <w:sz w:val="30"/>
          <w:szCs w:val="30"/>
          <w:highlight w:val="none"/>
        </w:rPr>
        <w:t>、</w:t>
      </w:r>
      <w:r>
        <w:rPr>
          <w:rFonts w:hint="eastAsia"/>
          <w:b/>
          <w:color w:val="auto"/>
          <w:sz w:val="30"/>
          <w:szCs w:val="30"/>
          <w:highlight w:val="none"/>
        </w:rPr>
        <w:t>投标偏离表（给定格式）：</w:t>
      </w:r>
    </w:p>
    <w:p w14:paraId="35DDAA1C">
      <w:pPr>
        <w:ind w:firstLine="490"/>
        <w:jc w:val="center"/>
        <w:outlineLvl w:val="0"/>
        <w:rPr>
          <w:rFonts w:ascii="黑体" w:eastAsia="黑体"/>
          <w:bCs/>
          <w:color w:val="auto"/>
          <w:sz w:val="28"/>
          <w:szCs w:val="28"/>
          <w:highlight w:val="none"/>
        </w:rPr>
      </w:pPr>
    </w:p>
    <w:p w14:paraId="0C25C890">
      <w:pPr>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358E8C2B">
      <w:pPr>
        <w:spacing w:line="400" w:lineRule="exact"/>
        <w:jc w:val="center"/>
        <w:outlineLvl w:val="0"/>
        <w:rPr>
          <w:rFonts w:ascii="黑体" w:eastAsia="黑体"/>
          <w:bCs/>
          <w:color w:val="auto"/>
          <w:sz w:val="28"/>
          <w:szCs w:val="28"/>
          <w:highlight w:val="none"/>
        </w:rPr>
      </w:pPr>
    </w:p>
    <w:p w14:paraId="23F793E8">
      <w:pPr>
        <w:spacing w:line="400" w:lineRule="exact"/>
        <w:jc w:val="center"/>
        <w:outlineLvl w:val="0"/>
        <w:rPr>
          <w:rFonts w:ascii="黑体" w:eastAsia="黑体"/>
          <w:bCs/>
          <w:color w:val="auto"/>
          <w:sz w:val="28"/>
          <w:szCs w:val="28"/>
          <w:highlight w:val="none"/>
        </w:rPr>
      </w:pPr>
    </w:p>
    <w:p w14:paraId="069AF878">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cs="Times New Roman"/>
          <w:bCs/>
          <w:color w:val="auto"/>
          <w:sz w:val="24"/>
          <w:szCs w:val="24"/>
          <w:highlight w:val="none"/>
          <w:lang w:eastAsia="zh-CN"/>
        </w:rPr>
        <w:t>JSZC-320206-JZCG-G2026-0025</w:t>
      </w:r>
      <w:r>
        <w:rPr>
          <w:rFonts w:hint="eastAsia" w:ascii="黑体" w:hAnsi="Times New Roman" w:eastAsia="黑体" w:cs="Times New Roman"/>
          <w:bCs/>
          <w:color w:val="auto"/>
          <w:sz w:val="24"/>
          <w:szCs w:val="24"/>
          <w:highlight w:val="none"/>
          <w:lang w:eastAsia="zh-CN"/>
        </w:rPr>
        <w:t xml:space="preserve"> </w:t>
      </w:r>
    </w:p>
    <w:tbl>
      <w:tblPr>
        <w:tblStyle w:val="46"/>
        <w:tblW w:w="9885" w:type="dxa"/>
        <w:jc w:val="center"/>
        <w:tblLayout w:type="fixed"/>
        <w:tblCellMar>
          <w:top w:w="15" w:type="dxa"/>
          <w:left w:w="15" w:type="dxa"/>
          <w:bottom w:w="0" w:type="dxa"/>
          <w:right w:w="15" w:type="dxa"/>
        </w:tblCellMar>
      </w:tblPr>
      <w:tblGrid>
        <w:gridCol w:w="1905"/>
        <w:gridCol w:w="2835"/>
        <w:gridCol w:w="2835"/>
        <w:gridCol w:w="2310"/>
      </w:tblGrid>
      <w:tr w14:paraId="49C00627">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85D2F78">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D7B9894">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9882BBE">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3340185">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06B54223">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2709C0A">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17B9181">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F938172">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C8358A5">
            <w:pPr>
              <w:jc w:val="center"/>
              <w:rPr>
                <w:rFonts w:ascii="宋体"/>
                <w:bCs/>
                <w:color w:val="auto"/>
                <w:highlight w:val="none"/>
              </w:rPr>
            </w:pPr>
          </w:p>
        </w:tc>
      </w:tr>
    </w:tbl>
    <w:p w14:paraId="5A576BB6">
      <w:pPr>
        <w:rPr>
          <w:rFonts w:hint="eastAsia" w:ascii="宋体" w:eastAsia="黑体"/>
          <w:b/>
          <w:color w:val="auto"/>
          <w:sz w:val="24"/>
          <w:szCs w:val="24"/>
          <w:highlight w:val="none"/>
        </w:rPr>
      </w:pPr>
      <w:r>
        <w:rPr>
          <w:rFonts w:hint="eastAsia" w:ascii="黑体" w:eastAsia="黑体"/>
          <w:bCs/>
          <w:color w:val="auto"/>
          <w:sz w:val="24"/>
          <w:szCs w:val="24"/>
          <w:highlight w:val="none"/>
        </w:rPr>
        <w:t>投标人名称（盖章）：</w:t>
      </w:r>
    </w:p>
    <w:p w14:paraId="51D80372">
      <w:pPr>
        <w:rPr>
          <w:rFonts w:ascii="宋体"/>
          <w:bCs/>
          <w:color w:val="auto"/>
          <w:sz w:val="30"/>
          <w:highlight w:val="none"/>
        </w:rPr>
      </w:pPr>
    </w:p>
    <w:p w14:paraId="4DCE3DD9">
      <w:pPr>
        <w:ind w:firstLine="420"/>
        <w:outlineLvl w:val="0"/>
        <w:rPr>
          <w:rFonts w:hint="eastAsia" w:ascii="宋体" w:hAnsi="宋体"/>
          <w:bCs/>
          <w:color w:val="auto"/>
          <w:sz w:val="24"/>
          <w:szCs w:val="24"/>
          <w:highlight w:val="none"/>
        </w:rPr>
      </w:pPr>
    </w:p>
    <w:p w14:paraId="11BC01C3">
      <w:pPr>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4E42BF4C">
      <w:pPr>
        <w:ind w:firstLine="420"/>
        <w:outlineLvl w:val="0"/>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）如无任何服务偏离，请于本表 “偏离说明”中注明“无偏离”；</w:t>
      </w:r>
    </w:p>
    <w:p w14:paraId="753C64B5">
      <w:pPr>
        <w:ind w:firstLine="420"/>
        <w:outlineLvl w:val="0"/>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p>
    <w:sectPr>
      <w:headerReference r:id="rId3" w:type="default"/>
      <w:footerReference r:id="rId4" w:type="default"/>
      <w:footerReference r:id="rId5" w:type="even"/>
      <w:pgSz w:w="11906" w:h="16838"/>
      <w:pgMar w:top="567" w:right="851" w:bottom="567" w:left="1134" w:header="624" w:footer="907" w:gutter="0"/>
      <w:pgNumType w:start="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楷体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Times">
    <w:altName w:val="Times New Roman"/>
    <w:panose1 w:val="020206030504050203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Book Antiqua">
    <w:panose1 w:val="02040602050305030304"/>
    <w:charset w:val="00"/>
    <w:family w:val="auto"/>
    <w:pitch w:val="default"/>
    <w:sig w:usb0="00000287" w:usb1="00000000" w:usb2="00000000" w:usb3="00000000" w:csb0="2000009F" w:csb1="DFD70000"/>
  </w:font>
  <w:font w:name="Tahoma">
    <w:panose1 w:val="020B0604030504040204"/>
    <w:charset w:val="00"/>
    <w:family w:val="auto"/>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Univers">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中宋">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195E6">
    <w:pPr>
      <w:pStyle w:val="27"/>
      <w:jc w:val="center"/>
    </w:pPr>
    <w:r>
      <w:fldChar w:fldCharType="begin"/>
    </w:r>
    <w:r>
      <w:instrText xml:space="preserve">PAGE   \* MERGEFORMAT</w:instrText>
    </w:r>
    <w:r>
      <w:fldChar w:fldCharType="separate"/>
    </w:r>
    <w:r>
      <w:rPr>
        <w:lang w:val="zh-CN"/>
      </w:rPr>
      <w:t>33</w:t>
    </w:r>
    <w:r>
      <w:fldChar w:fldCharType="end"/>
    </w:r>
  </w:p>
  <w:p w14:paraId="497883FE">
    <w:pPr>
      <w:pStyle w:val="27"/>
      <w:jc w:val="center"/>
    </w:pPr>
  </w:p>
  <w:p w14:paraId="4E254F5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D6F13">
    <w:pPr>
      <w:pStyle w:val="27"/>
      <w:framePr w:wrap="around" w:vAnchor="text" w:hAnchor="margin" w:xAlign="center" w:y="1"/>
      <w:rPr>
        <w:rStyle w:val="51"/>
      </w:rPr>
    </w:pPr>
    <w:r>
      <w:fldChar w:fldCharType="begin"/>
    </w:r>
    <w:r>
      <w:rPr>
        <w:rStyle w:val="51"/>
      </w:rPr>
      <w:instrText xml:space="preserve">PAGE  </w:instrText>
    </w:r>
    <w:r>
      <w:fldChar w:fldCharType="separate"/>
    </w:r>
    <w:r>
      <w:rPr>
        <w:rStyle w:val="51"/>
      </w:rPr>
      <w:t>1</w:t>
    </w:r>
    <w:r>
      <w:fldChar w:fldCharType="end"/>
    </w:r>
  </w:p>
  <w:p w14:paraId="043A393F">
    <w:pPr>
      <w:pStyle w:val="27"/>
      <w:ind w:right="360"/>
    </w:pPr>
  </w:p>
  <w:p w14:paraId="0EF4C27B"/>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8EFFD">
    <w:pPr>
      <w:pStyle w:val="28"/>
      <w:jc w:val="left"/>
    </w:pPr>
    <w:r>
      <w:rPr>
        <w:rFonts w:hint="eastAsia" w:ascii="方正小标宋_GBK" w:hAnsi="华文中宋" w:eastAsia="方正小标宋_GBK"/>
        <w:bCs/>
        <w:szCs w:val="21"/>
        <w:lang w:eastAsia="zh-CN"/>
      </w:rPr>
      <w:t>JSZC-320206-JZCG-G2026-0025</w:t>
    </w:r>
    <w:r>
      <w:rPr>
        <w:rFonts w:hint="eastAsia" w:ascii="方正小标宋_GBK" w:hAnsi="华文中宋" w:eastAsia="方正小标宋_GBK" w:cs="Times New Roman"/>
        <w:bCs/>
        <w:szCs w:val="21"/>
        <w:lang w:val="en-US" w:eastAsia="zh-CN"/>
      </w:rPr>
      <w:t>惠山区2026年度社会治安监控系统运维项目（硬件、线路</w:t>
    </w:r>
    <w:r>
      <w:rPr>
        <w:rFonts w:hint="eastAsia" w:ascii="方正小标宋_GBK" w:hAnsi="华文中宋" w:eastAsia="方正小标宋_GBK"/>
        <w:bCs/>
        <w:szCs w:val="21"/>
        <w:lang w:val="en-US" w:eastAsia="zh-CN"/>
      </w:rPr>
      <w:t xml:space="preserve"> ） </w:t>
    </w:r>
    <w:r>
      <w:rPr>
        <w:rFonts w:hint="eastAsia" w:ascii="方正小标宋_GBK" w:hAnsi="华文中宋" w:eastAsia="方正小标宋_GBK"/>
        <w:bCs/>
        <w:szCs w:val="21"/>
      </w:rPr>
      <w:t>无锡市惠山区政府采购中心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lvlText w:val=""/>
      <w:lvlJc w:val="left"/>
      <w:pPr>
        <w:tabs>
          <w:tab w:val="left" w:pos="1560"/>
        </w:tabs>
        <w:ind w:left="1560" w:hanging="720"/>
      </w:pPr>
      <w:rPr>
        <w:rFonts w:hint="default" w:ascii="Wingdings" w:hAnsi="Wingdings"/>
      </w:rPr>
    </w:lvl>
    <w:lvl w:ilvl="1" w:tentative="0">
      <w:start w:val="1"/>
      <w:numFmt w:val="lowerLetter"/>
      <w:lvlText w:val="%2)"/>
      <w:lvlJc w:val="left"/>
      <w:pPr>
        <w:tabs>
          <w:tab w:val="left" w:pos="1680"/>
        </w:tabs>
        <w:ind w:left="1680" w:hanging="420"/>
      </w:p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1">
    <w:nsid w:val="BF205925"/>
    <w:multiLevelType w:val="multilevel"/>
    <w:tmpl w:val="BF205925"/>
    <w:lvl w:ilvl="0" w:tentative="0">
      <w:start w:val="1"/>
      <w:numFmt w:val="decimal"/>
      <w:lvlText w:val="%1."/>
      <w:lvlJc w:val="left"/>
      <w:pPr>
        <w:ind w:left="840" w:hanging="360"/>
      </w:pPr>
      <w:rPr>
        <w:rFonts w:hint="default"/>
        <w:color w:val="auto"/>
      </w:rPr>
    </w:lvl>
    <w:lvl w:ilvl="1" w:tentative="0">
      <w:start w:val="1"/>
      <w:numFmt w:val="lowerLetter"/>
      <w:pStyle w:val="338"/>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C8879AEF"/>
    <w:multiLevelType w:val="multilevel"/>
    <w:tmpl w:val="C8879AEF"/>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lvlText w:val="第%1章"/>
      <w:lvlJc w:val="left"/>
      <w:pPr>
        <w:ind w:left="465" w:hanging="465"/>
      </w:pPr>
      <w:rPr>
        <w:rFonts w:hint="default"/>
      </w:rPr>
    </w:lvl>
    <w:lvl w:ilvl="1" w:tentative="0">
      <w:start w:val="1"/>
      <w:numFmt w:val="decimal"/>
      <w:lvlText w:val="%1.%2"/>
      <w:lvlJc w:val="left"/>
      <w:pPr>
        <w:ind w:left="465" w:hanging="46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4">
    <w:nsid w:val="0053208E"/>
    <w:multiLevelType w:val="multilevel"/>
    <w:tmpl w:val="0053208E"/>
    <w:lvl w:ilvl="0" w:tentative="0">
      <w:start w:val="1"/>
      <w:numFmt w:val="upperLetter"/>
      <w:pStyle w:val="6"/>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248C179"/>
    <w:multiLevelType w:val="multilevel"/>
    <w:tmpl w:val="0248C179"/>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hint="default"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6">
    <w:nsid w:val="03D62ECE"/>
    <w:multiLevelType w:val="multilevel"/>
    <w:tmpl w:val="03D62ECE"/>
    <w:lvl w:ilvl="0" w:tentative="0">
      <w:start w:val="1"/>
      <w:numFmt w:val="bullet"/>
      <w:lvlText w:val=""/>
      <w:lvlJc w:val="left"/>
      <w:pPr>
        <w:tabs>
          <w:tab w:val="left" w:pos="1560"/>
        </w:tabs>
        <w:ind w:left="1560" w:hanging="720"/>
      </w:pPr>
      <w:rPr>
        <w:rFonts w:hint="default" w:ascii="Wingdings" w:hAnsi="Wingdings"/>
      </w:rPr>
    </w:lvl>
    <w:lvl w:ilvl="1" w:tentative="0">
      <w:start w:val="1"/>
      <w:numFmt w:val="lowerLetter"/>
      <w:lvlText w:val="%2)"/>
      <w:lvlJc w:val="left"/>
      <w:pPr>
        <w:tabs>
          <w:tab w:val="left" w:pos="1680"/>
        </w:tabs>
        <w:ind w:left="1680" w:hanging="420"/>
      </w:p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7">
    <w:nsid w:val="25B654F3"/>
    <w:multiLevelType w:val="multilevel"/>
    <w:tmpl w:val="25B654F3"/>
    <w:lvl w:ilvl="0" w:tentative="0">
      <w:start w:val="1"/>
      <w:numFmt w:val="bullet"/>
      <w:lvlText w:val=""/>
      <w:lvlJc w:val="left"/>
      <w:pPr>
        <w:tabs>
          <w:tab w:val="left" w:pos="1560"/>
        </w:tabs>
        <w:ind w:left="1560" w:hanging="720"/>
      </w:pPr>
      <w:rPr>
        <w:rFonts w:hint="default" w:ascii="Wingdings" w:hAnsi="Wingdings"/>
      </w:rPr>
    </w:lvl>
    <w:lvl w:ilvl="1" w:tentative="0">
      <w:start w:val="1"/>
      <w:numFmt w:val="lowerLetter"/>
      <w:lvlText w:val="%2)"/>
      <w:lvlJc w:val="left"/>
      <w:pPr>
        <w:tabs>
          <w:tab w:val="left" w:pos="1680"/>
        </w:tabs>
        <w:ind w:left="1680" w:hanging="420"/>
      </w:p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8">
    <w:nsid w:val="2A8F537B"/>
    <w:multiLevelType w:val="multilevel"/>
    <w:tmpl w:val="2A8F537B"/>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4D4DC07F"/>
    <w:multiLevelType w:val="multilevel"/>
    <w:tmpl w:val="4D4DC07F"/>
    <w:lvl w:ilvl="0" w:tentative="0">
      <w:start w:val="1"/>
      <w:numFmt w:val="decimal"/>
      <w:lvlText w:val="%1."/>
      <w:lvlJc w:val="left"/>
      <w:pPr>
        <w:tabs>
          <w:tab w:val="left" w:pos="210"/>
        </w:tabs>
        <w:ind w:left="210" w:hanging="210"/>
      </w:pPr>
      <w:rPr>
        <w:rFonts w:hint="default" w:ascii="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A241D34"/>
    <w:multiLevelType w:val="multilevel"/>
    <w:tmpl w:val="5A241D34"/>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2183CF9"/>
    <w:multiLevelType w:val="multilevel"/>
    <w:tmpl w:val="72183CF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auto"/>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4"/>
  </w:num>
  <w:num w:numId="2">
    <w:abstractNumId w:val="3"/>
    <w:lvlOverride w:ilvl="0">
      <w:lvl w:ilvl="0" w:tentative="1">
        <w:start w:val="1"/>
        <w:numFmt w:val="decimal"/>
        <w:pStyle w:val="305"/>
        <w:lvlText w:val="第%1章"/>
        <w:lvlJc w:val="left"/>
        <w:pPr>
          <w:ind w:left="465" w:hanging="465"/>
        </w:pPr>
        <w:rPr>
          <w:rFonts w:hint="default"/>
        </w:rPr>
      </w:lvl>
    </w:lvlOverride>
    <w:lvlOverride w:ilvl="1">
      <w:lvl w:ilvl="1" w:tentative="1">
        <w:start w:val="1"/>
        <w:numFmt w:val="decimal"/>
        <w:pStyle w:val="267"/>
        <w:lvlText w:val="%1.%2"/>
        <w:lvlJc w:val="left"/>
        <w:pPr>
          <w:ind w:left="465" w:hanging="465"/>
        </w:pPr>
        <w:rPr>
          <w:rFonts w:hint="default"/>
        </w:rPr>
      </w:lvl>
    </w:lvlOverride>
    <w:lvlOverride w:ilvl="2">
      <w:lvl w:ilvl="2" w:tentative="1">
        <w:start w:val="1"/>
        <w:numFmt w:val="decimal"/>
        <w:pStyle w:val="306"/>
        <w:lvlText w:val="%1.%2.%3"/>
        <w:lvlJc w:val="left"/>
        <w:pPr>
          <w:ind w:left="720" w:hanging="720"/>
        </w:pPr>
        <w:rPr>
          <w:rFonts w:hint="default"/>
        </w:rPr>
      </w:lvl>
    </w:lvlOverride>
    <w:lvlOverride w:ilvl="3">
      <w:lvl w:ilvl="3" w:tentative="1">
        <w:start w:val="1"/>
        <w:numFmt w:val="decimal"/>
        <w:pStyle w:val="269"/>
        <w:lvlText w:val="%1.%2.%3.%4"/>
        <w:lvlJc w:val="left"/>
        <w:pPr>
          <w:ind w:left="720" w:hanging="720"/>
        </w:pPr>
        <w:rPr>
          <w:rFonts w:hint="default"/>
        </w:rPr>
      </w:lvl>
    </w:lvlOverride>
    <w:lvlOverride w:ilvl="4">
      <w:lvl w:ilvl="4" w:tentative="1">
        <w:start w:val="1"/>
        <w:numFmt w:val="decimal"/>
        <w:lvlText w:val="%1.%2.%3.%4.%5"/>
        <w:lvlJc w:val="left"/>
        <w:pPr>
          <w:ind w:left="1080" w:hanging="1080"/>
        </w:pPr>
        <w:rPr>
          <w:rFonts w:hint="default"/>
        </w:rPr>
      </w:lvl>
    </w:lvlOverride>
    <w:lvlOverride w:ilvl="5">
      <w:lvl w:ilvl="5" w:tentative="1">
        <w:start w:val="1"/>
        <w:numFmt w:val="decimal"/>
        <w:lvlText w:val="%1.%2.%3.%4.%5.%6"/>
        <w:lvlJc w:val="left"/>
        <w:pPr>
          <w:ind w:left="1080" w:hanging="1080"/>
        </w:pPr>
        <w:rPr>
          <w:rFonts w:hint="default"/>
        </w:rPr>
      </w:lvl>
    </w:lvlOverride>
    <w:lvlOverride w:ilvl="6">
      <w:lvl w:ilvl="6" w:tentative="1">
        <w:start w:val="1"/>
        <w:numFmt w:val="decimal"/>
        <w:lvlText w:val="%1.%2.%3.%4.%5.%6.%7"/>
        <w:lvlJc w:val="left"/>
        <w:pPr>
          <w:ind w:left="1080" w:hanging="1080"/>
        </w:pPr>
        <w:rPr>
          <w:rFonts w:hint="default"/>
        </w:rPr>
      </w:lvl>
    </w:lvlOverride>
    <w:lvlOverride w:ilvl="7">
      <w:lvl w:ilvl="7" w:tentative="1">
        <w:start w:val="1"/>
        <w:numFmt w:val="decimal"/>
        <w:lvlText w:val="%1.%2.%3.%4.%5.%6.%7.%8"/>
        <w:lvlJc w:val="left"/>
        <w:pPr>
          <w:ind w:left="1440" w:hanging="1440"/>
        </w:pPr>
        <w:rPr>
          <w:rFonts w:hint="default"/>
        </w:rPr>
      </w:lvl>
    </w:lvlOverride>
    <w:lvlOverride w:ilvl="8">
      <w:lvl w:ilvl="8" w:tentative="1">
        <w:start w:val="1"/>
        <w:numFmt w:val="decimal"/>
        <w:lvlText w:val="%1.%2.%3.%4.%5.%6.%7.%8.%9"/>
        <w:lvlJc w:val="left"/>
        <w:pPr>
          <w:ind w:left="1440" w:hanging="1440"/>
        </w:pPr>
        <w:rPr>
          <w:rFonts w:hint="default"/>
        </w:rPr>
      </w:lvl>
    </w:lvlOverride>
  </w:num>
  <w:num w:numId="3">
    <w:abstractNumId w:val="1"/>
  </w:num>
  <w:num w:numId="4">
    <w:abstractNumId w:val="0"/>
  </w:num>
  <w:num w:numId="5">
    <w:abstractNumId w:val="6"/>
  </w:num>
  <w:num w:numId="6">
    <w:abstractNumId w:val="7"/>
  </w:num>
  <w:num w:numId="7">
    <w:abstractNumId w:val="11"/>
  </w:num>
  <w:num w:numId="8">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0"/>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documentProtection w:enforcement="0"/>
  <w:defaultTabStop w:val="424"/>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B1812"/>
    <w:rsid w:val="02A93B2F"/>
    <w:rsid w:val="03065425"/>
    <w:rsid w:val="033E4BBF"/>
    <w:rsid w:val="0486237A"/>
    <w:rsid w:val="05645E6F"/>
    <w:rsid w:val="05CF4485"/>
    <w:rsid w:val="06A42058"/>
    <w:rsid w:val="08F16230"/>
    <w:rsid w:val="09606F40"/>
    <w:rsid w:val="096B38AC"/>
    <w:rsid w:val="099E1F14"/>
    <w:rsid w:val="0C046A34"/>
    <w:rsid w:val="0DD51C7C"/>
    <w:rsid w:val="0E5354FB"/>
    <w:rsid w:val="0FAB0EE6"/>
    <w:rsid w:val="0FC226D4"/>
    <w:rsid w:val="12477A8D"/>
    <w:rsid w:val="127C6B6A"/>
    <w:rsid w:val="14A267A2"/>
    <w:rsid w:val="15D171CD"/>
    <w:rsid w:val="15FA4976"/>
    <w:rsid w:val="164C2CF7"/>
    <w:rsid w:val="174C7453"/>
    <w:rsid w:val="17AA503D"/>
    <w:rsid w:val="197113F3"/>
    <w:rsid w:val="19832ED4"/>
    <w:rsid w:val="19CE19A7"/>
    <w:rsid w:val="1D954F84"/>
    <w:rsid w:val="1DE559AC"/>
    <w:rsid w:val="1E2A7DC2"/>
    <w:rsid w:val="1FEB2CED"/>
    <w:rsid w:val="20005844"/>
    <w:rsid w:val="200F101E"/>
    <w:rsid w:val="204809D3"/>
    <w:rsid w:val="223E208E"/>
    <w:rsid w:val="233F1C1A"/>
    <w:rsid w:val="23447230"/>
    <w:rsid w:val="2349080B"/>
    <w:rsid w:val="23864247"/>
    <w:rsid w:val="23D36806"/>
    <w:rsid w:val="24AE6269"/>
    <w:rsid w:val="24F4487F"/>
    <w:rsid w:val="26154EB4"/>
    <w:rsid w:val="274A6DDF"/>
    <w:rsid w:val="281318C7"/>
    <w:rsid w:val="28223279"/>
    <w:rsid w:val="286A715B"/>
    <w:rsid w:val="28B60BD0"/>
    <w:rsid w:val="290C079E"/>
    <w:rsid w:val="2A2B114A"/>
    <w:rsid w:val="2A522B7B"/>
    <w:rsid w:val="2A7D127A"/>
    <w:rsid w:val="2AF754D0"/>
    <w:rsid w:val="2CD07D87"/>
    <w:rsid w:val="2CDD05EA"/>
    <w:rsid w:val="2EDA6C9B"/>
    <w:rsid w:val="2FE079BA"/>
    <w:rsid w:val="305807BF"/>
    <w:rsid w:val="306B6744"/>
    <w:rsid w:val="30B728B1"/>
    <w:rsid w:val="310B6DA8"/>
    <w:rsid w:val="31996775"/>
    <w:rsid w:val="31A737AC"/>
    <w:rsid w:val="32607DFF"/>
    <w:rsid w:val="33641229"/>
    <w:rsid w:val="337F1800"/>
    <w:rsid w:val="34107796"/>
    <w:rsid w:val="36287B3C"/>
    <w:rsid w:val="36525CB0"/>
    <w:rsid w:val="37113FF6"/>
    <w:rsid w:val="37516EF7"/>
    <w:rsid w:val="39D81656"/>
    <w:rsid w:val="3A085004"/>
    <w:rsid w:val="3A5C0EAC"/>
    <w:rsid w:val="3ABF0032"/>
    <w:rsid w:val="3B6444BC"/>
    <w:rsid w:val="3C0161AE"/>
    <w:rsid w:val="3CD236A7"/>
    <w:rsid w:val="3D6267D9"/>
    <w:rsid w:val="3D783008"/>
    <w:rsid w:val="3E1F291C"/>
    <w:rsid w:val="3F626F64"/>
    <w:rsid w:val="3F917849"/>
    <w:rsid w:val="3FA702E8"/>
    <w:rsid w:val="3FC80D62"/>
    <w:rsid w:val="418C02C8"/>
    <w:rsid w:val="41E225DE"/>
    <w:rsid w:val="43284892"/>
    <w:rsid w:val="45173EE8"/>
    <w:rsid w:val="461F1ABD"/>
    <w:rsid w:val="465D0485"/>
    <w:rsid w:val="46E91D19"/>
    <w:rsid w:val="4722090C"/>
    <w:rsid w:val="475278BE"/>
    <w:rsid w:val="47975C19"/>
    <w:rsid w:val="497C0C22"/>
    <w:rsid w:val="4A9F106C"/>
    <w:rsid w:val="4AEE78FE"/>
    <w:rsid w:val="4C8C0BFE"/>
    <w:rsid w:val="4CBD1C7E"/>
    <w:rsid w:val="4DFE60AA"/>
    <w:rsid w:val="4F8A23F4"/>
    <w:rsid w:val="50925C97"/>
    <w:rsid w:val="50F9524E"/>
    <w:rsid w:val="511958BF"/>
    <w:rsid w:val="5133250E"/>
    <w:rsid w:val="51CB6BEB"/>
    <w:rsid w:val="534741B0"/>
    <w:rsid w:val="53536E98"/>
    <w:rsid w:val="54C6369A"/>
    <w:rsid w:val="56323178"/>
    <w:rsid w:val="58047E04"/>
    <w:rsid w:val="59201E0F"/>
    <w:rsid w:val="59A321FB"/>
    <w:rsid w:val="59BB72AA"/>
    <w:rsid w:val="5A2813B3"/>
    <w:rsid w:val="5A2E3047"/>
    <w:rsid w:val="5A9276BB"/>
    <w:rsid w:val="5B6854AA"/>
    <w:rsid w:val="5BFF190E"/>
    <w:rsid w:val="5C103962"/>
    <w:rsid w:val="5C653798"/>
    <w:rsid w:val="5CB941D1"/>
    <w:rsid w:val="5CDB3A5A"/>
    <w:rsid w:val="5D096819"/>
    <w:rsid w:val="5DA622BA"/>
    <w:rsid w:val="5E744166"/>
    <w:rsid w:val="5F577D10"/>
    <w:rsid w:val="5F750196"/>
    <w:rsid w:val="61137C66"/>
    <w:rsid w:val="611834CF"/>
    <w:rsid w:val="61B74A96"/>
    <w:rsid w:val="62D3203E"/>
    <w:rsid w:val="63D77671"/>
    <w:rsid w:val="64485E79"/>
    <w:rsid w:val="64D12312"/>
    <w:rsid w:val="64E536C8"/>
    <w:rsid w:val="6544413E"/>
    <w:rsid w:val="65E47E23"/>
    <w:rsid w:val="668E174E"/>
    <w:rsid w:val="675E7762"/>
    <w:rsid w:val="68A67612"/>
    <w:rsid w:val="68A90A0A"/>
    <w:rsid w:val="68BE73F9"/>
    <w:rsid w:val="69D501AF"/>
    <w:rsid w:val="6ABA1153"/>
    <w:rsid w:val="6ACC3540"/>
    <w:rsid w:val="6B3727A3"/>
    <w:rsid w:val="6BEC7A32"/>
    <w:rsid w:val="6D60076F"/>
    <w:rsid w:val="6E2B2829"/>
    <w:rsid w:val="6E6C09B6"/>
    <w:rsid w:val="6EF235B1"/>
    <w:rsid w:val="6F084B83"/>
    <w:rsid w:val="70057314"/>
    <w:rsid w:val="701E2184"/>
    <w:rsid w:val="7148086A"/>
    <w:rsid w:val="71963CC6"/>
    <w:rsid w:val="71C01745"/>
    <w:rsid w:val="722417A6"/>
    <w:rsid w:val="72916C3D"/>
    <w:rsid w:val="74085625"/>
    <w:rsid w:val="745E6FF3"/>
    <w:rsid w:val="75952EE8"/>
    <w:rsid w:val="768E22FB"/>
    <w:rsid w:val="770A30FC"/>
    <w:rsid w:val="7A122D59"/>
    <w:rsid w:val="7ABA2EB3"/>
    <w:rsid w:val="7AEF4E49"/>
    <w:rsid w:val="7BC23010"/>
    <w:rsid w:val="7CD267D0"/>
    <w:rsid w:val="7CFB5D27"/>
    <w:rsid w:val="7E2E3EDA"/>
    <w:rsid w:val="7EF742CC"/>
    <w:rsid w:val="7FC0595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semiHidden="0" w:name="toc 2"/>
    <w:lsdException w:qFormat="1" w:uiPriority="39" w:semiHidden="0" w:name="toc 3"/>
    <w:lsdException w:qFormat="1" w:uiPriority="39" w:semiHidden="0" w:name="toc 4"/>
    <w:lsdException w:qFormat="1" w:uiPriority="39" w:semiHidden="0" w:name="toc 5"/>
    <w:lsdException w:uiPriority="39" w:semiHidden="0" w:name="toc 6"/>
    <w:lsdException w:qFormat="1" w:uiPriority="39" w:semiHidden="0" w:name="toc 7"/>
    <w:lsdException w:qFormat="1" w:uiPriority="39" w:semiHidden="0" w:name="toc 8"/>
    <w:lsdException w:uiPriority="39" w:semiHidden="0" w:name="toc 9"/>
    <w:lsdException w:qFormat="1" w:unhideWhenUsed="0" w:uiPriority="0" w:semiHidden="0" w:name="Normal Indent"/>
    <w:lsdException w:qFormat="1" w:uiPriority="99" w:name="footnote text"/>
    <w:lsdException w:qFormat="1"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qFormat="1" w:unhideWhenUsed="0" w:uiPriority="0" w:semiHidden="0"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03"/>
    <w:qFormat/>
    <w:uiPriority w:val="0"/>
    <w:pPr>
      <w:keepNext/>
      <w:jc w:val="center"/>
      <w:outlineLvl w:val="0"/>
    </w:pPr>
    <w:rPr>
      <w:b/>
      <w:bCs/>
      <w:sz w:val="44"/>
      <w:szCs w:val="44"/>
    </w:rPr>
  </w:style>
  <w:style w:type="paragraph" w:styleId="3">
    <w:name w:val="heading 2"/>
    <w:basedOn w:val="1"/>
    <w:next w:val="1"/>
    <w:link w:val="204"/>
    <w:qFormat/>
    <w:uiPriority w:val="0"/>
    <w:pPr>
      <w:keepNext/>
      <w:jc w:val="center"/>
      <w:outlineLvl w:val="1"/>
    </w:pPr>
    <w:rPr>
      <w:rFonts w:ascii="Cambria" w:hAnsi="Cambria"/>
      <w:b/>
      <w:bCs/>
      <w:sz w:val="32"/>
      <w:szCs w:val="32"/>
    </w:rPr>
  </w:style>
  <w:style w:type="paragraph" w:styleId="4">
    <w:name w:val="heading 3"/>
    <w:basedOn w:val="1"/>
    <w:next w:val="1"/>
    <w:link w:val="223"/>
    <w:qFormat/>
    <w:uiPriority w:val="0"/>
    <w:pPr>
      <w:keepNext/>
      <w:jc w:val="center"/>
      <w:outlineLvl w:val="2"/>
    </w:pPr>
    <w:rPr>
      <w:b/>
      <w:bCs/>
      <w:sz w:val="32"/>
      <w:szCs w:val="32"/>
    </w:rPr>
  </w:style>
  <w:style w:type="paragraph" w:styleId="5">
    <w:name w:val="heading 4"/>
    <w:basedOn w:val="1"/>
    <w:next w:val="1"/>
    <w:link w:val="206"/>
    <w:qFormat/>
    <w:uiPriority w:val="0"/>
    <w:pPr>
      <w:keepNext/>
      <w:jc w:val="center"/>
      <w:outlineLvl w:val="3"/>
    </w:pPr>
    <w:rPr>
      <w:rFonts w:ascii="Cambria" w:hAnsi="Cambria"/>
      <w:b/>
      <w:bCs/>
      <w:sz w:val="28"/>
      <w:szCs w:val="28"/>
    </w:rPr>
  </w:style>
  <w:style w:type="paragraph" w:styleId="6">
    <w:name w:val="heading 5"/>
    <w:basedOn w:val="1"/>
    <w:next w:val="1"/>
    <w:link w:val="207"/>
    <w:qFormat/>
    <w:uiPriority w:val="0"/>
    <w:pPr>
      <w:keepNext/>
      <w:numPr>
        <w:ilvl w:val="0"/>
        <w:numId w:val="1"/>
      </w:numPr>
      <w:outlineLvl w:val="4"/>
    </w:pPr>
    <w:rPr>
      <w:rFonts w:ascii="楷体_GB2312" w:eastAsia="楷体_GB2312"/>
      <w:bCs/>
      <w:sz w:val="28"/>
    </w:rPr>
  </w:style>
  <w:style w:type="paragraph" w:styleId="7">
    <w:name w:val="heading 6"/>
    <w:basedOn w:val="1"/>
    <w:next w:val="1"/>
    <w:unhideWhenUsed/>
    <w:qFormat/>
    <w:uiPriority w:val="9"/>
    <w:pPr>
      <w:keepNext/>
      <w:keepLines/>
      <w:spacing w:before="240" w:after="64" w:line="320" w:lineRule="auto"/>
      <w:outlineLvl w:val="5"/>
    </w:pPr>
    <w:rPr>
      <w:rFonts w:ascii="Cambria" w:hAnsi="Cambria" w:eastAsia="宋体" w:cs="Times New Roman"/>
      <w:b/>
      <w:bCs/>
      <w:sz w:val="24"/>
      <w:szCs w:val="24"/>
    </w:rPr>
  </w:style>
  <w:style w:type="paragraph" w:styleId="8">
    <w:name w:val="heading 7"/>
    <w:basedOn w:val="1"/>
    <w:next w:val="1"/>
    <w:link w:val="6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5"/>
    <w:unhideWhenUsed/>
    <w:qFormat/>
    <w:uiPriority w:val="9"/>
    <w:pPr>
      <w:keepNext/>
      <w:keepLines/>
      <w:spacing w:before="320" w:after="200"/>
      <w:outlineLvl w:val="8"/>
    </w:pPr>
    <w:rPr>
      <w:rFonts w:ascii="Arial" w:hAnsi="Arial" w:eastAsia="Arial" w:cs="Arial"/>
      <w:i/>
      <w:iCs/>
      <w:sz w:val="21"/>
      <w:szCs w:val="21"/>
    </w:rPr>
  </w:style>
  <w:style w:type="character" w:default="1" w:styleId="48">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link w:val="208"/>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09"/>
    <w:semiHidden/>
    <w:qFormat/>
    <w:uiPriority w:val="0"/>
    <w:pPr>
      <w:shd w:val="clear" w:color="auto" w:fill="000080"/>
    </w:pPr>
    <w:rPr>
      <w:sz w:val="2"/>
    </w:rPr>
  </w:style>
  <w:style w:type="paragraph" w:styleId="15">
    <w:name w:val="annotation text"/>
    <w:basedOn w:val="1"/>
    <w:link w:val="210"/>
    <w:unhideWhenUsed/>
    <w:qFormat/>
    <w:uiPriority w:val="0"/>
    <w:pPr>
      <w:jc w:val="left"/>
    </w:pPr>
  </w:style>
  <w:style w:type="paragraph" w:styleId="16">
    <w:name w:val="Body Text"/>
    <w:basedOn w:val="1"/>
    <w:link w:val="211"/>
    <w:qFormat/>
    <w:uiPriority w:val="0"/>
    <w:rPr>
      <w:sz w:val="20"/>
    </w:rPr>
  </w:style>
  <w:style w:type="paragraph" w:styleId="17">
    <w:name w:val="Body Text Indent"/>
    <w:basedOn w:val="1"/>
    <w:link w:val="212"/>
    <w:qFormat/>
    <w:uiPriority w:val="0"/>
    <w:pPr>
      <w:ind w:firstLine="576"/>
    </w:pPr>
    <w:rPr>
      <w:sz w:val="20"/>
    </w:rPr>
  </w:style>
  <w:style w:type="paragraph" w:styleId="18">
    <w:name w:val="index 4"/>
    <w:basedOn w:val="1"/>
    <w:next w:val="1"/>
    <w:qFormat/>
    <w:uiPriority w:val="99"/>
    <w:pPr>
      <w:ind w:left="600"/>
    </w:pPr>
    <w:rPr>
      <w:szCs w:val="24"/>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ascii="宋体" w:hAnsi="Courier New"/>
    </w:rPr>
  </w:style>
  <w:style w:type="paragraph" w:styleId="22">
    <w:name w:val="toc 8"/>
    <w:basedOn w:val="1"/>
    <w:next w:val="1"/>
    <w:unhideWhenUsed/>
    <w:qFormat/>
    <w:uiPriority w:val="39"/>
    <w:pPr>
      <w:spacing w:after="57"/>
      <w:ind w:left="1984" w:right="0" w:firstLine="0"/>
    </w:pPr>
  </w:style>
  <w:style w:type="paragraph" w:styleId="23">
    <w:name w:val="Date"/>
    <w:basedOn w:val="1"/>
    <w:next w:val="1"/>
    <w:link w:val="213"/>
    <w:qFormat/>
    <w:uiPriority w:val="0"/>
    <w:rPr>
      <w:sz w:val="20"/>
    </w:rPr>
  </w:style>
  <w:style w:type="paragraph" w:styleId="24">
    <w:name w:val="Body Text Indent 2"/>
    <w:basedOn w:val="1"/>
    <w:link w:val="214"/>
    <w:qFormat/>
    <w:uiPriority w:val="0"/>
    <w:pPr>
      <w:ind w:left="900"/>
    </w:pPr>
    <w:rPr>
      <w:sz w:val="20"/>
    </w:rPr>
  </w:style>
  <w:style w:type="paragraph" w:styleId="25">
    <w:name w:val="endnote text"/>
    <w:basedOn w:val="1"/>
    <w:link w:val="201"/>
    <w:semiHidden/>
    <w:unhideWhenUsed/>
    <w:qFormat/>
    <w:uiPriority w:val="99"/>
    <w:pPr>
      <w:spacing w:after="0" w:line="240" w:lineRule="auto"/>
    </w:pPr>
    <w:rPr>
      <w:sz w:val="20"/>
    </w:rPr>
  </w:style>
  <w:style w:type="paragraph" w:styleId="26">
    <w:name w:val="Balloon Text"/>
    <w:basedOn w:val="1"/>
    <w:link w:val="215"/>
    <w:unhideWhenUsed/>
    <w:qFormat/>
    <w:uiPriority w:val="99"/>
    <w:rPr>
      <w:sz w:val="18"/>
      <w:szCs w:val="18"/>
    </w:rPr>
  </w:style>
  <w:style w:type="paragraph" w:styleId="27">
    <w:name w:val="footer"/>
    <w:basedOn w:val="1"/>
    <w:link w:val="216"/>
    <w:qFormat/>
    <w:uiPriority w:val="99"/>
    <w:pPr>
      <w:tabs>
        <w:tab w:val="center" w:pos="4153"/>
        <w:tab w:val="right" w:pos="8306"/>
      </w:tabs>
      <w:jc w:val="left"/>
    </w:pPr>
    <w:rPr>
      <w:sz w:val="18"/>
      <w:szCs w:val="18"/>
    </w:rPr>
  </w:style>
  <w:style w:type="paragraph" w:styleId="28">
    <w:name w:val="header"/>
    <w:basedOn w:val="1"/>
    <w:link w:val="217"/>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qFormat/>
    <w:uiPriority w:val="39"/>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218"/>
    <w:qFormat/>
    <w:uiPriority w:val="11"/>
    <w:pPr>
      <w:spacing w:before="240" w:after="60" w:line="312" w:lineRule="auto"/>
      <w:jc w:val="center"/>
      <w:outlineLvl w:val="1"/>
    </w:pPr>
    <w:rPr>
      <w:rFonts w:ascii="Calibri Light" w:hAnsi="Calibri Light"/>
      <w:b/>
      <w:bCs/>
      <w:sz w:val="32"/>
      <w:szCs w:val="32"/>
    </w:rPr>
  </w:style>
  <w:style w:type="paragraph" w:styleId="32">
    <w:name w:val="List"/>
    <w:basedOn w:val="1"/>
    <w:qFormat/>
    <w:uiPriority w:val="99"/>
    <w:pPr>
      <w:spacing w:line="240" w:lineRule="auto"/>
      <w:ind w:left="200" w:hanging="200"/>
      <w:contextualSpacing/>
    </w:pPr>
    <w:rPr>
      <w:rFonts w:ascii="Times New Roman" w:hAnsi="Times New Roman"/>
    </w:rPr>
  </w:style>
  <w:style w:type="paragraph" w:styleId="33">
    <w:name w:val="footnote text"/>
    <w:basedOn w:val="1"/>
    <w:link w:val="200"/>
    <w:semiHidden/>
    <w:unhideWhenUsed/>
    <w:qFormat/>
    <w:uiPriority w:val="99"/>
    <w:pPr>
      <w:spacing w:after="40" w:line="240" w:lineRule="auto"/>
    </w:pPr>
    <w:rPr>
      <w:sz w:val="18"/>
    </w:rPr>
  </w:style>
  <w:style w:type="paragraph" w:styleId="34">
    <w:name w:val="toc 6"/>
    <w:basedOn w:val="1"/>
    <w:next w:val="1"/>
    <w:unhideWhenUsed/>
    <w:uiPriority w:val="39"/>
    <w:pPr>
      <w:spacing w:after="57"/>
      <w:ind w:left="1417" w:right="0" w:firstLine="0"/>
    </w:pPr>
  </w:style>
  <w:style w:type="paragraph" w:styleId="35">
    <w:name w:val="Body Text Indent 3"/>
    <w:basedOn w:val="1"/>
    <w:link w:val="219"/>
    <w:qFormat/>
    <w:uiPriority w:val="0"/>
    <w:pPr>
      <w:ind w:left="359" w:firstLine="359"/>
    </w:pPr>
    <w:rPr>
      <w:sz w:val="16"/>
      <w:szCs w:val="16"/>
    </w:rPr>
  </w:style>
  <w:style w:type="paragraph" w:styleId="36">
    <w:name w:val="table of figures"/>
    <w:basedOn w:val="1"/>
    <w:next w:val="1"/>
    <w:unhideWhenUsed/>
    <w:qFormat/>
    <w:uiPriority w:val="99"/>
    <w:pPr>
      <w:spacing w:after="0" w:afterAutospacing="0"/>
    </w:pPr>
  </w:style>
  <w:style w:type="paragraph" w:styleId="37">
    <w:name w:val="toc 2"/>
    <w:basedOn w:val="1"/>
    <w:next w:val="1"/>
    <w:unhideWhenUsed/>
    <w:uiPriority w:val="39"/>
    <w:pPr>
      <w:spacing w:after="57"/>
      <w:ind w:left="283" w:right="0" w:firstLine="0"/>
    </w:pPr>
  </w:style>
  <w:style w:type="paragraph" w:styleId="38">
    <w:name w:val="toc 9"/>
    <w:basedOn w:val="1"/>
    <w:next w:val="1"/>
    <w:unhideWhenUsed/>
    <w:uiPriority w:val="39"/>
    <w:pPr>
      <w:spacing w:after="57"/>
      <w:ind w:left="2268" w:right="0" w:firstLine="0"/>
    </w:pPr>
  </w:style>
  <w:style w:type="paragraph" w:styleId="39">
    <w:name w:val="Body Text 2"/>
    <w:basedOn w:val="1"/>
    <w:link w:val="220"/>
    <w:qFormat/>
    <w:uiPriority w:val="0"/>
    <w:pPr>
      <w:spacing w:after="120" w:line="480" w:lineRule="auto"/>
    </w:pPr>
    <w:rPr>
      <w:sz w:val="20"/>
    </w:rPr>
  </w:style>
  <w:style w:type="paragraph" w:styleId="40">
    <w:name w:val="HTML Preformatted"/>
    <w:basedOn w:val="1"/>
    <w:unhideWhenUsed/>
    <w:qFormat/>
    <w:uiPriority w:val="99"/>
    <w:rPr>
      <w:rFonts w:ascii="Courier New" w:hAnsi="Courier New" w:cs="Courier New"/>
      <w:sz w:val="20"/>
      <w:szCs w:val="20"/>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221"/>
    <w:qFormat/>
    <w:uiPriority w:val="99"/>
    <w:pPr>
      <w:spacing w:before="240" w:after="60" w:line="336" w:lineRule="auto"/>
      <w:ind w:firstLine="200"/>
      <w:jc w:val="center"/>
      <w:outlineLvl w:val="0"/>
    </w:pPr>
    <w:rPr>
      <w:rFonts w:ascii="Cambria" w:hAnsi="Cambria"/>
      <w:b/>
      <w:bCs/>
      <w:sz w:val="32"/>
      <w:szCs w:val="32"/>
    </w:rPr>
  </w:style>
  <w:style w:type="paragraph" w:styleId="43">
    <w:name w:val="annotation subject"/>
    <w:basedOn w:val="15"/>
    <w:next w:val="15"/>
    <w:link w:val="222"/>
    <w:unhideWhenUsed/>
    <w:qFormat/>
    <w:uiPriority w:val="99"/>
    <w:rPr>
      <w:b/>
      <w:bCs/>
    </w:rPr>
  </w:style>
  <w:style w:type="paragraph" w:styleId="44">
    <w:name w:val="Body Text First Indent"/>
    <w:basedOn w:val="16"/>
    <w:unhideWhenUsed/>
    <w:qFormat/>
    <w:uiPriority w:val="99"/>
    <w:pPr>
      <w:spacing w:after="120"/>
      <w:ind w:firstLine="420"/>
    </w:pPr>
    <w:rPr>
      <w:rFonts w:ascii="Times New Roman"/>
      <w:sz w:val="21"/>
    </w:rPr>
  </w:style>
  <w:style w:type="paragraph" w:styleId="45">
    <w:name w:val="Body Text First Indent 2"/>
    <w:basedOn w:val="17"/>
    <w:qFormat/>
    <w:uiPriority w:val="99"/>
    <w:pPr>
      <w:widowControl w:val="0"/>
      <w:spacing w:after="120" w:line="240" w:lineRule="auto"/>
      <w:ind w:left="420" w:firstLine="420"/>
    </w:pPr>
    <w:rPr>
      <w:rFonts w:ascii="Times New Roman" w:hAnsi="Times New Roman"/>
      <w:spacing w:val="0"/>
      <w:sz w:val="20"/>
    </w:rPr>
  </w:style>
  <w:style w:type="table" w:styleId="47">
    <w:name w:val="Table Grid"/>
    <w:basedOn w:val="46"/>
    <w:qFormat/>
    <w:uiPriority w:val="0"/>
    <w:rPr>
      <w:rFonts w:ascii="Times" w:hAnsi="Times" w:cs="Tim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qFormat/>
    <w:uiPriority w:val="0"/>
    <w:rPr>
      <w:rFonts w:cs="Times New Roman"/>
      <w:b/>
      <w:bCs/>
    </w:rPr>
  </w:style>
  <w:style w:type="character" w:styleId="50">
    <w:name w:val="endnote reference"/>
    <w:basedOn w:val="48"/>
    <w:semiHidden/>
    <w:unhideWhenUsed/>
    <w:qFormat/>
    <w:uiPriority w:val="99"/>
    <w:rPr>
      <w:vertAlign w:val="superscript"/>
    </w:rPr>
  </w:style>
  <w:style w:type="character" w:styleId="51">
    <w:name w:val="page number"/>
    <w:qFormat/>
    <w:uiPriority w:val="0"/>
    <w:rPr>
      <w:rFonts w:cs="Times New Roman"/>
    </w:rPr>
  </w:style>
  <w:style w:type="character" w:styleId="52">
    <w:name w:val="FollowedHyperlink"/>
    <w:qFormat/>
    <w:uiPriority w:val="99"/>
    <w:rPr>
      <w:rFonts w:cs="Times New Roman"/>
      <w:color w:val="auto"/>
      <w:u w:val="none"/>
    </w:rPr>
  </w:style>
  <w:style w:type="character" w:styleId="53">
    <w:name w:val="HTML Typewriter"/>
    <w:qFormat/>
    <w:uiPriority w:val="0"/>
    <w:rPr>
      <w:rFonts w:ascii="宋体" w:hAnsi="宋体" w:eastAsia="宋体" w:cs="宋体"/>
      <w:sz w:val="24"/>
      <w:szCs w:val="24"/>
    </w:rPr>
  </w:style>
  <w:style w:type="character" w:styleId="54">
    <w:name w:val="Hyperlink"/>
    <w:qFormat/>
    <w:uiPriority w:val="99"/>
    <w:rPr>
      <w:rFonts w:cs="Times New Roman"/>
      <w:color w:val="auto"/>
      <w:u w:val="none"/>
    </w:rPr>
  </w:style>
  <w:style w:type="character" w:styleId="55">
    <w:name w:val="annotation reference"/>
    <w:unhideWhenUsed/>
    <w:qFormat/>
    <w:uiPriority w:val="99"/>
    <w:rPr>
      <w:sz w:val="21"/>
      <w:szCs w:val="21"/>
    </w:rPr>
  </w:style>
  <w:style w:type="character" w:styleId="56">
    <w:name w:val="footnote reference"/>
    <w:basedOn w:val="48"/>
    <w:unhideWhenUsed/>
    <w:qFormat/>
    <w:uiPriority w:val="99"/>
    <w:rPr>
      <w:vertAlign w:val="superscript"/>
    </w:rPr>
  </w:style>
  <w:style w:type="character" w:customStyle="1" w:styleId="57">
    <w:name w:val="Heading 1 Char"/>
    <w:basedOn w:val="48"/>
    <w:uiPriority w:val="9"/>
    <w:rPr>
      <w:rFonts w:ascii="Arial" w:hAnsi="Arial" w:eastAsia="Arial" w:cs="Arial"/>
      <w:sz w:val="40"/>
      <w:szCs w:val="40"/>
    </w:rPr>
  </w:style>
  <w:style w:type="character" w:customStyle="1" w:styleId="58">
    <w:name w:val="Heading 2 Char"/>
    <w:basedOn w:val="48"/>
    <w:qFormat/>
    <w:uiPriority w:val="9"/>
    <w:rPr>
      <w:rFonts w:ascii="Arial" w:hAnsi="Arial" w:eastAsia="Arial" w:cs="Arial"/>
      <w:sz w:val="34"/>
    </w:rPr>
  </w:style>
  <w:style w:type="character" w:customStyle="1" w:styleId="59">
    <w:name w:val="Heading 3 Char"/>
    <w:basedOn w:val="48"/>
    <w:qFormat/>
    <w:uiPriority w:val="9"/>
    <w:rPr>
      <w:rFonts w:ascii="Arial" w:hAnsi="Arial" w:eastAsia="Arial" w:cs="Arial"/>
      <w:sz w:val="30"/>
      <w:szCs w:val="30"/>
    </w:rPr>
  </w:style>
  <w:style w:type="character" w:customStyle="1" w:styleId="60">
    <w:name w:val="Heading 4 Char"/>
    <w:basedOn w:val="48"/>
    <w:qFormat/>
    <w:uiPriority w:val="9"/>
    <w:rPr>
      <w:rFonts w:ascii="Arial" w:hAnsi="Arial" w:eastAsia="Arial" w:cs="Arial"/>
      <w:b/>
      <w:bCs/>
      <w:sz w:val="26"/>
      <w:szCs w:val="26"/>
    </w:rPr>
  </w:style>
  <w:style w:type="character" w:customStyle="1" w:styleId="61">
    <w:name w:val="Heading 5 Char"/>
    <w:basedOn w:val="48"/>
    <w:qFormat/>
    <w:uiPriority w:val="9"/>
    <w:rPr>
      <w:rFonts w:ascii="Arial" w:hAnsi="Arial" w:eastAsia="Arial" w:cs="Arial"/>
      <w:b/>
      <w:bCs/>
      <w:sz w:val="24"/>
      <w:szCs w:val="24"/>
    </w:rPr>
  </w:style>
  <w:style w:type="character" w:customStyle="1" w:styleId="62">
    <w:name w:val="Heading 6 Char"/>
    <w:basedOn w:val="48"/>
    <w:qFormat/>
    <w:uiPriority w:val="9"/>
    <w:rPr>
      <w:rFonts w:ascii="Arial" w:hAnsi="Arial" w:eastAsia="Arial" w:cs="Arial"/>
      <w:b/>
      <w:bCs/>
      <w:sz w:val="22"/>
      <w:szCs w:val="22"/>
    </w:rPr>
  </w:style>
  <w:style w:type="character" w:customStyle="1" w:styleId="63">
    <w:name w:val="Heading 7 Char"/>
    <w:basedOn w:val="48"/>
    <w:link w:val="8"/>
    <w:qFormat/>
    <w:uiPriority w:val="9"/>
    <w:rPr>
      <w:rFonts w:ascii="Arial" w:hAnsi="Arial" w:eastAsia="Arial" w:cs="Arial"/>
      <w:b/>
      <w:bCs/>
      <w:i/>
      <w:iCs/>
      <w:sz w:val="22"/>
      <w:szCs w:val="22"/>
    </w:rPr>
  </w:style>
  <w:style w:type="character" w:customStyle="1" w:styleId="64">
    <w:name w:val="Heading 8 Char"/>
    <w:basedOn w:val="48"/>
    <w:link w:val="9"/>
    <w:qFormat/>
    <w:uiPriority w:val="9"/>
    <w:rPr>
      <w:rFonts w:ascii="Arial" w:hAnsi="Arial" w:eastAsia="Arial" w:cs="Arial"/>
      <w:i/>
      <w:iCs/>
      <w:sz w:val="22"/>
      <w:szCs w:val="22"/>
    </w:rPr>
  </w:style>
  <w:style w:type="character" w:customStyle="1" w:styleId="65">
    <w:name w:val="Heading 9 Char"/>
    <w:basedOn w:val="48"/>
    <w:link w:val="10"/>
    <w:qFormat/>
    <w:uiPriority w:val="9"/>
    <w:rPr>
      <w:rFonts w:ascii="Arial" w:hAnsi="Arial" w:eastAsia="Arial" w:cs="Arial"/>
      <w:i/>
      <w:iCs/>
      <w:sz w:val="21"/>
      <w:szCs w:val="21"/>
    </w:rPr>
  </w:style>
  <w:style w:type="character" w:customStyle="1" w:styleId="66">
    <w:name w:val="Title Char"/>
    <w:basedOn w:val="48"/>
    <w:uiPriority w:val="10"/>
    <w:rPr>
      <w:sz w:val="48"/>
      <w:szCs w:val="48"/>
    </w:rPr>
  </w:style>
  <w:style w:type="character" w:customStyle="1" w:styleId="67">
    <w:name w:val="Subtitle Char"/>
    <w:basedOn w:val="48"/>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Quote Char"/>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1">
    <w:name w:val="Intense Quote Char"/>
    <w:link w:val="70"/>
    <w:qFormat/>
    <w:uiPriority w:val="30"/>
    <w:rPr>
      <w:i/>
    </w:rPr>
  </w:style>
  <w:style w:type="character" w:customStyle="1" w:styleId="72">
    <w:name w:val="Header Char"/>
    <w:basedOn w:val="48"/>
    <w:qFormat/>
    <w:uiPriority w:val="99"/>
  </w:style>
  <w:style w:type="character" w:customStyle="1" w:styleId="73">
    <w:name w:val="Footer Char"/>
    <w:basedOn w:val="48"/>
    <w:qFormat/>
    <w:uiPriority w:val="99"/>
  </w:style>
  <w:style w:type="character" w:customStyle="1" w:styleId="74">
    <w:name w:val="Caption Char"/>
    <w:qFormat/>
    <w:uiPriority w:val="99"/>
  </w:style>
  <w:style w:type="table" w:customStyle="1" w:styleId="75">
    <w:name w:val="Table Grid Light"/>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basedOn w:val="4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basedOn w:val="4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basedOn w:val="4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basedOn w:val="4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basedOn w:val="4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basedOn w:val="4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basedOn w:val="4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basedOn w:val="4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basedOn w:val="4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basedOn w:val="4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basedOn w:val="4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Grid Table 2"/>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basedOn w:val="4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basedOn w:val="4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basedOn w:val="4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basedOn w:val="4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basedOn w:val="4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basedOn w:val="4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3"/>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basedOn w:val="4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basedOn w:val="4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basedOn w:val="4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basedOn w:val="4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basedOn w:val="4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basedOn w:val="4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4"/>
    <w:basedOn w:val="4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basedOn w:val="46"/>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basedOn w:val="46"/>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basedOn w:val="4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basedOn w:val="4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basedOn w:val="4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basedOn w:val="4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5 Dark"/>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basedOn w:val="4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basedOn w:val="4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basedOn w:val="4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basedOn w:val="4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Grid Table 6 Colorful"/>
    <w:basedOn w:val="4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6 Colorful - Accent 1"/>
    <w:basedOn w:val="4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6 Colorful - Accent 2"/>
    <w:basedOn w:val="46"/>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6 Colorful - Accent 3"/>
    <w:basedOn w:val="4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6 Colorful - Accent 4"/>
    <w:basedOn w:val="4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6 Colorful - Accent 5"/>
    <w:basedOn w:val="4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6 Colorful - Accent 6"/>
    <w:basedOn w:val="4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3">
    <w:name w:val="Grid Table 7 Colorful"/>
    <w:basedOn w:val="4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7 Colorful - Accent 1"/>
    <w:basedOn w:val="4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7 Colorful - Accent 2"/>
    <w:basedOn w:val="4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7 Colorful - Accent 3"/>
    <w:basedOn w:val="4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7">
    <w:name w:val="Grid Table 7 Colorful - Accent 4"/>
    <w:basedOn w:val="46"/>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7 Colorful - Accent 5"/>
    <w:basedOn w:val="4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7 Colorful - Accent 6"/>
    <w:basedOn w:val="4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0">
    <w:name w:val="List Table 1 Light"/>
    <w:basedOn w:val="4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basedOn w:val="4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basedOn w:val="4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basedOn w:val="46"/>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basedOn w:val="46"/>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basedOn w:val="46"/>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basedOn w:val="4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List Table 2"/>
    <w:basedOn w:val="4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basedOn w:val="46"/>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basedOn w:val="46"/>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basedOn w:val="4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basedOn w:val="4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basedOn w:val="46"/>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basedOn w:val="4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3"/>
    <w:basedOn w:val="4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basedOn w:val="4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basedOn w:val="4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basedOn w:val="46"/>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basedOn w:val="46"/>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basedOn w:val="4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basedOn w:val="4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List Table 4"/>
    <w:basedOn w:val="4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basedOn w:val="4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basedOn w:val="4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basedOn w:val="4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basedOn w:val="4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basedOn w:val="4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basedOn w:val="4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5 Dark"/>
    <w:basedOn w:val="4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basedOn w:val="4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basedOn w:val="4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basedOn w:val="4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basedOn w:val="46"/>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basedOn w:val="46"/>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basedOn w:val="4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List Table 6 Colorful"/>
    <w:basedOn w:val="46"/>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6">
    <w:name w:val="List Table 6 Colorful - Accent 1"/>
    <w:basedOn w:val="46"/>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6 Colorful - Accent 2"/>
    <w:basedOn w:val="4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6 Colorful - Accent 3"/>
    <w:basedOn w:val="46"/>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6 Colorful - Accent 4"/>
    <w:basedOn w:val="46"/>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6 Colorful - Accent 5"/>
    <w:basedOn w:val="4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6 Colorful - Accent 6"/>
    <w:basedOn w:val="4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st Table 7 Colorful"/>
    <w:basedOn w:val="46"/>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List Table 7 Colorful - Accent 1"/>
    <w:basedOn w:val="46"/>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7 Colorful - Accent 2"/>
    <w:basedOn w:val="4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7 Colorful - Accent 3"/>
    <w:basedOn w:val="46"/>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7 Colorful - Accent 4"/>
    <w:basedOn w:val="4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7 Colorful - Accent 5"/>
    <w:basedOn w:val="46"/>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7 Colorful - Accent 6"/>
    <w:basedOn w:val="4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ned - Accent"/>
    <w:basedOn w:val="46"/>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basedOn w:val="46"/>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basedOn w:val="46"/>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basedOn w:val="46"/>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basedOn w:val="46"/>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basedOn w:val="46"/>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basedOn w:val="46"/>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basedOn w:val="4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basedOn w:val="46"/>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basedOn w:val="46"/>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basedOn w:val="46"/>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basedOn w:val="46"/>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basedOn w:val="4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basedOn w:val="4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basedOn w:val="46"/>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basedOn w:val="4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basedOn w:val="4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basedOn w:val="4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basedOn w:val="46"/>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basedOn w:val="46"/>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basedOn w:val="4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Footnote Text Char"/>
    <w:link w:val="33"/>
    <w:uiPriority w:val="99"/>
    <w:rPr>
      <w:sz w:val="18"/>
    </w:rPr>
  </w:style>
  <w:style w:type="character" w:customStyle="1" w:styleId="201">
    <w:name w:val="Endnote Text Char"/>
    <w:link w:val="25"/>
    <w:uiPriority w:val="99"/>
    <w:rPr>
      <w:sz w:val="20"/>
    </w:rPr>
  </w:style>
  <w:style w:type="paragraph" w:customStyle="1" w:styleId="202">
    <w:name w:val="TOC Heading"/>
    <w:unhideWhenUsed/>
    <w:uiPriority w:val="39"/>
    <w:rPr>
      <w:rFonts w:hint="default" w:ascii="Times New Roman" w:hAnsi="Times New Roman" w:eastAsia="宋体" w:cs="Times New Roman"/>
    </w:rPr>
  </w:style>
  <w:style w:type="character" w:customStyle="1" w:styleId="203">
    <w:name w:val="标题 1 Char"/>
    <w:link w:val="2"/>
    <w:qFormat/>
    <w:uiPriority w:val="0"/>
    <w:rPr>
      <w:rFonts w:cs="Times New Roman"/>
      <w:b/>
      <w:bCs/>
      <w:sz w:val="44"/>
      <w:szCs w:val="44"/>
    </w:rPr>
  </w:style>
  <w:style w:type="character" w:customStyle="1" w:styleId="204">
    <w:name w:val="标题 2 Char"/>
    <w:link w:val="3"/>
    <w:semiHidden/>
    <w:qFormat/>
    <w:uiPriority w:val="0"/>
    <w:rPr>
      <w:rFonts w:ascii="Cambria" w:hAnsi="Cambria" w:eastAsia="宋体" w:cs="Times New Roman"/>
      <w:b/>
      <w:bCs/>
      <w:sz w:val="32"/>
      <w:szCs w:val="32"/>
    </w:rPr>
  </w:style>
  <w:style w:type="character" w:customStyle="1" w:styleId="205">
    <w:name w:val="标题 3 Char"/>
    <w:link w:val="4"/>
    <w:semiHidden/>
    <w:qFormat/>
    <w:uiPriority w:val="0"/>
    <w:rPr>
      <w:rFonts w:cs="Times New Roman"/>
      <w:b/>
      <w:bCs/>
      <w:sz w:val="32"/>
      <w:szCs w:val="32"/>
    </w:rPr>
  </w:style>
  <w:style w:type="character" w:customStyle="1" w:styleId="206">
    <w:name w:val="标题 4 Char"/>
    <w:link w:val="5"/>
    <w:semiHidden/>
    <w:qFormat/>
    <w:uiPriority w:val="0"/>
    <w:rPr>
      <w:rFonts w:ascii="Cambria" w:hAnsi="Cambria" w:eastAsia="宋体" w:cs="Times New Roman"/>
      <w:b/>
      <w:bCs/>
      <w:sz w:val="28"/>
      <w:szCs w:val="28"/>
    </w:rPr>
  </w:style>
  <w:style w:type="character" w:customStyle="1" w:styleId="207">
    <w:name w:val="标题 5 Char"/>
    <w:link w:val="6"/>
    <w:qFormat/>
    <w:uiPriority w:val="0"/>
    <w:rPr>
      <w:rFonts w:ascii="楷体_GB2312" w:eastAsia="楷体_GB2312"/>
      <w:bCs/>
      <w:sz w:val="28"/>
    </w:rPr>
  </w:style>
  <w:style w:type="character" w:customStyle="1" w:styleId="208">
    <w:name w:val="正文缩进 Char"/>
    <w:link w:val="12"/>
    <w:qFormat/>
    <w:uiPriority w:val="0"/>
    <w:rPr>
      <w:sz w:val="21"/>
    </w:rPr>
  </w:style>
  <w:style w:type="character" w:customStyle="1" w:styleId="209">
    <w:name w:val="文档结构图 Char"/>
    <w:link w:val="14"/>
    <w:semiHidden/>
    <w:qFormat/>
    <w:uiPriority w:val="0"/>
    <w:rPr>
      <w:rFonts w:cs="Times New Roman"/>
      <w:sz w:val="2"/>
    </w:rPr>
  </w:style>
  <w:style w:type="character" w:customStyle="1" w:styleId="210">
    <w:name w:val="批注文字 Char"/>
    <w:link w:val="15"/>
    <w:qFormat/>
    <w:uiPriority w:val="0"/>
    <w:rPr>
      <w:sz w:val="21"/>
    </w:rPr>
  </w:style>
  <w:style w:type="character" w:customStyle="1" w:styleId="211">
    <w:name w:val="正文文本 Char"/>
    <w:link w:val="16"/>
    <w:semiHidden/>
    <w:qFormat/>
    <w:uiPriority w:val="0"/>
    <w:rPr>
      <w:rFonts w:cs="Times New Roman"/>
      <w:sz w:val="20"/>
      <w:szCs w:val="20"/>
    </w:rPr>
  </w:style>
  <w:style w:type="character" w:customStyle="1" w:styleId="212">
    <w:name w:val="正文文本缩进 Char"/>
    <w:link w:val="17"/>
    <w:semiHidden/>
    <w:qFormat/>
    <w:uiPriority w:val="0"/>
    <w:rPr>
      <w:rFonts w:cs="Times New Roman"/>
      <w:sz w:val="20"/>
      <w:szCs w:val="20"/>
    </w:rPr>
  </w:style>
  <w:style w:type="character" w:customStyle="1" w:styleId="213">
    <w:name w:val="日期 Char"/>
    <w:link w:val="23"/>
    <w:semiHidden/>
    <w:qFormat/>
    <w:uiPriority w:val="0"/>
    <w:rPr>
      <w:rFonts w:cs="Times New Roman"/>
      <w:sz w:val="20"/>
      <w:szCs w:val="20"/>
    </w:rPr>
  </w:style>
  <w:style w:type="character" w:customStyle="1" w:styleId="214">
    <w:name w:val="正文文本缩进 2 Char"/>
    <w:link w:val="24"/>
    <w:semiHidden/>
    <w:qFormat/>
    <w:uiPriority w:val="0"/>
    <w:rPr>
      <w:rFonts w:cs="Times New Roman"/>
      <w:sz w:val="20"/>
      <w:szCs w:val="20"/>
    </w:rPr>
  </w:style>
  <w:style w:type="character" w:customStyle="1" w:styleId="215">
    <w:name w:val="批注框文本 Char"/>
    <w:link w:val="26"/>
    <w:qFormat/>
    <w:uiPriority w:val="99"/>
    <w:rPr>
      <w:sz w:val="18"/>
      <w:szCs w:val="18"/>
    </w:rPr>
  </w:style>
  <w:style w:type="character" w:customStyle="1" w:styleId="216">
    <w:name w:val="页脚 Char"/>
    <w:link w:val="27"/>
    <w:qFormat/>
    <w:uiPriority w:val="99"/>
    <w:rPr>
      <w:rFonts w:cs="Times New Roman"/>
      <w:sz w:val="18"/>
      <w:szCs w:val="18"/>
    </w:rPr>
  </w:style>
  <w:style w:type="character" w:customStyle="1" w:styleId="217">
    <w:name w:val="页眉 Char"/>
    <w:link w:val="28"/>
    <w:qFormat/>
    <w:uiPriority w:val="99"/>
    <w:rPr>
      <w:rFonts w:cs="Times New Roman"/>
      <w:sz w:val="18"/>
      <w:szCs w:val="18"/>
    </w:rPr>
  </w:style>
  <w:style w:type="character" w:customStyle="1" w:styleId="218">
    <w:name w:val="副标题 Char"/>
    <w:link w:val="31"/>
    <w:qFormat/>
    <w:uiPriority w:val="11"/>
    <w:rPr>
      <w:rFonts w:ascii="Calibri Light" w:hAnsi="Calibri Light"/>
      <w:b/>
      <w:bCs/>
      <w:sz w:val="32"/>
      <w:szCs w:val="32"/>
    </w:rPr>
  </w:style>
  <w:style w:type="character" w:customStyle="1" w:styleId="219">
    <w:name w:val="正文文本缩进 3 Char"/>
    <w:link w:val="35"/>
    <w:semiHidden/>
    <w:qFormat/>
    <w:uiPriority w:val="0"/>
    <w:rPr>
      <w:rFonts w:cs="Times New Roman"/>
      <w:sz w:val="16"/>
      <w:szCs w:val="16"/>
    </w:rPr>
  </w:style>
  <w:style w:type="character" w:customStyle="1" w:styleId="220">
    <w:name w:val="正文文本 2 Char"/>
    <w:link w:val="39"/>
    <w:semiHidden/>
    <w:qFormat/>
    <w:uiPriority w:val="0"/>
    <w:rPr>
      <w:rFonts w:cs="Times New Roman"/>
      <w:sz w:val="20"/>
      <w:szCs w:val="20"/>
    </w:rPr>
  </w:style>
  <w:style w:type="character" w:customStyle="1" w:styleId="221">
    <w:name w:val="标题 Char"/>
    <w:link w:val="42"/>
    <w:qFormat/>
    <w:uiPriority w:val="99"/>
    <w:rPr>
      <w:rFonts w:ascii="Cambria" w:hAnsi="Cambria" w:cs="Cambria"/>
      <w:b/>
      <w:bCs/>
      <w:sz w:val="32"/>
      <w:szCs w:val="32"/>
    </w:rPr>
  </w:style>
  <w:style w:type="character" w:customStyle="1" w:styleId="222">
    <w:name w:val="批注主题 Char"/>
    <w:link w:val="43"/>
    <w:semiHidden/>
    <w:qFormat/>
    <w:uiPriority w:val="99"/>
    <w:rPr>
      <w:b/>
      <w:bCs/>
      <w:sz w:val="21"/>
    </w:rPr>
  </w:style>
  <w:style w:type="character" w:customStyle="1" w:styleId="223">
    <w:name w:val="标题 3 字符"/>
    <w:link w:val="4"/>
    <w:semiHidden/>
    <w:qFormat/>
    <w:uiPriority w:val="0"/>
    <w:rPr>
      <w:rFonts w:cs="Times New Roman"/>
      <w:b/>
      <w:bCs/>
      <w:sz w:val="32"/>
      <w:szCs w:val="32"/>
    </w:rPr>
  </w:style>
  <w:style w:type="character" w:customStyle="1" w:styleId="224">
    <w:name w:val="style21"/>
    <w:qFormat/>
    <w:uiPriority w:val="99"/>
    <w:rPr>
      <w:sz w:val="22"/>
      <w:szCs w:val="22"/>
    </w:rPr>
  </w:style>
  <w:style w:type="character" w:customStyle="1" w:styleId="225">
    <w:name w:val="列出段落 字符"/>
    <w:qFormat/>
    <w:uiPriority w:val="34"/>
    <w:rPr>
      <w:sz w:val="21"/>
    </w:rPr>
  </w:style>
  <w:style w:type="character" w:customStyle="1" w:styleId="226">
    <w:name w:val="宋体&amp;Time5# Char"/>
    <w:link w:val="227"/>
    <w:qFormat/>
    <w:uiPriority w:val="0"/>
    <w:rPr>
      <w:rFonts w:ascii="Calibri" w:hAnsi="Calibri" w:eastAsia="Times New Roman"/>
      <w:sz w:val="21"/>
      <w:szCs w:val="21"/>
    </w:rPr>
  </w:style>
  <w:style w:type="paragraph" w:customStyle="1" w:styleId="227">
    <w:name w:val="宋体&amp;Time5#"/>
    <w:basedOn w:val="1"/>
    <w:link w:val="226"/>
    <w:qFormat/>
    <w:uiPriority w:val="0"/>
    <w:pPr>
      <w:jc w:val="center"/>
    </w:pPr>
    <w:rPr>
      <w:rFonts w:ascii="Calibri" w:hAnsi="Calibri" w:eastAsia="Times New Roman"/>
      <w:szCs w:val="21"/>
    </w:rPr>
  </w:style>
  <w:style w:type="character" w:customStyle="1" w:styleId="228">
    <w:name w:val="访问过的超链接1"/>
    <w:qFormat/>
    <w:uiPriority w:val="0"/>
    <w:rPr>
      <w:color w:val="auto"/>
      <w:u w:val="none"/>
    </w:rPr>
  </w:style>
  <w:style w:type="character" w:customStyle="1" w:styleId="229">
    <w:name w:val="列出段落 Char"/>
    <w:link w:val="230"/>
    <w:qFormat/>
    <w:uiPriority w:val="34"/>
    <w:rPr>
      <w:sz w:val="21"/>
    </w:rPr>
  </w:style>
  <w:style w:type="paragraph" w:styleId="230">
    <w:name w:val="List Paragraph"/>
    <w:basedOn w:val="1"/>
    <w:link w:val="229"/>
    <w:qFormat/>
    <w:uiPriority w:val="34"/>
    <w:pPr>
      <w:ind w:firstLine="420"/>
    </w:pPr>
  </w:style>
  <w:style w:type="character" w:customStyle="1" w:styleId="231">
    <w:name w:val="case31"/>
    <w:qFormat/>
    <w:uiPriority w:val="0"/>
    <w:rPr>
      <w:rFonts w:cs="Times New Roman"/>
      <w:spacing w:val="390"/>
      <w:sz w:val="21"/>
      <w:szCs w:val="21"/>
    </w:rPr>
  </w:style>
  <w:style w:type="character" w:customStyle="1" w:styleId="232">
    <w:name w:val="_正文 Char"/>
    <w:link w:val="233"/>
    <w:qFormat/>
    <w:uiPriority w:val="0"/>
    <w:rPr>
      <w:rFonts w:ascii="微软雅黑" w:hAnsi="微软雅黑"/>
    </w:rPr>
  </w:style>
  <w:style w:type="paragraph" w:customStyle="1" w:styleId="233">
    <w:name w:val="_正文"/>
    <w:basedOn w:val="1"/>
    <w:link w:val="232"/>
    <w:qFormat/>
    <w:uiPriority w:val="0"/>
    <w:pPr>
      <w:widowControl/>
      <w:spacing w:line="360" w:lineRule="auto"/>
      <w:ind w:firstLine="200"/>
      <w:jc w:val="left"/>
    </w:pPr>
    <w:rPr>
      <w:rFonts w:ascii="微软雅黑" w:hAnsi="微软雅黑"/>
      <w:sz w:val="20"/>
    </w:rPr>
  </w:style>
  <w:style w:type="paragraph" w:customStyle="1" w:styleId="234">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3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36">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237">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38">
    <w:name w:val="样式 首行缩进:  2 字符"/>
    <w:basedOn w:val="1"/>
    <w:qFormat/>
    <w:uiPriority w:val="99"/>
    <w:pPr>
      <w:spacing w:line="288" w:lineRule="auto"/>
      <w:ind w:firstLine="200"/>
    </w:pPr>
    <w:rPr>
      <w:rFonts w:ascii="仿宋_GB2312" w:hAnsi="Times" w:eastAsia="仿宋_GB2312" w:cs="仿宋_GB2312"/>
      <w:sz w:val="32"/>
      <w:szCs w:val="32"/>
    </w:rPr>
  </w:style>
  <w:style w:type="paragraph" w:customStyle="1" w:styleId="239">
    <w:name w:val="font13"/>
    <w:basedOn w:val="1"/>
    <w:qFormat/>
    <w:uiPriority w:val="0"/>
    <w:pPr>
      <w:widowControl/>
      <w:spacing w:before="100" w:beforeAutospacing="1" w:after="100" w:afterAutospacing="1"/>
      <w:jc w:val="left"/>
    </w:pPr>
    <w:rPr>
      <w:i/>
      <w:iCs/>
      <w:sz w:val="36"/>
      <w:szCs w:val="36"/>
    </w:rPr>
  </w:style>
  <w:style w:type="paragraph" w:customStyle="1" w:styleId="240">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24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42">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4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4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4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46">
    <w:name w:val="样式 首行缩进:  2 字符1"/>
    <w:basedOn w:val="1"/>
    <w:qFormat/>
    <w:uiPriority w:val="99"/>
    <w:pPr>
      <w:spacing w:line="288" w:lineRule="auto"/>
      <w:ind w:firstLine="200"/>
    </w:pPr>
    <w:rPr>
      <w:rFonts w:ascii="仿宋_GB2312" w:hAnsi="Times" w:eastAsia="仿宋_GB2312" w:cs="仿宋_GB2312"/>
      <w:sz w:val="32"/>
      <w:szCs w:val="32"/>
    </w:rPr>
  </w:style>
  <w:style w:type="paragraph" w:customStyle="1" w:styleId="247">
    <w:name w:val="font7"/>
    <w:basedOn w:val="1"/>
    <w:qFormat/>
    <w:uiPriority w:val="0"/>
    <w:pPr>
      <w:widowControl/>
      <w:spacing w:before="100" w:beforeAutospacing="1" w:after="100" w:afterAutospacing="1"/>
      <w:jc w:val="left"/>
    </w:pPr>
    <w:rPr>
      <w:b/>
      <w:bCs/>
      <w:i/>
      <w:iCs/>
      <w:sz w:val="20"/>
    </w:rPr>
  </w:style>
  <w:style w:type="paragraph" w:customStyle="1" w:styleId="248">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49">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50">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251">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252">
    <w:name w:val="xl1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25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25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255">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56">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257">
    <w:name w:val="Table Description"/>
    <w:basedOn w:val="1"/>
    <w:next w:val="1"/>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58">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259">
    <w:name w:val="List Paragraph1"/>
    <w:basedOn w:val="1"/>
    <w:qFormat/>
    <w:uiPriority w:val="0"/>
    <w:pPr>
      <w:ind w:firstLine="420"/>
    </w:pPr>
  </w:style>
  <w:style w:type="paragraph" w:customStyle="1" w:styleId="26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26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62">
    <w:name w:val="文件标题"/>
    <w:basedOn w:val="1"/>
    <w:qFormat/>
    <w:uiPriority w:val="99"/>
    <w:pPr>
      <w:spacing w:line="640" w:lineRule="exact"/>
      <w:jc w:val="center"/>
    </w:pPr>
    <w:rPr>
      <w:rFonts w:ascii="宋体" w:hAnsi="宋体" w:eastAsia="方正小标宋_GBK" w:cs="宋体"/>
      <w:sz w:val="44"/>
      <w:szCs w:val="44"/>
    </w:rPr>
  </w:style>
  <w:style w:type="paragraph" w:customStyle="1" w:styleId="263">
    <w:name w:val="文档正文"/>
    <w:basedOn w:val="1"/>
    <w:qFormat/>
    <w:uiPriority w:val="0"/>
    <w:pPr>
      <w:spacing w:line="312" w:lineRule="atLeast"/>
      <w:ind w:firstLine="567"/>
    </w:pPr>
    <w:rPr>
      <w:rFonts w:ascii="长城仿宋" w:eastAsia="长城仿宋"/>
      <w:sz w:val="28"/>
    </w:rPr>
  </w:style>
  <w:style w:type="paragraph" w:customStyle="1" w:styleId="26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265">
    <w:name w:val="font8"/>
    <w:basedOn w:val="1"/>
    <w:qFormat/>
    <w:uiPriority w:val="0"/>
    <w:pPr>
      <w:widowControl/>
      <w:spacing w:before="100" w:beforeAutospacing="1" w:after="100" w:afterAutospacing="1"/>
      <w:jc w:val="left"/>
    </w:pPr>
    <w:rPr>
      <w:rFonts w:ascii="宋体" w:hAnsi="宋体"/>
      <w:b/>
      <w:bCs/>
      <w:i/>
      <w:iCs/>
      <w:sz w:val="20"/>
    </w:rPr>
  </w:style>
  <w:style w:type="paragraph" w:customStyle="1" w:styleId="266">
    <w:name w:val="Figure Description"/>
    <w:next w:val="1"/>
    <w:qFormat/>
    <w:uiPriority w:val="0"/>
    <w:pPr>
      <w:keepNext/>
      <w:spacing w:before="320" w:after="80" w:line="240" w:lineRule="atLeast"/>
      <w:ind w:left="1701"/>
      <w:outlineLvl w:val="7"/>
    </w:pPr>
    <w:rPr>
      <w:rFonts w:hint="default" w:ascii="Times New Roman" w:hAnsi="Times New Roman" w:eastAsia="黑体" w:cs="Arial"/>
      <w:spacing w:val="-4"/>
      <w:sz w:val="21"/>
      <w:szCs w:val="21"/>
      <w:lang w:val="en-US" w:eastAsia="zh-CN" w:bidi="ar-SA"/>
    </w:rPr>
  </w:style>
  <w:style w:type="paragraph" w:customStyle="1" w:styleId="267">
    <w:name w:val="_标题 2"/>
    <w:basedOn w:val="3"/>
    <w:next w:val="233"/>
    <w:qFormat/>
    <w:uiPriority w:val="0"/>
    <w:pPr>
      <w:keepLines/>
      <w:widowControl/>
      <w:numPr>
        <w:ilvl w:val="1"/>
        <w:numId w:val="2"/>
      </w:numPr>
      <w:spacing w:before="260" w:after="260"/>
      <w:jc w:val="left"/>
    </w:pPr>
    <w:rPr>
      <w:rFonts w:ascii="微软雅黑" w:hAnsi="微软雅黑" w:eastAsia="宋体"/>
      <w:sz w:val="21"/>
      <w:szCs w:val="32"/>
    </w:rPr>
  </w:style>
  <w:style w:type="paragraph" w:customStyle="1" w:styleId="268">
    <w:name w:val="Block Label"/>
    <w:basedOn w:val="1"/>
    <w:next w:val="1"/>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69">
    <w:name w:val="_标题 4"/>
    <w:basedOn w:val="5"/>
    <w:next w:val="233"/>
    <w:qFormat/>
    <w:uiPriority w:val="0"/>
    <w:pPr>
      <w:keepLines/>
      <w:widowControl/>
      <w:numPr>
        <w:ilvl w:val="3"/>
        <w:numId w:val="2"/>
      </w:numPr>
      <w:spacing w:before="260" w:after="260" w:line="377" w:lineRule="auto"/>
      <w:ind w:left="0" w:firstLine="283"/>
      <w:jc w:val="left"/>
    </w:pPr>
    <w:rPr>
      <w:rFonts w:ascii="微软雅黑" w:hAnsi="微软雅黑" w:eastAsia="宋体"/>
      <w:color w:val="000000"/>
      <w:sz w:val="20"/>
      <w:szCs w:val="21"/>
    </w:rPr>
  </w:style>
  <w:style w:type="paragraph" w:customStyle="1" w:styleId="270">
    <w:name w:val="Char Char Char Char"/>
    <w:basedOn w:val="14"/>
    <w:qFormat/>
    <w:uiPriority w:val="0"/>
    <w:pPr>
      <w:spacing w:line="360" w:lineRule="auto"/>
    </w:pPr>
    <w:rPr>
      <w:rFonts w:ascii="Tahoma" w:hAnsi="Tahoma"/>
      <w:sz w:val="24"/>
      <w:szCs w:val="24"/>
    </w:rPr>
  </w:style>
  <w:style w:type="paragraph" w:customStyle="1" w:styleId="271">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272">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73">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274">
    <w:name w:val="默认段落字体 Para Char"/>
    <w:basedOn w:val="1"/>
    <w:qFormat/>
    <w:uiPriority w:val="0"/>
    <w:pPr>
      <w:tabs>
        <w:tab w:val="left" w:pos="552"/>
      </w:tabs>
      <w:ind w:left="552" w:hanging="420"/>
    </w:pPr>
    <w:rPr>
      <w:sz w:val="24"/>
      <w:szCs w:val="24"/>
    </w:rPr>
  </w:style>
  <w:style w:type="paragraph" w:customStyle="1" w:styleId="275">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76">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277">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78">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279">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280">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8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8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8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284">
    <w:name w:val="font6"/>
    <w:basedOn w:val="1"/>
    <w:qFormat/>
    <w:uiPriority w:val="0"/>
    <w:pPr>
      <w:widowControl/>
      <w:spacing w:before="100" w:beforeAutospacing="1" w:after="100" w:afterAutospacing="1"/>
      <w:jc w:val="left"/>
    </w:pPr>
    <w:rPr>
      <w:rFonts w:ascii="宋体" w:hAnsi="宋体"/>
      <w:b/>
      <w:bCs/>
      <w:sz w:val="20"/>
    </w:rPr>
  </w:style>
  <w:style w:type="paragraph" w:customStyle="1" w:styleId="285">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286">
    <w:name w:val="_Style 22"/>
    <w:basedOn w:val="1"/>
    <w:qFormat/>
    <w:uiPriority w:val="0"/>
    <w:pPr>
      <w:spacing w:line="300" w:lineRule="auto"/>
      <w:ind w:firstLine="200"/>
    </w:pPr>
    <w:rPr>
      <w:rFonts w:ascii="宋体" w:hAnsi="Calibri" w:eastAsia="等线"/>
      <w:sz w:val="24"/>
      <w:szCs w:val="22"/>
    </w:rPr>
  </w:style>
  <w:style w:type="paragraph" w:customStyle="1" w:styleId="28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88">
    <w:name w:val="Char Char1 Char Char Char Char"/>
    <w:basedOn w:val="14"/>
    <w:qFormat/>
    <w:uiPriority w:val="0"/>
    <w:pPr>
      <w:spacing w:line="436" w:lineRule="exact"/>
      <w:ind w:left="357"/>
      <w:jc w:val="left"/>
      <w:outlineLvl w:val="3"/>
    </w:pPr>
    <w:rPr>
      <w:rFonts w:ascii="Tahoma" w:hAnsi="Tahoma"/>
      <w:b/>
      <w:sz w:val="24"/>
      <w:szCs w:val="24"/>
    </w:rPr>
  </w:style>
  <w:style w:type="paragraph" w:customStyle="1" w:styleId="289">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90">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1">
    <w:name w:val="font9"/>
    <w:basedOn w:val="1"/>
    <w:qFormat/>
    <w:uiPriority w:val="0"/>
    <w:pPr>
      <w:widowControl/>
      <w:spacing w:before="100" w:beforeAutospacing="1" w:after="100" w:afterAutospacing="1"/>
      <w:jc w:val="left"/>
    </w:pPr>
    <w:rPr>
      <w:b/>
      <w:bCs/>
      <w:sz w:val="20"/>
    </w:rPr>
  </w:style>
  <w:style w:type="paragraph" w:customStyle="1" w:styleId="292">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hint="default" w:ascii="Calibri" w:hAnsi="Calibri" w:eastAsia="宋体" w:cs="Calibri"/>
      <w:sz w:val="21"/>
      <w:szCs w:val="21"/>
      <w:lang w:val="en-US" w:eastAsia="zh-CN" w:bidi="ar-SA"/>
    </w:rPr>
  </w:style>
  <w:style w:type="paragraph" w:customStyle="1" w:styleId="293">
    <w:name w:val="_Style 1"/>
    <w:basedOn w:val="1"/>
    <w:qFormat/>
    <w:uiPriority w:val="99"/>
    <w:pPr>
      <w:ind w:firstLine="420"/>
    </w:pPr>
    <w:rPr>
      <w:szCs w:val="22"/>
    </w:rPr>
  </w:style>
  <w:style w:type="paragraph" w:customStyle="1" w:styleId="294">
    <w:name w:val="Body"/>
    <w:qFormat/>
    <w:uiPriority w:val="0"/>
    <w:pPr>
      <w:spacing w:before="130" w:after="130" w:line="260" w:lineRule="exact"/>
    </w:pPr>
    <w:rPr>
      <w:rFonts w:hint="default" w:ascii="Univers" w:hAnsi="Univers" w:eastAsia="宋体" w:cs="Times New Roman"/>
      <w:color w:val="000000"/>
      <w:sz w:val="22"/>
      <w:lang w:val="en-US" w:eastAsia="en-US" w:bidi="ar-SA"/>
    </w:rPr>
  </w:style>
  <w:style w:type="paragraph" w:customStyle="1" w:styleId="295">
    <w:name w:val="列出段落1"/>
    <w:basedOn w:val="1"/>
    <w:qFormat/>
    <w:uiPriority w:val="0"/>
    <w:pPr>
      <w:ind w:firstLine="420"/>
    </w:pPr>
    <w:rPr>
      <w:sz w:val="20"/>
    </w:rPr>
  </w:style>
  <w:style w:type="paragraph" w:customStyle="1" w:styleId="296">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29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8">
    <w:name w:val="font11"/>
    <w:basedOn w:val="1"/>
    <w:qFormat/>
    <w:uiPriority w:val="0"/>
    <w:pPr>
      <w:widowControl/>
      <w:spacing w:before="100" w:beforeAutospacing="1" w:after="100" w:afterAutospacing="1"/>
      <w:jc w:val="left"/>
    </w:pPr>
    <w:rPr>
      <w:b/>
      <w:bCs/>
      <w:sz w:val="18"/>
      <w:szCs w:val="18"/>
    </w:rPr>
  </w:style>
  <w:style w:type="paragraph" w:customStyle="1" w:styleId="29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00">
    <w:name w:val=" Char1"/>
    <w:basedOn w:val="1"/>
    <w:qFormat/>
    <w:uiPriority w:val="0"/>
    <w:pPr>
      <w:widowControl/>
      <w:spacing w:after="160" w:line="240" w:lineRule="exact"/>
      <w:jc w:val="left"/>
    </w:pPr>
  </w:style>
  <w:style w:type="paragraph" w:customStyle="1" w:styleId="301">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02">
    <w:name w:val="普通文字"/>
    <w:basedOn w:val="1"/>
    <w:next w:val="1"/>
    <w:qFormat/>
    <w:uiPriority w:val="0"/>
    <w:rPr>
      <w:rFonts w:ascii="宋体"/>
      <w:sz w:val="24"/>
      <w:u w:val="none"/>
    </w:rPr>
  </w:style>
  <w:style w:type="paragraph" w:customStyle="1" w:styleId="303">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0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05">
    <w:name w:val="_标题 1"/>
    <w:basedOn w:val="1"/>
    <w:next w:val="233"/>
    <w:qFormat/>
    <w:uiPriority w:val="0"/>
    <w:pPr>
      <w:keepNext/>
      <w:keepLines/>
      <w:pageBreakBefore/>
      <w:widowControl/>
      <w:numPr>
        <w:ilvl w:val="0"/>
        <w:numId w:val="2"/>
      </w:numPr>
      <w:spacing w:before="340" w:after="330"/>
      <w:ind w:firstLine="0"/>
      <w:jc w:val="center"/>
      <w:outlineLvl w:val="0"/>
    </w:pPr>
    <w:rPr>
      <w:rFonts w:ascii="微软雅黑" w:hAnsi="微软雅黑"/>
      <w:b/>
      <w:bCs/>
      <w:sz w:val="32"/>
      <w:szCs w:val="28"/>
    </w:rPr>
  </w:style>
  <w:style w:type="paragraph" w:customStyle="1" w:styleId="306">
    <w:name w:val="_标题 3"/>
    <w:basedOn w:val="4"/>
    <w:next w:val="233"/>
    <w:qFormat/>
    <w:uiPriority w:val="0"/>
    <w:pPr>
      <w:keepLines/>
      <w:widowControl/>
      <w:numPr>
        <w:ilvl w:val="2"/>
        <w:numId w:val="2"/>
      </w:numPr>
      <w:spacing w:before="260" w:after="260"/>
      <w:jc w:val="left"/>
    </w:pPr>
    <w:rPr>
      <w:rFonts w:ascii="微软雅黑" w:hAnsi="微软雅黑" w:eastAsia="宋体"/>
      <w:sz w:val="21"/>
      <w:szCs w:val="21"/>
    </w:rPr>
  </w:style>
  <w:style w:type="paragraph" w:customStyle="1" w:styleId="307">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08">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0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10">
    <w:name w:val="font14"/>
    <w:basedOn w:val="1"/>
    <w:qFormat/>
    <w:uiPriority w:val="0"/>
    <w:pPr>
      <w:widowControl/>
      <w:spacing w:before="100" w:beforeAutospacing="1" w:after="100" w:afterAutospacing="1"/>
      <w:jc w:val="left"/>
    </w:pPr>
    <w:rPr>
      <w:sz w:val="36"/>
      <w:szCs w:val="36"/>
    </w:rPr>
  </w:style>
  <w:style w:type="paragraph" w:customStyle="1" w:styleId="311">
    <w:name w:val="彩色列表 - 着色 11"/>
    <w:basedOn w:val="1"/>
    <w:qFormat/>
    <w:uiPriority w:val="34"/>
    <w:pPr>
      <w:ind w:firstLine="420"/>
    </w:pPr>
    <w:rPr>
      <w:szCs w:val="24"/>
    </w:rPr>
  </w:style>
  <w:style w:type="paragraph" w:customStyle="1" w:styleId="312">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13">
    <w:name w:val="正文文本 字符"/>
    <w:semiHidden/>
    <w:qFormat/>
    <w:uiPriority w:val="0"/>
    <w:rPr>
      <w:rFonts w:cs="Times New Roman"/>
      <w:sz w:val="20"/>
      <w:szCs w:val="20"/>
    </w:rPr>
  </w:style>
  <w:style w:type="character" w:customStyle="1" w:styleId="314">
    <w:name w:val="页脚 字符"/>
    <w:qFormat/>
    <w:uiPriority w:val="99"/>
    <w:rPr>
      <w:rFonts w:cs="Times New Roman"/>
      <w:sz w:val="18"/>
      <w:szCs w:val="18"/>
    </w:rPr>
  </w:style>
  <w:style w:type="character" w:customStyle="1" w:styleId="315">
    <w:name w:val="正文文本缩进 字符"/>
    <w:semiHidden/>
    <w:qFormat/>
    <w:uiPriority w:val="0"/>
    <w:rPr>
      <w:rFonts w:cs="Times New Roman"/>
      <w:sz w:val="20"/>
      <w:szCs w:val="20"/>
    </w:rPr>
  </w:style>
  <w:style w:type="character" w:customStyle="1" w:styleId="316">
    <w:name w:val="批注框文本 字符"/>
    <w:qFormat/>
    <w:uiPriority w:val="0"/>
    <w:rPr>
      <w:sz w:val="18"/>
      <w:szCs w:val="18"/>
    </w:rPr>
  </w:style>
  <w:style w:type="character" w:customStyle="1" w:styleId="317">
    <w:name w:val="批注主题 字符"/>
    <w:semiHidden/>
    <w:qFormat/>
    <w:uiPriority w:val="99"/>
    <w:rPr>
      <w:b/>
      <w:bCs/>
      <w:sz w:val="21"/>
    </w:rPr>
  </w:style>
  <w:style w:type="character" w:customStyle="1" w:styleId="318">
    <w:name w:val="正文文本缩进 2 字符"/>
    <w:semiHidden/>
    <w:qFormat/>
    <w:uiPriority w:val="0"/>
    <w:rPr>
      <w:rFonts w:cs="Times New Roman"/>
      <w:sz w:val="20"/>
      <w:szCs w:val="20"/>
    </w:rPr>
  </w:style>
  <w:style w:type="character" w:customStyle="1" w:styleId="319">
    <w:name w:val="正文文本 2 字符"/>
    <w:semiHidden/>
    <w:qFormat/>
    <w:uiPriority w:val="0"/>
    <w:rPr>
      <w:rFonts w:cs="Times New Roman"/>
      <w:sz w:val="20"/>
      <w:szCs w:val="20"/>
    </w:rPr>
  </w:style>
  <w:style w:type="character" w:customStyle="1" w:styleId="320">
    <w:name w:val="正文文本缩进 3 字符"/>
    <w:semiHidden/>
    <w:qFormat/>
    <w:uiPriority w:val="0"/>
    <w:rPr>
      <w:rFonts w:cs="Times New Roman"/>
      <w:sz w:val="16"/>
      <w:szCs w:val="16"/>
    </w:rPr>
  </w:style>
  <w:style w:type="character" w:customStyle="1" w:styleId="321">
    <w:name w:val="标题 字符"/>
    <w:qFormat/>
    <w:uiPriority w:val="99"/>
    <w:rPr>
      <w:rFonts w:ascii="Cambria" w:hAnsi="Cambria" w:cs="Cambria"/>
      <w:b/>
      <w:bCs/>
      <w:sz w:val="32"/>
      <w:szCs w:val="32"/>
    </w:rPr>
  </w:style>
  <w:style w:type="character" w:customStyle="1" w:styleId="322">
    <w:name w:val="文档结构图 字符"/>
    <w:semiHidden/>
    <w:qFormat/>
    <w:uiPriority w:val="0"/>
    <w:rPr>
      <w:rFonts w:cs="Times New Roman"/>
      <w:sz w:val="2"/>
    </w:rPr>
  </w:style>
  <w:style w:type="character" w:customStyle="1" w:styleId="323">
    <w:name w:val="日期 字符"/>
    <w:semiHidden/>
    <w:qFormat/>
    <w:uiPriority w:val="0"/>
    <w:rPr>
      <w:rFonts w:cs="Times New Roman"/>
      <w:sz w:val="20"/>
      <w:szCs w:val="20"/>
    </w:rPr>
  </w:style>
  <w:style w:type="character" w:customStyle="1" w:styleId="324">
    <w:name w:val="标题 2 字符"/>
    <w:semiHidden/>
    <w:qFormat/>
    <w:uiPriority w:val="0"/>
    <w:rPr>
      <w:rFonts w:ascii="Cambria" w:hAnsi="Cambria" w:eastAsia="宋体" w:cs="Times New Roman"/>
      <w:b/>
      <w:bCs/>
      <w:sz w:val="32"/>
      <w:szCs w:val="32"/>
    </w:rPr>
  </w:style>
  <w:style w:type="character" w:customStyle="1" w:styleId="325">
    <w:name w:val="副标题 字符"/>
    <w:qFormat/>
    <w:uiPriority w:val="11"/>
    <w:rPr>
      <w:rFonts w:ascii="Calibri Light" w:hAnsi="Calibri Light"/>
      <w:b/>
      <w:bCs/>
      <w:sz w:val="32"/>
      <w:szCs w:val="32"/>
    </w:rPr>
  </w:style>
  <w:style w:type="character" w:customStyle="1" w:styleId="326">
    <w:name w:val="标题 4 字符"/>
    <w:semiHidden/>
    <w:qFormat/>
    <w:uiPriority w:val="0"/>
    <w:rPr>
      <w:rFonts w:ascii="Cambria" w:hAnsi="Cambria" w:eastAsia="宋体" w:cs="Times New Roman"/>
      <w:b/>
      <w:bCs/>
      <w:sz w:val="28"/>
      <w:szCs w:val="28"/>
    </w:rPr>
  </w:style>
  <w:style w:type="character" w:customStyle="1" w:styleId="327">
    <w:name w:val="标题 1 字符"/>
    <w:qFormat/>
    <w:uiPriority w:val="0"/>
    <w:rPr>
      <w:rFonts w:cs="Times New Roman"/>
      <w:b/>
      <w:bCs/>
      <w:sz w:val="44"/>
      <w:szCs w:val="44"/>
    </w:rPr>
  </w:style>
  <w:style w:type="character" w:customStyle="1" w:styleId="328">
    <w:name w:val="列出段落 字符1"/>
    <w:qFormat/>
    <w:uiPriority w:val="34"/>
    <w:rPr>
      <w:sz w:val="21"/>
    </w:rPr>
  </w:style>
  <w:style w:type="character" w:customStyle="1" w:styleId="329">
    <w:name w:val="标题 5 字符"/>
    <w:qFormat/>
    <w:uiPriority w:val="0"/>
    <w:rPr>
      <w:rFonts w:ascii="楷体_GB2312" w:eastAsia="楷体_GB2312"/>
      <w:bCs/>
      <w:sz w:val="28"/>
    </w:rPr>
  </w:style>
  <w:style w:type="character" w:customStyle="1" w:styleId="330">
    <w:name w:val="页眉 字符"/>
    <w:qFormat/>
    <w:uiPriority w:val="99"/>
    <w:rPr>
      <w:rFonts w:cs="Times New Roman"/>
      <w:sz w:val="18"/>
      <w:szCs w:val="18"/>
    </w:rPr>
  </w:style>
  <w:style w:type="character" w:customStyle="1" w:styleId="331">
    <w:name w:val="批注文字 字符"/>
    <w:semiHidden/>
    <w:qFormat/>
    <w:uiPriority w:val="99"/>
    <w:rPr>
      <w:sz w:val="21"/>
    </w:rPr>
  </w:style>
  <w:style w:type="paragraph" w:customStyle="1" w:styleId="332">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333">
    <w:name w:val="Char1 Char Char Char"/>
    <w:basedOn w:val="1"/>
    <w:qFormat/>
    <w:uiPriority w:val="0"/>
    <w:rPr>
      <w:rFonts w:ascii="Tahoma" w:hAnsi="Tahoma"/>
      <w:sz w:val="24"/>
    </w:rPr>
  </w:style>
  <w:style w:type="paragraph" w:styleId="334">
    <w:name w:val="No Spacing"/>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5">
    <w:name w:val="Normal_0_1"/>
    <w:qFormat/>
    <w:uiPriority w:val="0"/>
    <w:rPr>
      <w:rFonts w:hint="default" w:ascii="Calibri" w:hAnsi="Calibri" w:eastAsia="Times New Roman" w:cs="Times New Roman"/>
      <w:sz w:val="24"/>
      <w:szCs w:val="24"/>
      <w:lang w:val="en-US" w:eastAsia="zh-CN" w:bidi="ar-SA"/>
    </w:rPr>
  </w:style>
  <w:style w:type="paragraph" w:customStyle="1" w:styleId="336">
    <w:name w:val="段"/>
    <w:next w:val="1"/>
    <w:qFormat/>
    <w:uiPriority w:val="99"/>
    <w:pPr>
      <w:ind w:firstLine="200"/>
      <w:jc w:val="both"/>
    </w:pPr>
    <w:rPr>
      <w:rFonts w:hint="default" w:ascii="宋体" w:hAnsi="Times New Roman" w:eastAsia="Times New Roman" w:cs="Times New Roman"/>
      <w:sz w:val="21"/>
      <w:lang w:val="en-US" w:eastAsia="zh-CN" w:bidi="ar-SA"/>
    </w:rPr>
  </w:style>
  <w:style w:type="character" w:customStyle="1" w:styleId="337">
    <w:name w:val="NormalCharacter"/>
    <w:qFormat/>
    <w:uiPriority w:val="0"/>
  </w:style>
  <w:style w:type="paragraph" w:customStyle="1" w:styleId="338">
    <w:name w:val="02-标书-标题2"/>
    <w:qFormat/>
    <w:uiPriority w:val="0"/>
    <w:pPr>
      <w:numPr>
        <w:ilvl w:val="1"/>
        <w:numId w:val="3"/>
      </w:numPr>
      <w:spacing w:line="360" w:lineRule="auto"/>
      <w:outlineLvl w:val="1"/>
    </w:pPr>
    <w:rPr>
      <w:rFonts w:hint="default" w:ascii="黑体" w:hAnsi="宋体" w:eastAsia="黑体" w:cs="Calibri"/>
      <w:sz w:val="32"/>
      <w:szCs w:val="28"/>
      <w:lang w:val="en-US" w:eastAsia="zh-CN" w:bidi="ar-SA"/>
    </w:rPr>
  </w:style>
  <w:style w:type="character" w:customStyle="1" w:styleId="339">
    <w:name w:val="font101"/>
    <w:basedOn w:val="48"/>
    <w:qFormat/>
    <w:uiPriority w:val="0"/>
    <w:rPr>
      <w:rFonts w:hint="default" w:ascii="Times New Roman" w:hAnsi="Times New Roman" w:cs="Times New Roman"/>
      <w:b/>
      <w:bCs/>
      <w:color w:val="FF0000"/>
      <w:sz w:val="16"/>
      <w:szCs w:val="16"/>
      <w:u w:val="none"/>
    </w:rPr>
  </w:style>
  <w:style w:type="paragraph" w:customStyle="1" w:styleId="340">
    <w:name w:val="Body text|1"/>
    <w:basedOn w:val="1"/>
    <w:qFormat/>
    <w:uiPriority w:val="0"/>
    <w:pPr>
      <w:spacing w:line="430" w:lineRule="auto"/>
      <w:ind w:firstLine="400"/>
    </w:pPr>
    <w:rPr>
      <w:rFonts w:ascii="宋体" w:hAnsi="宋体" w:cs="宋体"/>
      <w:sz w:val="42"/>
      <w:szCs w:val="42"/>
      <w:lang w:val="zh-TW" w:eastAsia="zh-TW" w:bidi="zh-TW"/>
    </w:rPr>
  </w:style>
  <w:style w:type="paragraph" w:customStyle="1" w:styleId="341">
    <w:name w:val="纯文本1"/>
    <w:basedOn w:val="1"/>
    <w:qFormat/>
    <w:uiPriority w:val="0"/>
    <w:rPr>
      <w:rFonts w:ascii="宋体" w:hAnsi="Courier New" w:eastAsia="楷体_GB2312" w:cs="宋体"/>
      <w:sz w:val="28"/>
    </w:rPr>
  </w:style>
  <w:style w:type="character" w:customStyle="1" w:styleId="342">
    <w:name w:val="批注引用1"/>
    <w:basedOn w:val="343"/>
    <w:semiHidden/>
    <w:qFormat/>
    <w:uiPriority w:val="0"/>
    <w:rPr>
      <w:sz w:val="21"/>
      <w:lang w:val="en-US" w:eastAsia="zh-CN" w:bidi="ar-SA"/>
    </w:rPr>
  </w:style>
  <w:style w:type="character" w:customStyle="1" w:styleId="343">
    <w:name w:val="默认段落字体1"/>
    <w:unhideWhenUsed/>
    <w:qFormat/>
    <w:uiPriority w:val="1"/>
  </w:style>
  <w:style w:type="paragraph" w:customStyle="1" w:styleId="344">
    <w:name w:val="标题 31"/>
    <w:basedOn w:val="1"/>
    <w:next w:val="345"/>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paragraph" w:customStyle="1" w:styleId="345">
    <w:name w:val="正文缩进1"/>
    <w:basedOn w:val="1"/>
    <w:qFormat/>
    <w:uiPriority w:val="0"/>
    <w:pPr>
      <w:ind w:firstLine="420"/>
    </w:pPr>
    <w:rPr>
      <w:sz w:val="20"/>
    </w:rPr>
  </w:style>
  <w:style w:type="paragraph" w:customStyle="1" w:styleId="346">
    <w:name w:val="标题 41"/>
    <w:basedOn w:val="1"/>
    <w:next w:val="345"/>
    <w:qFormat/>
    <w:uiPriority w:val="0"/>
    <w:pPr>
      <w:keepNext/>
      <w:keepLines/>
      <w:spacing w:before="280" w:after="290" w:line="376" w:lineRule="auto"/>
      <w:outlineLvl w:val="3"/>
    </w:pPr>
    <w:rPr>
      <w:rFonts w:ascii="Arial" w:hAnsi="Arial" w:eastAsia="黑体"/>
      <w:b/>
      <w:bCs/>
      <w:sz w:val="28"/>
      <w:szCs w:val="28"/>
    </w:rPr>
  </w:style>
  <w:style w:type="paragraph" w:customStyle="1" w:styleId="347">
    <w:name w:val="Table Text"/>
    <w:basedOn w:val="1"/>
    <w:semiHidden/>
    <w:qFormat/>
    <w:uiPriority w:val="0"/>
    <w:rPr>
      <w:szCs w:val="21"/>
      <w:lang w:eastAsia="en-US"/>
    </w:rPr>
  </w:style>
  <w:style w:type="paragraph" w:customStyle="1" w:styleId="348">
    <w:name w:val="普通正文"/>
    <w:basedOn w:val="1"/>
    <w:qFormat/>
    <w:uiPriority w:val="0"/>
    <w:pPr>
      <w:spacing w:before="120" w:after="120" w:line="360" w:lineRule="auto"/>
      <w:ind w:firstLine="480"/>
      <w:jc w:val="left"/>
    </w:pPr>
    <w:rPr>
      <w:rFonts w:ascii="Arial" w:hAnsi="Arial"/>
      <w:sz w:val="24"/>
      <w:szCs w:val="24"/>
    </w:rPr>
  </w:style>
  <w:style w:type="paragraph" w:customStyle="1" w:styleId="349">
    <w:name w:val="Char"/>
    <w:basedOn w:val="1"/>
    <w:qFormat/>
    <w:uiPriority w:val="0"/>
    <w:pPr>
      <w:tabs>
        <w:tab w:val="left" w:pos="360"/>
      </w:tabs>
      <w:ind w:firstLine="200"/>
    </w:pPr>
    <w:rPr>
      <w:sz w:val="28"/>
      <w:szCs w:val="30"/>
    </w:rPr>
  </w:style>
  <w:style w:type="character" w:customStyle="1" w:styleId="350">
    <w:name w:val="HTML 打字机1"/>
    <w:qFormat/>
    <w:uiPriority w:val="99"/>
    <w:rPr>
      <w:rFonts w:ascii="宋体" w:hAnsi="宋体" w:eastAsia="宋体" w:cs="宋体"/>
      <w:sz w:val="24"/>
      <w:szCs w:val="24"/>
    </w:rPr>
  </w:style>
  <w:style w:type="paragraph" w:customStyle="1" w:styleId="351">
    <w:name w:val="列出段落3"/>
    <w:basedOn w:val="1"/>
    <w:qFormat/>
    <w:uiPriority w:val="0"/>
    <w:pPr>
      <w:ind w:firstLine="420"/>
    </w:pPr>
  </w:style>
  <w:style w:type="paragraph" w:customStyle="1" w:styleId="352">
    <w:name w:val="列表段落1"/>
    <w:basedOn w:val="1"/>
    <w:qFormat/>
    <w:uiPriority w:val="0"/>
    <w:pPr>
      <w:ind w:firstLine="420"/>
    </w:pPr>
  </w:style>
  <w:style w:type="character" w:customStyle="1" w:styleId="353">
    <w:name w:val="font122"/>
    <w:basedOn w:val="48"/>
    <w:qFormat/>
    <w:uiPriority w:val="0"/>
    <w:rPr>
      <w:rFonts w:hint="eastAsia" w:ascii="等线" w:hAnsi="等线" w:eastAsia="等线" w:cs="等线"/>
      <w:color w:val="FF0000"/>
      <w:sz w:val="16"/>
      <w:szCs w:val="16"/>
      <w:u w:val="none"/>
    </w:rPr>
  </w:style>
  <w:style w:type="character" w:customStyle="1" w:styleId="354">
    <w:name w:val="font91"/>
    <w:basedOn w:val="48"/>
    <w:qFormat/>
    <w:uiPriority w:val="0"/>
    <w:rPr>
      <w:rFonts w:hint="eastAsia" w:ascii="等线" w:hAnsi="等线" w:eastAsia="等线" w:cs="等线"/>
      <w:color w:val="000000"/>
      <w:sz w:val="16"/>
      <w:szCs w:val="16"/>
      <w:u w:val="none"/>
    </w:rPr>
  </w:style>
  <w:style w:type="character" w:customStyle="1" w:styleId="355">
    <w:name w:val="font131"/>
    <w:basedOn w:val="48"/>
    <w:qFormat/>
    <w:uiPriority w:val="0"/>
    <w:rPr>
      <w:rFonts w:hint="eastAsia" w:ascii="等线" w:hAnsi="等线" w:eastAsia="等线" w:cs="等线"/>
      <w:color w:val="000000"/>
      <w:sz w:val="16"/>
      <w:szCs w:val="16"/>
      <w:u w:val="none"/>
      <w:vertAlign w:val="superscript"/>
    </w:rPr>
  </w:style>
  <w:style w:type="character" w:customStyle="1" w:styleId="356">
    <w:name w:val="font51"/>
    <w:basedOn w:val="48"/>
    <w:qFormat/>
    <w:uiPriority w:val="0"/>
    <w:rPr>
      <w:rFonts w:hint="eastAsia" w:ascii="等线" w:hAnsi="等线" w:eastAsia="等线" w:cs="等线"/>
      <w:color w:val="000000"/>
      <w:sz w:val="16"/>
      <w:szCs w:val="16"/>
      <w:u w:val="none"/>
    </w:rPr>
  </w:style>
  <w:style w:type="character" w:customStyle="1" w:styleId="357">
    <w:name w:val="font141"/>
    <w:basedOn w:val="48"/>
    <w:qFormat/>
    <w:uiPriority w:val="0"/>
    <w:rPr>
      <w:rFonts w:ascii="Arial" w:hAnsi="Arial" w:cs="Arial"/>
      <w:color w:val="000000"/>
      <w:sz w:val="16"/>
      <w:szCs w:val="16"/>
      <w:u w:val="none"/>
    </w:rPr>
  </w:style>
  <w:style w:type="character" w:customStyle="1" w:styleId="358">
    <w:name w:val="font151"/>
    <w:basedOn w:val="48"/>
    <w:qFormat/>
    <w:uiPriority w:val="0"/>
    <w:rPr>
      <w:rFonts w:hint="default" w:ascii="Arial" w:hAnsi="Arial" w:cs="Arial"/>
      <w:color w:val="000000"/>
      <w:sz w:val="16"/>
      <w:szCs w:val="16"/>
      <w:u w:val="none"/>
    </w:rPr>
  </w:style>
  <w:style w:type="character" w:customStyle="1" w:styleId="359">
    <w:name w:val="font161"/>
    <w:basedOn w:val="48"/>
    <w:qFormat/>
    <w:uiPriority w:val="0"/>
    <w:rPr>
      <w:rFonts w:hint="eastAsia" w:ascii="等线" w:hAnsi="等线" w:eastAsia="等线" w:cs="等线"/>
      <w:color w:val="000000"/>
      <w:sz w:val="16"/>
      <w:szCs w:val="16"/>
      <w:u w:val="none"/>
      <w:vertAlign w:val="superscript"/>
    </w:rPr>
  </w:style>
  <w:style w:type="character" w:customStyle="1" w:styleId="360">
    <w:name w:val="font171"/>
    <w:basedOn w:val="48"/>
    <w:qFormat/>
    <w:uiPriority w:val="0"/>
    <w:rPr>
      <w:rFonts w:hint="default" w:ascii="Arial" w:hAnsi="Arial" w:cs="Arial"/>
      <w:color w:val="000000"/>
      <w:sz w:val="16"/>
      <w:szCs w:val="16"/>
      <w:u w:val="none"/>
    </w:rPr>
  </w:style>
  <w:style w:type="character" w:customStyle="1" w:styleId="361">
    <w:name w:val="font181"/>
    <w:basedOn w:val="48"/>
    <w:qFormat/>
    <w:uiPriority w:val="0"/>
    <w:rPr>
      <w:rFonts w:ascii="微软雅黑" w:hAnsi="微软雅黑" w:eastAsia="微软雅黑" w:cs="微软雅黑"/>
      <w:color w:val="000000"/>
      <w:sz w:val="16"/>
      <w:szCs w:val="16"/>
      <w:u w:val="none"/>
    </w:rPr>
  </w:style>
  <w:style w:type="character" w:customStyle="1" w:styleId="362">
    <w:name w:val="font191"/>
    <w:basedOn w:val="48"/>
    <w:qFormat/>
    <w:uiPriority w:val="0"/>
    <w:rPr>
      <w:rFonts w:hint="eastAsia" w:ascii="微软雅黑" w:hAnsi="微软雅黑" w:eastAsia="微软雅黑" w:cs="微软雅黑"/>
      <w:color w:val="FF0000"/>
      <w:sz w:val="16"/>
      <w:szCs w:val="16"/>
      <w:u w:val="none"/>
    </w:rPr>
  </w:style>
  <w:style w:type="paragraph" w:customStyle="1" w:styleId="363">
    <w:name w:val="正文格式"/>
    <w:basedOn w:val="1"/>
    <w:qFormat/>
    <w:uiPriority w:val="0"/>
    <w:pPr>
      <w:widowControl/>
      <w:spacing w:line="360" w:lineRule="auto"/>
      <w:ind w:firstLine="482"/>
    </w:pPr>
    <w:rPr>
      <w:sz w:val="24"/>
    </w:rPr>
  </w:style>
  <w:style w:type="paragraph" w:customStyle="1" w:styleId="364">
    <w:name w:val="并列项-点"/>
    <w:basedOn w:val="1"/>
    <w:qFormat/>
    <w:uiPriority w:val="0"/>
    <w:pPr>
      <w:widowControl/>
      <w:tabs>
        <w:tab w:val="left" w:pos="851"/>
        <w:tab w:val="left" w:pos="1200"/>
      </w:tabs>
      <w:spacing w:line="360" w:lineRule="auto"/>
      <w:ind w:left="1200" w:hanging="720"/>
    </w:pPr>
    <w:rPr>
      <w:rFonts w:ascii="Calibri" w:hAnsi="Calibri" w:eastAsia="宋体" w:cs="Times New Roman"/>
      <w:sz w:val="24"/>
      <w:szCs w:val="22"/>
    </w:rPr>
  </w:style>
  <w:style w:type="paragraph" w:customStyle="1" w:styleId="365">
    <w:name w:val="BodyText1I2"/>
    <w:basedOn w:val="366"/>
    <w:qFormat/>
    <w:uiPriority w:val="99"/>
    <w:pPr>
      <w:ind w:left="0" w:firstLine="420"/>
    </w:pPr>
  </w:style>
  <w:style w:type="paragraph" w:customStyle="1" w:styleId="366">
    <w:name w:val="BodyTextIndent"/>
    <w:basedOn w:val="1"/>
    <w:qFormat/>
    <w:uiPriority w:val="99"/>
    <w:pPr>
      <w:spacing w:line="360" w:lineRule="auto"/>
      <w:ind w:left="257"/>
    </w:pPr>
    <w:rPr>
      <w:rFonts w:ascii="宋体" w:hAnsi="宋体" w:eastAsia="仿宋_GB2312"/>
      <w:b/>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邀请招标书</Template>
  <Company>LenovoCop</Company>
  <Pages>54</Pages>
  <Words>33636</Words>
  <Characters>35843</Characters>
  <TotalTime>0</TotalTime>
  <ScaleCrop>false</ScaleCrop>
  <LinksUpToDate>false</LinksUpToDate>
  <CharactersWithSpaces>36723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zjt</dc:creator>
  <cp:lastModifiedBy>俊俊</cp:lastModifiedBy>
  <dcterms:modified xsi:type="dcterms:W3CDTF">2026-05-19T22:48:35Z</dcterms:modified>
  <dc:title>投标邀请函</dc:title>
  <cp:revision>137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DCD7F5C2E5BA4E1AB799C06193F75B21_13</vt:lpwstr>
  </property>
  <property fmtid="{D5CDD505-2E9C-101B-9397-08002B2CF9AE}" pid="4" name="KSOTemplateDocerSaveRecord">
    <vt:lpwstr>eyJoZGlkIjoiOWMyNDI3ZWI4YmM0NjdlMGViOTE3ODY3YTk2NzY2YzYiLCJ1c2VySWQiOiI5MjgxOTkyNDUifQ==</vt:lpwstr>
  </property>
</Properties>
</file>