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156"/>
          <w:highlight w:val="none"/>
        </w:rPr>
      </w:pPr>
      <w:r>
        <w:rPr>
          <w:rFonts w:hint="eastAsia" w:ascii="宋体" w:hAnsi="宋体" w:cs="宋体"/>
          <w:b/>
          <w:color w:val="auto"/>
          <w:spacing w:val="76"/>
          <w:sz w:val="156"/>
          <w:highlight w:val="none"/>
        </w:rPr>
        <w:t xml:space="preserve">招标文件</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960"/>
        <w:rPr>
          <w:rFonts w:hint="eastAsia" w:ascii="宋体" w:hAnsi="宋体" w:cs="宋体"/>
          <w:color w:val="auto"/>
          <w:sz w:val="32"/>
          <w:highlight w:val="none"/>
        </w:rPr>
      </w:pPr>
      <w:r>
        <w:rPr>
          <w:rFonts w:hint="eastAsia" w:ascii="宋体" w:hAnsi="宋体" w:cs="宋体"/>
          <w:color w:val="auto"/>
          <w:sz w:val="32"/>
          <w:highlight w:val="none"/>
        </w:rPr>
      </w:r>
      <w:r/>
    </w:p>
    <w:p>
      <w:pPr>
        <w:ind w:firstLine="960"/>
        <w:spacing w:line="360" w:lineRule="auto"/>
        <w:rPr>
          <w:rFonts w:hint="eastAsia" w:ascii="宋体" w:hAnsi="宋体" w:eastAsia="宋体" w:cs="宋体"/>
          <w:strike/>
          <w:color w:val="auto"/>
          <w:sz w:val="32"/>
          <w:highlight w:val="none"/>
          <w:lang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JSZC-320300-HWZX-G2026-0186</w:t>
      </w:r>
      <w:r/>
    </w:p>
    <w:p>
      <w:pPr>
        <w:ind w:firstLine="96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left="2558" w:hanging="1600"/>
        <w:spacing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徐州机电技师学院新能源汽车实训设备项目</w:t>
      </w:r>
      <w:r/>
    </w:p>
    <w:p>
      <w:pPr>
        <w:ind w:firstLine="96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0"/>
        <w:spacing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徐州机电技师学院</w: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64"/>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1955800</wp:posOffset>
                </wp:positionH>
                <wp:positionV relativeFrom="paragraph">
                  <wp:posOffset>29210</wp:posOffset>
                </wp:positionV>
                <wp:extent cx="1363980" cy="541020"/>
                <wp:effectExtent l="0" t="0" r="7620" b="1143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3"/>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4.0pt;mso-position-horizontal:absolute;mso-position-vertical-relative:text;margin-top:2.3pt;mso-position-vertical:absolute;width:107.4pt;height:42.6pt;mso-wrap-distance-left:9.0pt;mso-wrap-distance-top:0.0pt;mso-wrap-distance-right:9.0pt;mso-wrap-distance-bottom:0.0pt;" stroked="f">
                <v:path textboxrect="0,0,0,0"/>
                <w10:wrap type="square"/>
                <v:imagedata r:id="rId23"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四</w:t>
      </w:r>
      <w:r>
        <w:rPr>
          <w:rFonts w:hint="eastAsia" w:ascii="宋体" w:hAnsi="宋体" w:cs="宋体"/>
          <w:bCs/>
          <w:color w:val="auto"/>
          <w:sz w:val="30"/>
          <w:highlight w:val="none"/>
        </w:rPr>
        <w:t xml:space="preserve">月</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jc w:val="center"/>
        <w:rPr>
          <w:rFonts w:hint="eastAsia"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3" w:bottom="1440" w:left="1803" w:header="851" w:footer="992" w:gutter="0"/>
          <w:pgNumType w:start="1"/>
          <w:cols w:num="1" w:sep="0" w:space="720" w:equalWidth="1"/>
          <w:docGrid w:linePitch="360"/>
          <w:titlePg/>
        </w:sectPr>
      </w:pPr>
      <w:r>
        <w:rPr>
          <w:rFonts w:hint="eastAsia" w:ascii="宋体" w:hAnsi="宋体" w:cs="宋体"/>
          <w:b/>
          <w:color w:val="auto"/>
          <w:sz w:val="44"/>
          <w:highlight w:val="none"/>
        </w:rPr>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907"/>
          <w:rFonts w:hint="eastAsia" w:ascii="宋体" w:hAnsi="宋体" w:cs="宋体"/>
          <w:color w:val="auto"/>
          <w:sz w:val="30"/>
          <w:highlight w:val="none"/>
          <w:u w:val="none"/>
        </w:rPr>
        <w:t xml:space="preserve">第一章  </w:t>
      </w:r>
      <w:r>
        <w:rPr>
          <w:rStyle w:val="907"/>
          <w:rFonts w:hint="eastAsia" w:ascii="宋体" w:hAnsi="宋体" w:cs="宋体"/>
          <w:color w:val="auto"/>
          <w:sz w:val="30"/>
          <w:highlight w:val="none"/>
          <w:u w:val="none"/>
        </w:rPr>
        <w:fldChar w:fldCharType="end"/>
      </w:r>
      <w:r>
        <w:rPr>
          <w:rStyle w:val="907"/>
          <w:rFonts w:hint="eastAsia" w:ascii="宋体" w:hAnsi="宋体" w:cs="宋体"/>
          <w:color w:val="auto"/>
          <w:sz w:val="30"/>
          <w:highlight w:val="none"/>
          <w:u w:val="none"/>
        </w:rPr>
        <w:t xml:space="preserve">投标邀请</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907"/>
          <w:rFonts w:hint="eastAsia" w:ascii="宋体" w:hAnsi="宋体" w:cs="宋体"/>
          <w:color w:val="auto"/>
          <w:sz w:val="30"/>
          <w:highlight w:val="none"/>
          <w:u w:val="none"/>
        </w:rPr>
        <w:t xml:space="preserve">第二章  投标人须知</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907"/>
          <w:rFonts w:hint="eastAsia" w:ascii="宋体" w:hAnsi="宋体" w:cs="宋体"/>
          <w:color w:val="auto"/>
          <w:sz w:val="30"/>
          <w:highlight w:val="none"/>
          <w:u w:val="none"/>
        </w:rPr>
        <w:t xml:space="preserve">第三章  投标资料表</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907"/>
          <w:rFonts w:hint="eastAsia" w:ascii="宋体" w:hAnsi="宋体" w:cs="宋体"/>
          <w:color w:val="auto"/>
          <w:sz w:val="30"/>
          <w:highlight w:val="none"/>
          <w:u w:val="none"/>
        </w:rPr>
        <w:t xml:space="preserve">第四章  评标标准</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907"/>
          <w:rFonts w:hint="eastAsia" w:ascii="宋体" w:hAnsi="宋体" w:cs="宋体"/>
          <w:color w:val="auto"/>
          <w:sz w:val="30"/>
          <w:highlight w:val="none"/>
          <w:u w:val="none"/>
        </w:rPr>
        <w:t xml:space="preserve">第五章  拟签订的合同文本</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907"/>
          <w:rFonts w:hint="eastAsia" w:ascii="宋体" w:hAnsi="宋体" w:cs="宋体"/>
          <w:color w:val="auto"/>
          <w:sz w:val="30"/>
          <w:highlight w:val="none"/>
          <w:u w:val="none"/>
        </w:rPr>
        <w:t xml:space="preserve">第六章  采购需求</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907"/>
          <w:rFonts w:hint="eastAsia" w:ascii="宋体" w:hAnsi="宋体" w:cs="宋体"/>
          <w:color w:val="auto"/>
          <w:sz w:val="30"/>
          <w:highlight w:val="none"/>
          <w:u w:val="none"/>
        </w:rPr>
        <w:t xml:space="preserve">第七章  投标文件相关格式</w:t>
      </w:r>
      <w:r>
        <w:rPr>
          <w:rStyle w:val="907"/>
          <w:rFonts w:hint="eastAsia" w:ascii="宋体" w:hAnsi="宋体" w:cs="宋体"/>
          <w:color w:val="auto"/>
          <w:sz w:val="30"/>
          <w:highlight w:val="none"/>
          <w:u w:val="none"/>
        </w:rPr>
        <w:fldChar w:fldCharType="end"/>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spacing w:line="519" w:lineRule="atLeast"/>
        <w:rPr>
          <w:rFonts w:hint="eastAsia" w:ascii="宋体" w:hAnsi="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44"/>
          <w:highlight w:val="none"/>
        </w:rPr>
      </w:r>
      <w:r/>
    </w:p>
    <w:p>
      <w:pPr>
        <w:jc w:val="center"/>
        <w:spacing w:line="519" w:lineRule="atLeast"/>
        <w:rPr>
          <w:rFonts w:hint="eastAsia" w:ascii="宋体" w:hAnsi="宋体" w:eastAsia="宋体" w:cs="宋体"/>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highlight w:val="none"/>
          <w:lang w:eastAsia="zh-CN"/>
        </w:rPr>
        <w:t xml:space="preserve">徐州机电技师学院</w:t>
      </w:r>
      <w:r/>
    </w:p>
    <w:p>
      <w:pPr>
        <w:jc w:val="center"/>
        <w:spacing w:line="519" w:lineRule="atLeast"/>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highlight w:val="none"/>
        </w:rPr>
        <w:t xml:space="preserve">《</w:t>
      </w:r>
      <w:r>
        <w:rPr>
          <w:rFonts w:hint="eastAsia" w:ascii="宋体" w:hAnsi="宋体" w:cs="宋体"/>
          <w:b/>
          <w:sz w:val="44"/>
          <w:szCs w:val="44"/>
          <w:highlight w:val="none"/>
          <w:lang w:eastAsia="zh-CN"/>
        </w:rPr>
        <w:t xml:space="preserve">徐州机电技师学院新能源汽车实训设备项目</w:t>
      </w:r>
      <w:r>
        <w:rPr>
          <w:rFonts w:hint="eastAsia" w:ascii="宋体" w:hAnsi="宋体" w:eastAsia="宋体" w:cs="宋体"/>
          <w:b/>
          <w:sz w:val="44"/>
          <w:szCs w:val="44"/>
          <w:highlight w:val="none"/>
        </w:rPr>
        <w:t xml:space="preserve">》</w:t>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招标文件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第一章  投标邀请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u w:val="single"/>
        </w:rPr>
        <w:t xml:space="preserve">江苏海外集团国际工程咨询有限公司</w:t>
      </w:r>
      <w:r>
        <w:rPr>
          <w:rFonts w:hint="eastAsia" w:ascii="宋体" w:hAnsi="宋体" w:eastAsia="宋体" w:cs="宋体"/>
          <w:sz w:val="30"/>
          <w:highlight w:val="none"/>
        </w:rPr>
        <w:t xml:space="preserve">对</w:t>
      </w:r>
      <w:r>
        <w:rPr>
          <w:rFonts w:hint="eastAsia" w:ascii="宋体" w:hAnsi="宋体" w:cs="宋体"/>
          <w:sz w:val="30"/>
          <w:highlight w:val="none"/>
          <w:u w:val="single"/>
          <w:lang w:eastAsia="zh-CN"/>
        </w:rPr>
        <w:t xml:space="preserve">徐州机电技师学院新能源汽车实训设备项目</w:t>
      </w:r>
      <w:r>
        <w:rPr>
          <w:rFonts w:hint="eastAsia" w:ascii="宋体" w:hAnsi="宋体" w:eastAsia="宋体" w:cs="宋体"/>
          <w:sz w:val="30"/>
          <w:highlight w:val="none"/>
        </w:rPr>
        <w:t xml:space="preserve">项目进行公开招标采购，现邀请符合相关条件的投标人投标。</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一、项目名称和项目编号</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(一)项目名称：</w:t>
      </w:r>
      <w:r>
        <w:rPr>
          <w:rFonts w:hint="eastAsia" w:ascii="宋体" w:hAnsi="宋体" w:cs="宋体"/>
          <w:sz w:val="30"/>
          <w:highlight w:val="none"/>
          <w:lang w:eastAsia="zh-CN"/>
        </w:rPr>
        <w:t xml:space="preserve">徐州机电技师学院新能源汽车实训设备项目</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(二)项目编号：</w:t>
      </w:r>
      <w:r>
        <w:rPr>
          <w:rFonts w:hint="eastAsia" w:ascii="宋体" w:hAnsi="宋体" w:cs="宋体"/>
          <w:sz w:val="30"/>
          <w:highlight w:val="none"/>
          <w:lang w:eastAsia="zh-CN"/>
        </w:rPr>
        <w:t xml:space="preserve">JSZC-320300-HWZX-G2026-0186</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二、对投标人的资格要求</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详见本项目公开招标公告。</w:t>
      </w:r>
      <w:r/>
    </w:p>
    <w:p>
      <w:pPr>
        <w:ind w:firstLine="301"/>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三、获取招标文件</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（2）潜在供应商访问“苏采云”系统的网络地址和方法：“苏采云”系统的网址：http://jszfcg.jsczt.cn/；或进入</w:t>
      </w:r>
      <w:r>
        <w:rPr>
          <w:rFonts w:hint="eastAsia" w:ascii="宋体" w:hAnsi="宋体" w:eastAsia="宋体" w:cs="宋体"/>
          <w:sz w:val="30"/>
          <w:highlight w:val="none"/>
          <w:lang w:val="en-US" w:eastAsia="zh-CN"/>
        </w:rPr>
        <w:t xml:space="preserve">江苏</w:t>
      </w:r>
      <w:r>
        <w:rPr>
          <w:rFonts w:hint="eastAsia" w:ascii="宋体" w:hAnsi="宋体" w:eastAsia="宋体" w:cs="宋体"/>
          <w:sz w:val="30"/>
          <w:highlight w:val="none"/>
        </w:rPr>
        <w:t xml:space="preserve">政府采购网（网址：</w:t>
      </w:r>
      <w:r>
        <w:rPr>
          <w:rFonts w:hint="eastAsia" w:ascii="宋体" w:hAnsi="宋体" w:eastAsia="宋体" w:cs="宋体"/>
          <w:sz w:val="30"/>
          <w:highlight w:val="none"/>
          <w:lang w:eastAsia="zh-CN"/>
        </w:rPr>
        <w:t xml:space="preserve">http://www.ccgp-jiangsu.gov.cn/</w:t>
      </w:r>
      <w:r>
        <w:rPr>
          <w:rFonts w:hint="eastAsia" w:ascii="宋体" w:hAnsi="宋体" w:eastAsia="宋体" w:cs="宋体"/>
          <w:sz w:val="30"/>
          <w:highlight w:val="none"/>
        </w:rPr>
        <w:t xml:space="preserve">）--办事指南--供应商--供应商进入，点击“苏采云”进入系统。</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（三）售价：免费。</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四、投标有关信息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（一）投标截止时间：</w:t>
      </w:r>
      <w:r>
        <w:rPr>
          <w:rFonts w:hint="eastAsia" w:ascii="宋体" w:hAnsi="宋体" w:eastAsia="宋体" w:cs="宋体"/>
          <w:b/>
          <w:sz w:val="30"/>
          <w:highlight w:val="none"/>
        </w:rPr>
        <w:t xml:space="preserve">202</w:t>
      </w:r>
      <w:r>
        <w:rPr>
          <w:rFonts w:hint="eastAsia" w:ascii="宋体" w:hAnsi="宋体" w:cs="宋体"/>
          <w:b/>
          <w:sz w:val="30"/>
          <w:highlight w:val="none"/>
          <w:lang w:val="en-US" w:eastAsia="zh-CN"/>
        </w:rPr>
        <w:t xml:space="preserve">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 5 </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 14 </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（二）开标时间：</w:t>
      </w:r>
      <w:r>
        <w:rPr>
          <w:rFonts w:hint="eastAsia" w:ascii="宋体" w:hAnsi="宋体" w:eastAsia="宋体" w:cs="宋体"/>
          <w:b/>
          <w:sz w:val="30"/>
          <w:highlight w:val="none"/>
        </w:rPr>
        <w:t xml:space="preserve">202</w:t>
      </w:r>
      <w:r>
        <w:rPr>
          <w:rFonts w:hint="eastAsia" w:ascii="宋体" w:hAnsi="宋体" w:cs="宋体"/>
          <w:b/>
          <w:sz w:val="30"/>
          <w:highlight w:val="none"/>
          <w:lang w:val="en-US" w:eastAsia="zh-CN"/>
        </w:rPr>
        <w:t xml:space="preserve">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 5 </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 14 </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（三）开标地点：</w:t>
      </w:r>
      <w:r>
        <w:rPr>
          <w:rFonts w:hint="eastAsia" w:ascii="宋体" w:hAnsi="宋体" w:eastAsia="宋体" w:cs="宋体"/>
          <w:b w:val="0"/>
          <w:bCs/>
          <w:color w:val="auto"/>
          <w:sz w:val="30"/>
          <w:highlight w:val="none"/>
        </w:rPr>
        <w:t xml:space="preserve">“苏采云”系统“开标大厅”或进入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五、采购人</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w:t>
      </w:r>
      <w:r>
        <w:rPr>
          <w:rFonts w:hint="eastAsia" w:ascii="宋体" w:hAnsi="宋体" w:cs="宋体"/>
          <w:sz w:val="30"/>
          <w:highlight w:val="none"/>
          <w:lang w:eastAsia="zh-CN"/>
        </w:rPr>
        <w:t xml:space="preserve">徐州机电技师学院</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（二）地址：徐州经济技术开发区大黄山镇</w:t>
      </w:r>
      <w:r/>
    </w:p>
    <w:p>
      <w:pPr>
        <w:ind w:firstLine="300"/>
        <w:spacing w:line="519" w:lineRule="atLeast"/>
        <w:rPr>
          <w:rFonts w:hint="eastAsia" w:ascii="宋体" w:hAnsi="宋体" w:eastAsia="宋体" w:cs="宋体"/>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（三）采购项目联系人：何海华</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（四）联系方式：15862247852</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六、采购代理机构</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（一）名称：江苏海外集团国际工程咨询有限公司</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（二）地址：江苏省徐州市泉山区金山东路北侧徐州软件园C-11号楼1011室</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w:t>
      </w:r>
      <w:r>
        <w:rPr>
          <w:rFonts w:hint="eastAsia" w:ascii="宋体" w:hAnsi="宋体" w:cs="宋体"/>
          <w:sz w:val="30"/>
          <w:highlight w:val="none"/>
          <w:lang w:eastAsia="zh-CN"/>
        </w:rPr>
        <w:t xml:space="preserve">温乔乔、董雯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（四）联系方式：0516-83999067/85699499</w:t>
      </w:r>
      <w:r/>
    </w:p>
    <w:p>
      <w:pPr>
        <w:ind w:firstLine="600"/>
        <w:spacing w:line="36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center"/>
        <w:spacing w:line="720" w:lineRule="atLeast"/>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30"/>
          <w:highlight w:val="none"/>
        </w:rPr>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第二章 投标人须知</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一、总则</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（六）投标人的资格条件：</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2.投标人授权代表系指法定代表人或受法人委托的受托人。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二、招标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（八）招标文件应包括以下内容：</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第一章，投标邀请；</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第二章，投标人须知；</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第三章，投标资料表；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第四章，评标标准；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第五章，拟签订的合同文本；</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第六章，采购需求；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第七章，投标文件相关格式。</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（九）招标文件澄清或者修改：</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2.现场考察以本文件第三章《投标资料表》中的要求为准。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3.开标前答疑会以本文件第三章《投标资料表》中的要求为准。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三、投标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（十二）投标文件的构成：</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1.投标文件的构成以本文件第三章《投标资料表》中的要求为准。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（十三）投标函和价格表、商务条件、交货和提供服务的时间：</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2.商务条件以本文件第三章《投标资料表》中的要求为准。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（十四）投标报价要求：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1.投标人应按照招标文件的要求报出分项价格和总价。</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3.采购人不支付报价以外的任何费用。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4.投标人所报的价格，在合同执行过程中是固定的，不得以任何理由予以变更。投标人提交滑动价格的投标文件，在资格、符合性检查时按照无效投标处理。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（十五）投标货币。以本文件第三章《投标资料表》中所提要求为准。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（十六）投标有效期：</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1.</w:t>
      </w:r>
      <w:r>
        <w:rPr>
          <w:rFonts w:hint="eastAsia" w:ascii="宋体" w:hAnsi="宋体" w:eastAsia="宋体" w:cs="宋体"/>
          <w:b w:val="0"/>
          <w:bCs/>
          <w:color w:val="auto"/>
          <w:sz w:val="30"/>
          <w:highlight w:val="none"/>
        </w:rPr>
        <w:t xml:space="preserve">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2.</w:t>
      </w:r>
      <w:r>
        <w:rPr>
          <w:rFonts w:hint="eastAsia" w:ascii="宋体" w:hAnsi="宋体" w:eastAsia="宋体" w:cs="宋体"/>
          <w:b w:val="0"/>
          <w:bCs/>
          <w:color w:val="auto"/>
          <w:sz w:val="30"/>
          <w:highlight w:val="none"/>
        </w:rPr>
        <w:t xml:space="preserve">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w:t>
      </w:r>
      <w:r>
        <w:rPr>
          <w:rFonts w:hint="eastAsia" w:ascii="宋体" w:hAnsi="宋体" w:cs="宋体"/>
          <w:b w:val="0"/>
          <w:bCs/>
          <w:color w:val="auto"/>
          <w:sz w:val="30"/>
          <w:highlight w:val="none"/>
          <w:lang w:eastAsia="zh-CN"/>
        </w:rPr>
        <w:t xml:space="preserve">供应商</w:t>
      </w:r>
      <w:r>
        <w:rPr>
          <w:rFonts w:hint="eastAsia" w:ascii="宋体" w:hAnsi="宋体" w:eastAsia="宋体" w:cs="宋体"/>
          <w:b w:val="0"/>
          <w:bCs/>
          <w:color w:val="auto"/>
          <w:sz w:val="30"/>
          <w:highlight w:val="none"/>
        </w:rPr>
        <w:t xml:space="preserve">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1132"/>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1132"/>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w:t>
      </w:r>
      <w:r>
        <w:rPr>
          <w:rFonts w:hint="eastAsia" w:ascii="宋体" w:hAnsi="宋体" w:eastAsia="宋体" w:cs="宋体"/>
          <w:b w:val="0"/>
          <w:bCs/>
          <w:color w:val="auto"/>
          <w:sz w:val="30"/>
          <w:highlight w:val="none"/>
          <w:lang w:eastAsia="zh-CN"/>
        </w:rPr>
        <w:t xml:space="preserve">电子签章</w:t>
      </w:r>
      <w:r>
        <w:rPr>
          <w:rFonts w:hint="eastAsia" w:ascii="宋体" w:hAnsi="宋体" w:eastAsia="宋体" w:cs="宋体"/>
          <w:b w:val="0"/>
          <w:bCs/>
          <w:color w:val="auto"/>
          <w:sz w:val="30"/>
          <w:highlight w:val="none"/>
        </w:rPr>
        <w:t xml:space="preserve">，或者由法定代表人或其授权的代表签字。投标人的澄清、说明或者补正不得超出投标文件的范围或者改变投标文件的实质性内容。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jc w:val="left"/>
        <w:spacing w:line="240" w:lineRule="auto"/>
        <w:rPr>
          <w:rFonts w:hint="eastAsia" w:ascii="宋体" w:hAnsi="宋体" w:cs="宋体"/>
          <w:b/>
          <w:color w:val="auto"/>
          <w:sz w:val="30"/>
          <w:highlight w:val="none"/>
        </w:rPr>
        <w:pBdr>
          <w:top w:val="none" w:color="auto" w:sz="0" w:space="0"/>
          <w:left w:val="none" w:color="auto" w:sz="0" w:space="0"/>
          <w:bottom w:val="none" w:color="auto" w:sz="0" w:space="0"/>
          <w:right w:val="none" w:color="auto" w:sz="0" w:space="0"/>
        </w:pBdr>
        <w:outlineLvl w:val="9"/>
      </w:pPr>
      <w:r>
        <w:rPr>
          <w:rFonts w:hint="eastAsia" w:ascii="宋体" w:hAnsi="宋体" w:cs="宋体"/>
          <w:b/>
          <w:color w:val="auto"/>
          <w:sz w:val="30"/>
          <w:highlight w:val="none"/>
        </w:rPr>
        <w:br w:type="page" w:clear="all"/>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第三章 投标资料表</w:t>
      </w:r>
      <w:r/>
    </w:p>
    <w:p>
      <w:pPr>
        <w:ind w:firstLine="600"/>
        <w:jc w:val="center"/>
        <w:spacing w:line="36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60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3"/>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徐州机电技师学院</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w:t>
            </w:r>
            <w:r>
              <w:rPr>
                <w:rFonts w:hint="eastAsia" w:ascii="宋体" w:hAnsi="宋体" w:cs="宋体"/>
                <w:b/>
                <w:bCs/>
                <w:color w:val="auto"/>
                <w:sz w:val="28"/>
                <w:szCs w:val="28"/>
                <w:highlight w:val="none"/>
                <w:lang w:val="en-US" w:eastAsia="zh-CN"/>
              </w:rPr>
              <w:t xml:space="preserve">本</w:t>
            </w:r>
            <w:r>
              <w:rPr>
                <w:rFonts w:hint="eastAsia" w:ascii="宋体" w:hAnsi="宋体" w:cs="宋体"/>
                <w:b/>
                <w:bCs/>
                <w:color w:val="auto"/>
                <w:sz w:val="28"/>
                <w:szCs w:val="28"/>
                <w:highlight w:val="none"/>
              </w:rPr>
              <w:t xml:space="preserve">项目</w:t>
            </w:r>
            <w:r>
              <w:rPr>
                <w:rFonts w:hint="eastAsia" w:ascii="宋体" w:hAnsi="宋体" w:cs="宋体"/>
                <w:b/>
                <w:bCs/>
                <w:color w:val="auto"/>
                <w:sz w:val="28"/>
                <w:szCs w:val="28"/>
                <w:highlight w:val="none"/>
                <w:lang w:val="en-US" w:eastAsia="zh-CN"/>
              </w:rPr>
              <w:t xml:space="preserve">不</w:t>
            </w:r>
            <w:r>
              <w:rPr>
                <w:rFonts w:hint="eastAsia" w:ascii="宋体" w:hAnsi="宋体" w:cs="宋体"/>
                <w:b/>
                <w:bCs/>
                <w:color w:val="auto"/>
                <w:sz w:val="28"/>
                <w:szCs w:val="28"/>
                <w:highlight w:val="none"/>
              </w:rPr>
              <w:t xml:space="preserve">属于专门面向中小企业采购的项目。</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、查询及使用供应商信用记录：</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78"/>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ind w:firstLine="420"/>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(八)1</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ind w:left="280" w:hanging="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现场勘察：组织</w:t>
            </w:r>
            <w:r>
              <w:rPr>
                <w:rFonts w:hint="eastAsia" w:ascii="宋体" w:hAnsi="宋体" w:eastAsia="宋体" w:cs="宋体"/>
                <w:sz w:val="28"/>
                <w:szCs w:val="28"/>
                <w:highlight w:val="none"/>
                <w:lang w:val="en-US" w:eastAsia="zh-CN"/>
              </w:rPr>
              <w:t xml:space="preserve">一次</w:t>
            </w:r>
            <w:r>
              <w:rPr>
                <w:rFonts w:hint="eastAsia" w:ascii="宋体" w:hAnsi="宋体" w:eastAsia="宋体" w:cs="宋体"/>
                <w:sz w:val="28"/>
                <w:szCs w:val="28"/>
                <w:highlight w:val="none"/>
              </w:rPr>
              <w:t xml:space="preserve">现场</w:t>
            </w:r>
            <w:r>
              <w:rPr>
                <w:rFonts w:hint="eastAsia" w:ascii="宋体" w:hAnsi="宋体" w:eastAsia="宋体" w:cs="宋体"/>
                <w:sz w:val="28"/>
                <w:szCs w:val="28"/>
                <w:highlight w:val="none"/>
                <w:lang w:val="en-US" w:eastAsia="zh-CN"/>
              </w:rPr>
              <w:t xml:space="preserve">勘察</w:t>
            </w:r>
            <w:r>
              <w:rPr>
                <w:rFonts w:hint="eastAsia" w:ascii="宋体" w:hAnsi="宋体" w:eastAsia="宋体" w:cs="宋体"/>
                <w:sz w:val="28"/>
                <w:szCs w:val="28"/>
                <w:highlight w:val="none"/>
              </w:rPr>
              <w:t xml:space="preserve">，投标人须在202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点</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lang w:val="en-US" w:eastAsia="zh-CN"/>
              </w:rPr>
              <w:t xml:space="preserve">前到达指定地点</w:t>
            </w:r>
            <w:r>
              <w:rPr>
                <w:rFonts w:hint="eastAsia" w:ascii="宋体" w:hAnsi="宋体" w:eastAsia="宋体" w:cs="宋体"/>
                <w:sz w:val="28"/>
                <w:szCs w:val="28"/>
                <w:highlight w:val="none"/>
              </w:rPr>
              <w:t xml:space="preserve">进行现场</w:t>
            </w:r>
            <w:r>
              <w:rPr>
                <w:rFonts w:hint="eastAsia" w:ascii="宋体" w:hAnsi="宋体" w:eastAsia="宋体" w:cs="宋体"/>
                <w:sz w:val="28"/>
                <w:szCs w:val="28"/>
                <w:highlight w:val="none"/>
                <w:lang w:val="en-US" w:eastAsia="zh-CN"/>
              </w:rPr>
              <w:t xml:space="preserve">勘察</w:t>
            </w:r>
            <w:r>
              <w:rPr>
                <w:rFonts w:hint="eastAsia" w:ascii="宋体" w:hAnsi="宋体" w:eastAsia="宋体" w:cs="宋体"/>
                <w:sz w:val="28"/>
                <w:szCs w:val="28"/>
                <w:highlight w:val="none"/>
              </w:rPr>
              <w:t xml:space="preserve">，过时不候。</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时间：202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年4</w:t>
            </w:r>
            <w:r>
              <w:rPr>
                <w:rFonts w:hint="eastAsia" w:ascii="宋体" w:hAnsi="宋体" w:eastAsia="宋体" w:cs="宋体"/>
                <w:sz w:val="28"/>
                <w:szCs w:val="28"/>
                <w:highlight w:val="none"/>
              </w:rPr>
              <w:t xml:space="preserve">月30</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点</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分。</w:t>
            </w:r>
            <w:r/>
          </w:p>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地点：</w:t>
            </w:r>
            <w:r>
              <w:rPr>
                <w:rFonts w:hint="eastAsia" w:ascii="宋体" w:hAnsi="宋体" w:eastAsia="宋体" w:cs="宋体"/>
                <w:sz w:val="28"/>
                <w:szCs w:val="28"/>
                <w:highlight w:val="none"/>
                <w:lang w:val="en-US" w:eastAsia="zh-CN"/>
              </w:rPr>
              <w:t xml:space="preserve">徐州机电技师学院</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联系人：何海华</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联系电话：15862247852</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现场勘察内容：</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1、为更好地了解现场实际情况，故允许投标人到项目服务地点进行踏勘，以获取编制投标文件所需的信息及了解相关设施设备的具体情况，勘察</w:t>
            </w:r>
            <w:r>
              <w:rPr>
                <w:rFonts w:hint="eastAsia" w:ascii="宋体" w:hAnsi="宋体" w:eastAsia="宋体" w:cs="宋体"/>
                <w:sz w:val="28"/>
                <w:szCs w:val="28"/>
                <w:highlight w:val="none"/>
                <w:lang w:eastAsia="zh-CN"/>
              </w:rPr>
              <w:t xml:space="preserve">现场</w:t>
            </w:r>
            <w:r>
              <w:rPr>
                <w:rFonts w:hint="eastAsia" w:ascii="宋体" w:hAnsi="宋体" w:eastAsia="宋体" w:cs="宋体"/>
                <w:sz w:val="28"/>
                <w:szCs w:val="28"/>
                <w:highlight w:val="none"/>
              </w:rPr>
              <w:t xml:space="preserve">所发生的费用由投标人自己承担。投标人不得以不完全了解现场情况为理由而向采购人提出增加费用或任何索赔的要求，对此采购人不承担任何责任并将不</w:t>
            </w:r>
            <w:r>
              <w:rPr>
                <w:rFonts w:hint="eastAsia" w:ascii="宋体" w:hAnsi="宋体" w:eastAsia="宋体" w:cs="宋体"/>
                <w:sz w:val="28"/>
                <w:szCs w:val="28"/>
                <w:highlight w:val="none"/>
                <w:lang w:eastAsia="zh-CN"/>
              </w:rPr>
              <w:t xml:space="preserve">做</w:t>
            </w:r>
            <w:r>
              <w:rPr>
                <w:rFonts w:hint="eastAsia" w:ascii="宋体" w:hAnsi="宋体" w:eastAsia="宋体" w:cs="宋体"/>
                <w:sz w:val="28"/>
                <w:szCs w:val="28"/>
                <w:highlight w:val="none"/>
              </w:rPr>
              <w:t xml:space="preserve">任何答复与考虑。</w:t>
            </w:r>
            <w:r/>
          </w:p>
          <w:p>
            <w:pPr>
              <w:tabs>
                <w:tab w:val="left" w:pos="5760" w:leader="none"/>
              </w:tabs>
              <w:rPr>
                <w:rFonts w:hint="eastAsia" w:ascii="宋体" w:hAnsi="宋体" w:cs="宋体"/>
                <w:color w:val="auto"/>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其他</w:t>
            </w:r>
            <w:r>
              <w:rPr>
                <w:rFonts w:hint="eastAsia" w:ascii="宋体" w:hAnsi="宋体" w:eastAsia="宋体" w:cs="宋体"/>
                <w:sz w:val="28"/>
                <w:szCs w:val="28"/>
                <w:highlight w:val="none"/>
              </w:rPr>
              <w:t xml:space="preserve">相关要求：</w:t>
            </w:r>
            <w:r>
              <w:rPr>
                <w:rFonts w:hint="eastAsia" w:ascii="宋体" w:hAnsi="宋体" w:eastAsia="宋体" w:cs="宋体"/>
                <w:b/>
                <w:bCs/>
                <w:sz w:val="28"/>
                <w:szCs w:val="28"/>
                <w:highlight w:val="none"/>
                <w:lang w:val="en-US" w:eastAsia="zh-CN"/>
              </w:rPr>
              <w:t xml:space="preserve">各</w:t>
            </w:r>
            <w:r>
              <w:rPr>
                <w:rFonts w:hint="eastAsia" w:ascii="宋体" w:hAnsi="宋体" w:eastAsia="宋体" w:cs="宋体"/>
                <w:b/>
                <w:bCs/>
                <w:sz w:val="28"/>
                <w:szCs w:val="28"/>
                <w:highlight w:val="none"/>
              </w:rPr>
              <w:t xml:space="preserve">投标人</w:t>
            </w:r>
            <w:r>
              <w:rPr>
                <w:rFonts w:hint="eastAsia" w:ascii="宋体" w:hAnsi="宋体" w:eastAsia="宋体" w:cs="宋体"/>
                <w:b/>
                <w:bCs/>
                <w:sz w:val="28"/>
                <w:szCs w:val="28"/>
                <w:highlight w:val="none"/>
                <w:lang w:val="en-US" w:eastAsia="zh-CN"/>
              </w:rPr>
              <w:t xml:space="preserve">代表进行</w:t>
            </w:r>
            <w:r>
              <w:rPr>
                <w:rFonts w:hint="eastAsia" w:ascii="宋体" w:hAnsi="宋体" w:eastAsia="宋体" w:cs="宋体"/>
                <w:b/>
                <w:bCs/>
                <w:sz w:val="28"/>
                <w:szCs w:val="28"/>
                <w:highlight w:val="none"/>
              </w:rPr>
              <w:t xml:space="preserve">现场</w:t>
            </w:r>
            <w:r>
              <w:rPr>
                <w:rFonts w:hint="eastAsia" w:ascii="宋体" w:hAnsi="宋体" w:eastAsia="宋体" w:cs="宋体"/>
                <w:b/>
                <w:bCs/>
                <w:sz w:val="28"/>
                <w:szCs w:val="28"/>
                <w:highlight w:val="none"/>
                <w:lang w:val="en-US" w:eastAsia="zh-CN"/>
              </w:rPr>
              <w:t xml:space="preserve">勘察时，</w:t>
            </w:r>
            <w:r>
              <w:rPr>
                <w:rFonts w:hint="eastAsia" w:ascii="宋体" w:hAnsi="宋体" w:eastAsia="宋体" w:cs="宋体"/>
                <w:b/>
                <w:bCs/>
                <w:sz w:val="28"/>
                <w:szCs w:val="28"/>
                <w:highlight w:val="none"/>
              </w:rPr>
              <w:t xml:space="preserve">必须携带受托人身份证原件和授权委托书原件（加盖公章）</w:t>
            </w:r>
            <w:r>
              <w:rPr>
                <w:rFonts w:hint="eastAsia" w:ascii="宋体" w:hAnsi="宋体" w:eastAsia="宋体" w:cs="宋体"/>
                <w:sz w:val="28"/>
                <w:szCs w:val="28"/>
                <w:highlight w:val="none"/>
              </w:rPr>
              <w:t xml:space="preserve">。</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42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投标文件编制要求：</w:t>
            </w:r>
            <w:r/>
          </w:p>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《开标一览表》（政府采购客户端工具输入报价自动生成）； </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《授权委托书》（提供原件的扫描件，格式见招标文件第七章《投标文件相关格式》）；</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所投产品的环境标志产品认证证书原件的扫描件（如有）。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所投产品的节能产品认证证书原件的扫描件（如有）。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二、资格条件（必须提供，否则投标无效）</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(一)投标人合法有效的法人或者其他组织的营业执照等证明文件，自然人的身份证明，以上证明文件提供原件的扫描</w:t>
            </w:r>
            <w:r>
              <w:rPr>
                <w:rFonts w:hint="eastAsia" w:ascii="宋体" w:hAnsi="宋体" w:cs="宋体"/>
                <w:sz w:val="28"/>
                <w:szCs w:val="28"/>
                <w:highlight w:val="none"/>
                <w:lang w:eastAsia="zh-CN"/>
              </w:rPr>
              <w:t xml:space="preserve">件</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的本项目开标时间前6个月内任何时间的</w:t>
            </w:r>
            <w:r>
              <w:rPr>
                <w:rFonts w:hint="eastAsia" w:ascii="宋体" w:hAnsi="宋体" w:eastAsia="宋体" w:cs="宋体"/>
                <w:b/>
                <w:sz w:val="28"/>
                <w:szCs w:val="28"/>
                <w:highlight w:val="none"/>
              </w:rPr>
              <w:t xml:space="preserve">资产负债表、利润表</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2024年度</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或2025年度）</w:t>
            </w:r>
            <w:r>
              <w:rPr>
                <w:rFonts w:hint="eastAsia" w:ascii="宋体" w:hAnsi="宋体" w:eastAsia="宋体" w:cs="宋体"/>
                <w:sz w:val="28"/>
                <w:szCs w:val="28"/>
                <w:highlight w:val="none"/>
              </w:rPr>
              <w:t xml:space="preserve">经审计的财务报告</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一份；</w:t>
            </w:r>
            <w:r>
              <w:rPr>
                <w:rFonts w:hint="eastAsia" w:ascii="宋体" w:hAnsi="宋体" w:eastAsia="宋体" w:cs="宋体"/>
                <w:b/>
                <w:bCs/>
                <w:sz w:val="28"/>
                <w:szCs w:val="28"/>
                <w:highlight w:val="none"/>
              </w:rPr>
              <w:t xml:space="preserve">或</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的本项目开标时间前6个月内银行出具的</w:t>
            </w:r>
            <w:r>
              <w:rPr>
                <w:rFonts w:hint="eastAsia" w:ascii="宋体" w:hAnsi="宋体" w:eastAsia="宋体" w:cs="宋体"/>
                <w:b/>
                <w:sz w:val="28"/>
                <w:szCs w:val="28"/>
                <w:highlight w:val="none"/>
              </w:rPr>
              <w:t xml:space="preserve">资信证明</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一份）；</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的本项目开标时间前6个月内任何1个月的</w:t>
            </w:r>
            <w:r>
              <w:rPr>
                <w:rFonts w:hint="eastAsia" w:ascii="宋体" w:hAnsi="宋体" w:eastAsia="宋体" w:cs="宋体"/>
                <w:b/>
                <w:sz w:val="28"/>
                <w:szCs w:val="28"/>
                <w:highlight w:val="none"/>
              </w:rPr>
              <w:t xml:space="preserve">依法缴纳税收</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和社会保障资金</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的相关材料</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（依法免税或不需要缴纳社会保障资金的投标人,提供相应文件</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证明其依法免税或不需要缴纳社会保障资金)；</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b/>
                <w:bCs/>
                <w:sz w:val="28"/>
                <w:szCs w:val="28"/>
                <w:highlight w:val="none"/>
              </w:rPr>
              <w:t xml:space="preserve">具备履行合同所必需的设备和专业技术能力的证明材料。即投标文件中提供《</w:t>
            </w:r>
            <w:bookmarkStart w:id="0" w:name="_Toc515551102"/>
            <w:r>
              <w:rPr>
                <w:rFonts w:hint="eastAsia" w:ascii="宋体" w:hAnsi="宋体" w:eastAsia="宋体" w:cs="宋体"/>
                <w:b/>
                <w:bCs/>
                <w:sz w:val="28"/>
                <w:szCs w:val="28"/>
                <w:highlight w:val="none"/>
              </w:rPr>
              <w:t xml:space="preserve">具备履行合同所必需的设备和专业技术能力的书面声明</w:t>
            </w:r>
            <w:bookmarkEnd w:id="0"/>
            <w:r>
              <w:rPr>
                <w:rFonts w:hint="eastAsia" w:ascii="宋体" w:hAnsi="宋体" w:eastAsia="宋体" w:cs="宋体"/>
                <w:b/>
                <w:bCs/>
                <w:sz w:val="28"/>
                <w:szCs w:val="28"/>
                <w:highlight w:val="none"/>
              </w:rPr>
              <w:t xml:space="preserve">》</w:t>
            </w:r>
            <w:r>
              <w:rPr>
                <w:rFonts w:hint="eastAsia" w:ascii="宋体" w:hAnsi="宋体" w:eastAsia="宋体" w:cs="宋体"/>
                <w:sz w:val="28"/>
                <w:szCs w:val="28"/>
                <w:highlight w:val="none"/>
              </w:rPr>
              <w:t xml:space="preserve">（加盖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，格式见招标文件第七章《投标文件相关格式》,所附证明材料可不加盖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，格式见本文件第七章《投标文件相关格式》；</w:t>
            </w:r>
            <w:r/>
          </w:p>
          <w:p>
            <w:pPr>
              <w:ind w:right="28"/>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（六）投标人关于单位负责人为同一人或者存在直接控股、管理关系的不同供应商，不得参加同一合同项下的政府采购活动的承诺。（加盖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（七）投标人不是为本采购项目提供整体设计、规范编制或者项目管理、监理、检测等服务的供应商的书面声明。（加盖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eastAsia="宋体" w:cs="宋体"/>
                <w:b w:val="0"/>
                <w:bCs/>
                <w:color w:val="auto"/>
                <w:sz w:val="28"/>
                <w:szCs w:val="28"/>
                <w:highlight w:val="none"/>
              </w:rPr>
              <w:t xml:space="preserve">（政府采购客户端工具输入报价自动生成）；</w:t>
            </w:r>
            <w:r/>
          </w:p>
          <w:p>
            <w:pPr>
              <w:ind w:right="28"/>
              <w:rPr>
                <w:rFonts w:hint="eastAsia" w:ascii="宋体" w:hAnsi="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spacing w:line="24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ind w:right="28"/>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3、</w:t>
            </w:r>
            <w:r>
              <w:rPr>
                <w:rFonts w:hint="eastAsia" w:ascii="宋体" w:hAnsi="宋体" w:cs="宋体"/>
                <w:b/>
                <w:bCs/>
                <w:color w:val="auto"/>
                <w:sz w:val="28"/>
                <w:szCs w:val="28"/>
                <w:highlight w:val="none"/>
                <w:lang w:val="en-US" w:eastAsia="zh-CN"/>
              </w:rPr>
              <w:t xml:space="preserve">法律、法规和招标文件规定的无效情形。</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numPr>
                <w:ilvl w:val="-1"/>
                <w:numId w:val="0"/>
              </w:num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综合评审评分项</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1、技术力量保障</w:t>
            </w:r>
            <w:r>
              <w:rPr>
                <w:rFonts w:hint="eastAsia" w:ascii="宋体" w:hAnsi="宋体" w:cs="宋体"/>
                <w:color w:val="auto"/>
                <w:sz w:val="28"/>
                <w:szCs w:val="28"/>
                <w:highlight w:val="none"/>
              </w:rPr>
              <w:t xml:space="preserve">（要求见本文件第四章《评标标准》中《评分细则》）；</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2、培训能力</w:t>
            </w:r>
            <w:r>
              <w:rPr>
                <w:rFonts w:hint="eastAsia" w:ascii="宋体" w:hAnsi="宋体" w:cs="宋体"/>
                <w:color w:val="auto"/>
                <w:sz w:val="28"/>
                <w:szCs w:val="28"/>
                <w:highlight w:val="none"/>
              </w:rPr>
              <w:t xml:space="preserve">（要求见本文件第四章《评标标准》中《评分细则》）；</w:t>
            </w:r>
            <w:r/>
          </w:p>
          <w:p>
            <w:pPr>
              <w:ind w:right="28"/>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3、考证保障</w:t>
            </w:r>
            <w:r>
              <w:rPr>
                <w:rFonts w:hint="eastAsia" w:ascii="宋体" w:hAnsi="宋体" w:cs="宋体"/>
                <w:color w:val="auto"/>
                <w:sz w:val="28"/>
                <w:szCs w:val="28"/>
                <w:highlight w:val="none"/>
              </w:rPr>
              <w:t xml:space="preserve">（要求见招标文件第六章《采购需求》及第四章《评标标准》中《评分细则》）；</w:t>
            </w:r>
            <w:r/>
          </w:p>
          <w:p>
            <w:pPr>
              <w:pStyle w:val="890"/>
              <w:rPr>
                <w:rFonts w:hint="eastAsia" w:ascii="宋体" w:hAnsi="宋体" w:cs="宋体"/>
                <w:color w:val="auto"/>
                <w:sz w:val="28"/>
                <w:szCs w:val="28"/>
                <w:highlight w:val="none"/>
              </w:rPr>
            </w:pPr>
            <w:r>
              <w:rPr>
                <w:rFonts w:hint="eastAsia" w:ascii="宋体" w:hAnsi="宋体" w:cs="宋体"/>
                <w:b/>
                <w:bCs/>
                <w:color w:val="auto"/>
                <w:sz w:val="28"/>
                <w:szCs w:val="28"/>
                <w:highlight w:val="none"/>
                <w:lang w:val="en-US" w:eastAsia="zh-CN"/>
              </w:rPr>
              <w:t xml:space="preserve">4、知识产权保护</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5、项目设计方案</w:t>
            </w:r>
            <w:r>
              <w:rPr>
                <w:rFonts w:hint="eastAsia" w:ascii="宋体" w:hAnsi="宋体" w:cs="宋体"/>
                <w:color w:val="auto"/>
                <w:sz w:val="28"/>
                <w:szCs w:val="28"/>
                <w:highlight w:val="none"/>
              </w:rPr>
              <w:t xml:space="preserve">（要求见招标文件第六章《采购需求》及第四章《评标标准》中《评分细则》）；</w:t>
            </w:r>
            <w:r/>
          </w:p>
          <w:p>
            <w:pPr>
              <w:pStyle w:val="89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6、安装调试方案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default" w:eastAsia="宋体"/>
                <w:highlight w:val="none"/>
                <w:lang w:val="en-US" w:eastAsia="zh-CN"/>
              </w:rPr>
            </w:pPr>
            <w:r>
              <w:rPr>
                <w:rFonts w:hint="eastAsia" w:ascii="宋体" w:hAnsi="宋体" w:cs="宋体"/>
                <w:b/>
                <w:bCs/>
                <w:color w:val="auto"/>
                <w:sz w:val="28"/>
                <w:szCs w:val="28"/>
                <w:highlight w:val="none"/>
                <w:lang w:val="en-US" w:eastAsia="zh-CN"/>
              </w:rPr>
              <w:t xml:space="preserve">7、售后服务方案</w:t>
            </w:r>
            <w:r>
              <w:rPr>
                <w:rFonts w:hint="eastAsia" w:ascii="宋体" w:hAnsi="宋体" w:cs="宋体"/>
                <w:color w:val="auto"/>
                <w:sz w:val="28"/>
                <w:szCs w:val="28"/>
                <w:highlight w:val="none"/>
              </w:rPr>
              <w:t xml:space="preserve">（要求见招标文件第六章《采购需求》及第四章《评标标准》中《评分细则》）；</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、评分细则中评分得分需提供的相关证明文件</w:t>
            </w:r>
            <w:r>
              <w:rPr>
                <w:rFonts w:hint="eastAsia" w:ascii="宋体" w:hAnsi="宋体" w:cs="宋体"/>
                <w:b/>
                <w:bCs/>
                <w:color w:val="auto"/>
                <w:sz w:val="28"/>
                <w:szCs w:val="28"/>
                <w:highlight w:val="none"/>
                <w:lang w:eastAsia="zh-CN"/>
              </w:rPr>
              <w:t xml:space="preserve">扫描件</w:t>
            </w:r>
            <w:r>
              <w:rPr>
                <w:rFonts w:hint="eastAsia" w:ascii="宋体" w:hAnsi="宋体" w:cs="宋体"/>
                <w:b/>
                <w:bCs/>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1、业绩</w:t>
            </w:r>
            <w:r>
              <w:rPr>
                <w:rFonts w:hint="eastAsia" w:ascii="宋体" w:hAnsi="宋体" w:cs="宋体"/>
                <w:color w:val="auto"/>
                <w:sz w:val="28"/>
                <w:szCs w:val="28"/>
                <w:highlight w:val="none"/>
              </w:rPr>
              <w:t xml:space="preserve">（要求见本文件第四章《评标标准》中《评分细则》）；</w:t>
            </w:r>
            <w:r/>
          </w:p>
          <w:p>
            <w:pPr>
              <w:ind w:right="28"/>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2、投标人其它证明文件及材料</w:t>
            </w:r>
            <w:r>
              <w:rPr>
                <w:rFonts w:hint="eastAsia" w:ascii="宋体" w:hAnsi="宋体" w:cs="宋体"/>
                <w:b/>
                <w:bCs/>
                <w:color w:val="auto"/>
                <w:sz w:val="28"/>
                <w:szCs w:val="28"/>
                <w:highlight w:val="none"/>
                <w:lang w:eastAsia="zh-CN"/>
              </w:rPr>
              <w:t xml:space="preserve">扫描件</w:t>
            </w:r>
            <w:r>
              <w:rPr>
                <w:rFonts w:hint="eastAsia" w:ascii="宋体" w:hAnsi="宋体" w:cs="宋体"/>
                <w:b/>
                <w:bCs/>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eastAsia="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eastAsia="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4"/>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w:t>
            </w:r>
            <w:r>
              <w:rPr>
                <w:rFonts w:hint="eastAsia" w:ascii="宋体" w:hAnsi="宋体" w:cs="宋体"/>
                <w:b/>
                <w:color w:val="auto"/>
                <w:sz w:val="28"/>
                <w:szCs w:val="28"/>
                <w:highlight w:val="none"/>
              </w:rPr>
              <w:t xml:space="preserve">价格折扣文件格式：</w:t>
            </w:r>
            <w:r/>
          </w:p>
          <w:p>
            <w:pPr>
              <w:ind w:right="28"/>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人《中小企业声明函》（加盖投标人公章，格式见招标文件第七章《投标文件相关格式》）（非必须提供，如所投产品全部为小微企业制造或投标人及所投产品全部为监狱企业、享受政府采购支持政策的残疾人福利性单位的请填写完整）。《中小企业声明函》查询渠道用微信</w:t>
            </w:r>
            <w:bookmarkStart w:id="3" w:name="_GoBack"/>
            <w:r/>
            <w:bookmarkEnd w:id="3"/>
            <w:r>
              <w:rPr>
                <w:rFonts w:hint="eastAsia" w:ascii="宋体" w:hAnsi="宋体" w:eastAsia="宋体" w:cs="宋体"/>
                <w:b/>
                <w:bCs/>
                <w:color w:val="auto"/>
                <w:sz w:val="28"/>
                <w:szCs w:val="28"/>
                <w:highlight w:val="none"/>
              </w:rPr>
              <w:t xml:space="preserve">搜索“中小企业规模类型自测小程序”。</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注：</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监狱企业制造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61"/>
              <w:rPr>
                <w:rFonts w:hint="eastAsia"/>
                <w:highlight w:val="none"/>
              </w:rPr>
            </w:pPr>
            <w:r>
              <w:rPr>
                <w:rFonts w:hint="eastAsia"/>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06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商务条件见：</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83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jc w:val="center"/>
          <w:trHeight w:val="1545"/>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(十五)3</w:t>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rPr>
              <w:t xml:space="preserve">0.00</w:t>
            </w:r>
            <w:r>
              <w:rPr>
                <w:rFonts w:hint="eastAsia" w:ascii="宋体" w:hAnsi="宋体" w:eastAsia="宋体" w:cs="宋体"/>
                <w:b/>
                <w:bCs/>
                <w:color w:val="auto"/>
                <w:sz w:val="28"/>
                <w:szCs w:val="28"/>
                <w:highlight w:val="none"/>
              </w:rPr>
              <w:t xml:space="preserve">万元，不接受超过</w:t>
            </w:r>
            <w:r>
              <w:rPr>
                <w:rFonts w:hint="eastAsia" w:ascii="宋体" w:hAnsi="宋体" w:eastAsia="宋体" w:cs="宋体"/>
                <w:b/>
                <w:bCs/>
                <w:color w:val="auto"/>
                <w:sz w:val="28"/>
                <w:szCs w:val="28"/>
                <w:highlight w:val="none"/>
                <w:lang w:val="en-US" w:eastAsia="zh-CN"/>
              </w:rPr>
              <w:t xml:space="preserve">项目预算</w:t>
            </w:r>
            <w:r>
              <w:rPr>
                <w:rFonts w:hint="eastAsia" w:ascii="宋体" w:hAnsi="宋体" w:eastAsia="宋体" w:cs="宋体"/>
                <w:b/>
                <w:bCs/>
                <w:color w:val="auto"/>
                <w:sz w:val="28"/>
                <w:szCs w:val="28"/>
                <w:highlight w:val="none"/>
              </w:rPr>
              <w:t xml:space="preserve">的投标报价。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投标报价包括但不限于全套设备、软件、材料、选配件和专用工具费用、</w:t>
            </w:r>
            <w:r>
              <w:rPr>
                <w:rFonts w:hint="eastAsia" w:ascii="宋体" w:hAnsi="宋体" w:cs="宋体"/>
                <w:b w:val="0"/>
                <w:bCs w:val="0"/>
                <w:color w:val="auto"/>
                <w:sz w:val="28"/>
                <w:szCs w:val="28"/>
                <w:highlight w:val="none"/>
                <w:lang w:val="en-US" w:eastAsia="zh-CN"/>
              </w:rPr>
              <w:t xml:space="preserve">代理服务费、</w:t>
            </w:r>
            <w:r>
              <w:rPr>
                <w:rFonts w:hint="eastAsia" w:ascii="宋体" w:hAnsi="宋体" w:cs="宋体"/>
                <w:b w:val="0"/>
                <w:bCs w:val="0"/>
                <w:color w:val="auto"/>
                <w:sz w:val="28"/>
                <w:szCs w:val="28"/>
                <w:highlight w:val="none"/>
              </w:rPr>
              <w:t xml:space="preserve">税费及包装、运至最终目的地的运输、保险、安装、技术支持与培训、专线接入、售后服务及相关劳务支出等工作所发生的全部费用以及投标人企业利润、税金和政策性文件规定及合同包含的所有风险、责任等各项应有费用。</w:t>
            </w:r>
            <w:r>
              <w:rPr>
                <w:rStyle w:val="1139"/>
                <w:rFonts w:hint="eastAsia" w:ascii="宋体" w:hAnsi="宋体" w:eastAsia="宋体" w:cs="宋体"/>
                <w:b w:val="0"/>
                <w:bCs w:val="0"/>
                <w:color w:val="auto"/>
                <w:sz w:val="28"/>
                <w:szCs w:val="28"/>
                <w:highlight w:val="none"/>
              </w:rPr>
              <w:t xml:space="preserve">采购人不再另行支付投标报价以外的任何费用。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(十六)</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cs="宋体"/>
                <w:b/>
                <w:bCs/>
                <w:sz w:val="28"/>
                <w:szCs w:val="28"/>
                <w:highlight w:val="none"/>
                <w:lang w:val="en-US" w:eastAsia="zh-CN"/>
              </w:rPr>
              <w:t xml:space="preserve">人民币</w:t>
            </w:r>
            <w:r>
              <w:rPr>
                <w:rFonts w:hint="eastAsia" w:ascii="宋体" w:hAnsi="宋体" w:cs="宋体"/>
                <w:color w:val="auto"/>
                <w:sz w:val="28"/>
                <w:szCs w:val="28"/>
                <w:highlight w:val="none"/>
              </w:rPr>
              <w:t xml:space="preserve">报价。</w:t>
            </w:r>
            <w:r/>
          </w:p>
        </w:tc>
      </w:tr>
      <w:tr>
        <w:trPr>
          <w:jc w:val="center"/>
          <w:trHeight w:val="47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 5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 14 </w:t>
            </w:r>
            <w:r>
              <w:rPr>
                <w:rFonts w:hint="eastAsia" w:ascii="宋体" w:hAnsi="宋体" w:cs="宋体"/>
                <w:b/>
                <w:bCs/>
                <w:color w:val="auto"/>
                <w:sz w:val="28"/>
                <w:szCs w:val="28"/>
                <w:highlight w:val="none"/>
              </w:rPr>
              <w:t xml:space="preserve">日9:</w:t>
            </w:r>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rPr>
              <w:t xml:space="preserve">前。</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2、投标文件提交与接收地点： </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开标</w:t>
            </w:r>
            <w:r/>
          </w:p>
        </w:tc>
      </w:tr>
      <w:tr>
        <w:trPr>
          <w:jc w:val="center"/>
          <w:trHeight w:val="84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w:t>
            </w:r>
            <w:r>
              <w:rPr>
                <w:rFonts w:hint="eastAsia" w:ascii="宋体" w:hAnsi="宋体" w:cs="宋体"/>
                <w:b/>
                <w:color w:val="auto"/>
                <w:sz w:val="28"/>
                <w:szCs w:val="28"/>
                <w:highlight w:val="none"/>
                <w:lang w:val="en-US" w:eastAsia="zh-CN"/>
              </w:rPr>
              <w:t xml:space="preserve"> 5 </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14 </w:t>
            </w:r>
            <w:r>
              <w:rPr>
                <w:rFonts w:hint="eastAsia" w:ascii="宋体" w:hAnsi="宋体" w:cs="宋体"/>
                <w:b/>
                <w:color w:val="auto"/>
                <w:sz w:val="28"/>
                <w:szCs w:val="28"/>
                <w:highlight w:val="none"/>
              </w:rPr>
              <w:t xml:space="preserve">日9：30（标准时间）。</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“苏采云”系统（网址：http://jszfcg.jsczt.cn/）“开标大厅”或进入江苏政府采购网--办事指南--供应商--供应商进入，点击“苏采云”进入系统“开标大厅”。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(二十六)3</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w:t>
            </w:r>
            <w:r/>
          </w:p>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三、采购人应当自收到评标报告之日起5个工作日内，在评标报告确定的中标候选人名单中按得分最高顺序确定一名中标人。</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二十九</w:t>
            </w:r>
            <w:r>
              <w:rPr>
                <w:rFonts w:hint="eastAsia" w:ascii="宋体" w:hAnsi="宋体" w:eastAsia="宋体" w:cs="宋体"/>
                <w:b w:val="0"/>
                <w:bCs/>
                <w:color w:val="auto"/>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采购人与中标、成交人应当在中标、成交通知书发出之日起30日内，按照采购文件确定的事项签订政府采购合同。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（三十一）</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履约保证金：无</w:t>
            </w:r>
            <w:r/>
          </w:p>
        </w:tc>
      </w:tr>
      <w:tr>
        <w:trPr>
          <w:jc w:val="center"/>
          <w:trHeight w:val="2821"/>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质疑接收人：温乔乔      联系电话：0516-85699499</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地址：徐州市泉山区金山东路北侧徐州软件园C-11号楼1011室</w:t>
            </w:r>
            <w:r/>
          </w:p>
        </w:tc>
      </w:tr>
      <w:tr>
        <w:trPr>
          <w:jc w:val="center"/>
          <w:trHeight w:val="1165"/>
        </w:trPr>
        <w:tc>
          <w:tcPr>
            <w:tcMar>
              <w:left w:w="108" w:type="dxa"/>
              <w:top w:w="0" w:type="dxa"/>
              <w:right w:w="108" w:type="dxa"/>
              <w:bottom w:w="0" w:type="dxa"/>
            </w:tcMar>
            <w:tcW w:w="1471" w:type="dxa"/>
            <w:vAlign w:val="center"/>
            <w:vMerge w:val="restart"/>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@jocite.com</w:t>
            </w:r>
            <w:r>
              <w:rPr>
                <w:rFonts w:hint="eastAsia" w:ascii="宋体" w:hAnsi="宋体" w:cs="宋体"/>
                <w:color w:val="auto"/>
                <w:sz w:val="28"/>
                <w:szCs w:val="28"/>
                <w:highlight w:val="none"/>
                <w:lang w:eastAsia="zh-CN"/>
              </w:rPr>
              <w:t xml:space="preserve">。</w:t>
            </w:r>
            <w:r/>
          </w:p>
        </w:tc>
      </w:tr>
      <w:tr>
        <w:trPr>
          <w:jc w:val="center"/>
          <w:trHeight w:val="1165"/>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165"/>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w:t>
            </w:r>
            <w:r/>
          </w:p>
          <w:p>
            <w:pPr>
              <w:numPr>
                <w:ilvl w:val="0"/>
                <w:numId w:val="0"/>
              </w:numPr>
              <w:ind w:left="0" w:firstLine="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中标人在收到中标通知书时，须向采购人和采购代理机构提交完整纸质版的投标文件（需盖</w:t>
            </w:r>
            <w:r>
              <w:rPr>
                <w:rFonts w:hint="eastAsia" w:ascii="宋体" w:hAnsi="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且胶装成册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1正4副本</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spacing w:line="240" w:lineRule="auto"/>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建议</w:t>
            </w:r>
            <w:r>
              <w:rPr>
                <w:rFonts w:hint="eastAsia" w:ascii="宋体" w:hAnsi="宋体" w:eastAsia="宋体" w:cs="宋体"/>
                <w:b/>
                <w:bCs/>
                <w:color w:val="auto"/>
                <w:sz w:val="28"/>
                <w:szCs w:val="28"/>
                <w:highlight w:val="none"/>
              </w:rPr>
              <w:t xml:space="preserve">使用谷歌</w:t>
            </w:r>
            <w:r>
              <w:rPr>
                <w:rFonts w:hint="eastAsia" w:ascii="宋体" w:hAnsi="宋体" w:cs="宋体"/>
                <w:b/>
                <w:bCs/>
                <w:color w:val="auto"/>
                <w:sz w:val="28"/>
                <w:szCs w:val="28"/>
                <w:highlight w:val="none"/>
                <w:lang w:val="en-US" w:eastAsia="zh-CN"/>
              </w:rPr>
              <w:t xml:space="preserve">等</w:t>
            </w:r>
            <w:r>
              <w:rPr>
                <w:rFonts w:hint="eastAsia" w:ascii="宋体" w:hAnsi="宋体" w:eastAsia="宋体" w:cs="宋体"/>
                <w:b/>
                <w:bCs/>
                <w:color w:val="auto"/>
                <w:sz w:val="28"/>
                <w:szCs w:val="28"/>
                <w:highlight w:val="none"/>
              </w:rPr>
              <w:t xml:space="preserve">浏览器参与不见面开标及</w:t>
            </w:r>
            <w:r>
              <w:rPr>
                <w:rFonts w:hint="eastAsia" w:ascii="宋体" w:hAnsi="宋体" w:cs="宋体"/>
                <w:b/>
                <w:bCs/>
                <w:color w:val="auto"/>
                <w:sz w:val="28"/>
                <w:szCs w:val="28"/>
                <w:highlight w:val="none"/>
                <w:lang w:val="en-US" w:eastAsia="zh-CN"/>
              </w:rPr>
              <w:t xml:space="preserve">项目演示环节（录屏演示等材料可上传至“苏采云”系统和开标前通过U盘形式递交（U盘形式递交的须密封）），送达地址：徐州市泉山区软件园路6号徐州软件园C-11号楼1011室，联系人：董雯 联系方式：0516-83999067。</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、电脑需提前准备好麦克风、音响，摄像头，提前检查保证能够正常使用。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、操作系统至少win7以上，建议使用win10操作系统。</w:t>
            </w:r>
            <w:r/>
          </w:p>
        </w:tc>
      </w:tr>
    </w:tbl>
    <w:p>
      <w:pPr>
        <w:ind w:firstLine="0"/>
        <w:spacing w:line="23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本章附件：</w:t>
      </w:r>
      <w:r>
        <w:rPr>
          <w:rFonts w:hint="eastAsia" w:ascii="宋体" w:hAnsi="宋体" w:cs="宋体"/>
          <w:b/>
          <w:color w:val="auto"/>
          <w:sz w:val="30"/>
          <w:highlight w:val="none"/>
        </w:rPr>
        <w:t xml:space="preserve">招标代理服务收费标准</w:t>
      </w:r>
      <w:r/>
    </w:p>
    <w:tbl>
      <w:tblPr>
        <w:tblStyle w:val="903"/>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工程</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收费上限</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最低5千元</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最高10万元</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（PPP项目最高10万元）</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0.70%</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0.55%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0.35%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0.20%</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备注：非政府采购项目收费标准，由采购人与代理机构自行商议。</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1.按上表计算的收费为代理服务全过程的收费金额。各社会代理机构不另外收取采购文件制作售卖费用。</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 * 费率（%）</w:t>
      </w:r>
      <w:r>
        <w:rPr>
          <w:rFonts w:hint="eastAsia" w:ascii="宋体" w:hAnsi="宋体" w:cs="宋体"/>
          <w:color w:val="auto"/>
          <w:sz w:val="24"/>
          <w:highlight w:val="none"/>
          <w:lang w:val="en-US" w:eastAsia="zh-CN"/>
        </w:rPr>
        <w:t xml:space="preserve">*19%</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5.计算出的代理服务费应收取金额如低于5千元，按5千元收取；如高于10万元，按10万元收取。超出5万元的，超出部分按8折计算收取。（PPP项目按10万元）</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6.定点类等无金额或事先不能计算出价格总额，采购预算为1元的项目，中标（成交）金额按100万元计算。</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7.多标段项目按总项目收费，最高不超过10万元。</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8.上表为自行约定的代理服务费标准。</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9.账户信息：</w:t>
      </w:r>
      <w:r/>
    </w:p>
    <w:p>
      <w:pPr>
        <w:ind w:firstLine="241"/>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账户名：江苏海外集团国际工程咨询有限公司徐州分公司</w:t>
      </w:r>
      <w:r/>
    </w:p>
    <w:p>
      <w:pPr>
        <w:ind w:firstLine="241"/>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开户银行：上海浦东发展银行股份有限公司徐州分行    </w:t>
      </w:r>
      <w:r/>
    </w:p>
    <w:p>
      <w:pPr>
        <w:ind w:firstLine="241"/>
        <w:jc w:val="lef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rPr>
        <w:t xml:space="preserve">账号：11110154740005866</w:t>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第四章 评标标准</w:t>
      </w:r>
      <w:r>
        <w:rPr>
          <w:rFonts w:hint="eastAsia" w:ascii="宋体" w:hAnsi="宋体" w:cs="宋体"/>
          <w:color w:val="auto"/>
          <w:sz w:val="18"/>
          <w:highlight w:val="none"/>
        </w:rPr>
        <w:t xml:space="preserve"> </w:t>
      </w:r>
      <w:r/>
    </w:p>
    <w:tbl>
      <w:tblPr>
        <w:tblStyle w:val="855"/>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8916"/>
      </w:tblGrid>
      <w:tr>
        <w:trPr>
          <w:jc w:val="center"/>
          <w:trHeight w:val="454"/>
        </w:trPr>
        <w:tc>
          <w:tcPr>
            <w:tcW w:w="1574"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8916"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90"/>
        </w:trPr>
        <w:tc>
          <w:tcPr>
            <w:tcW w:w="1574" w:type="dxa"/>
            <w:vAlign w:val="center"/>
            <w:textDirection w:val="lrTb"/>
            <w:noWrap w:val="false"/>
          </w:tcPr>
          <w:p>
            <w:pPr>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价格</w:t>
            </w:r>
            <w:r/>
          </w:p>
          <w:p>
            <w:pPr>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（30分）</w:t>
            </w:r>
            <w:r/>
          </w:p>
        </w:tc>
        <w:tc>
          <w:tcPr>
            <w:tcW w:w="8916" w:type="dxa"/>
            <w:vAlign w:val="center"/>
            <w:textDirection w:val="lrTb"/>
            <w:noWrap w:val="false"/>
          </w:tcPr>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采用低价优先法计算，即满足招标文件要求且投标价格最低的投标报价为评标基准价 ，其价格分为满分30分。 其他投标人的价格分统一按照下列公式计算:</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投标报价得分=(评标基准价/投标报价)×30（小数点后保留两位）</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享受价格评审优惠不改变最终中标价格，政府采购合同仍按照中标供应商的报价签订。</w:t>
            </w:r>
            <w:r/>
          </w:p>
        </w:tc>
      </w:tr>
      <w:tr>
        <w:trPr>
          <w:jc w:val="center"/>
          <w:trHeight w:val="770"/>
        </w:trPr>
        <w:tc>
          <w:tcPr>
            <w:tcW w:w="157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产品功能、性能、配置要求</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8916" w:type="dxa"/>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满足招标文件要求的得3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分，重要响应指标不满足或负偏离每项扣</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一般</w:t>
            </w:r>
            <w:r>
              <w:rPr>
                <w:rFonts w:hint="eastAsia" w:ascii="宋体" w:hAnsi="宋体" w:eastAsia="宋体" w:cs="宋体"/>
                <w:color w:val="auto"/>
                <w:sz w:val="28"/>
                <w:szCs w:val="28"/>
                <w:highlight w:val="none"/>
              </w:rPr>
              <w:t xml:space="preserve">响应指标如有不满足或负偏离，每一项扣</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注：加“▲”的指标为重要响应指标，其他为一般响应指标，未按照招标文件要求提供证明材料或证明材料无法证明满足响应指标的视为负偏离。</w:t>
            </w:r>
            <w:r/>
          </w:p>
          <w:p>
            <w:pPr>
              <w:pStyle w:val="890"/>
              <w:rPr>
                <w:rFonts w:hint="eastAsia" w:ascii="宋体" w:hAnsi="宋体" w:eastAsia="宋体" w:cs="宋体"/>
                <w:sz w:val="28"/>
                <w:szCs w:val="28"/>
                <w:highlight w:val="none"/>
                <w:lang w:val="en-US" w:eastAsia="zh-CN"/>
              </w:rPr>
            </w:pPr>
            <w:r>
              <w:rPr>
                <w:rFonts w:hint="eastAsia" w:ascii="宋体" w:hAnsi="宋体" w:eastAsia="宋体" w:cs="宋体"/>
                <w:b w:val="0"/>
                <w:bCs w:val="0"/>
                <w:i w:val="0"/>
                <w:iCs w:val="0"/>
                <w:color w:val="auto"/>
                <w:spacing w:val="0"/>
                <w:sz w:val="28"/>
                <w:szCs w:val="28"/>
                <w:highlight w:val="none"/>
                <w:vertAlign w:val="baseline"/>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ascii="宋体" w:hAnsi="宋体" w:cs="宋体"/>
                <w:b w:val="0"/>
                <w:bCs w:val="0"/>
                <w:i w:val="0"/>
                <w:iCs w:val="0"/>
                <w:color w:val="auto"/>
                <w:spacing w:val="0"/>
                <w:sz w:val="28"/>
                <w:szCs w:val="28"/>
                <w:highlight w:val="none"/>
                <w:vertAlign w:val="baseline"/>
                <w:lang w:eastAsia="zh-CN"/>
              </w:rPr>
              <w:t xml:space="preserve">。</w:t>
            </w:r>
            <w:r/>
          </w:p>
        </w:tc>
      </w:tr>
      <w:tr>
        <w:trPr>
          <w:jc w:val="center"/>
          <w:trHeight w:val="90"/>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现场技术演示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需提供以下功能</w:t>
            </w:r>
            <w:r>
              <w:rPr>
                <w:rFonts w:hint="eastAsia" w:ascii="宋体" w:hAnsi="宋体" w:cs="宋体"/>
                <w:b w:val="0"/>
                <w:bCs w:val="0"/>
                <w:i w:val="0"/>
                <w:iCs w:val="0"/>
                <w:color w:val="auto"/>
                <w:spacing w:val="0"/>
                <w:sz w:val="28"/>
                <w:szCs w:val="28"/>
                <w:highlight w:val="none"/>
                <w:vertAlign w:val="baseline"/>
                <w:lang w:val="en-US" w:eastAsia="zh-CN"/>
              </w:rPr>
              <w:t xml:space="preserve">录屏</w:t>
            </w:r>
            <w:r>
              <w:rPr>
                <w:rFonts w:hint="eastAsia" w:ascii="宋体" w:hAnsi="宋体" w:eastAsia="宋体" w:cs="宋体"/>
                <w:b w:val="0"/>
                <w:bCs w:val="0"/>
                <w:i w:val="0"/>
                <w:iCs w:val="0"/>
                <w:color w:val="auto"/>
                <w:spacing w:val="0"/>
                <w:sz w:val="28"/>
                <w:szCs w:val="28"/>
                <w:highlight w:val="none"/>
                <w:vertAlign w:val="baseline"/>
              </w:rPr>
              <w:t xml:space="preserve">演示视频，总时长不超过15分钟。</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功能演示一：</w:t>
            </w:r>
            <w:r/>
          </w:p>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提供教师控制终端-新能源汽车故障检测交互教学实训系统-新能源汽车结构原理与检测3D虚拟仿真软件功能演示视频，演示内容如下：（每满足1项功能得2分，共6项，最高得12分。）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局域网内网络管理：结合流动特效，展示整车控制器、车身控制模块、电池管理控制器、充配电总成、PTC风加热器、车身稳定系统控制单元、网关控制器、电机控制器之间信号传输的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2.高压系统上下电管理：结合流动特效，控制启动及停止，展示高压系统上电流程及下电流程，可放大缩小、旋转，并配有文字介绍；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3.档位管理：结合流动特效，可控制停车档、倒车档、空档、前进档4个档位，展示不同挡位下信号传输过程，可放大缩小、旋转，并配有文字介绍；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4.踏板信号管理：结合流动特效，控制油门踏板、制动踏板，展示加速、制动下信号传输及油液流动过程，可放大缩小、旋转，并配有文字介绍；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5.车辆驱动管理：结合流动特效，可切换ECO、NORMAL、SPORT不同模式，展示不同模式管理的信号流动及车速变化；</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6.整车能量管理：结合流动特效，展示制动能量回收过程，控制油门踏板、制动踏板，展示制动下能量回收的传递路线过程，可放大缩小、旋转，并配有文字介绍。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功能演示二：</w:t>
            </w:r>
            <w:r/>
          </w:p>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提供新能源汽车空调系统实训平台-数智教师教辅系统功能演示视频</w:t>
            </w:r>
            <w:r>
              <w:rPr>
                <w:rFonts w:hint="eastAsia" w:ascii="宋体" w:hAnsi="宋体" w:cs="宋体"/>
                <w:b w:val="0"/>
                <w:bCs w:val="0"/>
                <w:i w:val="0"/>
                <w:iCs w:val="0"/>
                <w:color w:val="auto"/>
                <w:spacing w:val="0"/>
                <w:sz w:val="28"/>
                <w:szCs w:val="28"/>
                <w:highlight w:val="none"/>
                <w:vertAlign w:val="baseline"/>
                <w:lang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课程思政案例</w:t>
            </w:r>
            <w:r>
              <w:rPr>
                <w:rFonts w:hint="eastAsia" w:ascii="宋体" w:hAnsi="宋体" w:cs="宋体"/>
                <w:b w:val="0"/>
                <w:bCs w:val="0"/>
                <w:i w:val="0"/>
                <w:iCs w:val="0"/>
                <w:color w:val="auto"/>
                <w:spacing w:val="0"/>
                <w:sz w:val="28"/>
                <w:szCs w:val="28"/>
                <w:highlight w:val="none"/>
                <w:vertAlign w:val="baseline"/>
                <w:lang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，演示内容如下：（每满足1项功能得1.5分，共2项，最高得3分。）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w:t>
            </w:r>
            <w:r>
              <w:rPr>
                <w:rFonts w:hint="eastAsia" w:ascii="宋体" w:hAnsi="宋体" w:cs="宋体"/>
                <w:b w:val="0"/>
                <w:bCs w:val="0"/>
                <w:i w:val="0"/>
                <w:iCs w:val="0"/>
                <w:color w:val="auto"/>
                <w:spacing w:val="0"/>
                <w:sz w:val="28"/>
                <w:szCs w:val="28"/>
                <w:highlight w:val="none"/>
                <w:vertAlign w:val="baseline"/>
                <w:lang w:val="en-US"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输入课程名称可生成至少3个思政案例。</w:t>
            </w:r>
            <w:r>
              <w:rPr>
                <w:rFonts w:hint="eastAsia" w:ascii="宋体" w:hAnsi="宋体" w:eastAsia="宋体" w:cs="宋体"/>
                <w:b w:val="0"/>
                <w:bCs w:val="0"/>
                <w:i w:val="0"/>
                <w:iCs w:val="0"/>
                <w:color w:val="auto"/>
                <w:spacing w:val="0"/>
                <w:sz w:val="28"/>
                <w:szCs w:val="28"/>
                <w:highlight w:val="none"/>
                <w:vertAlign w:val="baseline"/>
              </w:rPr>
              <w:br/>
            </w:r>
            <w:r>
              <w:rPr>
                <w:rFonts w:hint="eastAsia" w:ascii="宋体" w:hAnsi="宋体" w:eastAsia="宋体" w:cs="宋体"/>
                <w:b w:val="0"/>
                <w:bCs w:val="0"/>
                <w:i w:val="0"/>
                <w:iCs w:val="0"/>
                <w:color w:val="auto"/>
                <w:spacing w:val="0"/>
                <w:sz w:val="28"/>
                <w:szCs w:val="28"/>
                <w:highlight w:val="none"/>
                <w:vertAlign w:val="baseline"/>
              </w:rPr>
              <w:t xml:space="preserve">2</w:t>
            </w:r>
            <w:r>
              <w:rPr>
                <w:rFonts w:hint="eastAsia" w:ascii="宋体" w:hAnsi="宋体" w:cs="宋体"/>
                <w:b w:val="0"/>
                <w:bCs w:val="0"/>
                <w:i w:val="0"/>
                <w:iCs w:val="0"/>
                <w:color w:val="auto"/>
                <w:spacing w:val="0"/>
                <w:sz w:val="28"/>
                <w:szCs w:val="28"/>
                <w:highlight w:val="none"/>
                <w:vertAlign w:val="baseline"/>
                <w:lang w:val="en-US"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选择其中任一思政案例并输入具体课程内容可生成至少3个思政点供教师选择。</w:t>
            </w:r>
            <w:r/>
          </w:p>
        </w:tc>
      </w:tr>
      <w:tr>
        <w:trPr>
          <w:jc w:val="center"/>
          <w:trHeight w:val="164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业绩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自2023年1月1日以来</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承担过</w:t>
            </w:r>
            <w:r>
              <w:rPr>
                <w:rFonts w:hint="eastAsia" w:ascii="宋体" w:hAnsi="宋体" w:eastAsia="宋体" w:cs="宋体"/>
                <w:color w:val="auto"/>
                <w:sz w:val="28"/>
                <w:szCs w:val="28"/>
                <w:highlight w:val="none"/>
              </w:rPr>
              <w:t xml:space="preserve">合同标的与本次采购标的同类或相似的</w:t>
            </w:r>
            <w:r>
              <w:rPr>
                <w:rFonts w:hint="eastAsia" w:ascii="宋体" w:hAnsi="宋体" w:eastAsia="宋体" w:cs="宋体"/>
                <w:b w:val="0"/>
                <w:bCs w:val="0"/>
                <w:i w:val="0"/>
                <w:iCs w:val="0"/>
                <w:color w:val="auto"/>
                <w:spacing w:val="0"/>
                <w:sz w:val="28"/>
                <w:szCs w:val="28"/>
                <w:highlight w:val="none"/>
                <w:vertAlign w:val="baseline"/>
              </w:rPr>
              <w:t xml:space="preserve">业绩，一个得1分，最高得3分。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注：</w:t>
            </w:r>
            <w:r>
              <w:rPr>
                <w:rFonts w:hint="eastAsia" w:ascii="宋体" w:hAnsi="宋体" w:eastAsia="宋体" w:cs="宋体"/>
                <w:b/>
                <w:bCs/>
                <w:color w:val="auto"/>
                <w:sz w:val="28"/>
                <w:szCs w:val="28"/>
                <w:highlight w:val="none"/>
              </w:rPr>
              <w:t xml:space="preserve">投标文件中需提供合同</w:t>
            </w:r>
            <w:r>
              <w:rPr>
                <w:rFonts w:hint="eastAsia" w:ascii="宋体" w:hAnsi="宋体" w:eastAsia="宋体" w:cs="宋体"/>
                <w:b/>
                <w:bCs/>
                <w:color w:val="auto"/>
                <w:sz w:val="28"/>
                <w:szCs w:val="28"/>
                <w:highlight w:val="none"/>
                <w:lang w:val="en-US" w:eastAsia="zh-CN"/>
              </w:rPr>
              <w:t xml:space="preserve">扫描件加盖电子签章</w:t>
            </w:r>
            <w:r>
              <w:rPr>
                <w:rFonts w:hint="eastAsia" w:ascii="宋体" w:hAnsi="宋体" w:eastAsia="宋体" w:cs="宋体"/>
                <w:b/>
                <w:bCs/>
                <w:color w:val="auto"/>
                <w:sz w:val="28"/>
                <w:szCs w:val="28"/>
                <w:highlight w:val="none"/>
              </w:rPr>
              <w:t xml:space="preserve">（合同内容须清晰可辨，否则不得分）。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技术力量保障</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产品制造商或</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为本项目服务的技术人员具有以下：</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1.具有控制理论与控制技术中级及以上工程师证书的得1分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2.具有系统集成项目管理中级及以上工程师证书的得1分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3.具有新能源汽车装调与测试1+X培训师证书的得1分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注：1、投标文件中需提供技术人员的相关证书原件的扫描件并加盖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2560"/>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培训能力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为响应全国技工院校一体化课程改革试点工作，产品制造商或</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为本项目提供的培训人员具备一体化课程标准、工作页等方面开发及培训能力，并能为我校提供一体化课程改革的专项培训。提供技术培训人员获得人社部颁发的一体化课程改革相关证书的得</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注：投标文件中需提供技术培训人员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相关证书原件的扫描件并加盖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分，最低得0分。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考证保障</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为满足教学及教师考证需求，产品制造商或</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具备交通运输行业“智能汽车维修工”职业建设联系点资质；需对老师进行专业培训，需提供不少于15个名额的免费《智能汽车维修工》培训取证服务，投标文件中需提供相关佐证材料及培训承诺书</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得3分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注：投标文件中需提供考证保障相关佐证材料及培训承诺书并加盖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知识产权保护</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为保障知识产权避免产权的纠纷及产品正版权益，产品制造商或</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应具备软件开发能力，提供“动力电池系统装调与检测3D虚拟仿真软件”相关软件著作权证书、“智能教学系统”相关软件著作权证书的每提供一份得1分，最高得2分。</w:t>
            </w:r>
            <w:r/>
          </w:p>
          <w:p>
            <w:pPr>
              <w:pStyle w:val="1134"/>
              <w:rPr>
                <w:rFonts w:hint="eastAsia" w:ascii="宋体" w:hAnsi="宋体" w:eastAsia="宋体" w:cs="宋体"/>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注：投标文件中</w:t>
            </w:r>
            <w:r>
              <w:rPr>
                <w:rFonts w:hint="eastAsia" w:ascii="宋体" w:hAnsi="宋体" w:cs="宋体"/>
                <w:b w:val="0"/>
                <w:bCs w:val="0"/>
                <w:i w:val="0"/>
                <w:iCs w:val="0"/>
                <w:color w:val="auto"/>
                <w:spacing w:val="0"/>
                <w:sz w:val="28"/>
                <w:szCs w:val="28"/>
                <w:highlight w:val="none"/>
                <w:vertAlign w:val="baseline"/>
                <w:lang w:val="en-US" w:eastAsia="zh-CN"/>
              </w:rPr>
              <w:t xml:space="preserve">需</w:t>
            </w:r>
            <w:r>
              <w:rPr>
                <w:rFonts w:hint="eastAsia" w:ascii="宋体" w:hAnsi="宋体" w:eastAsia="宋体" w:cs="宋体"/>
                <w:b w:val="0"/>
                <w:bCs w:val="0"/>
                <w:i w:val="0"/>
                <w:iCs w:val="0"/>
                <w:color w:val="auto"/>
                <w:spacing w:val="0"/>
                <w:sz w:val="28"/>
                <w:szCs w:val="28"/>
                <w:highlight w:val="none"/>
                <w:vertAlign w:val="baseline"/>
              </w:rPr>
              <w:t xml:space="preserve">提供软件著作权证书原件的扫描件并加盖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项目设计方案</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根据新能源汽车教学实训实施要求结合学校现有场地提供新能源汽车实训室整体设计方案及实训室效果图。方案需围绕新能源汽车实训中心功能进行设计需功能详细、清晰，设计方案能充分体现新能源汽车关键技术，能集合各实训室功能点、教学点进行设计，布局合理、详细、清晰，能全面体现新能源汽车技术先进性和一体化教学可行性。</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方案内容全面、科学合理，能充分体现工学一体化教学的</w:t>
            </w:r>
            <w:r>
              <w:rPr>
                <w:rFonts w:hint="eastAsia" w:ascii="宋体" w:hAnsi="宋体" w:cs="宋体"/>
                <w:b w:val="0"/>
                <w:bCs w:val="0"/>
                <w:i w:val="0"/>
                <w:iCs w:val="0"/>
                <w:color w:val="auto"/>
                <w:spacing w:val="0"/>
                <w:sz w:val="28"/>
                <w:szCs w:val="28"/>
                <w:highlight w:val="none"/>
                <w:vertAlign w:val="baseline"/>
                <w:lang w:val="en-US" w:eastAsia="zh-CN"/>
              </w:rPr>
              <w:t xml:space="preserve">得3</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方案内容基本全面、合理，基本体现工学一体化教学的</w:t>
            </w:r>
            <w:r>
              <w:rPr>
                <w:rFonts w:hint="eastAsia" w:ascii="宋体" w:hAnsi="宋体" w:cs="宋体"/>
                <w:b w:val="0"/>
                <w:bCs w:val="0"/>
                <w:i w:val="0"/>
                <w:iCs w:val="0"/>
                <w:color w:val="auto"/>
                <w:spacing w:val="0"/>
                <w:sz w:val="28"/>
                <w:szCs w:val="28"/>
                <w:highlight w:val="none"/>
                <w:vertAlign w:val="baseline"/>
                <w:lang w:val="en-US" w:eastAsia="zh-CN"/>
              </w:rPr>
              <w:t xml:space="preserve">得2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方案内容简单且不全面的得</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1</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408"/>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安装调试方案</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针对用户需求提供“货物包装、交货、安装、调试”方案，根据</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提供的安装调试方案（包括但不限于安装调试人员安排、安装调试计划、流程、安装调试执行方案等）进行评审：</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安装调试方案详细，流程清晰合理，优于用户需求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3</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安装调试方案简单，流程基本合理，基本符合用户需求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安装调试方案粗略，流程不合理，不能满足用户需求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得1分；</w:t>
            </w:r>
            <w:r/>
          </w:p>
          <w:p>
            <w:pPr>
              <w:pStyle w:val="113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932"/>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售后服务方案</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4分）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为本项目提供的售后服务计划（包括但不限于质保期、备品备件价格、培训、维护保养计划及措施、售后服务机构设置等）的完整性、响应程度、便捷性进行评审：</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计划完整详实、响应程度好、服务便捷性高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得4分；</w:t>
            </w:r>
            <w:r/>
          </w:p>
          <w:p>
            <w:pPr>
              <w:pStyle w:val="1134"/>
              <w:rPr>
                <w:rFonts w:hint="eastAsia" w:ascii="宋体" w:hAnsi="宋体" w:cs="宋体"/>
                <w:b w:val="0"/>
                <w:bCs w:val="0"/>
                <w:i w:val="0"/>
                <w:iCs w:val="0"/>
                <w:color w:val="auto"/>
                <w:spacing w:val="0"/>
                <w:sz w:val="28"/>
                <w:szCs w:val="28"/>
                <w:highlight w:val="none"/>
                <w:vertAlign w:val="baseline"/>
                <w:lang w:eastAsia="zh-CN"/>
              </w:rPr>
            </w:pPr>
            <w:r>
              <w:rPr>
                <w:rFonts w:hint="eastAsia" w:ascii="宋体" w:hAnsi="宋体" w:eastAsia="宋体" w:cs="宋体"/>
                <w:b w:val="0"/>
                <w:bCs w:val="0"/>
                <w:i w:val="0"/>
                <w:iCs w:val="0"/>
                <w:color w:val="auto"/>
                <w:spacing w:val="0"/>
                <w:sz w:val="28"/>
                <w:szCs w:val="28"/>
                <w:highlight w:val="none"/>
                <w:vertAlign w:val="baseline"/>
              </w:rPr>
              <w:t xml:space="preserve">计划</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完整详实、响应程度</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好、服务便捷性</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3</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计划基本完整、响应程度一般、服务便捷性中等</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计划不完整、响应程度差、服务便捷性低</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得1分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分，最低得0分。</w:t>
            </w:r>
            <w:r/>
          </w:p>
        </w:tc>
      </w:tr>
      <w:tr>
        <w:trPr>
          <w:jc w:val="center"/>
          <w:trHeight w:val="2273"/>
        </w:trPr>
        <w:tc>
          <w:tcPr>
            <w:tcW w:w="1574" w:type="dxa"/>
            <w:vAlign w:val="center"/>
            <w:textDirection w:val="lrTb"/>
            <w:noWrap w:val="false"/>
          </w:tcPr>
          <w:p>
            <w:pPr>
              <w:pStyle w:val="876"/>
              <w:jc w:val="center"/>
              <w:spacing w:line="240" w:lineRule="auto"/>
              <w:rPr>
                <w:rFonts w:hint="eastAsia" w:ascii="宋体" w:hAnsi="宋体" w:eastAsia="宋体" w:cs="宋体"/>
                <w:bCs/>
                <w:strike w:val="0"/>
                <w:color w:val="auto"/>
                <w:sz w:val="28"/>
                <w:szCs w:val="28"/>
                <w:highlight w:val="none"/>
              </w:rPr>
            </w:pPr>
            <w:r>
              <w:rPr>
                <w:rFonts w:hint="eastAsia" w:ascii="宋体" w:hAnsi="宋体" w:eastAsia="宋体" w:cs="宋体"/>
                <w:bCs/>
                <w:strike w:val="0"/>
                <w:color w:val="auto"/>
                <w:sz w:val="28"/>
                <w:szCs w:val="28"/>
                <w:highlight w:val="none"/>
              </w:rPr>
              <w:t xml:space="preserve">所投产品为“环境标志产品”</w:t>
            </w:r>
            <w:r/>
          </w:p>
          <w:p>
            <w:pPr>
              <w:pStyle w:val="876"/>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Cs/>
                <w:strike w:val="0"/>
                <w:color w:val="auto"/>
                <w:sz w:val="28"/>
                <w:szCs w:val="28"/>
                <w:highlight w:val="none"/>
              </w:rPr>
              <w:t xml:space="preserve">（1分）</w:t>
            </w:r>
            <w:r/>
          </w:p>
        </w:tc>
        <w:tc>
          <w:tcPr>
            <w:tcW w:w="8916" w:type="dxa"/>
            <w:vAlign w:val="center"/>
            <w:textDirection w:val="lrTb"/>
            <w:noWrap w:val="false"/>
          </w:tcPr>
          <w:p>
            <w:pPr>
              <w:pStyle w:val="868"/>
              <w:spacing w:line="240" w:lineRule="auto"/>
              <w:rPr>
                <w:rFonts w:hint="eastAsia" w:ascii="宋体" w:hAnsi="宋体" w:eastAsia="宋体" w:cs="宋体"/>
                <w:sz w:val="28"/>
                <w:szCs w:val="28"/>
                <w:highlight w:val="none"/>
                <w:lang w:val="en-US" w:eastAsia="zh-CN"/>
              </w:rPr>
              <w:outlineLvl w:val="0"/>
            </w:pPr>
            <w:r>
              <w:rPr>
                <w:rFonts w:hint="eastAsia" w:ascii="宋体" w:hAnsi="宋体" w:eastAsia="宋体" w:cs="宋体"/>
                <w:strike w:val="0"/>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273"/>
        </w:trPr>
        <w:tc>
          <w:tcPr>
            <w:tcW w:w="1574" w:type="dxa"/>
            <w:vAlign w:val="center"/>
            <w:textDirection w:val="lrTb"/>
            <w:noWrap w:val="false"/>
          </w:tcPr>
          <w:p>
            <w:pPr>
              <w:pStyle w:val="876"/>
              <w:jc w:val="center"/>
              <w:spacing w:line="240" w:lineRule="auto"/>
              <w:rPr>
                <w:rFonts w:hint="eastAsia" w:ascii="宋体" w:hAnsi="宋体" w:eastAsia="宋体" w:cs="宋体"/>
                <w:bCs/>
                <w:strike w:val="0"/>
                <w:color w:val="auto"/>
                <w:sz w:val="28"/>
                <w:szCs w:val="28"/>
                <w:highlight w:val="none"/>
              </w:rPr>
            </w:pPr>
            <w:r>
              <w:rPr>
                <w:rFonts w:hint="eastAsia" w:ascii="宋体" w:hAnsi="宋体" w:eastAsia="宋体" w:cs="宋体"/>
                <w:bCs/>
                <w:strike w:val="0"/>
                <w:color w:val="auto"/>
                <w:sz w:val="28"/>
                <w:szCs w:val="28"/>
                <w:highlight w:val="none"/>
              </w:rPr>
              <w:t xml:space="preserve">所投产品为“节能产品”</w:t>
            </w:r>
            <w:r/>
          </w:p>
          <w:p>
            <w:pPr>
              <w:pStyle w:val="876"/>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Cs/>
                <w:strike w:val="0"/>
                <w:color w:val="auto"/>
                <w:sz w:val="28"/>
                <w:szCs w:val="28"/>
                <w:highlight w:val="none"/>
              </w:rPr>
              <w:t xml:space="preserve">（1分）</w:t>
            </w:r>
            <w:r/>
          </w:p>
        </w:tc>
        <w:tc>
          <w:tcPr>
            <w:tcW w:w="8916" w:type="dxa"/>
            <w:vAlign w:val="center"/>
            <w:textDirection w:val="lrTb"/>
            <w:noWrap w:val="false"/>
          </w:tcPr>
          <w:p>
            <w:pPr>
              <w:pStyle w:val="868"/>
              <w:spacing w:line="240" w:lineRule="auto"/>
              <w:rPr>
                <w:rFonts w:hint="eastAsia" w:ascii="宋体" w:hAnsi="宋体" w:eastAsia="宋体" w:cs="宋体"/>
                <w:sz w:val="28"/>
                <w:szCs w:val="28"/>
                <w:highlight w:val="none"/>
                <w:lang w:val="en-US" w:eastAsia="zh-CN"/>
              </w:rPr>
              <w:outlineLvl w:val="0"/>
            </w:pPr>
            <w:r>
              <w:rPr>
                <w:rFonts w:hint="eastAsia" w:ascii="宋体" w:hAnsi="宋体" w:eastAsia="宋体" w:cs="宋体"/>
                <w:strike w:val="0"/>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1134"/>
        <w:rPr>
          <w:highlight w:val="none"/>
        </w:rPr>
      </w:pPr>
      <w:r>
        <w:rPr>
          <w:rFonts w:hint="eastAsia" w:ascii="宋体" w:hAnsi="宋体" w:eastAsia="宋体" w:cs="宋体"/>
          <w:b w:val="0"/>
          <w:bCs w:val="0"/>
          <w:i w:val="0"/>
          <w:iCs w:val="0"/>
          <w:color w:val="auto"/>
          <w:spacing w:val="0"/>
          <w:sz w:val="28"/>
          <w:szCs w:val="28"/>
          <w:highlight w:val="none"/>
          <w:vertAlign w:val="baseline"/>
          <w:lang w:val="en-US"/>
        </w:rPr>
        <w:t xml:space="preserve"> </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本章说明：</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本项目采用综合评分法。</w:t>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highlight w:val="none"/>
        </w:rPr>
        <w:br w:type="page" w:clear="all"/>
      </w:r>
      <w:r/>
    </w:p>
    <w:p>
      <w:pPr>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拟签订的合同文本</w:t>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pStyle w:val="913"/>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913"/>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68"/>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68"/>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68"/>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70" w:lineRule="exact"/>
        <w:rPr>
          <w:rFonts w:hint="eastAsia" w:ascii="宋体" w:hAnsi="宋体" w:cs="宋体"/>
          <w:color w:val="auto"/>
          <w:sz w:val="18"/>
          <w:szCs w:val="18"/>
          <w:highlight w:val="none"/>
        </w:rPr>
      </w:pPr>
      <w:r>
        <w:rPr>
          <w:rFonts w:hint="eastAsia" w:ascii="宋体" w:hAnsi="宋体" w:cs="宋体"/>
          <w:color w:val="auto"/>
          <w:highlight w:val="none"/>
        </w:rPr>
        <w:br w:type="page" w:clear="all"/>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合同通用条款</w:t>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目录</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第四条    支付</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第五条    交货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第六条    包装和标记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第十条    售后服务和技术培训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第十五条  适用法律</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第十六条  权利保证</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第十七条  保密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合同通用条款</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除本合同上下文中另有规定外，下列各词语定义如下：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1.1“买方”见《合同专用条款》。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1.2“卖方”见《合同专用条款》。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1.3“工作现场”见《合同专用条款》。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1.4“合同标的”见合同附件4。</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1.5“技术资料”是指与合同标的的安装、试运行、验收、操作以及维修有关的技术指标、规格、图纸和文件。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1.6“技术培训”是指在合同标的的安装、试运行、验收、操作、维修以及其他方面卖方给予买方的培训。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1.7“安装”是指有关合同标的、备件和材料的安装工作。</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1.8“试运行”是指为验明合同标的的技术性能，在安装完毕后对合同标的进行的测试。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1.10“合同货币”见《合同专用条款》。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1.11“合同价格”见合同附件4。</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1.12“合同生效日”见《合同协议书》（合同附件1）第5 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1.13“日”是指日历天数。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1.14“月”是指日历月数。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2.1买方同意从卖方购买、卖方同意向买方出售和提供的合同标的以及相关售后服务、技术培训和技术资料。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3.1 合同总价见《合同专用条款》。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3.2 合同总价是固定价格。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第四条 支付</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第五条 交货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5.1交货期限、批次和交货条件见《合同专用条款》。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5.2交货地点见《合同专用条款》。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5.4卖方应按下列规定交付合同标的：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5.4.1卖方负责将合同标的送至《合同专用条款》规定的交货地点。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5.4.2买方出具的收据日期是合同标的的实际交货日期。</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5.5如果卖方未能按照合同规定的交货期限交货，卖方应按《合同专用条款》的规定支付违约金或提供其他救济。</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第六条 包装与标记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6.1除非合同中另有规定，合同标的应保持产品制造企业原包装完好。</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6.2在合同标的的每件包装中都应附有下列单据：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装箱明细单；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质量合格证；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7.1 技术资料交付的期限和方式见《合同专用条款》。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8.1 合同标的的安装期限见《合同专用条款》。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9.1合同标的的试运行、验收见《合同专用条款》。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9.2如果合同附件2 所规定的所有技术性能在验收中都已经达到，双方应在验收合格后5 日内签署验收书。</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9.3买方派出1-3名技术人员参加项目实施，卖方应积极配合甲方派出的1-3名技术人员监督管理。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第十条 售后服务和技术培训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10.1售后服务和技术培训见合同附件3。</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卖方替换不符合合同规定的合同标的。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按质量低劣的程度、买方受损害的程度及损失的数额对合同标的进行降价。</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拒收合同标的。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D. 赔偿由卖方违约引起的其他损失。</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卖方在合同规定的交货期限后未能按《合同专用条款》中规定的最终期限交付合同标的和/或技术资料；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合同标的未能达到合同附件2 规定的技术性能；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卖方未能履行合同项下任何其它义务，并且在收到买方违约通知后未能按《合同专用条款》中规定的期限对其违约行为作出补救。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13.3如果买方认定卖方在投标或执行合同中有腐败或欺诈行为,买方有权在任何时候发出书面通知终止合同。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13.4 在买方全部或部分终止合同的情况下，卖方应按《合同专用条款》的规定对买方给予补偿。</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第十五条 适用法律</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15.1 本合同的执行和争议的解决适用中华人民共和国的法律并按中华人民共和国的法律进行解释。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第十六条  权利保证</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第十七条  保密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17.2上述秘密，卖方只能用于本合同，而且只能由卖方相应的人员使用；没有必要接触的卖方人员，不得接触。</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17.3卖方应当采取适当有效的方式保护所获取的上述秘密。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 本合同在合同协议书（合同附件1）规定的条件全部满足后生效。</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18.3 合同双方各自承担与本合同有关的应负税费。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18.4合同双方除非《合同专用条款》另有规定，所有合同文件及相关的修订和合同双方之间的书面联络，应使用中文书就并按中文解释。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18.5对本合同的任何补充、增添或修改以书面方式进行。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18.6没有另一方的事先书面同意，合同任何一方不得将合同项下的任何权利和义务转让给第三方。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18.8合同条款中的标题和边注仅供参考使用，不应视为合同的一部分，也不影响本文的解释。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合同专用条款</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 “买方”为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 “卖方”为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 “工作现场”为</w:t>
      </w:r>
      <w:r>
        <w:rPr>
          <w:rFonts w:hint="eastAsia" w:ascii="宋体" w:hAnsi="宋体" w:cs="宋体"/>
          <w:sz w:val="28"/>
          <w:szCs w:val="28"/>
          <w:highlight w:val="none"/>
          <w:u w:val="single"/>
        </w:rPr>
        <w:t xml:space="preserve">买方指定地点</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1.10 “合同货币”即</w:t>
      </w:r>
      <w:r>
        <w:rPr>
          <w:rFonts w:hint="eastAsia" w:ascii="宋体" w:hAnsi="宋体" w:cs="宋体"/>
          <w:sz w:val="28"/>
          <w:szCs w:val="28"/>
          <w:highlight w:val="none"/>
          <w:u w:val="single"/>
        </w:rPr>
        <w:t xml:space="preserve">人民币</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2.1买方同意从卖方购买、卖方同意向买方出售的合同标的是</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。详见合同附件。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3.1合同总价为￥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numPr>
          <w:ilvl w:val="0"/>
          <w:numId w:val="2"/>
        </w:numPr>
        <w:ind w:firstLine="48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支付</w:t>
      </w:r>
      <w:r/>
    </w:p>
    <w:p>
      <w:pPr>
        <w:ind w:firstLine="482"/>
        <w:spacing w:line="360" w:lineRule="auto"/>
        <w:widowControl w:val="off"/>
        <w:rPr>
          <w:rFonts w:ascii="宋体" w:hAnsi="宋体" w:cs="宋体"/>
          <w:sz w:val="28"/>
          <w:szCs w:val="28"/>
          <w:highlight w:val="none"/>
        </w:rPr>
      </w:pPr>
      <w:r>
        <w:rPr>
          <w:rFonts w:hint="eastAsia" w:ascii="宋体" w:hAnsi="宋体" w:cs="宋体"/>
          <w:b/>
          <w:bCs/>
          <w:color w:val="000000"/>
          <w:sz w:val="28"/>
          <w:szCs w:val="28"/>
          <w:highlight w:val="none"/>
        </w:rPr>
        <w:t xml:space="preserve">本合同总金额为人民币大写金额</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元（小写金额：</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元），经双方协商一致，选择以下第</w:t>
      </w:r>
      <w:r>
        <w:rPr>
          <w:rFonts w:hint="eastAsia" w:ascii="宋体" w:hAnsi="宋体" w:cs="宋体"/>
          <w:b/>
          <w:bCs/>
          <w:color w:val="000000"/>
          <w:sz w:val="28"/>
          <w:szCs w:val="28"/>
          <w:highlight w:val="none"/>
          <w:u w:val="single"/>
        </w:rPr>
        <w:t xml:space="preserve"> </w:t>
      </w:r>
      <w:r>
        <w:rPr>
          <w:rFonts w:hint="eastAsia" w:ascii="宋体" w:hAnsi="宋体" w:cs="宋体"/>
          <w:b/>
          <w:bCs/>
          <w:color w:val="ff0000"/>
          <w:sz w:val="28"/>
          <w:szCs w:val="28"/>
          <w:highlight w:val="none"/>
          <w:u w:val="single"/>
        </w:rPr>
        <w:t xml:space="preserve"> </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种付款方式：</w:t>
      </w:r>
      <w:r/>
    </w:p>
    <w:p>
      <w:pPr>
        <w:ind w:firstLine="484"/>
        <w:spacing w:line="360" w:lineRule="auto"/>
        <w:rPr>
          <w:rFonts w:ascii="宋体" w:hAnsi="宋体" w:cs="宋体"/>
          <w:b/>
          <w:sz w:val="28"/>
          <w:szCs w:val="28"/>
          <w:highlight w:val="none"/>
        </w:rPr>
      </w:pPr>
      <w:r>
        <w:rPr>
          <w:rFonts w:hint="eastAsia" w:ascii="宋体" w:hAnsi="宋体" w:cs="宋体"/>
          <w:b/>
          <w:sz w:val="28"/>
          <w:szCs w:val="28"/>
          <w:highlight w:val="none"/>
        </w:rPr>
        <w:t xml:space="preserve">付款方式一：提交预付款保函的</w:t>
      </w:r>
      <w:r/>
    </w:p>
    <w:p>
      <w:pPr>
        <w:ind w:firstLine="484"/>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w:t>
      </w:r>
      <w:r>
        <w:rPr>
          <w:rFonts w:hint="eastAsia" w:ascii="宋体" w:hAnsi="宋体" w:cs="宋体"/>
          <w:bCs/>
          <w:color w:val="000000"/>
          <w:sz w:val="28"/>
          <w:szCs w:val="28"/>
          <w:highlight w:val="none"/>
          <w:u w:val="single"/>
          <w:lang w:val="en-US" w:eastAsia="zh-CN"/>
        </w:rPr>
        <w:t xml:space="preserve">四</w:t>
      </w:r>
      <w:r>
        <w:rPr>
          <w:rFonts w:hint="eastAsia" w:ascii="宋体" w:hAnsi="宋体" w:cs="宋体"/>
          <w:bCs/>
          <w:color w:val="000000"/>
          <w:sz w:val="28"/>
          <w:szCs w:val="28"/>
          <w:highlight w:val="none"/>
          <w:u w:val="single"/>
        </w:rPr>
        <w:t xml:space="preserve">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lang w:val="en-US" w:eastAsia="zh-CN"/>
        </w:rPr>
        <w:t xml:space="preserve">4</w:t>
      </w:r>
      <w:r>
        <w:rPr>
          <w:rFonts w:hint="eastAsia" w:ascii="宋体" w:hAnsi="宋体" w:cs="宋体"/>
          <w:bCs/>
          <w:color w:val="000000"/>
          <w:sz w:val="28"/>
          <w:szCs w:val="28"/>
          <w:highlight w:val="none"/>
          <w:u w:val="single"/>
        </w:rPr>
        <w:t xml:space="preserve">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w:t>
      </w:r>
      <w:r>
        <w:rPr>
          <w:rFonts w:hint="eastAsia" w:ascii="宋体" w:hAnsi="宋体" w:cs="宋体"/>
          <w:color w:val="000000"/>
          <w:sz w:val="28"/>
          <w:szCs w:val="28"/>
          <w:highlight w:val="none"/>
        </w:rPr>
        <w:t xml:space="preserve">，乙方向甲方出具等额预付款保函后，</w:t>
      </w:r>
      <w:r>
        <w:rPr>
          <w:rFonts w:hint="eastAsia" w:ascii="宋体" w:hAnsi="宋体" w:cs="宋体"/>
          <w:color w:val="000000"/>
          <w:sz w:val="28"/>
          <w:szCs w:val="28"/>
          <w:highlight w:val="none"/>
          <w:lang w:val="en-US" w:eastAsia="zh-CN"/>
        </w:rPr>
        <w:t xml:space="preserve">甲方</w:t>
      </w:r>
      <w:r>
        <w:rPr>
          <w:rFonts w:hint="eastAsia" w:ascii="宋体" w:hAnsi="宋体" w:cs="宋体"/>
          <w:color w:val="000000"/>
          <w:sz w:val="28"/>
          <w:szCs w:val="28"/>
          <w:highlight w:val="none"/>
        </w:rPr>
        <w:t xml:space="preserve">自收到发票（发票金额为合同总价的</w:t>
      </w:r>
      <w:r>
        <w:rPr>
          <w:rFonts w:hint="eastAsia" w:ascii="宋体" w:hAnsi="宋体" w:cs="宋体"/>
          <w:color w:val="000000"/>
          <w:sz w:val="28"/>
          <w:szCs w:val="28"/>
          <w:highlight w:val="none"/>
          <w:u w:val="single"/>
          <w:lang w:val="en-US" w:eastAsia="zh-CN"/>
        </w:rPr>
        <w:t xml:space="preserve">4</w:t>
      </w:r>
      <w:r>
        <w:rPr>
          <w:rFonts w:hint="eastAsia" w:ascii="宋体" w:hAnsi="宋体" w:cs="宋体"/>
          <w:color w:val="000000"/>
          <w:sz w:val="28"/>
          <w:szCs w:val="28"/>
          <w:highlight w:val="none"/>
          <w:u w:val="single"/>
        </w:rPr>
        <w:t xml:space="preserve">0%</w:t>
      </w:r>
      <w:r>
        <w:rPr>
          <w:rFonts w:hint="eastAsia" w:ascii="宋体" w:hAnsi="宋体" w:cs="宋体"/>
          <w:color w:val="000000"/>
          <w:sz w:val="28"/>
          <w:szCs w:val="28"/>
          <w:highlight w:val="none"/>
        </w:rPr>
        <w:t xml:space="preserve">）后15日内，由甲方办理政府采购资金结算手续，经审核后支付给乙方。</w:t>
      </w:r>
      <w:r/>
    </w:p>
    <w:p>
      <w:pPr>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合同总价的百分之</w:t>
      </w: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0%)即￥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，大写：人民币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，合同标的全部交付并安装完毕验收后15</w:t>
      </w:r>
      <w:r>
        <w:rPr>
          <w:rFonts w:hint="eastAsia" w:ascii="宋体" w:hAnsi="宋体" w:cs="宋体"/>
          <w:color w:val="000000"/>
          <w:sz w:val="28"/>
          <w:szCs w:val="28"/>
          <w:highlight w:val="none"/>
          <w:lang w:val="en-US" w:eastAsia="zh-CN"/>
        </w:rPr>
        <w:t xml:space="preserve">日</w:t>
      </w:r>
      <w:r>
        <w:rPr>
          <w:rFonts w:hint="eastAsia" w:ascii="宋体" w:hAnsi="宋体" w:cs="宋体"/>
          <w:color w:val="000000"/>
          <w:sz w:val="28"/>
          <w:szCs w:val="28"/>
          <w:highlight w:val="none"/>
        </w:rPr>
        <w:t xml:space="preserve">内，由甲方办理政府采购资金结算手续，经审核后支付给乙方。</w:t>
      </w:r>
      <w:r/>
    </w:p>
    <w:p>
      <w:pPr>
        <w:ind w:firstLine="484"/>
        <w:spacing w:line="360" w:lineRule="auto"/>
        <w:rPr>
          <w:rFonts w:ascii="宋体" w:hAnsi="宋体" w:cs="宋体"/>
          <w:b/>
          <w:sz w:val="28"/>
          <w:szCs w:val="28"/>
          <w:highlight w:val="none"/>
        </w:rPr>
      </w:pPr>
      <w:r>
        <w:rPr>
          <w:rFonts w:hint="eastAsia" w:ascii="宋体" w:hAnsi="宋体" w:cs="宋体"/>
          <w:color w:val="000000"/>
          <w:sz w:val="28"/>
          <w:szCs w:val="28"/>
          <w:highlight w:val="none"/>
        </w:rPr>
        <w:t xml:space="preserve">注：乙方需提交的支付文件包括：乙方出具的全额正式发票</w:t>
      </w:r>
      <w:r>
        <w:rPr>
          <w:rFonts w:hint="eastAsia" w:ascii="宋体" w:hAnsi="宋体" w:cs="宋体"/>
          <w:color w:val="000000"/>
          <w:sz w:val="28"/>
          <w:szCs w:val="28"/>
          <w:highlight w:val="none"/>
          <w:lang w:eastAsia="zh-CN"/>
        </w:rPr>
        <w:t xml:space="preserve">。</w:t>
      </w:r>
      <w:r>
        <w:rPr>
          <w:rFonts w:hint="eastAsia" w:ascii="宋体" w:hAnsi="宋体" w:cs="宋体"/>
          <w:b/>
          <w:sz w:val="28"/>
          <w:szCs w:val="28"/>
          <w:highlight w:val="none"/>
        </w:rPr>
        <w:t xml:space="preserve">付款方式二：不提交预付款保函的</w:t>
      </w:r>
      <w:r/>
    </w:p>
    <w:p>
      <w:pPr>
        <w:ind w:firstLine="484"/>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百分之三十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30%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甲方</w:t>
      </w:r>
      <w:r>
        <w:rPr>
          <w:rFonts w:hint="eastAsia" w:ascii="宋体" w:hAnsi="宋体" w:cs="宋体"/>
          <w:color w:val="000000"/>
          <w:sz w:val="28"/>
          <w:szCs w:val="28"/>
          <w:highlight w:val="none"/>
        </w:rPr>
        <w:t xml:space="preserve">自收到发票（发票金额为合同总价的</w:t>
      </w:r>
      <w:r>
        <w:rPr>
          <w:rFonts w:hint="eastAsia" w:ascii="宋体" w:hAnsi="宋体" w:cs="宋体"/>
          <w:color w:val="000000"/>
          <w:sz w:val="28"/>
          <w:szCs w:val="28"/>
          <w:highlight w:val="none"/>
          <w:u w:val="single"/>
        </w:rPr>
        <w:t xml:space="preserve">30%</w:t>
      </w:r>
      <w:r>
        <w:rPr>
          <w:rFonts w:hint="eastAsia" w:ascii="宋体" w:hAnsi="宋体" w:cs="宋体"/>
          <w:color w:val="000000"/>
          <w:sz w:val="28"/>
          <w:szCs w:val="28"/>
          <w:highlight w:val="none"/>
        </w:rPr>
        <w:t xml:space="preserve">）后15日内，由甲方办理政府采购资金结算手续，经审核后支付给乙方。</w:t>
      </w:r>
      <w:r/>
    </w:p>
    <w:p>
      <w:pPr>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合同总价的百分之七十(70%)即￥          ，大写：人民币                 ，合同标的全部交付并安装完毕验收后15</w:t>
      </w:r>
      <w:r>
        <w:rPr>
          <w:rFonts w:hint="eastAsia" w:ascii="宋体" w:hAnsi="宋体" w:cs="宋体"/>
          <w:color w:val="000000"/>
          <w:sz w:val="28"/>
          <w:szCs w:val="28"/>
          <w:highlight w:val="none"/>
          <w:lang w:val="en-US" w:eastAsia="zh-CN"/>
        </w:rPr>
        <w:t xml:space="preserve">日</w:t>
      </w:r>
      <w:r>
        <w:rPr>
          <w:rFonts w:hint="eastAsia" w:ascii="宋体" w:hAnsi="宋体" w:cs="宋体"/>
          <w:color w:val="000000"/>
          <w:sz w:val="28"/>
          <w:szCs w:val="28"/>
          <w:highlight w:val="none"/>
        </w:rPr>
        <w:t xml:space="preserve">内，由甲方办理政府采购资金结算手续，经审核后支付给乙方。</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注：</w:t>
      </w:r>
      <w:r/>
    </w:p>
    <w:p>
      <w:pPr>
        <w:ind w:firstLine="480"/>
        <w:spacing w:line="360" w:lineRule="auto"/>
        <w:rPr>
          <w:rFonts w:ascii="宋体" w:hAnsi="宋体" w:cs="宋体"/>
          <w:color w:val="000000"/>
          <w:sz w:val="28"/>
          <w:szCs w:val="28"/>
          <w:highlight w:val="none"/>
        </w:rPr>
      </w:pPr>
      <w:r>
        <w:rPr>
          <w:rFonts w:hint="eastAsia" w:ascii="宋体" w:hAnsi="宋体" w:cs="宋体"/>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乙方需提交的支付文件包括：乙方出具的全额正式发票</w:t>
      </w:r>
      <w:r>
        <w:rPr>
          <w:rFonts w:hint="eastAsia" w:ascii="宋体" w:hAnsi="宋体" w:cs="宋体"/>
          <w:color w:val="000000"/>
          <w:sz w:val="28"/>
          <w:szCs w:val="28"/>
          <w:highlight w:val="none"/>
          <w:lang w:eastAsia="zh-CN"/>
        </w:rPr>
        <w:t xml:space="preserve">。</w:t>
      </w:r>
      <w:r/>
    </w:p>
    <w:p>
      <w:pPr>
        <w:ind w:firstLine="480"/>
        <w:spacing w:line="360" w:lineRule="auto"/>
        <w:tabs>
          <w:tab w:val="left" w:pos="2888" w:leader="none"/>
        </w:tabs>
        <w:rPr>
          <w:rFonts w:ascii="宋体" w:hAnsi="宋体" w:cs="宋体"/>
          <w:sz w:val="28"/>
          <w:szCs w:val="28"/>
          <w:highlight w:val="none"/>
        </w:rPr>
      </w:pPr>
      <w:r>
        <w:rPr>
          <w:rFonts w:hint="eastAsia" w:ascii="宋体" w:hAnsi="宋体" w:cs="宋体"/>
          <w:sz w:val="28"/>
          <w:szCs w:val="28"/>
          <w:highlight w:val="none"/>
        </w:rPr>
        <w:t xml:space="preserve">第五条 交货</w:t>
      </w:r>
      <w:r>
        <w:tab/>
      </w:r>
      <w:r/>
    </w:p>
    <w:p>
      <w:pPr>
        <w:ind w:firstLine="480"/>
        <w:spacing w:line="360" w:lineRule="auto"/>
        <w:rPr>
          <w:rFonts w:ascii="宋体" w:hAnsi="宋体" w:cs="宋体"/>
          <w:b/>
          <w:sz w:val="28"/>
          <w:szCs w:val="28"/>
          <w:highlight w:val="none"/>
        </w:rPr>
      </w:pPr>
      <w:r>
        <w:rPr>
          <w:rFonts w:hint="eastAsia" w:ascii="宋体" w:hAnsi="宋体" w:cs="宋体"/>
          <w:sz w:val="28"/>
          <w:szCs w:val="28"/>
          <w:highlight w:val="none"/>
        </w:rPr>
        <w:t xml:space="preserve">5.1卖方应于合同生效后，</w:t>
      </w:r>
      <w:r>
        <w:rPr>
          <w:rFonts w:hint="eastAsia" w:ascii="宋体" w:hAnsi="宋体" w:cs="宋体"/>
          <w:sz w:val="28"/>
          <w:szCs w:val="28"/>
          <w:highlight w:val="none"/>
          <w:u w:val="single"/>
        </w:rPr>
        <w:t xml:space="preserve"> 20</w:t>
      </w:r>
      <w:r>
        <w:rPr>
          <w:rFonts w:hint="eastAsia" w:ascii="宋体" w:hAnsi="宋体" w:cs="宋体"/>
          <w:sz w:val="28"/>
          <w:szCs w:val="28"/>
          <w:highlight w:val="none"/>
        </w:rPr>
        <w:t xml:space="preserve"> 日内交货并安装调试并装完毕。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5.2 交货地点为</w:t>
      </w:r>
      <w:r>
        <w:rPr>
          <w:rFonts w:hint="eastAsia" w:ascii="宋体" w:hAnsi="宋体" w:cs="宋体"/>
          <w:sz w:val="28"/>
          <w:szCs w:val="28"/>
          <w:highlight w:val="none"/>
          <w:u w:val="single"/>
        </w:rPr>
        <w:t xml:space="preserve">买方指定地点</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5.3卖方应在不迟于每批合同标的备妥待运前</w:t>
      </w:r>
      <w:r>
        <w:rPr>
          <w:rFonts w:hint="eastAsia" w:ascii="宋体" w:hAnsi="宋体" w:cs="宋体"/>
          <w:sz w:val="28"/>
          <w:szCs w:val="28"/>
          <w:highlight w:val="none"/>
          <w:u w:val="single"/>
        </w:rPr>
        <w:t xml:space="preserve"> 5 </w:t>
      </w:r>
      <w:r>
        <w:rPr>
          <w:rFonts w:hint="eastAsia" w:ascii="宋体" w:hAnsi="宋体" w:cs="宋体"/>
          <w:sz w:val="28"/>
          <w:szCs w:val="28"/>
          <w:highlight w:val="none"/>
        </w:rPr>
        <w:t xml:space="preserve">日通知买方。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5.5如果卖方未能按照合同规定的交货期限交货，卖方应按每天迟交合同标的金额的百分之</w:t>
      </w:r>
      <w:r>
        <w:rPr>
          <w:rFonts w:hint="eastAsia" w:ascii="宋体" w:hAnsi="宋体" w:cs="宋体"/>
          <w:sz w:val="28"/>
          <w:szCs w:val="28"/>
          <w:highlight w:val="none"/>
          <w:u w:val="single"/>
        </w:rPr>
        <w:t xml:space="preserve">一</w:t>
      </w:r>
      <w:r>
        <w:rPr>
          <w:rFonts w:hint="eastAsia" w:ascii="宋体" w:hAnsi="宋体" w:cs="宋体"/>
          <w:sz w:val="28"/>
          <w:szCs w:val="28"/>
          <w:highlight w:val="none"/>
        </w:rPr>
        <w:t xml:space="preserve"> (</w:t>
      </w:r>
      <w:r>
        <w:rPr>
          <w:rFonts w:hint="eastAsia" w:ascii="宋体" w:hAnsi="宋体" w:cs="宋体"/>
          <w:sz w:val="28"/>
          <w:szCs w:val="28"/>
          <w:highlight w:val="none"/>
          <w:u w:val="single"/>
        </w:rPr>
        <w:t xml:space="preserve">1</w:t>
      </w:r>
      <w:r>
        <w:rPr>
          <w:rFonts w:hint="eastAsia" w:ascii="宋体" w:hAnsi="宋体" w:cs="宋体"/>
          <w:sz w:val="28"/>
          <w:szCs w:val="28"/>
          <w:highlight w:val="none"/>
        </w:rPr>
        <w:t xml:space="preserve">%)的比率支付违约金。违约金的总金额不超过合同总价的百分之</w:t>
      </w:r>
      <w:r>
        <w:rPr>
          <w:rFonts w:hint="eastAsia" w:ascii="宋体" w:hAnsi="宋体" w:cs="宋体"/>
          <w:sz w:val="28"/>
          <w:szCs w:val="28"/>
          <w:highlight w:val="none"/>
          <w:u w:val="single"/>
        </w:rPr>
        <w:t xml:space="preserve">十</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10</w:t>
      </w:r>
      <w:r>
        <w:rPr>
          <w:rFonts w:hint="eastAsia" w:ascii="宋体" w:hAnsi="宋体" w:cs="宋体"/>
          <w:sz w:val="28"/>
          <w:szCs w:val="28"/>
          <w:highlight w:val="none"/>
        </w:rPr>
        <w:t xml:space="preserve">%) ，违约金的支付不能免除卖方继续交付相关合同标的的义务。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如果卖方在合同规定的交货期限后</w:t>
      </w:r>
      <w:r>
        <w:rPr>
          <w:rFonts w:hint="eastAsia" w:ascii="宋体" w:hAnsi="宋体" w:cs="宋体"/>
          <w:sz w:val="28"/>
          <w:szCs w:val="28"/>
          <w:highlight w:val="none"/>
          <w:u w:val="single"/>
        </w:rPr>
        <w:t xml:space="preserve">十</w:t>
      </w:r>
      <w:r>
        <w:rPr>
          <w:rFonts w:hint="eastAsia" w:ascii="宋体" w:hAnsi="宋体" w:cs="宋体"/>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7.1 技术资料随合同标的同时交付给买方。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8.1卖方应于合同生效日后，</w:t>
      </w:r>
      <w:r>
        <w:rPr>
          <w:rFonts w:hint="eastAsia" w:ascii="宋体" w:hAnsi="宋体" w:cs="宋体"/>
          <w:sz w:val="28"/>
          <w:szCs w:val="28"/>
          <w:highlight w:val="none"/>
          <w:u w:val="single"/>
        </w:rPr>
        <w:t xml:space="preserve">20 </w:t>
      </w:r>
      <w:r>
        <w:rPr>
          <w:rFonts w:hint="eastAsia" w:ascii="宋体" w:hAnsi="宋体" w:cs="宋体"/>
          <w:sz w:val="28"/>
          <w:szCs w:val="28"/>
          <w:highlight w:val="none"/>
        </w:rPr>
        <w:t xml:space="preserve">日内交货并安装调试并装完毕。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9.1签订合同后，所有标的出厂需经买方验收后方可发货。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9.2合同标的的试运行、验收应在卖方的协助下进行。合同标的全部交付并安装完毕后，卖方可向买方书面提出试运行、验收要求，买方在接到书面要求后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9.3乙方应当在评审结果公示日起三日内向甲方交纳招标项目履约保证金，具体金额为中标价的5%，履约保证金自竣工验收合格之日起至中标人提供质保期满并通过甲方组织验收无质量问题后，一次性退还履约保证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11.1买方有权选择本条款规定的任意或全部救济方式。</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12.3如果不可抗力事件的影响持续超过20日，合同任何一方均有权发出书面通知终止合同。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13.1如果卖方有下述违约行为，买方可以全部或部分地终止合同：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卖方在合同规定的交货期限后</w:t>
      </w:r>
      <w:r>
        <w:rPr>
          <w:rFonts w:hint="eastAsia" w:ascii="宋体" w:hAnsi="宋体" w:cs="宋体"/>
          <w:sz w:val="28"/>
          <w:szCs w:val="28"/>
          <w:highlight w:val="none"/>
          <w:u w:val="single"/>
        </w:rPr>
        <w:t xml:space="preserve">10</w:t>
      </w:r>
      <w:r>
        <w:rPr>
          <w:rFonts w:hint="eastAsia" w:ascii="宋体" w:hAnsi="宋体" w:cs="宋体"/>
          <w:sz w:val="28"/>
          <w:szCs w:val="28"/>
          <w:highlight w:val="none"/>
        </w:rPr>
        <w:t xml:space="preserve">日内仍未能交付合同标的和/ 或技术资料；或者卖方未能履行合同项下任何其它义务，并且在收到买方违约通知后</w:t>
      </w:r>
      <w:r>
        <w:rPr>
          <w:rFonts w:hint="eastAsia" w:ascii="宋体" w:hAnsi="宋体" w:cs="宋体"/>
          <w:sz w:val="28"/>
          <w:szCs w:val="28"/>
          <w:highlight w:val="none"/>
          <w:u w:val="single"/>
        </w:rPr>
        <w:t xml:space="preserve">5</w:t>
      </w:r>
      <w:r>
        <w:rPr>
          <w:rFonts w:hint="eastAsia" w:ascii="宋体" w:hAnsi="宋体" w:cs="宋体"/>
          <w:sz w:val="28"/>
          <w:szCs w:val="28"/>
          <w:highlight w:val="none"/>
        </w:rPr>
        <w:t xml:space="preserve">日内仍未能对其违约行为作出补救。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14.1如果不能协商一致，合同任何一方有权向买方所在地人民法院提起诉讼。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部分涉及国家秘密，该涉及国家秘密部分不公告；买方依据《反不正当竞争法》等法律制度的规定与卖方约定本合同</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部分涉及商业秘密，该涉及商业秘密部分不公告。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18.11 合同双方的通讯地址：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邮编: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电话: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传真: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卖方: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邮编: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电话: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传真: </w:t>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合同附件</w:t>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目录</w:t>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合同附件1：合同协议书</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合同附件2：技术规格和技术性能</w:t>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(要求见招标文件《采购需求》；</w:t>
      </w:r>
      <w:r>
        <w:rPr>
          <w:rFonts w:hint="eastAsia" w:ascii="宋体" w:hAnsi="宋体" w:eastAsia="宋体" w:cs="宋体"/>
          <w:b/>
          <w:bCs/>
          <w:color w:val="000000"/>
          <w:sz w:val="24"/>
          <w:szCs w:val="20"/>
          <w:highlight w:val="none"/>
        </w:rPr>
        <w:t xml:space="preserve">合同见卖方投标文件中《技术规格说明》。)</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合同附件3：售后服务</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合同附件4：供货范围和价格清单</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合同附件5：验收标准（验收要求、验收标准和程序）</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合同附件6：采购需求</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jc w:val="left"/>
        <w:spacing w:line="360" w:lineRule="auto"/>
        <w:widowControl/>
        <w:rPr>
          <w:rFonts w:hint="default" w:ascii="宋体" w:hAnsi="宋体" w:eastAsia="宋体" w:cs="宋体"/>
          <w:b/>
          <w:bCs/>
          <w:color w:val="000000"/>
          <w:sz w:val="24"/>
          <w:szCs w:val="20"/>
          <w:highlight w:val="none"/>
        </w:rPr>
      </w:pPr>
      <w:r>
        <w:rPr>
          <w:rFonts w:hint="eastAsia" w:ascii="宋体" w:hAnsi="宋体" w:cs="宋体"/>
          <w:sz w:val="28"/>
          <w:szCs w:val="28"/>
          <w:highlight w:val="none"/>
        </w:rPr>
        <w:br w:type="page" w:clear="all"/>
      </w:r>
      <w:r>
        <w:rPr>
          <w:rFonts w:hint="eastAsia" w:ascii="宋体" w:hAnsi="宋体" w:eastAsia="宋体" w:cs="宋体"/>
          <w:b/>
          <w:bCs/>
          <w:color w:val="000000"/>
          <w:sz w:val="24"/>
          <w:szCs w:val="20"/>
          <w:highlight w:val="none"/>
        </w:rPr>
        <w:t xml:space="preserve">合同附件1：</w:t>
      </w:r>
      <w:r/>
    </w:p>
    <w:p>
      <w:pPr>
        <w:jc w:val="center"/>
        <w:widowControl/>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合同编号:____________ </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签字日期:____________ </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签字地点:____________ </w:t>
      </w:r>
      <w:r/>
    </w:p>
    <w:p>
      <w:pPr>
        <w:ind w:firstLine="410"/>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ind w:firstLine="359"/>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（买方名称）（以下简称“买方”）已接受</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（卖方名称）（以下简称“卖方”）对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（项目名称）（项目编号：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）的投标。买方和卖方共同达成如下协议。</w:t>
      </w:r>
      <w:r/>
    </w:p>
    <w:p>
      <w:pPr>
        <w:numPr>
          <w:ilvl w:val="0"/>
          <w:numId w:val="3"/>
        </w:num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本合同协议书中的词语和术语的含义与合同条款中定义的相同。</w:t>
      </w:r>
      <w:r/>
    </w:p>
    <w:p>
      <w:p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以下文件应构成买方和卖方之间达成的合同，若各文件之间存在含糊不清或互相冲突之处，优先顺序应按下列文件顺序解释。</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合同协议书</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中标（成交）通知书</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合同专用条款</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合同通用条款</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除合同附件1外的合同附件</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 其他文件</w:t>
      </w:r>
      <w:r/>
    </w:p>
    <w:p>
      <w:pPr>
        <w:ind w:firstLine="54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考虑到买方将按照本合同向卖方支付合同价款，卖方在此保证全部按照合同的规定向买方提供合同标的、技术资料、售后服务及技术培训。</w:t>
      </w:r>
      <w:r/>
    </w:p>
    <w:p>
      <w:pPr>
        <w:ind w:firstLine="54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考虑到卖方将按合同规定提供合同标的、技术资料、售后服务及技术培训，买方在此保证按照合同规定的时间和方式向卖方支付合同价款。</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本合同在下列条件全部满足后生效，生效日期以下列条件全部满足的最晚日期为准： </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（1）双方加盖公章或合同专用章； </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 合同一式</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份，具有同等法律效力，买方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份，卖方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本合同其他未尽事宜及与招标文件有矛盾之处，以招标文件[项目编号：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]为准。</w:t>
      </w:r>
      <w:r/>
    </w:p>
    <w:p>
      <w:p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买方和卖方由其正式授权代表于上述所写日期和地点签订本合同。</w:t>
      </w:r>
      <w:r/>
    </w:p>
    <w:p>
      <w:pPr>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买方（签章）：____________________________________  </w:t>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法定代表人或授权代表(签名)： ____________________ </w:t>
      </w:r>
      <w:r/>
    </w:p>
    <w:p>
      <w:pPr>
        <w:ind w:firstLine="3360"/>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卖方（签章）： ____________________________________ </w:t>
      </w:r>
      <w:r/>
    </w:p>
    <w:p>
      <w:pPr>
        <w:ind w:firstLine="480"/>
        <w:jc w:val="left"/>
        <w:spacing w:line="360" w:lineRule="auto"/>
        <w:rPr>
          <w:rFonts w:hint="eastAsia" w:ascii="宋体" w:hAnsi="宋体" w:cs="宋体"/>
          <w:b/>
          <w:color w:val="auto"/>
          <w:sz w:val="32"/>
          <w:szCs w:val="32"/>
          <w:highlight w:val="none"/>
        </w:rPr>
      </w:pPr>
      <w:r>
        <w:rPr>
          <w:rFonts w:hint="eastAsia" w:ascii="宋体" w:hAnsi="宋体" w:eastAsia="宋体" w:cs="宋体"/>
          <w:color w:val="000000"/>
          <w:sz w:val="28"/>
          <w:szCs w:val="28"/>
          <w:highlight w:val="none"/>
        </w:rPr>
        <w:t xml:space="preserve">法定代表人或授权代表(签名)： ____________________ </w:t>
      </w:r>
      <w:r>
        <w:rPr>
          <w:rFonts w:hint="eastAsia" w:ascii="宋体" w:hAnsi="宋体" w:cs="宋体"/>
          <w:b/>
          <w:color w:val="auto"/>
          <w:sz w:val="32"/>
          <w:szCs w:val="32"/>
          <w:highlight w:val="none"/>
        </w:rPr>
        <w:br w:type="page" w:clear="all"/>
      </w:r>
      <w:r/>
    </w:p>
    <w:p>
      <w:pPr>
        <w:jc w:val="center"/>
        <w:spacing w:line="400" w:lineRule="exact"/>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第六章 采购需求</w:t>
      </w:r>
      <w:bookmarkStart w:id="1" w:name="_Toc324452802"/>
      <w:r/>
      <w:bookmarkEnd w:id="1"/>
      <w:r/>
      <w:bookmarkStart w:id="2" w:name="_Toc322457054"/>
      <w:r/>
      <w:bookmarkEnd w:id="2"/>
      <w:r/>
      <w:r/>
    </w:p>
    <w:p>
      <w:pPr>
        <w:spacing w:line="400" w:lineRule="exact"/>
        <w:rPr>
          <w:rStyle w:val="1098"/>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spacing w:line="360" w:lineRule="auto"/>
        <w:rPr>
          <w:rStyle w:val="1098"/>
          <w:rFonts w:hint="eastAsia" w:ascii="宋体" w:hAnsi="宋体" w:eastAsia="宋体" w:cs="宋体"/>
          <w:b/>
          <w:bCs/>
          <w:szCs w:val="28"/>
          <w:highlight w:val="none"/>
        </w:rPr>
      </w:pPr>
      <w:r>
        <w:rPr>
          <w:rStyle w:val="1098"/>
          <w:rFonts w:hint="eastAsia" w:ascii="宋体" w:hAnsi="宋体" w:eastAsia="宋体" w:cs="宋体"/>
          <w:b/>
          <w:bCs/>
          <w:szCs w:val="28"/>
          <w:highlight w:val="none"/>
        </w:rPr>
        <w:t xml:space="preserve">一、本项目</w:t>
      </w:r>
      <w:r>
        <w:rPr>
          <w:rStyle w:val="1098"/>
          <w:rFonts w:hint="eastAsia" w:ascii="宋体" w:hAnsi="宋体" w:cs="宋体"/>
          <w:b/>
          <w:bCs/>
          <w:szCs w:val="28"/>
          <w:highlight w:val="none"/>
          <w:lang w:val="en-US"/>
        </w:rPr>
        <w:t xml:space="preserve">不</w:t>
      </w:r>
      <w:r>
        <w:rPr>
          <w:rStyle w:val="1098"/>
          <w:rFonts w:hint="eastAsia" w:ascii="宋体" w:hAnsi="宋体" w:eastAsia="宋体" w:cs="宋体"/>
          <w:b/>
          <w:bCs/>
          <w:szCs w:val="28"/>
          <w:highlight w:val="none"/>
        </w:rPr>
        <w:t xml:space="preserve">属于专门面向中小微企业采购的项目。</w:t>
      </w:r>
      <w:r/>
    </w:p>
    <w:p>
      <w:pPr>
        <w:spacing w:line="360" w:lineRule="auto"/>
        <w:rPr>
          <w:rStyle w:val="1139"/>
          <w:rFonts w:hint="eastAsia" w:ascii="宋体" w:hAnsi="宋体" w:eastAsia="宋体" w:cs="宋体"/>
          <w:b/>
          <w:bCs/>
          <w:color w:val="auto"/>
          <w:sz w:val="28"/>
          <w:szCs w:val="28"/>
          <w:highlight w:val="none"/>
        </w:rPr>
      </w:pPr>
      <w:r>
        <w:rPr>
          <w:rStyle w:val="1098"/>
          <w:rFonts w:hint="eastAsia" w:ascii="宋体" w:hAnsi="宋体" w:eastAsia="宋体" w:cs="宋体"/>
          <w:b/>
          <w:bCs/>
          <w:szCs w:val="28"/>
          <w:highlight w:val="none"/>
        </w:rPr>
        <w:t xml:space="preserve">二、</w:t>
      </w:r>
      <w:r>
        <w:rPr>
          <w:rStyle w:val="1139"/>
          <w:rFonts w:hint="eastAsia" w:ascii="宋体" w:hAnsi="宋体" w:eastAsia="宋体" w:cs="宋体"/>
          <w:b/>
          <w:bCs/>
          <w:color w:val="auto"/>
          <w:sz w:val="28"/>
          <w:szCs w:val="28"/>
          <w:highlight w:val="none"/>
        </w:rPr>
        <w:t xml:space="preserve">本项目涉及产品采购的均为非进口产品，</w:t>
      </w:r>
      <w:r>
        <w:rPr>
          <w:rStyle w:val="1139"/>
          <w:rFonts w:hint="eastAsia" w:ascii="宋体" w:hAnsi="宋体" w:eastAsia="宋体" w:cs="宋体"/>
          <w:b/>
          <w:bCs/>
          <w:color w:val="auto"/>
          <w:sz w:val="28"/>
          <w:szCs w:val="28"/>
          <w:highlight w:val="none"/>
          <w:lang w:val="en-US"/>
        </w:rPr>
        <w:t xml:space="preserve">且</w:t>
      </w:r>
      <w:r>
        <w:rPr>
          <w:rStyle w:val="1139"/>
          <w:rFonts w:hint="eastAsia" w:ascii="宋体" w:hAnsi="宋体" w:eastAsia="宋体" w:cs="宋体"/>
          <w:b/>
          <w:bCs/>
          <w:color w:val="auto"/>
          <w:sz w:val="28"/>
          <w:szCs w:val="28"/>
          <w:highlight w:val="none"/>
        </w:rPr>
        <w:t xml:space="preserve">本项目不接受超过</w:t>
      </w:r>
      <w:r>
        <w:rPr>
          <w:rStyle w:val="1139"/>
          <w:rFonts w:hint="eastAsia" w:ascii="宋体" w:hAnsi="宋体" w:cs="宋体"/>
          <w:b/>
          <w:bCs/>
          <w:color w:val="auto"/>
          <w:sz w:val="28"/>
          <w:szCs w:val="28"/>
          <w:highlight w:val="none"/>
          <w:u w:val="single"/>
          <w:lang w:val="en-US"/>
        </w:rPr>
        <w:t xml:space="preserve">170</w:t>
      </w:r>
      <w:r>
        <w:rPr>
          <w:rStyle w:val="1139"/>
          <w:rFonts w:hint="eastAsia" w:ascii="宋体" w:hAnsi="宋体" w:eastAsia="宋体" w:cs="宋体"/>
          <w:b/>
          <w:bCs/>
          <w:color w:val="auto"/>
          <w:sz w:val="28"/>
          <w:szCs w:val="28"/>
          <w:highlight w:val="none"/>
          <w:u w:val="single"/>
          <w:lang w:val="en-US"/>
        </w:rPr>
        <w:t xml:space="preserve">.00</w:t>
      </w:r>
      <w:r>
        <w:rPr>
          <w:rStyle w:val="1139"/>
          <w:rFonts w:hint="eastAsia" w:ascii="宋体" w:hAnsi="宋体" w:eastAsia="宋体" w:cs="宋体"/>
          <w:b/>
          <w:bCs/>
          <w:color w:val="auto"/>
          <w:sz w:val="28"/>
          <w:szCs w:val="28"/>
          <w:highlight w:val="none"/>
        </w:rPr>
        <w:t xml:space="preserve">万元人民币（采购项目预算金额）的投标报价。</w:t>
      </w:r>
      <w:r/>
    </w:p>
    <w:p>
      <w:pPr>
        <w:numPr>
          <w:ilvl w:val="0"/>
          <w:numId w:val="0"/>
        </w:numPr>
        <w:ind w:firstLine="560"/>
        <w:spacing w:line="360" w:lineRule="auto"/>
        <w:rPr>
          <w:rFonts w:hint="eastAsia" w:ascii="宋体" w:hAnsi="宋体" w:eastAsia="宋体" w:cs="宋体"/>
          <w:b/>
          <w:bCs/>
          <w:sz w:val="28"/>
          <w:szCs w:val="28"/>
          <w:highlight w:val="none"/>
          <w:lang w:eastAsia="zh-CN"/>
        </w:rPr>
      </w:pPr>
      <w:r>
        <w:rPr>
          <w:rFonts w:hint="eastAsia" w:ascii="宋体" w:hAnsi="宋体" w:cs="宋体"/>
          <w:b w:val="0"/>
          <w:bCs w:val="0"/>
          <w:color w:val="auto"/>
          <w:sz w:val="28"/>
          <w:szCs w:val="28"/>
          <w:highlight w:val="none"/>
        </w:rPr>
        <w:t xml:space="preserve">投标报价包括但不限于全套设备、软件、材料、选配件和专用工具费用、</w:t>
      </w:r>
      <w:r>
        <w:rPr>
          <w:rFonts w:hint="eastAsia" w:ascii="宋体" w:hAnsi="宋体" w:cs="宋体"/>
          <w:b w:val="0"/>
          <w:bCs w:val="0"/>
          <w:color w:val="auto"/>
          <w:sz w:val="28"/>
          <w:szCs w:val="28"/>
          <w:highlight w:val="none"/>
          <w:lang w:val="en-US" w:eastAsia="zh-CN"/>
        </w:rPr>
        <w:t xml:space="preserve">代理服务费、</w:t>
      </w:r>
      <w:r>
        <w:rPr>
          <w:rFonts w:hint="eastAsia" w:ascii="宋体" w:hAnsi="宋体" w:cs="宋体"/>
          <w:b w:val="0"/>
          <w:bCs w:val="0"/>
          <w:color w:val="auto"/>
          <w:sz w:val="28"/>
          <w:szCs w:val="28"/>
          <w:highlight w:val="none"/>
        </w:rPr>
        <w:t xml:space="preserve">税费及包装、运至最终目的地的运输、保险、安装、技术支持与培训、专线接入、售后服务及相关劳务支出等工作所发生的全部费用以及投标人企业利润、税金和政策性文件规定及合同包含的所有风险、责任等各项应有费用。</w:t>
      </w:r>
      <w:r>
        <w:rPr>
          <w:rStyle w:val="1139"/>
          <w:rFonts w:hint="eastAsia" w:ascii="宋体" w:hAnsi="宋体" w:eastAsia="宋体" w:cs="宋体"/>
          <w:b w:val="0"/>
          <w:bCs w:val="0"/>
          <w:color w:val="auto"/>
          <w:sz w:val="28"/>
          <w:szCs w:val="28"/>
          <w:highlight w:val="none"/>
        </w:rPr>
        <w:t xml:space="preserve">采购人不再另行支付投标报价以外的任何费用。</w:t>
      </w:r>
      <w:r/>
    </w:p>
    <w:p>
      <w:pPr>
        <w:numPr>
          <w:ilvl w:val="0"/>
          <w:numId w:val="0"/>
        </w:numPr>
        <w:jc w:val="both"/>
        <w:spacing w:line="360" w:lineRule="auto"/>
        <w:rPr>
          <w:rStyle w:val="1139"/>
          <w:rFonts w:hint="eastAsia" w:ascii="宋体" w:hAnsi="宋体" w:eastAsia="宋体" w:cs="宋体"/>
          <w:b/>
          <w:bCs/>
          <w:color w:val="auto"/>
          <w:sz w:val="28"/>
          <w:szCs w:val="28"/>
          <w:highlight w:val="none"/>
        </w:rPr>
      </w:pPr>
      <w:r>
        <w:rPr>
          <w:rFonts w:hint="eastAsia" w:ascii="宋体" w:hAnsi="宋体" w:cs="宋体"/>
          <w:b/>
          <w:sz w:val="28"/>
          <w:szCs w:val="28"/>
          <w:highlight w:val="none"/>
          <w:lang w:val="en-US" w:eastAsia="zh-CN"/>
        </w:rPr>
        <w:t xml:space="preserve">三</w:t>
      </w:r>
      <w:r>
        <w:rPr>
          <w:rFonts w:hint="eastAsia" w:ascii="宋体" w:hAnsi="宋体" w:cs="宋体"/>
          <w:b/>
          <w:sz w:val="28"/>
          <w:szCs w:val="28"/>
          <w:highlight w:val="none"/>
        </w:rPr>
        <w:t xml:space="preserve">、</w:t>
      </w:r>
      <w:r>
        <w:rPr>
          <w:rStyle w:val="1139"/>
          <w:rFonts w:hint="eastAsia" w:ascii="宋体" w:hAnsi="宋体" w:eastAsia="宋体" w:cs="宋体"/>
          <w:b/>
          <w:bCs/>
          <w:color w:val="auto"/>
          <w:sz w:val="28"/>
          <w:szCs w:val="28"/>
          <w:highlight w:val="none"/>
        </w:rPr>
        <w:t xml:space="preserve">项目说明：</w:t>
      </w:r>
      <w:r/>
    </w:p>
    <w:p>
      <w:pPr>
        <w:numPr>
          <w:ilvl w:val="0"/>
          <w:numId w:val="0"/>
        </w:numPr>
        <w:jc w:val="both"/>
        <w:spacing w:line="360" w:lineRule="auto"/>
        <w:rPr>
          <w:rStyle w:val="1139"/>
          <w:rFonts w:hint="eastAsia" w:ascii="宋体" w:hAnsi="宋体" w:eastAsia="宋体" w:cs="宋体"/>
          <w:b w:val="0"/>
          <w:bCs w:val="0"/>
          <w:color w:val="auto"/>
          <w:sz w:val="28"/>
          <w:szCs w:val="28"/>
          <w:highlight w:val="none"/>
          <w:lang w:val="en-US"/>
        </w:rPr>
      </w:pPr>
      <w:r>
        <w:rPr>
          <w:rStyle w:val="1139"/>
          <w:rFonts w:hint="eastAsia" w:ascii="宋体" w:hAnsi="宋体" w:eastAsia="宋体" w:cs="宋体"/>
          <w:b w:val="0"/>
          <w:bCs w:val="0"/>
          <w:color w:val="auto"/>
          <w:sz w:val="28"/>
          <w:szCs w:val="28"/>
          <w:highlight w:val="none"/>
          <w:lang w:val="en-US"/>
        </w:rPr>
        <w:t xml:space="preserve">1、项目内容：</w:t>
      </w:r>
      <w:r>
        <w:rPr>
          <w:rStyle w:val="1139"/>
          <w:rFonts w:hint="eastAsia" w:ascii="宋体" w:hAnsi="宋体" w:eastAsia="宋体" w:cs="宋体"/>
          <w:b w:val="0"/>
          <w:bCs w:val="0"/>
          <w:color w:val="auto"/>
          <w:sz w:val="28"/>
          <w:szCs w:val="28"/>
          <w:highlight w:val="none"/>
          <w:lang w:val="en-US" w:eastAsia="zh-CN"/>
        </w:rPr>
        <w:t xml:space="preserve">机械工程系新能源汽车检测与维修专业实训设备</w:t>
      </w:r>
      <w:r>
        <w:rPr>
          <w:rStyle w:val="1139"/>
          <w:rFonts w:hint="eastAsia" w:ascii="宋体" w:hAnsi="宋体" w:cs="宋体"/>
          <w:b w:val="0"/>
          <w:bCs w:val="0"/>
          <w:color w:val="auto"/>
          <w:sz w:val="28"/>
          <w:szCs w:val="28"/>
          <w:highlight w:val="none"/>
          <w:lang w:val="en-US" w:eastAsia="zh-CN"/>
        </w:rPr>
        <w:t xml:space="preserve">，包括</w:t>
      </w:r>
      <w:r>
        <w:rPr>
          <w:rFonts w:hint="eastAsia" w:ascii="宋体" w:hAnsi="宋体" w:eastAsia="宋体" w:cs="宋体"/>
          <w:b w:val="0"/>
          <w:bCs w:val="0"/>
          <w:i w:val="0"/>
          <w:iCs w:val="0"/>
          <w:color w:val="000000"/>
          <w:spacing w:val="0"/>
          <w:sz w:val="28"/>
          <w:szCs w:val="28"/>
          <w:highlight w:val="none"/>
          <w:vertAlign w:val="baseline"/>
        </w:rPr>
        <w:t xml:space="preserve">动力电池装配与测试工作站</w:t>
      </w:r>
      <w:r>
        <w:rPr>
          <w:rFonts w:hint="eastAsia" w:ascii="宋体" w:hAnsi="宋体" w:eastAsia="宋体"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t xml:space="preserve">充电系统工作站</w:t>
      </w:r>
      <w:r>
        <w:rPr>
          <w:rFonts w:hint="eastAsia" w:ascii="宋体" w:hAnsi="宋体" w:eastAsia="宋体"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t xml:space="preserve">整车工作站</w:t>
      </w:r>
      <w:r>
        <w:rPr>
          <w:rFonts w:hint="eastAsia" w:ascii="宋体" w:hAnsi="宋体" w:eastAsia="宋体" w:cs="宋体"/>
          <w:b w:val="0"/>
          <w:bCs w:val="0"/>
          <w:i w:val="0"/>
          <w:iCs w:val="0"/>
          <w:color w:val="000000"/>
          <w:spacing w:val="0"/>
          <w:sz w:val="28"/>
          <w:szCs w:val="28"/>
          <w:highlight w:val="none"/>
          <w:vertAlign w:val="baseline"/>
          <w:lang w:val="en-US" w:eastAsia="zh-CN"/>
        </w:rPr>
        <w:t xml:space="preserve">等</w:t>
      </w:r>
      <w:r>
        <w:rPr>
          <w:rStyle w:val="1139"/>
          <w:rFonts w:hint="eastAsia" w:ascii="宋体" w:hAnsi="宋体" w:eastAsia="宋体" w:cs="宋体"/>
          <w:b w:val="0"/>
          <w:bCs w:val="0"/>
          <w:color w:val="auto"/>
          <w:sz w:val="28"/>
          <w:szCs w:val="28"/>
          <w:highlight w:val="none"/>
          <w:lang w:val="en-US"/>
        </w:rPr>
        <w:t xml:space="preserve">。</w:t>
      </w:r>
      <w:r/>
    </w:p>
    <w:p>
      <w:pPr>
        <w:numPr>
          <w:ilvl w:val="0"/>
          <w:numId w:val="0"/>
        </w:numPr>
        <w:jc w:val="both"/>
        <w:spacing w:line="360" w:lineRule="auto"/>
        <w:rPr>
          <w:rStyle w:val="1139"/>
          <w:rFonts w:hint="eastAsia" w:ascii="宋体" w:hAnsi="宋体" w:cs="宋体"/>
          <w:b w:val="0"/>
          <w:bCs w:val="0"/>
          <w:color w:val="auto"/>
          <w:sz w:val="28"/>
          <w:szCs w:val="28"/>
          <w:highlight w:val="none"/>
          <w:lang w:val="en-US"/>
        </w:rPr>
      </w:pPr>
      <w:r>
        <w:rPr>
          <w:rStyle w:val="1139"/>
          <w:rFonts w:hint="eastAsia" w:ascii="宋体" w:hAnsi="宋体" w:eastAsia="宋体" w:cs="宋体"/>
          <w:b w:val="0"/>
          <w:bCs w:val="0"/>
          <w:color w:val="auto"/>
          <w:sz w:val="28"/>
          <w:szCs w:val="28"/>
          <w:highlight w:val="none"/>
          <w:lang w:val="en-US"/>
        </w:rPr>
        <w:t xml:space="preserve">2、交货及安装期限：自合同签订后 20日历天内供货安装调试完毕</w:t>
      </w:r>
      <w:r>
        <w:rPr>
          <w:rStyle w:val="1139"/>
          <w:rFonts w:hint="eastAsia" w:ascii="宋体" w:hAnsi="宋体" w:cs="宋体"/>
          <w:b w:val="0"/>
          <w:bCs w:val="0"/>
          <w:color w:val="auto"/>
          <w:sz w:val="28"/>
          <w:szCs w:val="28"/>
          <w:highlight w:val="none"/>
          <w:lang w:val="en-US"/>
        </w:rPr>
        <w:t xml:space="preserve">。</w:t>
      </w:r>
      <w:r/>
    </w:p>
    <w:p>
      <w:pPr>
        <w:pStyle w:val="861"/>
        <w:rPr>
          <w:rStyle w:val="1139"/>
          <w:rFonts w:hint="eastAsia" w:ascii="宋体" w:hAnsi="宋体" w:cs="宋体"/>
          <w:b w:val="0"/>
          <w:bCs w:val="0"/>
          <w:color w:val="auto"/>
          <w:sz w:val="28"/>
          <w:szCs w:val="28"/>
          <w:highlight w:val="none"/>
          <w:lang w:val="en-US"/>
        </w:rPr>
      </w:pPr>
      <w:r>
        <w:rPr>
          <w:rStyle w:val="1139"/>
          <w:rFonts w:hint="eastAsia" w:ascii="宋体" w:hAnsi="宋体" w:cs="宋体"/>
          <w:b w:val="0"/>
          <w:bCs w:val="0"/>
          <w:color w:val="auto"/>
          <w:sz w:val="28"/>
          <w:szCs w:val="28"/>
          <w:highlight w:val="none"/>
          <w:lang w:val="en-US"/>
        </w:rPr>
        <w:t xml:space="preserve">3、采购清单</w:t>
      </w:r>
      <w:r/>
    </w:p>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设备清单</w:t>
      </w:r>
      <w:r/>
    </w:p>
    <w:tbl>
      <w:tblPr>
        <w:tblStyle w:val="8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09"/>
        <w:gridCol w:w="1843"/>
        <w:gridCol w:w="5528"/>
        <w:gridCol w:w="709"/>
        <w:gridCol w:w="992"/>
      </w:tblGrid>
      <w:tr>
        <w:trPr>
          <w:trHeight w:val="39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工作站名称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单位</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动力电池装配与测试工作站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动力电池装调测试套件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动力电池PACK装调测试智训平台智能教学系统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充电系统工作站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交直流充电智能实训台智能教学系统V1.0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充电设备装配与调试智能实训台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纯电动汽车教学实训平台（半解剖车辆）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辆</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学生移动魔盒终端-新能源汽车故障检测交互教学实训系统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教师控制终端-新能源汽车故障检测交互教学实训系统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故障诊断仪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新能源汽车空调系统实训平台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bl>
    <w:p>
      <w:pPr>
        <w:pStyle w:val="862"/>
        <w:ind w:left="0" w:firstLine="0"/>
        <w:rPr>
          <w:rFonts w:hint="default"/>
          <w:highlight w:val="none"/>
          <w:lang w:val="en-US"/>
        </w:rPr>
      </w:pPr>
      <w:r>
        <w:rPr>
          <w:rFonts w:hint="default"/>
          <w:highlight w:val="none"/>
          <w:lang w:val="en-US"/>
        </w:rPr>
      </w:r>
      <w:r/>
    </w:p>
    <w:p>
      <w:pPr>
        <w:spacing w:line="360" w:lineRule="auto"/>
        <w:rPr>
          <w:rStyle w:val="1139"/>
          <w:rFonts w:hint="eastAsia" w:ascii="宋体" w:hAnsi="宋体" w:eastAsia="宋体" w:cs="宋体"/>
          <w:b/>
          <w:bCs/>
          <w:color w:val="auto"/>
          <w:szCs w:val="28"/>
          <w:highlight w:val="none"/>
        </w:rPr>
      </w:pPr>
      <w:r>
        <w:rPr>
          <w:rStyle w:val="1139"/>
          <w:rFonts w:hint="eastAsia" w:ascii="宋体" w:hAnsi="宋体" w:cs="宋体"/>
          <w:b/>
          <w:bCs/>
          <w:color w:val="auto"/>
          <w:szCs w:val="28"/>
          <w:highlight w:val="none"/>
          <w:lang w:val="en-US"/>
        </w:rPr>
        <w:t xml:space="preserve">四</w:t>
      </w:r>
      <w:r>
        <w:rPr>
          <w:rStyle w:val="1139"/>
          <w:rFonts w:hint="eastAsia" w:ascii="宋体" w:hAnsi="宋体" w:eastAsia="宋体" w:cs="宋体"/>
          <w:b/>
          <w:bCs/>
          <w:color w:val="auto"/>
          <w:szCs w:val="28"/>
          <w:highlight w:val="none"/>
        </w:rPr>
        <w:t xml:space="preserve">、技术规格参数要求（注：加“▲”的指标为重要响应指标，其他为一般响应指标。未按招标文件要求提供证明材料</w:t>
      </w:r>
      <w:r>
        <w:rPr>
          <w:rFonts w:hint="eastAsia" w:ascii="宋体" w:hAnsi="宋体" w:eastAsia="宋体" w:cs="宋体"/>
          <w:b/>
          <w:bCs/>
          <w:color w:val="auto"/>
          <w:sz w:val="28"/>
          <w:szCs w:val="28"/>
          <w:highlight w:val="none"/>
        </w:rPr>
        <w:t xml:space="preserve">或证明材料无法证明满足响应指标</w:t>
      </w:r>
      <w:r>
        <w:rPr>
          <w:rStyle w:val="1139"/>
          <w:rFonts w:hint="eastAsia" w:ascii="宋体" w:hAnsi="宋体" w:eastAsia="宋体" w:cs="宋体"/>
          <w:b/>
          <w:bCs/>
          <w:color w:val="auto"/>
          <w:szCs w:val="28"/>
          <w:highlight w:val="none"/>
        </w:rPr>
        <w:t xml:space="preserve">的视为不满足</w:t>
      </w:r>
      <w:r>
        <w:rPr>
          <w:rStyle w:val="1139"/>
          <w:rFonts w:hint="eastAsia" w:ascii="宋体" w:hAnsi="宋体" w:cs="宋体"/>
          <w:b/>
          <w:bCs/>
          <w:color w:val="auto"/>
          <w:szCs w:val="28"/>
          <w:highlight w:val="none"/>
        </w:rPr>
        <w:t xml:space="preserve">，</w:t>
      </w:r>
      <w:r>
        <w:rPr>
          <w:rStyle w:val="1139"/>
          <w:rFonts w:hint="eastAsia" w:ascii="宋体" w:hAnsi="宋体" w:eastAsia="宋体" w:cs="宋体"/>
          <w:b/>
          <w:bCs/>
          <w:color w:val="auto"/>
          <w:szCs w:val="28"/>
          <w:highlight w:val="none"/>
        </w:rPr>
        <w:t xml:space="preserve">按扣分处理）：</w:t>
      </w:r>
      <w:r/>
    </w:p>
    <w:p>
      <w:pPr>
        <w:pStyle w:val="861"/>
        <w:ind w:firstLine="560"/>
        <w:jc w:val="both"/>
        <w:spacing w:line="360" w:lineRule="auto"/>
        <w:rPr>
          <w:rFonts w:hint="eastAsia" w:ascii="宋体" w:hAnsi="宋体" w:eastAsia="宋体" w:cs="宋体"/>
          <w:b w:val="0"/>
          <w:bCs w:val="0"/>
          <w:i w:val="0"/>
          <w:iCs w:val="0"/>
          <w:color w:val="auto"/>
          <w:spacing w:val="0"/>
          <w:sz w:val="28"/>
          <w:szCs w:val="28"/>
          <w:highlight w:val="none"/>
          <w:vertAlign w:val="baseline"/>
          <w:lang w:eastAsia="zh-CN"/>
        </w:rPr>
      </w:pPr>
      <w:r>
        <w:rPr>
          <w:rStyle w:val="1139"/>
          <w:rFonts w:hint="eastAsia" w:ascii="宋体" w:hAnsi="宋体" w:eastAsia="宋体" w:cs="宋体"/>
          <w:b w:val="0"/>
          <w:bCs w:val="0"/>
          <w:color w:val="auto"/>
          <w:szCs w:val="28"/>
          <w:highlight w:val="none"/>
        </w:rPr>
        <w:t xml:space="preserve">注：</w:t>
      </w:r>
      <w:r>
        <w:rPr>
          <w:rFonts w:hint="eastAsia" w:ascii="宋体" w:hAnsi="宋体" w:eastAsia="宋体" w:cs="宋体"/>
          <w:b w:val="0"/>
          <w:bCs w:val="0"/>
          <w:i w:val="0"/>
          <w:iCs w:val="0"/>
          <w:color w:val="auto"/>
          <w:spacing w:val="0"/>
          <w:sz w:val="28"/>
          <w:szCs w:val="28"/>
          <w:highlight w:val="none"/>
          <w:vertAlign w:val="baseline"/>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861"/>
        <w:ind w:firstLine="3373"/>
        <w:spacing w:line="360" w:lineRule="auto"/>
        <w:rPr>
          <w:sz w:val="28"/>
          <w:szCs w:val="28"/>
          <w:highlight w:val="none"/>
        </w:rPr>
      </w:pPr>
      <w:r>
        <w:rPr>
          <w:rFonts w:hint="eastAsia" w:ascii="宋体" w:hAnsi="宋体" w:eastAsia="宋体" w:cs="宋体"/>
          <w:b/>
          <w:bCs/>
          <w:i w:val="0"/>
          <w:iCs w:val="0"/>
          <w:color w:val="000000"/>
          <w:spacing w:val="0"/>
          <w:sz w:val="28"/>
          <w:szCs w:val="28"/>
          <w:highlight w:val="none"/>
          <w:vertAlign w:val="baseline"/>
        </w:rPr>
        <w:t xml:space="preserve">设备技术参数</w:t>
      </w:r>
      <w:r/>
    </w:p>
    <w:tbl>
      <w:tblPr>
        <w:tblStyle w:val="8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02"/>
        <w:gridCol w:w="1675"/>
        <w:gridCol w:w="840"/>
        <w:gridCol w:w="6706"/>
      </w:tblGrid>
      <w:tr>
        <w:trPr>
          <w:trHeight w:val="39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技术参数要求</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动力电池装调测试套件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动力电池装调测试套件需采用市场主流车型进行结构设计，配套车规级分布式电池管理系统，实现动力电池分拣、分容、充放电电路搭建及装配测试等技能。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二、产品组成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由≥16cell磷酸铁锂电池、1套车规级电池管理系统、1个散热式负载、1个国标交流充电口、1个车载充电机、4个接触器，1个熔断器、1个直流数显表、1个预充电阻、1个交互终端、1套动力电池管理系统智能诊断系统等组成，所有组成配件放置拉杆式铝塑箱内，铝塑箱内置泡沫卡托，需保证放置在其中的所有配件不会在移动过程中产生碰撞。</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1、能手动对单体电芯进行串连成组装配，完成电池成组后，电池包电压应≥48V，模组间应安装有熔断器，保证实训安全。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2、能手动对负载电路、控制电路、充电电路进行搭建。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3、负载电路运行时，可通过数显表实时显示线路上的电压、电流。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4、可通过诊断系统软件对电流传感器的数据进行校零。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5、可通过诊断系统软件控制电池组充电、放电。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6、可通过诊断系统软件查看电池组数据流（总电压、单体电压、绝缘阻值、压差、单体温度、最高单体电压、最低单体电压）。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7、可通过诊断系统软件查看电池管理系统故障码。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8、可通过诊断系统软件控制电池管理系统进入工装模式，对接触器进行动作测试。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9、可通过诊断系统软件修改电池管理系统告警参数，对SOC、电池容量进行标定。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10、可通过软件更改电池信息采集器电压、温度采样数据。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11.车规级分布式电池管理系统，应满足《电动汽车用电池管理系统技术条件》（GB/T 38661-2020）的相关要求。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四、动力电池管理系统智能诊断系统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动力电池管理系统智能诊断系统包括数据流、故障码、主动测试、课程资源等功能。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电池管理器数据包含总电压、工作电流、SOC、最高单体电压、最低单体电压、单体电压差、最高单体温度、最低单体温度、单体温度差、绝缘阻值等数据及参考值，实时显示各类的数据，并且有相对应参考值进行参考，通过参考值对比理解BMS系统正常工作参数值。</w:t>
            </w:r>
            <w:r>
              <w:rPr>
                <w:rFonts w:hint="eastAsia" w:ascii="宋体" w:hAnsi="宋体" w:eastAsia="宋体" w:cs="宋体"/>
                <w:b/>
                <w:bCs/>
                <w:i w:val="0"/>
                <w:iCs w:val="0"/>
                <w:color w:val="000000"/>
                <w:spacing w:val="0"/>
                <w:sz w:val="28"/>
                <w:szCs w:val="28"/>
                <w:highlight w:val="none"/>
                <w:vertAlign w:val="baseline"/>
              </w:rPr>
              <w:t xml:space="preserve">（投标文件中需提供实拍设备图片证明满足上述功能需求）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2、电池信息采集器可采集≥16节单体电池电压（mv）、8个电池温度（°C）及对应参考值等数据。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3、故障码功能可查看系统当前故障的故障码编码和告警级别。</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4、主动测试包括功能测试、工装模式、电池测试、标定、告警参数5大功能。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5、功能测试可以进行充电和放电两大功能，控制充电和放电的工作过程。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6、工装模式具备吸合或断开功能，工装模式可完成电池组接触器的吸合及断开测试功能。验证接触器工作状态，进行对应控制电路检查。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7、电池测试有电压测试和温度测试2大功能，电压测试可设置1至16号电池电压，温度测试可设置电池温度采集点1至8的温度，通过不同参数值设置，理解其在不同参数状态下的对应控制策略。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8、主动测试中的标定，可标定当前SOC、电池容量等数据。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告警参数，可设置总压过高、总压过低、单体过高、单体过低、放电高温、放电低温、充电高温、充电低温、压差过大、温差过大、放电过流、充电过流、SOC过低、绝缘过低等告警参数，每条可分为Ⅰ、Ⅱ、Ⅲ三级设置。</w:t>
            </w:r>
            <w:r>
              <w:rPr>
                <w:rFonts w:hint="eastAsia" w:ascii="宋体" w:hAnsi="宋体" w:eastAsia="宋体" w:cs="宋体"/>
                <w:b/>
                <w:bCs/>
                <w:i w:val="0"/>
                <w:iCs w:val="0"/>
                <w:color w:val="000000"/>
                <w:spacing w:val="0"/>
                <w:sz w:val="28"/>
                <w:szCs w:val="28"/>
                <w:highlight w:val="none"/>
                <w:vertAlign w:val="baseline"/>
              </w:rPr>
              <w:t xml:space="preserve">（投标文件中需提供实拍设备图片证明满足上述功能需求）</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10、平台配置计算模块，配置≥四核处理器、≥8G内存、≥120G固态硬盘。</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4、课程资源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课程资源包括电器原理图、实训指导书、微课视频、动画、本地资源等不同类型。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实训任务</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1、电池串联实训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2、电池模组串联实训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3、电池告警参数设置实训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4、电池0.5C放电实训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5、电池模组均衡实训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6、电流传感器校准实训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7、交流充电口认知实训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8、0.5C交流充电实训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9、预充电路搭建实训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10、接触器检测实训</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动力电池PACK装调测试智训平台采用磷酸铁锂动力电池、车规级动力电池管理系统及相关零部件，可完成动力电池分拣、分容、性能识别、模组装配及系统诊断测试等技能训练。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1、平台布置动力电池包模块、配电箱模块、负载模块、控制模块、充电模块、故障设置与诊断模块、智能教学系统、人员训练行为监测系统。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2、动力电池包模块分为四个电池模组，每个模组由6节20AH方形磷酸铁锂动力电池串联成组组成，采用四块螺栓紧固的防呆设计PCB及扁平纯铜排安装连接，可满足动力电池拆卸安装的技能训练。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3、配置车规级带互锁高压维修开关，可完成维修开关的装配及电路接线训练。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4、配电箱模块安装车规级分布式电池管理系统、高压接插件及低压连接器，内部安装放电接触器、预充接触器、慢充接触器、预充电阻、预充电容等，可完成电路布线接线技能训练。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负载模块安装多个功率电阻，可模拟车辆加减速过程中电流的变换，可实现四个等级放电电流状态；可完成监测不同放电电状态下每个单体电池电压、温度、电池包放电电流、电池包放电电压等参数变化的技能训练</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6、充电模块采用新能源汽车充电系统控制原理搭建，可监测充电状态下每个单体电池电压、温度、电池包充电电流、电池包充电电压等参数变化，完成充电系统原理以及单体电池充电特性的实训教学。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7、故障设置与诊断模块可设置短路、断路、虚接、错接故障，可检测线路电信号的变化完成诊断训练。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智能教学系统可实现电池数据调试功能，调试数据信息包含：总压过高、单体过高、放电高温、充电高温、压差过大、放电过流、soc过低、总压过低、单体过低、放电低温、充电低温、温差过大、充电过流等数据，每条数据分三个告警等级，可进行编辑修改</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动力电池PACK装调测试智训平台智能教学系统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一、智能教学系统总体要求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可实现电池数据调试功能，调试数据信息包含：总压过高、单体过高、放电高温、充电高温、压差过大、放电过流、soc过低、总压过低、单体过低、放电低温、充电低温、温差过大、充电过流等数据，每条数据分三个告警等级，可进行编辑修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智能教学系统可动态显示动力电池管理系统相关数据流，包含：系统电压、系统总电流、系统SOC、系统运行状态、充电枪连接状态、充电状态、充电枪充电模式和状态、电池温差、CP占空比、高压互锁状态、与整车通讯状态、充电机通讯状态、交流充电枪座温度等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3、智能教学系统可对单个电池电压进行数值设置，也可同时对多个电池电压进行数值设置，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4、智能教学系统可对单个电池温度采集点进行数值设置，也可同时对多个电池温度采集点进行数值设置。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5、智能教学系统可进行充电和放电控制，放电时可显示放电电流，剩余放电时间等信息；充电时显示充电枪连接状态，CC、CP，充电电流，充电剩余时间等信息。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6、人员训练行为监测系统配置智能摄像头，具备多个自由度调节视角，启动后可实时监测人员的训练行为。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二、动力电池系统装调与检测3D虚拟仿真软件需求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1.首页界面，需包含教师端和学生端，需输入密码进行登录；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2.教师端登录进入系统，包含输入姓名、添加、考试成绩、设置时间等功能，并显示当前设备的IP地址。</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3.学生端登录时可输入教师端的IP地址，考试成绩可以传输到教师端显示。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4.学生端登录进入系统，可选择练习、考核模式。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▲5.3D虚拟仿真场景需涵盖虚拟实训室文化墙、安全隔栏、动力电池PACK组装平台、绝缘工作台、电池内阻测试仪、绝缘测试仪、万用表、方形电池、线束等3D模型。</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6.3D虚拟仿真场景可操作功能键需包含拆装区、电池放置区、配件放置区、工具放置区，点击后快速转换到该区域的最佳视角；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7.3D虚拟仿真场景应有最佳视角功能，可转换到当前步骤的最佳视角，可快速实现任务操作；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8.3D虚拟仿真场景应有装配图功能，可展示动力电池系统的彩色装配图。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9.3D虚拟仿真场景需可实现任意放大、缩小和360度旋转。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三、实训功能需求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需在3D虚拟仿真场景中实现实训步骤操作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检查单体电池：需“检查电池的外观，是否有鼓包、漏液的现象，判断电池是否合格”及“检查电池的电阻以及电压是否在正常范围内，判断电池是否合格”，电池内阻测试仪显示单体电池内阻及电压，将电池待检放置区的≥30个单体电池逐一检查后归类到合格电池放置区、不合格电池放置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2.拿取电池模组1外壳，使用抹布擦拭电池模组1外壳；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3.查看装配图，从合格电池放置区选取6个单体电池装入动力电池并调整排列方向，需将电池排列成正确顺序；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4.安装电池模组1防护板盖，需将电池盖旋转至正确角度；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5.安装电池模组1防护板螺栓，从配件放置区选取螺栓，从工具放置区选取中号L型六角扳手，拧紧≥10个防护板螺栓；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6.检查电池模组1的电压与电阻，使用万用表测量电压值，使用绝缘测试仪测量电阻值；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7.重复序号2-6的实训步骤，将电池模组2、3、4分别安装完毕。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8.检查组装平台电源是否关闭，打开/关闭电源开关；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9.擦拭电池模组底座，使用抹布擦拭组装平台的≥4个电池模组底座；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10.安装采集模块，从配件放置区选取采集模块、螺栓，在组装平台放置采集模块，从工具放置区选取中号L型六角扳手，拧紧≥4个防护板螺栓；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11.安装继电器，从配件放置区选取继电器，使用万用表进行测量，选取螺栓，在组装平台放置≥2个继电器，从工具放置区选取中号L型六角扳手，拧紧≥4个继电器螺栓；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12.安装霍尔传感器，从配件放置区选取霍尔传感器、螺栓，在组装平台放置霍尔传感器，从工具放置区选取中号L型六角扳手，拧紧≥2个霍尔传感器螺栓；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13.放置电池模组，从绝缘工作台上选取电池模组，在组装平台放置电池模组，需放置≥4个电池模组；</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安装维修开关底座，从配件放置区选取维修开关底座、螺栓≥2种，在组装平台放置维修开关底座，从工具放置区选取大号L型六角扳手，拧紧≥4个维修开关底座螺栓，从工具放置区选取中号L型六角扳手，拧紧≥2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安装铜排，从配件放置区选取铜排、螺栓3种，在组装平台放置铜排，从工具放置区选取中号L型六角扳手，拧紧≥6个连接螺栓，从工具放置区选取小号螺丝刀，拧紧≥4个连接螺栓，从工具放置区选取中号L型六角扳手，拧紧≥2个连接螺栓；</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16.安装电池信息采集器线束，从配件放置区选取电池信息采集器线束，在组装平台放置电池信息采集器线束，按照操作提示逐一插接线束及接头；</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17.安装保护罩，从配件放置区选取保护罩、螺栓，在组装平台放置保护罩，从工具放置区选取小号L型六角扳手，拧紧≥4个连接螺栓；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▲18.安装继电器与预充电阻，从配件放置区选取5个继电器及预充电阻，使用万用表进行测量，选取螺栓，在组装平台放置≥5个继电器及1个预充电阻，从工具放置区选取中号L型六角扳手，拧紧≥12个螺栓；</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19.安装电容，从配件放置区选取电容、螺栓，在组装平台放置电容，从工具放置区选取中号L型六角扳手，拧紧≥2个连接螺栓；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20.安装配电箱高压线束，从配件放置区选取配电箱高压线束，在组装平台连接高压线束的接口；</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扭紧线束螺栓，从配件放置区选取≥3种螺栓，从工具放置区选取大号L型六角扳手，拧紧≥2个连接螺栓，选取小号螺丝刀，拧紧≥10个连接螺栓，从工具放置区选取中号L型六角扳手，拧紧≥4个连接螺栓，选取大号螺丝刀，拧紧≥3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22.安装配电箱护罩，从配件放置区选取配电箱护罩、螺栓，在组装平台放置护罩，从工具放置区选取中号L型六角扳手，拧紧≥4个螺栓；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23.连接外部高压线束与低压线束，从配件放置区选取高压线束，在组装平台连接高压线束，连接低压线束；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24.安装维修开关顶部，从配件放置区选取维修开关顶部，在组装平台放置维修开关顶部，完成训练。</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可对多种单体电池进行充放电、均衡修复、多机联动分容训练，可根据实训任务需求自由设置多种参数，含充电截止电压、充电电流、截止电流、保存电压、放电截止电压、放电电流、截止电流、静置时间、循环次数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1.具备电池过压/电池反接/高温/电流失控保护；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2.可实时显示测试的状态，含运行时间、机内温度、实时电压、实时电流、实时容量、实时电量、当前充电参数、当前放电参数、当前工作模式、当前工作状态；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3.可根据实训任务需求自由设置多种参数，含充电截止电压、充电电流、截止电流、保存电压、放电截止电压、放电电流、截止电流、静置时间、循环次数等；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4.具备扫一扫二维码学习资源功能；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5.提供实训视频及实训指导书</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三、实训任务要求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1.可对三元锂、聚合物、磷酸铁锂、镍氢、钛酸锂、铅酸电池进行容量测试对比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2.可对三元锂、聚合物、磷酸铁锂、镍氢、钛酸锂、铅酸电池进行补电测试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3.可对三元锂、聚合物、磷酸铁锂、镍氢、钛酸锂、铅酸电池进行放电测试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4.可对三元锂、聚合物、磷酸铁锂、镍氢、钛酸锂、铅酸电池进行循环老化测试对比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5.可对三元锂、聚合物、磷酸铁锂、镍氢、钛酸锂、铅酸电池进行活化测试对比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6.可对三元锂、聚合物、磷酸铁锂、镍氢、钛酸锂、铅酸电池进行电芯均衡测试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7.可对三元锂、聚合物、磷酸铁锂、镍氢、钛酸锂、铅酸电池进行充电-放电-静置-循环的工步测试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8.可对三元锂、聚合物、磷酸铁锂、镍氢、钛酸锂、铅酸电池进行测试过程的温度检测</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9.可对三元锂、聚合物、磷酸铁锂、镍氢、钛酸锂、铅酸电池的充放电曲线进行对比分析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10.可对三元锂、聚合物、磷酸铁锂、镍氢、钛酸锂、铅酸电池的电压曲线进行对比分析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11.可对三元锂、聚合物、磷酸铁锂、镍氢、钛酸锂、铅酸电池的电流曲线进行对比分析</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实训台配置国标交流充电、直流充电模块，可对实训台或车辆进行交流或直流充电，实训台配置智能教学系统，内置可视化课程资源与文本资源，实现交互式课程教学。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1、实训台配置国标交流7KW充电模块，包括：充电刷卡模块、控制模块（内置计费模块）等水平排列，直观展示交流充电设备内部结构。</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2、交流充电模块配置国标交流充电口，可通过模拟车载充电机对实训台内置的放电负载充电，直观展示交流充电过程。也可对车辆或互联实训台充电。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3、实训台配置国标直流≥7KW充电模块，可对车辆进行直流充电。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4、实训台可分别对交流充电、直流充电线路进行一般常见故障设置与排除，如：交、直流电表通信不良，交、直流充电枪过温，交流充电机输入过压等。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5、实训台具有≥4个相同的测试工位，≥4个工位可同时对电信号进行测量，测量面板采用≥5mm厚亚克力板，面板表面喷绘检测端子名称。交流充电、直流充电模块采用≥5mm厚透明亚克力材质覆盖。</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设备配置空气开关，增强安全保护，安装急停按钮，紧急情况按下急停开关切断电源，设备断电，实现多重安全保护。台架装有万向脚轮，脚轮带锁止机构；台架采用钢材制作，面板平铺，≥43寸显示屏采用立杆支撑，可360°左右旋转，可前后调整倾斜角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7、实训台通过RS485转换设备对协议数据信息进行转换。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8、配套实训项目指导书，完整讲述实训台工作原理、实训科目、故障设置及清除等要点。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三、通过实训设备可完成以下实训功能：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1.能够根据充电桩铭牌或充电枪头判断充电桩的功率</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2.能够熟练掌握交流充电桩内部结构与各元器件连接状态</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3.能够熟练掌握直流充电桩内部结构与各元器件连接状态</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4.能够掌握交流充电桩内部各器件工作原理其各模块间的作用</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5.掌握交流充电桩的工作原理及控制原理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6.掌握直流充电桩的工作原理及控制原理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7.能够根据充电桩各项数据流变化对一般常见故障进行分析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8.交流充电机输入过压与欠压的故障诊断与分析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9.交流充电机输出过压与欠压的故障诊断与分析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10.交流电表通讯不良的故障诊断与分析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11.直流电表通讯不良的故障诊断与分析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12.交直流接触器通讯不良的故障诊断与分析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13.交直流应急控制通信不良的故障诊断与分析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14.交直流充电过温的故障诊断</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15.能够熟练掌握交直流充电桩的通讯原理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四、配套实训指导书必须包含以下实训项目内容：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项目一、高压作业安全操作</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项目二、新能源汽车充电方式</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项目三、新能源汽车交流充电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项目四、新能源汽车直流充电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项目五、交流充电桩无法充电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项目六、交流电表无显示</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项目七、直流充电桩无法充电</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交直流充电智能实训台智能教学系统V1.0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1、智能教学系统内置文本资源与视频资源，图像化动态显示充电信息，实现交直流充电可视化教学。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2、智能教学系统安装在控制模块上，信息通过≥43寸高清多媒体端动态显示，智能教学系统通过通信协议与硬件部分实现信息交互。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3、智能教学系统包括理论、资源及考试三大模式。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资源模式内置丰富的视频资源与文本资源；可播放与查看各类资源；视频播放时可暂停，可全屏，屏幕右侧显示课程资源名称，视频类型包括flash动画，mp4等多种格式。文本资源可查看word，PDF等多种格式文本资源。教师通过资源上传功能可分别自主上传视频资源与文本资源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（2）理论模式包括交流充电、直流充电。内容包括车辆交流/直流充电电路、交流/直流充电桩电路、交流/直流充电数据流、交流/直流充电过程步骤等内容。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其中交流/直流充电数据流图形化动态显示充电时间、充电电压、充电电流、充电电量等数据信息。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（3）考试模式：考试模式分为教师端与学生端，教师端和学生端分别选择默认账号和密码登陆。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1）教师端主页具有考试设置、答题查看、背景资料、退出等功能按钮。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进入考试设置，系统默认考试名称、考试日期，本次考试时间等。系统按照故障名称、故障点/故障码、故障分类等进行故障考题设置。点击考题设置勾选框，进行故障考题设置，系统自动添加故障数量，同时提供全部选择、全部清除等快捷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故障考题勾选完成后，点击考题故障发布，完成故障设置。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故障设置完成后，系统支持多轮学生重复考试，不需要教师重复设置考题。</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②学生点击答题后，教师可进入教师端，进行当前故障考题信息查看。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③学生答题完成提交后，点击答题查看功能，系统显示学员答对题数、答错题数，点击查看详情，系统页面显示答题具体信息，分别为：用时，精确到秒，显示正确答案，以及学生答题的答案，以及是否正确。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④考试故障设置包括：交流充电机输出电压欠压，直流CC1通信不良，交流接触器控制通信不良 ，交流应急控制通信不良，直流充电枪过温，交流CP通信不良，交流充电机输入电压过压，直流A+不良，交流充电机输出电压过压 ，直流接触器控制通信不良，交流电表通信不良，交流充电枪过温，直流电表通信不良，直流应急控制通信不良，交流充电机输入电压欠压。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2）学生端主页具有：答题、背景资料、退出等功能按钮。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①学生点击答题按钮，进入故障排除环节，答题页面显示当前题目序号，以及考题总数量。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②学生可根据当前故障现象进行分析检测，判断出当前故障点，在系统答题页面上完成考题答案选择，点击下一题，系统进入下一题。答题过程如上。</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④答题完成后系统弹出“答题完毕，点击确定后退出考试”提示框。</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充电设备装配与调试智能实训台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（1）平台结合充电桩生产厂家生产工艺流程研制，真实再现充电桩真实生产、调试与安装等工艺流程。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（2）实训台采用柜式结构，可进行反复拆装，所有配件可进行快速定位，组装，操作简单，高效便捷。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（3）充电设备组装完成后，充电枪通过国标交流充电口与迷你负载互联，通电后可进行充电参数设置与验证。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（4）实训台有完善的安全保护功能，具有过压保护、欠压保护、过载保护、短路保护、接地保护、过温保护 、低温保护、防雷保护、急停保护、漏电保护等；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（5）采用行业龙头企业连接线缆制作，性能优良，安全可靠。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（6）配套详细的电路原理图，方便学生进行实训与故障检修。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（7）实训台采用箱体柜式设计，充电桩部件集成于箱体内部，为多部件集成一体台。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充电连接器寿命：≥10000 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输入电压：AC220V±20%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输出电压：AC220V±20%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频率:50±3 Hz</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最大输出电流 :32A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线缆长度：≥3米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运营后台通讯 : 以太网/2/3/4G</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充电接口 : 七芯充电枪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计量精度 : ≥1级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 : ≥IP55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运行温度 : －25℃~＋50℃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工作湿度 : 5%~95%无凝霜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海拔高度 : ≤2000m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冷却方式：强迫风冷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充电模式：自动充满/定电量/定金额/定时间</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启动方式：刷卡启动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安规标准：GB\T 20234、GB/T 18487、GB/T 27930、NB\T 33008、NB\T 33002</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三、可完成的实训项目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1、掌握交流充电桩的结构及原理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2、了解交流充电桩内部各组件的功能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3、掌握交流充电桩内部线路的连接方法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4、掌握交流充电桩的测试方法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5、掌握交流充电桩输入线缆选配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6、掌握交流充电桩绝缘值的测量方法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7、掌握漏电保护模块的结构原理与安装方法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8、掌握防雷模块的结构原理与安装方法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9、掌握智能电表的工作原理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10、掌握交流充电桩的装配与调试过程中的操作安全与注意事项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四、配置充电设备装配与调试智能系统仿真软件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1.理论知识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（1）采用二维及三维的动画方式对充电机的结构、原理等知识进行生动展示、深入解析，并提供交互式操作，帮助学生对抽象、难懂的知识点理解、记忆。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系统以新能源充电知识为重点，主要包括：充电机的结构认知、工作指示灯模组、人机交互显示控制器、刷卡器4G模块、枪锁模块、国标充电座、12V铺助电源、主控盒铺助继电器盒、漏电保护器模块、防雷器模块、电能表模块、交流接触器模块、充电开门检测等知识。</w:t>
            </w:r>
            <w:r>
              <w:rPr>
                <w:rFonts w:hint="eastAsia" w:ascii="宋体" w:hAnsi="宋体" w:eastAsia="宋体" w:cs="宋体"/>
                <w:b/>
                <w:bCs/>
                <w:i w:val="0"/>
                <w:iCs w:val="0"/>
                <w:color w:val="000000"/>
                <w:spacing w:val="0"/>
                <w:sz w:val="28"/>
                <w:szCs w:val="28"/>
                <w:highlight w:val="none"/>
                <w:vertAlign w:val="baseline"/>
              </w:rPr>
              <w:t xml:space="preserve">（投标文件中需提供充电机的结构认知截图证明，至少包括主控板、辅助继电器、智能电表元件截图）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2.3D结构展示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（1）在虚拟现实环境下建立充电器各功能模块结构系统模型，鼠标放到任意部件上，系统自动显示该部件名称。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点击部件模块，系统进入结构展示二级界面，在该界面下，模型是可拖拽，可三百六十度旋转，可任意放大缩小的，学生可以从不同的角度观察功能模块的构造。并在功能说明区域配有文字讲解该部件名称及功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（3）点击返回按钮，可返回系统模型界面，点击其它部件继续学习。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▲（4）3D结构展示包括：主控模块、单相断路器、辅助电源、辅助继电器、交流接触器、浪涌保护器、智能电表、读卡器、急停开关、LED灯板、门禁开关、显示屏、接线排、充电枪。</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（投标文件中需提供满足该功能截图证明，需清晰体现3D结构展示部件）</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3、虚拟拆装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（1）虚拟拆装，可以手动一步一步按顺序拆装，系统在三维虚拟现实环境下建立桩主要模块的模型，同时建立装配时需要的使用工具。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（2）充电桩可以任意放大、缩小和360度旋转。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虚拟装配内容包括：安装显示屏、安装LED灯板、安装读卡器安装、急停开关、安装门禁开关、安装辅助电源模块、安装主控模块、安装辅助继电器、安装限位卡、安装接线排、安装交流接触器模块、安装浪涌保护器模块、安装智能电表、安装单相断路器、安装充电枪、安装输入电源线、安装地线（PE）、使用绝缘电阻测试仪进行单相断路器输入侧L对地绝缘检测、使用万用表进行辅助电源v+对地电阻检测、插入充电枪，打开负载箱电源开关及负载开关，调节负载档位为16A等。</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（投标文件中需提供满足该功能截图证明，需清晰体现装配部件）</w:t>
            </w:r>
            <w:r>
              <w:rPr>
                <w:rFonts w:hint="eastAsia" w:cs="宋体"/>
                <w:b/>
                <w:bCs/>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纯电动汽车教学实训平台（半解剖车辆）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一、车辆技术参数：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1、车身参数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车身尺寸（长×宽×高）：≥4795×1837×1515mm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轴距：≥2718mm 前轮距：≥1580mm 后轮距：≥1580mm；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2、电机参数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驱动形式：永磁同步电机；驱动电机最大功率：≥100KW；最大扭矩≥180N.M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3、电池参数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电池能量：≥48KWh；续航里程≥420KM.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4、安全配置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主驾驶座安全气囊；副驾驶座安全气囊；胎压报警；前排主驾驶安全带未系提醒；定速巡航；ABS防抱死；制动力分配。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二、结构剖切要求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1.全新新能源教学整车需剖切前保险杠右侧、右前翼子板、右A柱、右前车门、右后车门、右C柱、右后翼子板、后保险杠右侧、仪表台右侧、右后视镜；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2.全新新能源教学整车拆卸前舱盖、右前座椅、右后座椅、车底饰板、后备箱饰板</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学生移动魔盒终端-新能源汽车故障检测交互教学实训系统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学生移动魔盒终端需是新能源汽车故障检测交互教学实训系统的一个独立单元，可连接至新能源教学整车的各控制器进行信号数据的互联互通，学生实训时可查看教学资源、维修手册，可由新能源汽车智能实训系统教师控制端设置故障后进行检测分析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通过标准连接线束及车型控制系统专用连接线束与不同品牌、不同型号整车连接，采用汽车专用连接器≥96针插头，车型控制系统专用连接线束一端配有对应车辆各模块原车插头以及插座，保证车辆与台架进行无损对接的同时，拔下跨接线束后车辆可正常行驶。断开专用线束后整车功能完整，保持原车所有功能及线束完整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检测模块通过专用插接器将控制信号接回原车控制单元，插头与原车线束相同，连接线选用德标汽车专用电线，耐压≥600V，确保整车电路信号正常；测量检测面板采用通用管脚序号并装有检测≤2mm镀金端子≥96个，直接在端子上测量模块系统实时信号，掌握不同控制单元参数变化规律；软件端内置各模块专用测量面板图，面板上绘制原车控制模块管脚与线束插头管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3.可通过更换专用连接线束及软件端检测面板图对驱动控制系统进行检测，可检测信号含电机控制器通信，工作电源和地线等，可对控制单元主要线路进行断路、虚接的故障诊断；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4.可通过更换专用连接线束及软件端检测面板图对ABS系统进行检测，可检测信号含通信，电源和地线等，可对控制单元主要线路进行断路、虚接的故障诊断；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5.可通过更换专用连接线束及软件端检测面板图对电池BMS系统进行检测，可检测信号含交流充电，动力电池包低压线束信号等，可对控制单元主要线路进行断路、虚接的故障诊断；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6.可通过更换专用连接线束及软件端检测面板图对车身系统进行检测，可检测信号含门锁系统，低压配电，通信和地线，可对控制单元主要线路进行断路、虚接的故障诊断；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7.可通过更换专用连接线束及软件端检测面板图对对灯光系统进行检测，可检测信号含低压配电，通信和地线，可对控制单元主要线路进行断路、虚接的故障诊断；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通过更换专用连接线束及软件端检测面板图对空调系统进行检测，可检测信号含冷暖循环电机，内外循环电机，出风口模式循环电机，压力传感器，主驾吹脚通道传感器，主驾吹面通道传感器，电子膨胀阀（空调），压力温度传感器（空调），阳光强度传感器，蒸发器温度传感器，室外温度传感器，室内温度传感器，电子膨胀阀（电池热管理），水温传感器，四通水阀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9.可通过更换专用连接线束及软件端检测面板图对充电系统进行检测，可检测信号含开锁电源，闭锁电源，温度传感器高，温度传感器低，CC信号，CP信号等，可对控制单元主要线路进行断路、虚接的故障诊断；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10.可通过更换专用连接线束及软件端检测面板图对转向系统进行检测，可检测信号含EPB开关，EPB电机，EPB模块通信，工作电源和地线等，可对控制单元主要线路进行断路、虚接的故障诊断；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11.可通过更换专用连接线束及软件端检测面板图对油门踏板，刹车踏板，真空压力传感器，刹车真空助力泵，高压水泵，风扇信号等进行检测，可对主要线路进行断路、虚接的故障诊断；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12.可通过更换专用连接线束及软件端检测面板图对网关工作电压，动力网，舒适网，ESC网等进行检测，可对主要线路进行断路、虚接的故障诊断；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13.可通过更换专用连接线束及软件端检测面板图对智能钥匙系统进行检测，可检测信号含车外探测天线，车内探测天线，微动开关，工作电源和地线等，可对主要线路进行断路、虚接的故障诊断；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三、智能教学系统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1.智能教学系统具备资源管理、维修手册、考核、管理模块；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2.资源管理支持各种格式的文件浏览，涵盖mp4,avi,wmv,swf,flv,jpg,jpeg,bmp,pdf,doc,docx,ppt,pptx,xlsx的格式，可以上传资源,可对当前资源进行添加和移除；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3.内置同系列车型电路图或维修手册，辅助教学及故障诊断，可放大缩小，可单页/双页展示，可跳转任意页面。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4.考核可登录学生账号密码，具备开始考核和成绩查看功能，进入考核界面后，根据教师发布的故障点在系统模拟针脚上进行分析修复，完成考核；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进入成绩查看，可查看考试名称、考试状态及详情，详情可查看学生答对/答错的情况；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5.可查看、修改个人信息，如登录名、姓名等。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四、配置参数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1.整体框架需采用钣金加工的冷轧镀锌钢板，厚度≥1.5mm，需经过严格的脱脂、酸洗、防锈磷化、纯水清洗、静电喷涂等工艺流程；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2.整体尺寸长≥1050mm，宽≥700mm，高度1250mm；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3.实训台面采用亚克力板，尺寸≥1050*700*7mm；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4.实训台中部为储物空间，尺寸≥600*450*550mm，具备≥2个抽屉，每个尺寸≥480*165*440mm；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5.底板尺寸≥800*600*50mm，安装≥4个100mm高金属支架滚轴可锁万向静音脚轮；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6.实训台需具备漏电过载保险开关、三芯航空电源插头、10孔插座≥1个，供电线缆≥2米，实训台与实训台之间可以互相供电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故障检测盒采用钣金框架，尺寸≥430*300*100mm，两侧内凹舒适塑胶把手，盒面采用≥5mm厚亚克力面板，丝印通用序号端口号，支持多款车共用一个检测盒模式，提供完整的≥96个2mm检测镀金端子，底部安装4个金属支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故障检测盒内部需采用一体化电路板设计，采用全自动贴片工艺焊接，故障设备采用电弧灭弧保护电路与多重安全保护，内置一体化不少于2层PCBA无铅环保电路整体封装，PCB板电路封装达到车规级技术标准，PCB板采用2盎司铜箔布线，耐流等级为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9.故障检测盒需可无线接收教师端发送的断路、虚接故障，接收灵敏度＜-95dBm，空中波特率≥115200，功率＜6dBm；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10.交互终端配置≥四核心芯片，睿频最高≥3.9GHz，RAM≥8GB，SSD≥250GB，高色域高刷新率显示模块≥23英寸，分辨率≥1920*1080，具备抽拉式键鼠托盘，使用有线键盘鼠标输入。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11.实训台需具备电压输入，视频输出，以太网接口，USB接口≥6，音频输入输出，设置按键；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五、视频资源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1.万用表产品指导视频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2.示波器产品指导视频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3.绝缘测试仪产品指导视频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4.接地电阻测试仪产品指导视频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5.毫欧表使用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6.人员及工位安全防护套装产品指导视频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7.新能源汽车诊断仪的使用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8.新能源汽车高压安全作业前的准备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六、实训指导书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1.交流充电系统CC断路故障诊断与排除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2.交流充电系统CP断路故障诊断与排除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3.驱动电机控制器CAN-H故障诊断与排除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4.充配电总成的故障诊断与排除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5.左转向灯不亮故障诊断与排除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七、实训任务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1.车载充电机检测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2.油门信号故障排除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3.BMS供电故障检修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4.BMS通讯线路故障检修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5.高压配电系统高压回路检修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6.高压配电系统继电器故障检修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7.IG3故障排除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8.冷却风扇低速档不运转的故障检修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9.碰撞信号故障检修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10.车载充电机电源故障检修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11.车载充电机通讯故障检修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12.交流充电CC信号故障检测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13.交流充电CP信号故障检测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14.直流充电口线路故障检测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15.整车控制器动力网CAN-H故障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16.真空泵压力传感器信号故障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17.真空泵压力传感器电源故障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18.真空泵继电器控制信号故障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19.直流充电口温度信号检测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20.真空泵继电器检测信号故障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21.预充接触器控制信号故障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22.电池管理器IG3电源故障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23.电池子网CAN-H故障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24.负极接触器电源故障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25.通讯转换模块供电+12V故障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26.油门电源故障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27.油门信号故障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28.预充/正极接触器电源故障 </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教师控制终端-新能源汽车故障检测交互教学实训系统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控制端需是新能源汽车故障检测交互教学实训系统的一个独立单元，可实时对新能源整车各个系统的控制单元低压信号线路设置断路、虚接故障，可对学生端分别进行故障设置及考核，且可在总控制终端查看学生实训及考核情况，对学生进行评分记录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1.可实时对新能源整车各个系统的控制单元低压信号线路设置断路、虚接故障，涵盖动力电池BMS系统、驱动控制系统、自动空调系统、EPS系统、EPB系统、智能钥匙系统、充电系统、车身系统等；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2.设置故障可精确到原车低压控制线路的每一个针脚；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3.可无线连接学生端，将设置的故障点分发到学生端进行实训及考核；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4.教师端可在总控制终端查看学生实训及考核情况，对学生进行评分记录。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5.具备两种无线连接方式，连接学生端的状态显示有三种，红色未连接，黄色部分连接，绿色全部连接；可看到当继电器控制盒状态，绿色在线，灰色为不在线，可点击重新尝试连接；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6.可对驱动控制系统的电机控制器通信，工作电源和地线等主要线路进行断路、虚接的故障设置；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7.可对ABS系统的通信，电源和地线等主要线路进行断路、虚接的故障设置；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8.可对电池BMS系统的交流充电，动力电池包低压线束信号等主要线路进行断路、虚接的故障设置；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9.可对车身系统的门锁系统，低压配电，通信和地线等主要线路进行断路、虚接的故障设置；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10.可对灯光系统的低压配电，通信和地线等主要线路进行断路、虚接的故障设置；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11.可对空调系统的冷暖循环电机，内外循环电机，出风口模式循环电机，压力传感器，四通水阀等主要线路进行断路、虚接的故障设置；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12.可对充电系统的开锁电源，闭锁电源，温度传感器高，温度传感器低，CC信号，CP信号等主要线路进行断路、虚接的故障设置；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13.可对转向系统的EPB开关，EPB电机，EPB模块通信，工作电源和地线等主要线路进行断路、虚接的故障设置；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14.可对油门踏板，刹车踏板，深度传感器线路进行断路、虚接的故障设置；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15.可对网关工作电压，动力网，舒适网，ESC网等主要线路进行断路、虚接的故障设置；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16.可对智能钥匙系统进的车外探测天线，车内探测天线，微动开关，工作电源和地线等主要线路进行断路、虚接的故障设置；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三、配置参数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1.整体框架需采用钣金加工的冷轧镀锌钢板，厚度≥1.5mm，需经过严格的脱脂、酸洗、防锈磷化、纯水清洗、静电喷涂等工艺流程；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2.整体尺寸长≥1400mm，宽≥700mm，高度≥1650mm；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3.实训台面采用亚克力板，尺寸≥1400*700*7mm；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4.实训台中部为储物空间，尺寸≥600*450*600mm，具备≥2个抽屉，每个尺寸≥480*165*440mm；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5.底板尺寸≥800*600*50mm，安装≥4个100mm高金属支架滚轴可锁万向静音脚轮；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6.实训台需具备保险开关、三芯航空电源插头、10孔插座≥1个，供电线缆≥2米，实训台与实训台之间可以互相供电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7.交互终端配置≥四核心芯片，睿频最高≥4.0GHz，RAM≥16GB，SSD≥480GB，独立显卡≥4GB，高色域高刷新率显示模块≥43英寸，分辨率≥1920*1080，具备抽拉式键鼠托盘，使用有线键盘鼠标输入。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8.实训台需具备电源输入，HDMI视频输出，以太网接口，USB接口≥6，音频输入输出。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四、配套软件要求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（一）智能教学系统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1.智能教学系统应具备资源管理、维修手册、实训模式、考核、管理模块；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2.资源管理应支持各种格式的文件浏览，涵盖常见文本、图片、视频的格式，可以上传资源，可对当前资源进行添加和移除；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3.系统应内置同系列车型系列的电路图或维修手册，辅助教学及故障诊断，可放大缩小，可单页/双页展示，可跳转任意页面；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4.实训模式下，可对各模块进行每一个针脚的断路、虚接设置故障，设置成功后可显示已设故障值，应具备一键清除已设故障功能；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5.考核可登录教师账号密码，应具备开始考核和成绩查看功能，开始考核，可设置考核设故点，发布考试；成绩查看，可查看已发布考试的详细内容，如学生参考情况，答题详情；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6.管理可进行学生账号管理以及个人信息修改，账号管理可对学生账号进行修改，可增加、删除学生账号；个人信息，可对当前账号信息进行修改；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（二）新能源汽车拆装、维护与故障诊断仿真学习平台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1.平台选用插电混动新能源实训用车为模型开发车型，采用超级混动技术，具备刀片电池。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2.平台采用纯三维引擎交互技术，可以360度旋转、缩放和平移。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3.平台采用“新能源汽车动态数据模拟引擎”和“新能源汽车模拟拆装物理引擎”，可以根据用户在实训场景中对汽车的操作，车辆能实时反映基本状态、实训过程状态。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4.平台视角导航含有最佳视角的功能，点击名称可以直接定位到对应部件最佳视角位置。视角控制可进行旋转观察及拉近拉远。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车间场景可实时通过鼠标与场景进行交互操作，系统针对插电混动新能源汽车保养及维护的标准流程进行操作，安装座椅四件套、安装翼子板布/前格栅布、安装车轮挡块、安装举升垫块、举升机操作、连接诊断仪器、读取故障码、清除故障码、保养及维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6.平台包含万用表、诊断仪等多种虚拟检测设备；万用表能够进行电压、电阻检测；故障诊断仪参考主机厂的设计，在系统模块下读取故障码、清除故障码、读取数据流等操作。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7.仪表板能够显示各种指示灯状态、警示灯信息，若无故障或故障被修复，则仪表板也会恢复正常，无任何警告灯或警告信息。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8.平台中自带维修工单，方便学生在排故过程中进行记录；训练或考核结束后有结果单，会记录所有的操作过程，如果操作有误会提示正确答案。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9.举升机操作功能，通过对举升机“升”和“降”的操作可以控制车辆的举升状态，能够对汽车底盘进行相关的操作。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10.提供整车维护常规检查、检测、更换；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11.平台须具备快速定位：驾驶室、工具车、选手桌、零件台、左前车门、机舱、整车；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12.车辆维护的内容主要包括：检查防护套装、检查工具套装、安装车外三件套、前舱检查、车内检查、高压系统、高压组件；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13.每个顶起位置的实训模块都能由用户自由选择教学任务切换，切换后系统自动加载当前操作的教学任务的初始状态；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14.平台具有文字提示操作功能，操作提示需逐条显示，每一步操作提示都有对应的最佳视角，操作提示中重要的内容需要以红色的字体显示；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平台中含有车身外观检查的功能，检查外观有无碰擦痕迹，需要检查的部件包括：左前大灯外观、前保险杠外观、前引擎盖外观、左前车门外观、左后车门外观、左后翼子板外观、左后尾灯外观、后保险杠外观、右后尾灯外观、右后翼子板外观、右后车门外观、右后视镜外观、右侧翼子板外观；</w:t>
            </w:r>
            <w:r>
              <w:rPr>
                <w:rFonts w:hint="eastAsia" w:ascii="宋体" w:hAnsi="宋体" w:eastAsia="宋体" w:cs="宋体"/>
                <w:b/>
                <w:bCs/>
                <w:i w:val="0"/>
                <w:iCs w:val="0"/>
                <w:color w:val="000000"/>
                <w:spacing w:val="0"/>
                <w:sz w:val="28"/>
                <w:szCs w:val="28"/>
                <w:highlight w:val="none"/>
                <w:vertAlign w:val="baseline"/>
              </w:rPr>
              <w:t xml:space="preserve">（投标文件中需提供检查上述所有部件的软件界面截图）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维护过程中可以进行内三件套进行安装，选择内三件套后，视角需要自动定位至驾驶室内，点击方向盘需要弹出界面选择正确的安装位置，如果选择错误的安装位置，需要弹出对应的提示：方向盘套安装不正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17.平台中含有雨刮检查的功能，检查的内容主要包括：前雨刮洗涤档、前雨刮单次刮拭档、前雨刮间歇档、前雨刮低速档、前雨刮高速档；</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▲18.平台中含有天窗检查功能，检查的内容主要包括：遮阳卷帘打开功能、电动全景滑动天窗、翻开式天窗、遮阳卷帘关闭功能；</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（投标文件中需提供满足该功能要求的至少包含以上4个步骤的软件界面截图）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19.平台中含有诊断仪的使用功能，可以使用诊断仪读取混合蓄电池管理系统数据流、变压器 12V 系统数据流、电驱动装置数据流、高电压蓄电池充电装置数据流；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▲20.平台中含有深度规的使用，使用深度规依次对左前、左后、右后、右前车轮胎纹深度进行检查，每个车轮的检查位置至少有 10 个以上；（</w:t>
            </w:r>
            <w:r>
              <w:rPr>
                <w:rFonts w:hint="eastAsia" w:ascii="宋体" w:hAnsi="宋体" w:eastAsia="宋体" w:cs="宋体"/>
                <w:b/>
                <w:bCs/>
                <w:i w:val="0"/>
                <w:iCs w:val="0"/>
                <w:color w:val="000000"/>
                <w:spacing w:val="0"/>
                <w:sz w:val="28"/>
                <w:szCs w:val="28"/>
                <w:highlight w:val="none"/>
                <w:vertAlign w:val="baseline"/>
              </w:rPr>
              <w:t xml:space="preserve">投标文件中需提供使用深度规检查车轮胎前后左右4个车轮胎纹深度的软件界面截图，每个车轮检查位置不少于10个）</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21.平台中含有警告标签检查的功能，需要检查的标签包括：空调压缩机高压线束上的警告标签、配电箱高压线束上的警告标签、电机控制器高压线束上的警告标签；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维护过程中可以对车轮挡块进行安装，安装时需要自主进行挡块的位置选择，选择的位置包括偏左、偏右、正中三个位置；车轮挡块需要安装在左后车轮和右后车轮，安装时选择车轮挡块后视角需要自动定位至对应的车轮位置，每个车轮的挡块安装前后需要同时进行安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维护过程中需要能够对日间行车灯、近光灯、转向灯、雾灯、制动灯、危险警告灯检查，并可对车辆左侧近光灯设置不亮故障，车辆需实时展示，检查结束后需能够对近光灯进行实时修复，修复完成后需再次对近光灯进行检查，检查后左侧近光灯正常点亮，同时检查的全过程需能够在软件中呈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24.平台可对安全帽进行三项安全检查，并可对场景中有裂纹现象的安全帽，进行实时修复，场景中的安全帽显示完好后，需可再次对安全帽进行检查，同时检查的全过程需能够在平台中呈现；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▲25.校准冰点仪：从工具车中选择冰点仪、打开冰点仪盒、取出冰点仪、清洁冰点仪、校准冰点仪、按压、读数、清洁后归还等；</w:t>
            </w:r>
            <w:r>
              <w:rPr>
                <w:rFonts w:hint="eastAsia" w:ascii="宋体" w:hAnsi="宋体" w:eastAsia="宋体" w:cs="宋体"/>
                <w:b/>
                <w:bCs/>
                <w:i w:val="0"/>
                <w:iCs w:val="0"/>
                <w:color w:val="000000"/>
                <w:spacing w:val="0"/>
                <w:sz w:val="28"/>
                <w:szCs w:val="28"/>
                <w:highlight w:val="none"/>
                <w:vertAlign w:val="baseline"/>
              </w:rPr>
              <w:t xml:space="preserve">（投标文件中需提供满足至少包含以上8个步骤要求的软件界面截图）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26.维护过程中需要能够对安全帽进行检查，点击任意一个安全帽都可以进行检查；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27.维护过程中可以进行翼子板布前格栅布安装，安装之前需要对翼子板布前格栅布进行检查，安装时需要逐个进行安装，选择之后视角需直接定位至需要安装位置；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28.维护过程中需要能够对护目镜进行检查，检查的内容包括：检查护目镜外观有无磨损、护目镜支架松动检查；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29.维护过程中需要能够对绝缘手套进行检查，检查的内容包括：检查绝缘手套外观有无磨损、检查绝缘手套耐压等级、检查绝缘手套气密性，通过对手套是否有漏气变化判断绝缘手套气密性；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30.在进行维护操作时，需要对零件台、工具车、选手桌场地所需物品是否齐全进行检查，还需要能够对车辆的位置进行检查；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31.绝缘测试仪测量绝缘垫电阻时，绝缘垫上面测试的位置需要有高亮闪烁提示；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32.万用表测量蓄电池电压时，选择一个表笔，表笔随鼠标一起移动，点击测量点，表笔自动放置到测量点上，方便测量。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33.软件包含汽车部件拆装模块：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（1）模块主要通过模拟插电混动新能源汽车专用发动机、驱动电机、动力电池的拆卸及安装过程，需支持教师进行示范教学，学生进行实训练习、考核；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（2）模块的各种模型需按照真实比例进行仿真建模；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（3）软件需采用“新能源汽车模拟拆装物理引擎”，可以根据用户在实训场景中对汽车的操作；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（4）软件视角导航含有最佳视角的功能，点击名称可以直接定位到对应部件最佳视角位置。视角控制需可进行旋转观察及拉近拉远；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（5）实训车间场景需可实时通过鼠标与场景进行交互操作，系统针对整车专用发动机、驱动电机、动力电池的拆卸及安装的标准流程进行操作；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结构展示：对于每个子模块内容，都会有具体的结构展示功能，通过爆炸图、透视结构相结合的方式，利用缩放、旋转、平移、复位操作方法，帮助学生学习子模块的结构，以及对于每个零部件形式、位置的认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动力电池结构展示需包含动力电池电子膨胀阀、动力电池高压插座、动力电池低压插座；发动机系统结构包含扭转减震器、绕性飞轮总成、曲轴后油封法兰、曲轴、活塞、机油泵、正时罩、曲轴减振轮、滤波电容、OCV电磁阀</w:t>
            </w:r>
            <w:r>
              <w:rPr>
                <w:rFonts w:hint="eastAsia" w:ascii="宋体" w:hAnsi="宋体" w:eastAsia="宋体" w:cs="宋体"/>
                <w:b w:val="0"/>
                <w:bCs w:val="0"/>
                <w:i w:val="0"/>
                <w:iCs w:val="0"/>
                <w:color w:val="000000"/>
                <w:spacing w:val="0"/>
                <w:sz w:val="28"/>
                <w:szCs w:val="28"/>
                <w:highlight w:val="none"/>
                <w:vertAlign w:val="baseline"/>
              </w:rPr>
              <w:t xml:space="preserve">、进气凸轮轴部件、排气凸轮轴部件、排气门、进气门；EHS电混系统结构包含电机油冷系统、减速器、中间轴、直驱离合器（发电）、直驱离合器（驱动）、P1发电机转子输入轴、P3驱动电机转子输出轴、P1发电机定子、P3驱动电机定子、P1发电机转子、P3驱动电机转子、滤芯总成、P1发电机旋变传感器、P3驱动电机旋转变压器、双电机旋转变压器插头；高压电控系统结构包含双电机控制器、发电机控制功率板、双电机控制器交流母排、电感线圈、双电机控制器电容模块，串联模式原理及并联模式原理包含发动机内部器件动画、链条动画以及火花特效；</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（投标文件中需提供满足该功能要求的软件界面截图）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（8）自动拆卸及自动安装：在自动拆卸和自动安装环节，需以自动演示模式具体展示每个零部件及拆装顺序，供学生学习；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手动拆卸及手动安装：该界面需分为基础操作区、工具区、零件区以及操作提示区。鼠标移动到基础操作区，则演示区两侧浮动出现零件箱、工具箱模块，移出时则消失。鼠标移动到工具箱浮动层，并点击其中的某一工具图标，演示画面中则出现对应的工具，并进行工具操作。在拆装实训操作中，将鼠标放在零件位置上会提示零件信息和需要使用的工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（10）原理：原理展示需针对插电混动新能源汽车专用发动机、驱动电机、动力电池的工作原理，通过3D场景演示主要工作系统的运行原理；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（11）考核：考核功能是将“手动拆卸”和“手动安装”功能里面的提示功能完全屏蔽，包括操作提示和零件名称，学生在熟练操作“手动拆卸”和“手动安装”后需可以进行“考核”操作；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发动机虚拟拆卸需包含断开低压蓄电池负极、拆卸格栅上盖板总成、拆卸发动机水泵电源线、拆卸发动机系统搭铁线束、拆卸发动机ECU低压插头、拆卸发动机ECU低压线束卡扣、拆卸发动机水泵电源线固定卡扣、断开低压中转插接插件、拆卸低压中转母端插头固定卡扣、断开高压系统直流母线接插件、拆除喷油管固定扎带、拆卸电控上盖板声学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发动机虚拟安装需包含降下车辆到指定位置、安装发动机两侧悬置固定螺栓及螺母、举升车辆、移开电池举升平台、安装动力总成后悬置支座、安装排气管前段固定螺栓、安装吸振器总成、安装两侧驱动轴、安装方向机球头、安装下摆臂总成与前下摆臂球头总成固定螺栓、安装空调压缩机冷媒管、安装冷却液管路（车底）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动力电池虚拟拆卸需包含断开低压蓄电池负极、断开高压系统直流母线接插件、回收制冷剂、举升车辆、拆卸电池包低压插头、拆卸电池包高压插头、拆卸电池包膨胀阀低压插头、拆卸电池包冷媒管路固定螺栓、拆卸两侧电池包护板、放置电池举升平台、拆卸动力电池固定螺栓、拆卸动力电池等位线螺栓步骤；</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动力电池虚拟安装包含升起电池举升平台、安装动力电池固定螺栓、安装动力电池等位线螺栓、降下举升机电池举升平台、安装两侧电池包护板、安装电池包高压插头、安装电池包冷媒管路固定螺栓、安装电池包膨胀阀低压插头、降下车辆、安装高压系统直流母线接插件、安装低压蓄电池负极、添加制冷剂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驱动电机虚拟拆卸需包含断开线束固定卡扣、拆卸前驱电机低压线束搭铁线、断开双电控总成低压插头、断开电机旋变传感器低压插头、断开电机温度传感器低压插头、断开离合器压力电磁阀低压插头、断开离合器压力传感器低压插头、断开电动水泵总成1传感器低压插头、断开电动压缩机高压插头、拆卸发动机及驱动电机连接支架固定螺栓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驱动电机虚拟安装需包含安装前驱动电机+变速器总成、安装前驱动电机+变速器总成与发动机固定螺栓、安装双电控总成、安装电机三相固定螺栓、安装双电控总成侧面端盖、安装双电控总成固定螺栓、安装双电控总成冷却水管、安装发动机及驱动电机连接支架固定螺栓、安装电动压缩机高压插头、安装电动水泵总成1传感器低压插头步骤。</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34.软件包含汽车故障诊断模块：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汽车故障诊断模块包含整车控制系统、动力电池管理系统、充放电系统、驱动控制系统、底盘系统、电气系统、发动机电控系统、换挡操纵系统、电动助力转向系统、空调系统。整车控制系统包含油门信号1故障、油门信号2故障、整车控制器常电故障、整车控制器通讯故障、电子风扇常电故障、电子风扇PWM控制信号故障；动力电池管理系统包含动力电池管理器常电故障、动力电池管理器IG电故障、高压互锁故障；充放电系统包含充电CC故障、充电CP故障1、充电CP故障2、车载充电机通讯故障1、</w:t>
            </w:r>
            <w:r>
              <w:rPr>
                <w:rFonts w:hint="eastAsia" w:ascii="宋体" w:hAnsi="宋体" w:eastAsia="宋体" w:cs="宋体"/>
                <w:b w:val="0"/>
                <w:bCs w:val="0"/>
                <w:i w:val="0"/>
                <w:iCs w:val="0"/>
                <w:color w:val="000000"/>
                <w:spacing w:val="0"/>
                <w:sz w:val="28"/>
                <w:szCs w:val="28"/>
                <w:highlight w:val="none"/>
                <w:vertAlign w:val="baseline"/>
              </w:rPr>
              <w:t xml:space="preserve">车载充电机通讯故障2、车载充电机常电故障；驱动控制系统包含驱动电机旋变故障、发电机旋变故障、电机控制器IG电故障；底盘系统包含轮速传感器故障；电气系统包含右前位置灯驱动电路故障；发动机电控系统包含发动机主继电器故障、发动机点火故障1、发动机喷油故障1；换挡操纵系统包含换挡操纵系统供电故障、换挡面板供电故障、换挡面板通讯故障、P档信号故障；电动助力转向系统包含助力电机供电故障、电动助力系统IG1供电故障、电动助力系统通讯故障；空调系统包含电动压缩机供电故障、电动压缩机通讯故障、PTC供电故障、PTC通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诊断仪必须车辆上电和将诊断仪连接器连接到诊断口后，才能读取故障码和数据流，否则提示诊断仪与车辆不能通信；诊断仪的数据流模块里，勾选或取消勾选相关的数据流后，工单里会自动记录或取消记录相关的数据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汽车故障诊断模块可举升车辆，在非动力系统故障状态下，通过按钮进行制动踏板踩下，通过按钮进行汽车启动，在制动踏板为踩下时，能通过点击不同档位按钮切换档位，制动踏板状态为未踩下时，不能切换档位；在D档或者R档状态下并且制动踏板松开时，轮胎能轻微前转或后转，踩下油门踏板时，轮子能快速前转或后转，制动踏板状态为踩下时，轮子停止转动；车辆在未举升状态时，不能切换档位，并且弹出提示“先举升车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35.可切换到交流充电枪视角，车辆举升或未举升状态下，都可以点击交流充电枪，交流充电枪会自动放置到车辆交流充电口并进行交流充电，仪表显示“连接已成功，充电中”，再次点击交流充电枪，交流充电枪放回原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36.视角导航按钮包含整车、机舱、驾驶室、换挡操纵面板总成、灯光开关、油门深度传感器、智能制动控制器、前舱配电盒、仪表配电盒、左域控制器、右域控制器、发动机控制器、双电机控制器、电机旋转变压器、电子风扇、电动压缩机、PTC、右前组合灯、后轮速传感器、动力电池包、交流充电口、交流充电口低压插头、车载充电机、整车控制器、油泵电机、电子助力转向控制器、低压蓄电池、诊断口，每个按钮都可以切换到对应位置视角；在举升状态和未举升状态下，对应的视角按钮切换到的视角一致；切换</w:t>
            </w:r>
            <w:r>
              <w:rPr>
                <w:rFonts w:hint="eastAsia" w:ascii="宋体" w:hAnsi="宋体" w:eastAsia="宋体" w:cs="宋体"/>
                <w:b w:val="0"/>
                <w:bCs w:val="0"/>
                <w:i w:val="0"/>
                <w:iCs w:val="0"/>
                <w:color w:val="000000"/>
                <w:spacing w:val="0"/>
                <w:sz w:val="28"/>
                <w:szCs w:val="28"/>
                <w:highlight w:val="none"/>
                <w:vertAlign w:val="baseline"/>
              </w:rPr>
              <w:t xml:space="preserve">到对应的视角后，可以将对应的油门深度传感器低压插头、智能制动控制器低压插头、左域控制器低压插头、右域控制器低压插头、发动机控制器低压插头、双电控总成低压插头、电机旋转变压器低压插头、电子风扇低压插头、电动压缩机低压插头、右后轮速传感器低压插头、动力电池包低压插头、交流充电口低压插头、车载充电机低压插头、整车控制器低压插头、电子助力转向控制器低压插头、低压蓄电池负极插头进行拔插操作，在有插头拔出情况下上电，将会弹出提示“插头未还原，启动失败”；车辆在上电过程中拔下插头，系统会弹出提示“车辆启动中，禁止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37.平台包含万用表、诊断仪、示波器等多种虚拟检测设备；万用表能够进行电压、电阻和导通性检测；故障诊断仪参考主机厂的设计，在系统模块下读取故障码、清除故障码、读取数据流等操作；示波器能读取当前端子之间的波形，采用双通道设计，可单独使用一个通道测量波形，也可使用双通道测量波形，波形为动态变化，最大限度贴近实际使用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38.仪表板能够显示各种指示灯状态、警示灯信息，若无故障或故障被修复，则仪表板也会恢复正常，无任何警告灯或警告信息。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39.提示性维修记录工单：按照故障诊断流程，分解故障诊断排除的流程，进行数据记录和填写，帮助学生更好地理解每一步的作业内容及原因。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40.端子标注：以插接件端子图片标示端子号，配置端子定义，能快速查看端子信息，便于测量和诊断分析。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41.训练结果：按工单的操作流程，所有操作及数据都有记录，并判定正确与否，若错误会提示正确答案。</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（三）新能源汽车结构原理与检测3D虚拟仿真软件</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采用虚拟仿真技术，基于产业上销量前列的纯电动汽车进行1:1建模，需包含动力电池管理系统、车载充电系统、驱动传动系统、整车控制系统；</w:t>
            </w:r>
            <w:r/>
          </w:p>
          <w:p>
            <w:pPr>
              <w:pStyle w:val="898"/>
              <w:ind w:left="0" w:right="0"/>
              <w:jc w:val="left"/>
              <w:keepLines w:val="0"/>
              <w:keepNext w:val="0"/>
              <w:spacing w:before="0" w:beforeAutospacing="0" w:after="0" w:afterAutospacing="0" w:line="23" w:lineRule="atLeast"/>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动力电池管理系统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动力电池管理系统需包含系统概述、电池管理控制器、电路图、动力电池结构、接触器结构、接触器原理、模组连接方式、电池管理系统原理、电池热管理原理；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1.系统概述：结合透视结构，展示完整的动力电池管理系统，可放大缩小、旋转，并配有文字介绍；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2.电池管理控制器：结合透视结构，展示电池管理控制器，可放大缩小、旋转，并配有文字介绍；提供端口定义，含引脚号、端口名称、端口定义、线束接法、信号类型；</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3.电路图：提供动力电池管理系统的彩色电路图；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动力电池结构：结合爆炸动画，展示上密封盖、隔热阻燃防护垫、电池包高压接插头、电池包低压接插头、电池通信转换器、高压配电箱、电池信息采集器、汇流铜排FPC、电池模组、电池包进水口、电池包出水口，可放大缩小、旋转，并配有文字介绍。</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5.接触器结构：展示接触器结构，可合并/分解，充分学习接触器内外结构，分解后每个零件有文字标识，可放大缩小、旋转，并配有文字介绍；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6.接触器原理：结合透视结构和流动特效，展示接触器原理，可演示接通/断开效果，每个零件有文字标识，可放大缩小、旋转，并配有文字介绍；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7.模组连接方式：结合流动特效，展示电池包内部模组的连接方式，可放大缩小、旋转，并配有文字介绍及连接平面图；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8.电池管理系统原理：结合流动特效，展示电池管理系统的工作原理，可放大缩小、旋转，并配有文字介绍及平面图；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9.电池热管理原理：结合流动特效，展示电池加热功能、电池冷却功能。</w:t>
            </w:r>
            <w:r/>
          </w:p>
          <w:p>
            <w:pPr>
              <w:pStyle w:val="898"/>
              <w:ind w:left="0" w:right="0"/>
              <w:jc w:val="left"/>
              <w:keepLines w:val="0"/>
              <w:keepNext w:val="0"/>
              <w:spacing w:before="0" w:beforeAutospacing="0" w:after="0" w:afterAutospacing="0"/>
              <w:widowControl/>
              <w:rPr>
                <w:b/>
                <w:bCs/>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▲9.1 电池加热功能展示包含PTC水加热器、空调控制器、电池管理控制器、四通阀、板式换热器、电池冷却液补偿水壶、电池热管理水泵、网关控制器、水温传感器、动力电池及流动管路连接立体模型，可放大缩小、旋转，并配有文字介绍及连接平面图。</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9.2 电池冷却功能包含电动压缩机、冷凝器、压力传感器、电子膨胀阀、空调控制器、电池管理控制器、四通阀、板式换热器、电池冷却液补偿水壶、电池热管理水泵、网关控制器、水温传感器、动力电池及流动管路连接立体模型，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车载充电系统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车载充电系统需包含系统概述、充配电总成、电路图、交流充电口、直流充电口、交流充电工作原理、直流烧结检测、直流充电工作原理、DC-DC工作原理。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1.系统概述：结合透视结构，展示完整的车载充电系统，可放大缩小、旋转，并配有文字介绍；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充配电总成：结合透视结构，展示完整的充配电总成，可放大缩小、旋转，并配有文字介绍；提供端口定义，含引脚号、端口名称、端口定义、线束接法、信号类型；快速切换车载充电机、DC-DC电源转换器、高压配电模块的位置，每个零件具有文字标识；</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3.电路图：提供车载充电系统的彩色电路图；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4.交流充电口：结合透视结构，展示完整的交流充电口及充电线束，可放大缩小、旋转，并配有文字介绍；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5.直流充电口：结合透视结构，展示完整的直流充电口及充电线束，可放大缩小、旋转，并配有文字介绍；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6.交流充电工作原理：结合流动特效，展示交流充电从充电桩－充电枪－交流充电口－充配电总成－动力电池的过程，可放大缩小、旋转，并配有文字介绍；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7.直流充电烧结检测：结合流动特效，展示直流充电电流传输及烧结检测的过程，可放大缩小、旋转，并配有文字介绍及连接平面图；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8.直流充电工作原理：结合流动特效，展示交流充电从充电枪－直流充电口－（控制器）充配电总成－动力电池的过程，可放大缩小、旋转，并配有文字介绍；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9.DC-DC工作原理：结合流动特效，展示动力电池、DC-DC、低压蓄电池与低压电器之间的联系，可放大缩小、旋转，并配有文字介绍。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驱动传动系统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驱动传动系统需包含系统概述、电机控制器、电路图、驱动电机、变速器、驱动控制原理、电机冷却系统原理；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1.系统概述：结合透视结构，展示完整的驱动传动系统，可放大缩小、旋转，并配有文字介绍；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▲2.电机控制器：结合透视结构，展示完整的电机控制，可放大缩小、旋转，并配有文字介绍；提供端口定义，含引脚号、端口名称、端口定义、线束接法、信号类型，每个零件具有文字标识；</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3.电路图：提供电机控制器、挡位传感器的彩色电路图；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4.驱动电机：结合透视结构，分别展示电机定子、电机转子、旋变传感器、温度传感器，可放大缩小、旋转，并配有文字介绍；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5.变速器：结合透视结构，分别展示输入轴、中间轴、差速器，可放大缩小、旋转，并配有文字介绍；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驱动控制原理：结合流动特效，充分展示驱动传动系统的完整工作过程，动力电池包－充配电总成-电机控制器-驱动电机－变速器－传动轴－车轮，可通过油门踏板深度控制电机转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7.电机冷却系统原理：结合流动特效，展示电机冷却系统进行工作的原理。</w:t>
            </w:r>
            <w:r/>
          </w:p>
          <w:p>
            <w:pPr>
              <w:pStyle w:val="898"/>
              <w:numPr>
                <w:ilvl w:val="0"/>
                <w:numId w:val="4"/>
              </w:numPr>
              <w:ind w:left="420" w:right="0" w:hanging="420"/>
              <w:jc w:val="left"/>
              <w:keepLines w:val="0"/>
              <w:keepNext w:val="0"/>
              <w:spacing w:before="0" w:beforeAutospacing="0" w:after="0" w:afterAutospacing="0" w:line="23" w:lineRule="atLeast"/>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整车控制系统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整车控制系统需包含系统概述、整车控制器、电路图、局域网内网络管理、高压系统上下电管理、档位管理、踏板信号管理、车辆驱动管理、整车能量管理；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1.系统概述：结合透视结构，展示完整的整车控制系统，可放大缩小、旋转，并配有文字介绍；</w:t>
            </w:r>
            <w:r/>
          </w:p>
          <w:p>
            <w:pPr>
              <w:pStyle w:val="898"/>
              <w:ind w:left="0" w:right="0"/>
              <w:jc w:val="left"/>
              <w:keepLines w:val="0"/>
              <w:keepNext w:val="0"/>
              <w:spacing w:before="0" w:beforeAutospacing="0" w:after="0" w:afterAutospacing="0"/>
              <w:widowControl/>
              <w:rPr>
                <w:b/>
                <w:bCs/>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▲2.整车控制器：结合透视结构，展示完整的整车控制器，可放大缩小、旋转，并配有文字介绍；提供端口定义，含引脚号、端口名称、端口定义、线束接法、信号类型；</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3.电路图：提供整车控制系统的彩色电路图；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局域网内网络管理：结合流动特效，展示整车控制器、车身控制模块、电池管理控制器、充配电总成、PTC风加热器、车身稳定系统控制单元、网关控制器、电机控制器之间信号传输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5.高压系统上下电管理：结合流动特效，控制启动及停止，展示高压系统上电流程及下电流程，可放大缩小、旋转，并配有文字介绍；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6.档位管理：结合流动特效，可控制停车档、倒车档、空档、前进档4个档位，展示不同挡位下信号传输过程，可放大缩小、旋转，并配有文字介绍；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7.踏板信号管理：结合流动特效，控制油门踏板、制动踏板，展示加速、制动下信号传输及油液流动过程，可放大缩小、旋转，并配有文字介绍；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8.车辆驱动管理：结合流动特效，可切换ECO、NORMAL、SPORT不同模式，展示不同模式管理的信号流动及车速变化；</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9.整车能量管理：结合流动特效，展示制动能量回收过程，控制油门踏板、制动踏板，展示制动下能量回收的传递路线过程，可放大缩小、旋转，并配有文字介绍。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五、配套课程资源要求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新能源汽车技能训练工作站教学资源需基于本项目建设购买车型或同平台车型售后检测维修岗位开发。内含实训微课、实训指导书、实训工单、设备及工具清单、精品图片资源。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1.组成要求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新能源汽车技能训练工作站教学资源不少于100 个实训微课、 不少于100 个实训指导书、不少于100 个实训工单、不少于100 个设备及工具清单、不少于 50 张图片资源。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2.技术要求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微课资源根据岗位知识点需要，以实训微课的形式呈现；视频充分体现了企业岗位的实际工作任务所要具备的职业技能和规范的安全、工艺、流程作业标准。画面分辨率需高清，有专业配音讲解，视频包装需精良，视频格式为MP4；</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2）实训指导书配套实操微课制作，以企业岗位典型工作任务为案例，详细描述工作任务的步骤及流程，包含任务描述、实训目标、实训准备、任务实施要素；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3）实训工单配套实操微课制作，需包含实训工单、实训评价；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4）图片资源以新能源汽车动力电池系统结构、原理为主，采用二维绘制、三维模型出图、实物拍摄制作多种形式，需呈现高质量精品图片资源。满足教学备课及学生自主学习的需求；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5）设备及工具清单包括完成实训必需的设备及工具，也包含推荐的设备及工具型号，满足教学备课需求。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3.资源清单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制作要求：需提供不低于2种车型进行拍摄。视频总时长≥500分钟，视频格式≥1080P，配中文字幕，配音为标准普通话，场景一致，出镜人员服装道具需与本设备品牌一致，视频不得有模糊处理遮掩。视频包括：工具准备、准备工作、工作任务（具体任务明细）、实训现场6S整理部分。</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故障诊断仪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一、产品功能要求</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1、可进行新能源汽车故障诊断、数据流读取等；</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2、支持高压系统框图、部件图、插座图、拆装引导；</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3、支持车上OBD测试+车下测试两种电池包测试方式；</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4、准确读取SOC/SOH、各单体压差、温差等信息；</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5、支持OBD车上高压电池动态测试，含单体电压或温度录制功能，并生成包含电压、内阻、温度信息的完整检测报告；</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6、配备新能源诊断盒，高压部件离线检测更智能高效；</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7、支持OBD、专用电池接头、跳线多种方式进行电池包诊断；</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二、技术参数</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屏幕大小：≥10.1寸；</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CPU处理器：≥8核；</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RAM运存 / ROM存储：≥4GB/128GB；</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电池：≥11600mAh</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新能源汽车空调系统实训平台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一．总体要求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本实训平台基于国内头部新能源车企的新能源汽车电动压缩机、PTC水暖空调系统1:1实物搭建，完整还原制冷、制热、通风功能，可进行传感器检测、执行器测试、故障诊断与数据流分析，适用于新能源汽车空调系统教学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二．组成要求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核心部件由≥1套高压直流电源、≥1套电动压缩机、≥1套高压PTC、≥1套电子膨胀阀、≥1套鼓风机、≥1套空调面板、≥1套冷䁔电机、≥1套压力传感器、≥1套压力温度传感器、≥1套室内温度传感器、≥1套室外温度传感器、≥1套前蒸发器温度传感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≥1套主驾吹脚风门、≥1套主驾吹面风门、≥1套空调电脑模块、≥1套高压控制电路、≥1套冷凝器、≥1套蒸发器、≥1套内</w:t>
            </w:r>
            <w:r>
              <w:rPr>
                <w:rFonts w:hint="eastAsia" w:ascii="宋体" w:hAnsi="宋体" w:eastAsia="宋体" w:cs="宋体"/>
                <w:b w:val="0"/>
                <w:bCs w:val="0"/>
                <w:i w:val="0"/>
                <w:iCs w:val="0"/>
                <w:color w:val="000000"/>
                <w:spacing w:val="0"/>
                <w:sz w:val="28"/>
                <w:szCs w:val="28"/>
                <w:highlight w:val="none"/>
                <w:vertAlign w:val="baseline"/>
              </w:rPr>
              <w:t xml:space="preserve">外循环风门、≥1套模式风门、≥1套检测面板、≥1套诊断座、≥1套电路图、≥1套故障设置模块组成。设备总体尺寸（长×宽×高）：≥1100mm×1900mm×1700mm。设备应采用原车器件，可呈现该系统组成与各组件形态；设备训练台检测面板丝印彩色空调系统电路原理图，检测面板采用亚克力材质；检测端子名称采用白色字体丝印，并标注与原理图上线路连接关系对应的管脚号；.设备应配置不小于43寸高清多媒体人机交互终端，分辨率≥1920×1080像素；训练台应采用铝型材，底部安装4个万向脚轮，脚轮带自锁装置，可以固定位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三．功能及实训要求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1.设备断掉高压电后方便各组成部件拆卸，以及各组成部件的认知；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2.设备应具有测试工位，各工位可对汽车空调系统低压线路电信号进行测量，学生可借助万用表，示波器设备对各测试点进行检测。如：电压信号，电阻信号、脉冲信号；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3.可搭配与该训练台相配套的电动汽车电动空调系统智能教学系统对设备进行相关故障设置及清除；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4.实训台可通过CAN转换设备对空调面板协议数据信息进行转换，实现控制模块数据传输；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5.实训台可通过诊断仪诊断压缩机，PTC，空调控制器的数据以及清除故障码；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6.测试面板底部支撑箱体表面应喷涂磨砂黑色烤漆；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7.训练台上有安装空调控制面板，要可通过面板控制空调工作状态；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四．技术参数要求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1.高压直流电源电气参数：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输出电压：≤DC 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额定功率：≤5.4kW；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输出电流：≤12A（峰值）；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通信：CAN 2.0B；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2.电动压缩机电气参数：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辅助电压输入：≤12V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额定功率：≤2.2kW；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转速范围：1000-4000rpm；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控制方式：至少包含CAN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绝缘等级：不低于Class F；</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工作电流：≤5A（额定工况）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主体结构材料：采用铝合金压铸件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外壳组合：壳体、前盖、上盖结构件组成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最大排量：≥25cc</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低压接口：≥1个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高压接口：≥1个、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进气接口：≥1个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出气接口：≥1个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3.高压 PTC电气参数：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额定功率：3-8kW；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工作电流：10-30A；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绝缘电阻：≥5MΩ（500V 兆欧表）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外壳采用ABS黑色材料，</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PTC加热器低压接口：≥1个4Pin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PTC加热器高压接口：≥1个2Pin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规格长×宽×高：≥260mm×200mm×140mm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4.电子膨胀阀电气参数：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工作电流：0.5-1A；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接口：脉冲信号控制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5.鼓风机电气参数：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额定功率：30-150W；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转速范围：500-3000rpm；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控制方式：PWM 调速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绝缘等级:不低于Class 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6.空调面板电气参数: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工作电流：0.5-2A；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显示类型：LED；</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防护等级：不低于IP54（内饰件）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7.冷暖电机电气参数: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额定功率：5-20W；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行程角度：0-90°；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 + 位置反馈电位器；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8.压力传感器电气参数: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测量范围：0-5MPa（冷媒高压）；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输出信号：0.5-4.5V（模拟量）/ 数字信号；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精度：±1% FS；</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9.压力温度传感器电气参数: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5V；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压力测量范围：0-4.5MPa；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温度测量范围：-40℃~150℃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输出信号： 模拟量；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精度：压力 ±2% FS，温度 ±1℃；</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10.室内温度传感器电气参数: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测量范围：-20℃~60℃；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精度：±0.5℃；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工作电压：DC 5V;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11.室外温度传感器电气参数: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测量范围：-40℃~85℃；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值：3435K/3950K；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精度：±1℃；</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防护等级：不低于IP67（室外安装）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12.前蒸发器温度传感器电气参数: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测量范围：-40℃~80℃；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值：3435K/3950K；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精度：±0.5℃；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安装方式：贴附式（蒸发器翅片）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13.空调电脑模块电气参数: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工作电流：1-3A；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通信接口：CAN 2.0B；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防护等级：不低于IP54；</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外壳采用ABS黑色材料，</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接口≥3个，A口采用26PIN,B口采用24PIN,C口采用30PIN,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规格长×宽×高：≥120mm×140mm×30mm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14.冷凝器电气参数: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电子扇供电：≤12V；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电子扇额定功率：50-200W；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电子扇转速：1000-3000rpm；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控制方式：PWM 调速；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工作电流：3-10A；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防护等级：不低于IP67</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15.内外循环风门电机电气参数: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额定功率：5-15W；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工作电流：0.3-0.8A；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行程角度：0-180°；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 + 霍尔位置反馈；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16.模式风门电机电气参数: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行程角度：0-90°；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17.故障设置模块电气参数: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通信接口：485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故障类型：断路 / 短路；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五．配套软件要求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（一）教学系统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该系统可与新能源汽车空调系统实训平台互联，教学系统应内置与实训台面板相匹配的彩色电路图，同时需搭配可视化课程资源与文本资源，需实现纯电动汽车电驱动系统交互式教学。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1.点击维修手册功能按钮，可直接进入维修手册专属查看界面；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2.维修手册查看界面支持手册内容的放大、缩小操作，适配不同查看视角需求；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3.点击资源管理功能按钮，可直接进入资源管理专属操作界面；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4.资源管理界面配备课程资源上传功能，支持教师端独立操作；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5.资源上传功能兼容视频类、文本类两类课程资源的上传需求；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6.视频类资源接入高清播放平台，实现标准化高清播放效果；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7.视频播放功能至少支持 swf、MP4格式，满足主流视频播放需求；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8.视频播放过程中，支持全屏播放、暂停播放操作，提升播放操作灵活性；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9.文本类资源上传功能支持word、excel、PDF、PPT 格式，覆盖常用办公文档类型；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10.资源管理界面配备课程资源删除功能，支持教师删除自身自主上传的课程资源；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11.点击故障设置功能按钮，可直接进入故障设置专属操作界面；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12.故障设置界面支持已设置故障名称的恢复操作；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13.故障名称的设置、恢复操作，均需在≥43寸的高清多媒体终端上完成，保障操作视野与交互效果。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（二）数智教师教辅系统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1.用户登录，老师输入教师端账号和密码，进入数字教师主界面。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 主界面分为≥10个功能模块，分别为工作台、思政案例、岗位情景导入、知识点提炼、智能教案、智能教学计划设计、智能阅读、试卷生成、长文提炼、AI基础能力。</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 工作台使用数字看板的设计，将每个功能模块展示出来，方便用户快速切换，每个模块的内容包括功能标题、功能介绍、使用按钮。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 课程思政案例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（1）输入课程名称可生成至少3个思政案例。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（2）选择其中任一思政案例并输入具体课程内容可生成至少3个思政点供教师选择。</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根据教师输入的课程内容、生成对应该课程内容的课程思政点列表，教师从课程思政点列表选择特定的思政点，生成学习融入思政教育的教学活动/案例。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 岗位情景导入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（1）岗位场景库：提供海量真实工作场景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（2）高效精准匹配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教师授课准备时，快速获得与授课内容相关的岗位情景导入，该岗位情景导入能够融合教学内容在实际岗位中的工作场景，引发学生感知课堂内容，进行课堂内容思考。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6.知识点提炼：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利用AI技术自动识别和提取教学资料中的知识点，形成结构化的知识库。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技术参数：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 支持文件上传/文本录入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 正确识别知识点内容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 知识点分类生成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7.智能教案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（1）区分实训课理论课教案内容，根据教学侧重点生成教案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（2）教学活动设计库：提供海量教学活动设计，根据教学任务精准匹配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教师在备课时，根据教学内容、教学目标、学生特点个性化生成教案。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8.智能教学计划设计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（1）根据教材特点自动规划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（2）可调整教学周期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教师在进行教学计划设计时，输入教学周期、课时等安排一键设计课程教学计划。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9.智能阅读：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帮助教师针对教学知识点快速生成想要的题目，可以选择题目类型，并生成对应的课堂小测或课后练习，进行针对性训练。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（1）支持多种题型选择</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（2）专业题库：根据知识点精准匹配题库题目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帮助教师针对教学知识点快速生成想要的题目，可以选择题目类型，并生成对应的课堂小测或课后练习，给出出题建议。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10.试卷生成：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（1）根据考核目标一键生成试卷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（2）试卷配有答案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帮助教师根据已授课的内容，一键生成完整试卷，可用作平时练习或阶段性检测。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11.长文提炼：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（1）支持超长文本内容上传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（2）可处理多语言文本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教师在阅读长文本内容时，快速获得文本摘要，确定文本的方向是否值得深入阅读，可快速提炼梳理文本内容的逻辑框架、段落总结、罗列重要事实及数据。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12.平台具备文本生成、语言理解、知识问答、逻辑推理、数学能力和代码能力等AI基础能力，提供强大的技术支持。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六、配套实训资源要求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配套实训指导书，内容需与新能源汽车空调系统实训平台设备搭配，每个实训项目用表格形式编辑，表格内容至少包含实训项目、班级/姓名、实训课时、实训台架、实训目的、实训设备、实训操作步骤或任务实施模块，其中实训设备须用高清彩色实物图片进行表示清楚具体外观，实训操作步骤或任务实施内容须按操作顺序进行逐一表述，且操作内容须附带高清彩色实物图片结合文字进行描述。实训指导书需有目录，全文字数不少于10000字，字体大小≤四号，页面数量不少于50张，可用word或pdf文档交付,任务内容包含但不限于以下数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实训项目1高压安全作业准备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实训项目2认识新能源汽车空调系统实训台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实训项目3实训台运行原理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实训项目4压缩机和冷凝器继电器控制断路故障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实训项目5控制面板接地断路故障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实训项目6鼓风机 PWM调速信号断路故障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实训项目7模式和冷暖电机传感器电源断路故障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实训项目8模式电机位置反馈信号断路故障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实训项目9冷暖电机位置反馈信号断路故障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实训项目10循环风门执行器电源断路故障</w:t>
            </w:r>
            <w:r/>
          </w:p>
        </w:tc>
      </w:tr>
    </w:tbl>
    <w:p>
      <w:pPr>
        <w:pStyle w:val="898"/>
        <w:ind w:left="0" w:right="0"/>
        <w:jc w:val="both"/>
        <w:keepLines w:val="0"/>
        <w:keepNext w:val="0"/>
        <w:spacing w:before="0" w:beforeAutospacing="0" w:after="0" w:afterAutospacing="0"/>
        <w:widowControl/>
        <w:rPr>
          <w:highlight w:val="none"/>
        </w:rPr>
        <w:suppressLineNumbers w:val="0"/>
      </w:pPr>
      <w:r>
        <w:rPr>
          <w:rFonts w:hint="eastAsia" w:ascii="宋体" w:hAnsi="宋体" w:eastAsia="宋体" w:cs="宋体"/>
          <w:b w:val="0"/>
          <w:bCs w:val="0"/>
          <w:i w:val="0"/>
          <w:iCs w:val="0"/>
          <w:color w:val="000000"/>
          <w:spacing w:val="0"/>
          <w:sz w:val="21"/>
          <w:szCs w:val="21"/>
          <w:highlight w:val="none"/>
          <w:vertAlign w:val="baseline"/>
          <w:lang w:val="en-US"/>
        </w:rPr>
        <w:t xml:space="preserve"> </w:t>
      </w:r>
      <w:r/>
    </w:p>
    <w:p>
      <w:pPr>
        <w:pStyle w:val="879"/>
        <w:ind w:left="0" w:right="454" w:firstLine="0"/>
        <w:rPr>
          <w:rFonts w:ascii="宋体" w:hAnsi="宋体" w:eastAsia="宋体" w:cs="宋体"/>
          <w:b/>
          <w:bCs/>
          <w:sz w:val="28"/>
          <w:szCs w:val="28"/>
          <w:highlight w:val="none"/>
        </w:rPr>
      </w:pPr>
      <w:r>
        <w:rPr>
          <w:rFonts w:hint="eastAsia" w:ascii="宋体" w:hAnsi="宋体" w:eastAsia="宋体" w:cs="宋体"/>
          <w:b/>
          <w:bCs/>
          <w:color w:val="auto"/>
          <w:sz w:val="28"/>
          <w:szCs w:val="28"/>
          <w:highlight w:val="none"/>
        </w:rPr>
        <w:t xml:space="preserve">四、项目实施要求</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1、为保证本项目的顺利实施，投标人应结合各自产品特点，自行制定实施方案配以文字说明。</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2、投标人所投产品应能够满足以上技术要求，投标人必须严格按本招标文件要求提供成熟的服务和有效的技术支持。</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3、投标人必须承诺招标文件中提出的全部技术规格与要求，如果其中某些条款不响应时，应在文件中逐条列出，未列出的视同响应。投标人应以人民币报出完成本次谈判所需全部服务的总价。</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4、合同履行期限：合同签订后</w:t>
      </w:r>
      <w:r>
        <w:rPr>
          <w:rFonts w:hint="eastAsia" w:ascii="宋体" w:hAnsi="宋体" w:cs="宋体"/>
          <w:sz w:val="28"/>
          <w:szCs w:val="28"/>
          <w:highlight w:val="none"/>
          <w:lang w:val="en-US" w:eastAsia="zh-CN"/>
        </w:rPr>
        <w:t xml:space="preserve">20</w:t>
      </w:r>
      <w:r>
        <w:rPr>
          <w:rFonts w:hint="eastAsia" w:ascii="宋体" w:hAnsi="宋体" w:cs="宋体"/>
          <w:color w:val="auto"/>
          <w:sz w:val="28"/>
          <w:szCs w:val="28"/>
          <w:highlight w:val="none"/>
        </w:rPr>
        <w:t xml:space="preserve">日历天内</w:t>
      </w:r>
      <w:r>
        <w:rPr>
          <w:rFonts w:hint="eastAsia" w:ascii="宋体" w:hAnsi="宋体" w:cs="宋体"/>
          <w:sz w:val="28"/>
          <w:szCs w:val="28"/>
          <w:highlight w:val="none"/>
        </w:rPr>
        <w:t xml:space="preserve">供货安装调试完毕（地址为招标人指定地点）。</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5、人员要求：拟派人员在本项目合同履行期间不得更换。如拟派人员不符合招标人要求，应在2个工作日内予以更换合格人员。</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6、培训要求</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①培训性质：投标人必须提供全面的设备操作、维修保养及教学应用培训，确保采购方专业教师能够独立操作设备、开展实训教学及进行简单的故障排除。</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②培训模式：采用 “理实一体化” 培训模式，理论讲解与现场实操比例建议为 3:7。</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③培训对象及人数：新能源汽车检测与维修专业骨干教师、实训室管理员，由采购方确定。</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④ 培训内容：包含采购项目中的所有设备。</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⑤培训时长：根据采购方要求采取集中连续式培训，时长不低于5个工作日，每日不低于8个学时。</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⑥考核结业：培训应结合交通运输行业“智能汽车维修工”职业资格证书要求，进行培训结业考核并取证。</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7、投标人应保证所提供的软件、技术资料是合法取得，并享有完整的知识产权，不会因为招标人的使用而被责令停止使用、追偿或要求赔偿损失，如出现此情况，一切经济和法律责任均由投标人承担。</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8、投标人安装调试时采取必要的安全措施，如有意外或事故发生，由中标人（合同卖方）负全部责任。</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9、投标人应指派专人全面负责项目的管理、项目协调、项目控制、质量监督等各项管理工作。</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10、项目在实施过程中的安装应保证美观，布线以暗线为主，不能破坏原有线路，破坏的墙面、管线要恢复原状。</w:t>
      </w:r>
      <w:r/>
    </w:p>
    <w:p>
      <w:pPr>
        <w:jc w:val="both"/>
        <w:spacing w:line="360" w:lineRule="auto"/>
        <w:rPr>
          <w:rFonts w:hAnsi="宋体" w:cs="宋体"/>
          <w:b/>
          <w:bCs/>
          <w:sz w:val="28"/>
          <w:szCs w:val="28"/>
          <w:highlight w:val="none"/>
        </w:rPr>
      </w:pPr>
      <w:r>
        <w:rPr>
          <w:rFonts w:hint="eastAsia" w:hAnsi="宋体" w:cs="宋体"/>
          <w:b/>
          <w:bCs/>
          <w:sz w:val="28"/>
          <w:szCs w:val="28"/>
          <w:highlight w:val="none"/>
        </w:rPr>
        <w:t xml:space="preserve">五、验收标准</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验收过程中所产生的一切费用均由成交投标人承担。报价时应考虑相关费用。成交投标人在完成所有系统供货后由招标人对照招标文件及投标文件的内容指标、技术指标及功能目标全面核对检验，如不符合招标文件及投标文件的技术需求及要求以及提供虚假承诺的，按相关规定作退货处理及违约处理，成交投标人承担所有责任和费用，招标人保留进一步追究责任的权利。</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2、本项目为交匙项目，报价包话定制软件开发、运输、安装、调试、培训、接入等工作，项目实施的整体管理、协调直至通过验收交付招标人使用。自验收合格之日算起，中标人需对本项目提供不低于</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年的免费质保、运行维护及产品升级。</w:t>
      </w:r>
      <w:r/>
    </w:p>
    <w:p>
      <w:pPr>
        <w:jc w:val="both"/>
        <w:spacing w:line="360" w:lineRule="auto"/>
        <w:rPr>
          <w:rFonts w:ascii="宋体" w:hAnsi="宋体" w:cs="宋体"/>
          <w:b/>
          <w:sz w:val="28"/>
          <w:szCs w:val="28"/>
          <w:highlight w:val="none"/>
        </w:rPr>
      </w:pPr>
      <w:r>
        <w:rPr>
          <w:rFonts w:hint="eastAsia" w:ascii="宋体" w:hAnsi="宋体" w:cs="宋体"/>
          <w:b/>
          <w:sz w:val="28"/>
          <w:szCs w:val="28"/>
          <w:highlight w:val="none"/>
        </w:rPr>
        <w:t xml:space="preserve">六、售后服务及保修要求</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1、按国家有关产品“三包”规定执行“三包”，免费维护期：自验收合格之日算起，中标人需对本项目提供不低于</w:t>
      </w: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年原厂免费质保、运行维护及产品升级服务，提供的货物保修、维护、升级按厂家谈判时的承诺执行。保修期满后，中标人仍提供维护服务，如产品须升级仅收取升级成本。质保期内软件升级发布新版本时，应根据招标人要求对软件进行升级。维护期外要求能终身提供广泛优惠的技术支持和维修服务。</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2、要求提供7*24小时的技术支持和服务，2小时内对招标人提出维护维修要求做出响应，4小时内到现场，最迟在2个工作日内修复，必要时采取临时调换等措施；以保证招标人的正常工作。</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3、投标人除提供日常的系统管理与维护培训外，还应配合提供远程7×24小时的应急技术支持（含远程和现场）。</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4、采购范围内的货物送货上门、安装调试合格、提供技术培训；要求提供终身维护服务。</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5、免费维护期内服务内容提供包括但不限于故障除、性能调优、技术咨询、系统升级等服务内容；及时、高效地解决在软件使用过程中遇到的故障、操作失误等相关需求。</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6、免费维护期内服务方式提供包括但不限于上门、电话、远程、定期巡查等方式的系统支持服务及系统数据备份，并生成巡检和备份报告。</w:t>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七、其他要求</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1、项目演示要求：</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要求详见招标文件第四章《评标标准》。</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注：建议使用谷歌等浏览器参与不见面开标及项目陈述环节（录屏演示等材料可上传至“苏采云”系统和开标前通过U盘形式递交（U盘形式递交的须密封）），送达地址：徐州市泉山区软件园路6号徐州软件园C-11号楼1011室，联系人：</w:t>
      </w:r>
      <w:r>
        <w:rPr>
          <w:rFonts w:hint="eastAsia" w:ascii="宋体" w:hAnsi="宋体" w:cs="宋体"/>
          <w:b/>
          <w:bCs/>
          <w:color w:val="auto"/>
          <w:sz w:val="28"/>
          <w:szCs w:val="28"/>
          <w:highlight w:val="none"/>
          <w:lang w:val="en-US" w:eastAsia="zh-CN"/>
        </w:rPr>
        <w:t xml:space="preserve">董雯</w:t>
      </w:r>
      <w:r>
        <w:rPr>
          <w:rFonts w:hint="eastAsia" w:ascii="宋体" w:hAnsi="宋体" w:cs="宋体"/>
          <w:b/>
          <w:bCs/>
          <w:sz w:val="28"/>
          <w:szCs w:val="28"/>
          <w:highlight w:val="none"/>
          <w:lang w:val="en-US" w:eastAsia="zh-CN"/>
        </w:rPr>
        <w:t xml:space="preserve"> 联系方式：</w:t>
      </w:r>
      <w:r>
        <w:rPr>
          <w:rFonts w:hint="eastAsia" w:ascii="宋体" w:hAnsi="宋体" w:cs="宋体"/>
          <w:b/>
          <w:bCs/>
          <w:color w:val="auto"/>
          <w:sz w:val="28"/>
          <w:szCs w:val="28"/>
          <w:highlight w:val="none"/>
          <w:lang w:val="en-US" w:eastAsia="zh-CN"/>
        </w:rPr>
        <w:t xml:space="preserve">0516-83999067</w:t>
      </w:r>
      <w:r>
        <w:rPr>
          <w:rFonts w:hint="eastAsia" w:ascii="宋体" w:hAnsi="宋体" w:cs="宋体"/>
          <w:b/>
          <w:bCs/>
          <w:sz w:val="28"/>
          <w:szCs w:val="28"/>
          <w:highlight w:val="none"/>
          <w:lang w:val="en-US" w:eastAsia="zh-CN"/>
        </w:rPr>
        <w:t xml:space="preserve">。</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电脑需提前准备好麦克风、音响，摄像头，提前检查保证能够正常使用。</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操作系统至少win7以上，建议使用win10操作系统。</w:t>
      </w:r>
      <w:r/>
    </w:p>
    <w:p>
      <w:pPr>
        <w:ind w:firstLine="0"/>
        <w:jc w:val="left"/>
        <w:spacing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其他要求：见招标文件第五章《拟签订的合同文本》。</w:t>
      </w:r>
      <w:r/>
    </w:p>
    <w:p>
      <w:pPr>
        <w:pStyle w:val="1096"/>
        <w:rPr>
          <w:rStyle w:val="1098"/>
          <w:rFonts w:hint="eastAsia" w:hAnsi="宋体"/>
          <w:b/>
          <w:bCs/>
          <w:color w:val="auto"/>
          <w:sz w:val="24"/>
          <w:highlight w:val="none"/>
        </w:rPr>
        <w:sectPr>
          <w:headerReference w:type="default" r:id="rId12"/>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rFonts w:hint="eastAsia" w:hAnsi="宋体"/>
          <w:b/>
          <w:bCs/>
          <w:color w:val="auto"/>
          <w:sz w:val="24"/>
          <w:highlight w:val="none"/>
        </w:rPr>
      </w:r>
      <w:r/>
    </w:p>
    <w:p>
      <w:pPr>
        <w:jc w:val="center"/>
        <w:spacing w:line="23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第七章 投标文件相关格式</w:t>
      </w:r>
      <w:r/>
    </w:p>
    <w:p>
      <w:pPr>
        <w:ind w:firstLine="640"/>
        <w:jc w:val="center"/>
        <w:spacing w:line="239" w:lineRule="atLeast"/>
        <w:rPr>
          <w:rFonts w:hint="eastAsia"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r>
      <w:r/>
    </w:p>
    <w:p>
      <w:pPr>
        <w:ind w:firstLine="640"/>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一、投标函格式</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sz w:val="24"/>
          <w:szCs w:val="24"/>
          <w:highlight w:val="none"/>
          <w:lang w:eastAsia="zh-CN"/>
        </w:rPr>
        <w:t xml:space="preserve">有权</w:t>
      </w:r>
      <w:r>
        <w:rPr>
          <w:rFonts w:hint="eastAsia" w:ascii="宋体" w:hAnsi="宋体" w:eastAsia="宋体" w:cs="宋体"/>
          <w:sz w:val="24"/>
          <w:szCs w:val="24"/>
          <w:highlight w:val="none"/>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rPr>
          <w:rFonts w:hint="eastAsia" w:ascii="宋体" w:hAnsi="宋体" w:cs="宋体"/>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手机号码：</w:t>
      </w:r>
      <w:r/>
    </w:p>
    <w:p>
      <w:pPr>
        <w:ind w:firstLine="27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64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二、开标一览表格式</w:t>
      </w:r>
      <w:r/>
    </w:p>
    <w:p>
      <w:pPr>
        <w:ind w:firstLine="600"/>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ind w:firstLine="600"/>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徐州机电技师学院新能源汽车实训设备项目</w:t>
      </w:r>
      <w:r>
        <w:rPr>
          <w:rFonts w:hint="eastAsia" w:ascii="宋体" w:hAnsi="宋体" w:cs="宋体"/>
          <w:color w:val="auto"/>
          <w:sz w:val="28"/>
          <w:szCs w:val="28"/>
          <w:highlight w:val="none"/>
        </w:rPr>
        <w:t xml:space="preserve"> </w:t>
      </w:r>
      <w:r/>
    </w:p>
    <w:p>
      <w:pPr>
        <w:jc w:val="righ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righ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货币单位：人民币元</w:t>
      </w:r>
      <w:r/>
    </w:p>
    <w:tbl>
      <w:tblPr>
        <w:tblStyle w:val="855"/>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徐州机电技师学院新能源汽车实训设备项目</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93"/>
        <w:rPr>
          <w:rFonts w:hint="eastAsia" w:hAnsi="宋体" w:eastAsia="宋体" w:cs="宋体"/>
          <w:color w:val="auto"/>
          <w:highlight w:val="none"/>
        </w:rPr>
      </w:pPr>
      <w:r>
        <w:rPr>
          <w:rFonts w:hint="eastAsia" w:hAnsi="宋体" w:eastAsia="宋体" w:cs="宋体"/>
          <w:color w:val="auto"/>
          <w:highlight w:val="none"/>
        </w:rPr>
      </w:r>
      <w:r/>
    </w:p>
    <w:p>
      <w:pPr>
        <w:ind w:firstLine="276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39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三、分项价格表格式</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货币单位：人民币元</w:t>
      </w:r>
      <w:r/>
    </w:p>
    <w:tbl>
      <w:tblPr>
        <w:tblStyle w:val="85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7</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8</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9</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10</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64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firstLine="36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ind w:firstLine="562"/>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、偏离表格式</w:t>
      </w:r>
      <w:r/>
    </w:p>
    <w:p>
      <w:pPr>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90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bl>
    <w:p>
      <w:pPr>
        <w:rPr>
          <w:rFonts w:hint="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highlight w:val="none"/>
        </w:rPr>
        <w:t xml:space="preserve">注</w:t>
      </w:r>
      <w:r>
        <w:rPr>
          <w:rFonts w:hint="eastAsia" w:ascii="宋体" w:hAnsi="宋体" w:cs="宋体"/>
          <w:color w:val="ff0000"/>
          <w:sz w:val="24"/>
          <w:highlight w:val="none"/>
        </w:rPr>
        <w:t xml:space="preserve">：</w:t>
      </w:r>
      <w:r>
        <w:rPr>
          <w:rFonts w:hint="eastAsia" w:ascii="宋体" w:hAnsi="宋体" w:cs="宋体"/>
          <w:b/>
          <w:bCs/>
          <w:color w:val="ff0000"/>
          <w:sz w:val="24"/>
          <w:highlight w:val="none"/>
          <w:lang w:val="en-US" w:eastAsia="zh-CN"/>
        </w:rPr>
        <w:t xml:space="preserve">1、</w:t>
      </w:r>
      <w:r>
        <w:rPr>
          <w:rFonts w:hint="eastAsia"/>
          <w:b/>
          <w:bCs/>
          <w:color w:val="ff0000"/>
          <w:sz w:val="24"/>
          <w:szCs w:val="24"/>
          <w:highlight w:val="none"/>
        </w:rPr>
        <w:t xml:space="preserve">供应商须在偏离表中逐条进行应答技术规格参数要求，列明所投产品详细技术特性，并说明偏离情况</w:t>
      </w:r>
      <w:r>
        <w:rPr>
          <w:rFonts w:hint="eastAsia"/>
          <w:b/>
          <w:bCs/>
          <w:color w:val="ff0000"/>
          <w:sz w:val="24"/>
          <w:szCs w:val="24"/>
          <w:highlight w:val="none"/>
          <w:lang w:eastAsia="zh-CN"/>
        </w:rPr>
        <w:t xml:space="preserve">，</w:t>
      </w:r>
      <w:r>
        <w:rPr>
          <w:rFonts w:hint="eastAsia"/>
          <w:b/>
          <w:bCs/>
          <w:color w:val="ff0000"/>
          <w:sz w:val="24"/>
          <w:szCs w:val="24"/>
          <w:highlight w:val="none"/>
        </w:rPr>
        <w:t xml:space="preserve">否则视为负偏离扣分。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b/>
          <w:bCs/>
          <w:color w:val="ff0000"/>
          <w:sz w:val="24"/>
          <w:szCs w:val="24"/>
          <w:highlight w:val="none"/>
          <w:lang w:eastAsia="zh-CN"/>
        </w:rPr>
        <w:t xml:space="preserve">。</w:t>
      </w:r>
      <w:r/>
    </w:p>
    <w:p>
      <w:pPr>
        <w:ind w:firstLine="0"/>
        <w:spacing w:line="71" w:lineRule="atLeast"/>
        <w:rPr>
          <w:rFonts w:hint="eastAsia" w:ascii="宋体" w:hAnsi="宋体" w:eastAsia="宋体" w:cs="宋体"/>
          <w:b/>
          <w:bCs/>
          <w:color w:val="ff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highlight w:val="none"/>
          <w:lang w:val="en-US" w:eastAsia="zh-CN"/>
        </w:rPr>
        <w:t xml:space="preserve">2、投标人的投标文件中的商务条款内容与招标文件（含招标文件的澄清或者修改的内容）的要求不同时，逐条列在偏离表中，否则将认为投标人接受招标文件的要求。</w:t>
      </w:r>
      <w:r/>
    </w:p>
    <w:p>
      <w:pPr>
        <w:spacing w:line="71"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3900"/>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、授权委托书格式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地址：</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法定代表人（负责人）：       职务：</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统一社会信用代码：</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受托人：      </w:t>
      </w:r>
      <w:r>
        <w:rPr>
          <w:rFonts w:hint="eastAsia" w:ascii="宋体" w:hAnsi="宋体" w:cs="宋体"/>
          <w:color w:val="auto"/>
          <w:sz w:val="30"/>
          <w:highlight w:val="none"/>
          <w:lang w:val="en-US" w:eastAsia="zh-CN"/>
        </w:rPr>
        <w:t xml:space="preserve">                     </w:t>
      </w:r>
      <w:r>
        <w:rPr>
          <w:rFonts w:hint="eastAsia" w:ascii="宋体" w:hAnsi="宋体" w:cs="宋体"/>
          <w:color w:val="auto"/>
          <w:sz w:val="30"/>
          <w:highlight w:val="none"/>
        </w:rPr>
        <w:t xml:space="preserve">性别： 男（女）</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年龄：  岁      </w:t>
      </w:r>
      <w:r>
        <w:rPr>
          <w:rFonts w:hint="eastAsia" w:ascii="宋体" w:hAnsi="宋体" w:cs="宋体"/>
          <w:color w:val="auto"/>
          <w:sz w:val="30"/>
          <w:highlight w:val="none"/>
          <w:lang w:val="en-US" w:eastAsia="zh-CN"/>
        </w:rPr>
        <w:t xml:space="preserve">                   </w:t>
      </w:r>
      <w:r>
        <w:rPr>
          <w:rFonts w:hint="eastAsia" w:ascii="宋体" w:hAnsi="宋体" w:cs="宋体"/>
          <w:color w:val="auto"/>
          <w:sz w:val="30"/>
          <w:highlight w:val="none"/>
        </w:rPr>
        <w:t xml:space="preserve">民族：  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职务：</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身份证号：</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兹委托（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）的招、投标活动及签订合同。（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）无转委托权。</w:t>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委托期限自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日起至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日止。</w:t>
      </w:r>
      <w:r/>
    </w:p>
    <w:p>
      <w:pPr>
        <w:ind w:firstLine="63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特此授权委托。</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受托人（签字或盖章）：</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pStyle w:val="879"/>
        <w:ind w:left="0" w:firstLine="600"/>
        <w:rPr>
          <w:rFonts w:hint="eastAsia" w:ascii="宋体" w:hAnsi="宋体" w:cs="宋体"/>
          <w:color w:val="auto"/>
          <w:highlight w:val="none"/>
        </w:rPr>
      </w:pPr>
      <w:r>
        <w:rPr>
          <w:rFonts w:hint="eastAsia" w:ascii="宋体" w:hAnsi="宋体" w:cs="宋体"/>
          <w:color w:val="auto"/>
          <w:sz w:val="30"/>
          <w:highlight w:val="none"/>
        </w:rPr>
        <w:t xml:space="preserve">受托人联系方式：                邮箱：</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法定代表人（签字或盖章）： </w:t>
      </w:r>
      <w:r/>
    </w:p>
    <w:p>
      <w:pPr>
        <w:ind w:right="600" w:firstLine="615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  月  日 </w:t>
      </w:r>
      <w:r/>
    </w:p>
    <w:p>
      <w:pPr>
        <w:spacing w:line="479" w:lineRule="atLeast"/>
        <w:rPr>
          <w:rFonts w:hint="eastAsia"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r>
      <w:r/>
    </w:p>
    <w:p>
      <w:pPr>
        <w:spacing w:line="479" w:lineRule="atLeast"/>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(受托人身份证</w:t>
      </w:r>
      <w:r>
        <w:rPr>
          <w:rFonts w:hint="eastAsia" w:ascii="宋体" w:hAnsi="宋体" w:cs="宋体"/>
          <w:b/>
          <w:bCs/>
          <w:color w:val="auto"/>
          <w:sz w:val="30"/>
          <w:highlight w:val="none"/>
          <w:lang w:eastAsia="zh-CN"/>
        </w:rPr>
        <w:t xml:space="preserve">扫描件</w:t>
      </w:r>
      <w:r>
        <w:rPr>
          <w:rFonts w:hint="eastAsia" w:ascii="宋体" w:hAnsi="宋体" w:cs="宋体"/>
          <w:b/>
          <w:bCs/>
          <w:color w:val="auto"/>
          <w:sz w:val="30"/>
          <w:highlight w:val="none"/>
        </w:rPr>
        <w:t xml:space="preserve">附后)</w:t>
      </w:r>
      <w:r/>
    </w:p>
    <w:p>
      <w:pPr>
        <w:ind w:firstLine="447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w:t>
      </w:r>
      <w:r/>
    </w:p>
    <w:p>
      <w:pPr>
        <w:ind w:firstLine="600"/>
        <w:jc w:val="center"/>
        <w:spacing w:before="100" w:after="100"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、中小企业声明函格式</w:t>
      </w:r>
      <w:r/>
    </w:p>
    <w:p>
      <w:pPr>
        <w:ind w:firstLine="560"/>
        <w:spacing w:before="100" w:after="100" w:line="45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pacing w:before="100" w:after="100" w:line="45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before="100" w:after="100" w:line="45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徐州机电技师学院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徐州机电技师学院新能源汽车实训设备项目</w:t>
      </w:r>
      <w:r>
        <w:rPr>
          <w:rFonts w:hint="eastAsia" w:ascii="宋体" w:hAnsi="宋体" w:cs="宋体"/>
          <w:color w:val="auto"/>
          <w:sz w:val="28"/>
          <w:szCs w:val="28"/>
          <w:highlight w:val="none"/>
        </w:rPr>
        <w:t xml:space="preserve">）采购活动，提供的货物全部由符合政策要求的中小企业制造。相关企业的具体情况如下：</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-动力电池装调测试套件</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-动力电池PACK装调测试智训平台智能教学系统</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w:t>
      </w:r>
      <w:r>
        <w:rPr>
          <w:rFonts w:hint="eastAsia" w:ascii="宋体" w:hAnsi="宋体" w:cs="宋体"/>
          <w:color w:val="auto"/>
          <w:sz w:val="28"/>
          <w:szCs w:val="28"/>
          <w:highlight w:val="none"/>
          <w:u w:val="single"/>
        </w:rPr>
        <w:t xml:space="preserve">单通道分容均衡一体实训套件</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-交直流充电智能实训台智能教学系统V1.0</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-充电设备装配与调试智能实训台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-纯电动汽车教学实训平台（半解剖车辆）</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-学生移动魔盒终端-新能源汽车故障检测交互教学实训系统</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-教师控制终端-新能源汽车故障检测交互教学实训系统</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-故障诊断仪</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）人，营业收入为（   万元），资产总额为（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-新能源汽车空调系统实训平台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）人，营业收入为（   万元），资产总额为（  万元），属于（中型企业、小型企业、微型企业，请勾选！）；</w:t>
      </w:r>
      <w:r/>
    </w:p>
    <w:p>
      <w:pPr>
        <w:pStyle w:val="878"/>
        <w:ind w:left="0" w:firstLine="56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878"/>
        <w:ind w:left="0"/>
        <w:rPr>
          <w:rFonts w:hint="eastAsia" w:ascii="宋体" w:hAnsi="宋体" w:cs="宋体"/>
          <w:color w:val="auto"/>
          <w:sz w:val="24"/>
          <w:highlight w:val="none"/>
        </w:rPr>
      </w:pPr>
      <w:r>
        <w:rPr>
          <w:rFonts w:hint="eastAsia" w:ascii="宋体" w:hAnsi="宋体" w:cs="宋体"/>
          <w:color w:val="auto"/>
          <w:sz w:val="24"/>
          <w:highlight w:val="none"/>
        </w:rPr>
      </w:r>
      <w:r/>
    </w:p>
    <w:p>
      <w:pPr>
        <w:pStyle w:val="87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w:t>
      </w:r>
      <w:r>
        <w:rPr>
          <w:rFonts w:hint="eastAsia" w:ascii="宋体" w:hAnsi="宋体" w:cs="宋体"/>
          <w:b/>
          <w:bCs/>
          <w:color w:val="auto"/>
          <w:sz w:val="28"/>
          <w:szCs w:val="28"/>
          <w:highlight w:val="none"/>
          <w:lang w:eastAsia="zh-CN"/>
        </w:rPr>
        <w:t xml:space="preserve">电子签章</w:t>
      </w:r>
      <w:r>
        <w:rPr>
          <w:rFonts w:hint="eastAsia" w:ascii="宋体" w:hAnsi="宋体" w:cs="宋体"/>
          <w:b/>
          <w:bCs/>
          <w:color w:val="auto"/>
          <w:sz w:val="28"/>
          <w:szCs w:val="28"/>
          <w:highlight w:val="none"/>
        </w:rPr>
        <w:t xml:space="preserve">）：</w:t>
      </w:r>
      <w:r/>
    </w:p>
    <w:p>
      <w:pPr>
        <w:pStyle w:val="87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878"/>
        <w:ind w:left="0"/>
        <w:rPr>
          <w:rFonts w:hint="eastAsia" w:ascii="宋体" w:hAnsi="宋体" w:cs="宋体"/>
          <w:color w:val="auto"/>
          <w:sz w:val="24"/>
          <w:highlight w:val="none"/>
        </w:rPr>
      </w:pPr>
      <w:r>
        <w:rPr>
          <w:rFonts w:hint="eastAsia" w:ascii="宋体" w:hAnsi="宋体" w:cs="宋体"/>
          <w:color w:val="auto"/>
          <w:sz w:val="24"/>
          <w:highlight w:val="none"/>
        </w:rPr>
      </w:r>
      <w:r/>
    </w:p>
    <w:p>
      <w:pPr>
        <w:pStyle w:val="878"/>
        <w:ind w:left="0"/>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78"/>
        <w:ind w:left="0"/>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2、从业人员、营业收入、资产总额填报上一年度数据，无上一年度数据的新成立企业可不填报。</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4、供应商提供的《中小企业声明函》与事实不符的，依照《政府采购法》第七十七条第一款的规定追究法律责任。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“中小企业声明函” 查询渠道用微信搜索“中小企业规模类型自测小程序”。</w:t>
      </w:r>
      <w:r/>
    </w:p>
    <w:p>
      <w:pPr>
        <w:pStyle w:val="879"/>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71775" cy="5457190"/>
                <wp:effectExtent l="0" t="0" r="9525"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5"/>
                        <a:stretch/>
                      </pic:blipFill>
                      <pic:spPr bwMode="auto">
                        <a:xfrm>
                          <a:off x="0" y="0"/>
                          <a:ext cx="2771775" cy="545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8.2pt;height:429.7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highlight w:val="none"/>
        </w:rPr>
        <w:br w:type="page" w:clear="all"/>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、残疾人福利性单位声明函格式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（如所投产品制造商不属于残疾人福利性单位不需要提供此声明函）</w:t>
      </w:r>
      <w:r/>
    </w:p>
    <w:p>
      <w:pPr>
        <w:ind w:firstLine="624"/>
        <w:spacing w:line="479" w:lineRule="atLeast"/>
        <w:rPr>
          <w:rFonts w:hint="eastAsia" w:ascii="宋体" w:hAnsi="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项目编号：</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项目名称：</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cs="宋体"/>
          <w:color w:val="auto"/>
          <w:sz w:val="30"/>
          <w:highlight w:val="none"/>
        </w:rPr>
        <w:t xml:space="preserve">〔2017〕 141</w:t>
      </w:r>
      <w:r>
        <w:rPr>
          <w:rFonts w:hint="eastAsia" w:ascii="宋体" w:hAnsi="宋体" w:cs="宋体"/>
          <w:color w:val="auto"/>
          <w:spacing w:val="6"/>
          <w:sz w:val="30"/>
          <w:highlight w:val="none"/>
        </w:rPr>
        <w:t xml:space="preserve">号）的规定，本单位为符合条件的残疾人福利性单位，且本单位参加</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单位的</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4500"/>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45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我单位在参加</w:t>
      </w:r>
      <w:r>
        <w:rPr>
          <w:rFonts w:hint="eastAsia" w:ascii="宋体" w:hAnsi="宋体" w:cs="宋体"/>
          <w:sz w:val="30"/>
          <w:highlight w:val="none"/>
          <w:u w:val="single"/>
          <w:lang w:eastAsia="zh-CN"/>
        </w:rPr>
        <w:t xml:space="preserve">徐州机电技师学院新能源汽车实训设备项目</w:t>
      </w:r>
      <w:r>
        <w:rPr>
          <w:rFonts w:hint="eastAsia" w:ascii="宋体" w:hAnsi="宋体" w:eastAsia="宋体" w:cs="宋体"/>
          <w:sz w:val="30"/>
          <w:highlight w:val="none"/>
        </w:rPr>
        <w:t xml:space="preserve">项目（项目编号：</w:t>
      </w:r>
      <w:r>
        <w:rPr>
          <w:rFonts w:hint="eastAsia" w:ascii="宋体" w:hAnsi="宋体" w:cs="宋体"/>
          <w:sz w:val="30"/>
          <w:highlight w:val="none"/>
          <w:u w:val="single"/>
          <w:lang w:eastAsia="zh-CN"/>
        </w:rPr>
        <w:t xml:space="preserve">JSZC-320300-HWZX-G2026-0186</w:t>
      </w:r>
      <w:r>
        <w:rPr>
          <w:rFonts w:hint="eastAsia" w:ascii="宋体" w:hAnsi="宋体" w:eastAsia="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我单位对上述声明的真实性负责。如有虚假，将依法承担相应责任。</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widowControl/>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九、投标人相关承诺</w:t>
      </w:r>
      <w:r/>
    </w:p>
    <w:p>
      <w:pPr>
        <w:rPr>
          <w:rFonts w:ascii="仿宋" w:hAnsi="仿宋" w:eastAsia="仿宋"/>
          <w:highlight w:val="none"/>
        </w:rPr>
      </w:pPr>
      <w:r>
        <w:rPr>
          <w:rFonts w:ascii="仿宋" w:hAnsi="仿宋" w:eastAsia="仿宋"/>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u w:val="none"/>
        </w:rPr>
      </w:pPr>
      <w:r>
        <w:rPr>
          <w:rFonts w:hint="eastAsia" w:ascii="宋体" w:hAnsi="宋体" w:cs="宋体"/>
          <w:color w:val="auto"/>
          <w:sz w:val="28"/>
          <w:szCs w:val="28"/>
          <w:highlight w:val="none"/>
        </w:rPr>
        <w:t xml:space="preserve">项目名称：</w:t>
      </w:r>
      <w:r/>
    </w:p>
    <w:p>
      <w:pPr>
        <w:ind w:firstLine="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我单位承诺：</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3000"/>
        <w:spacing w:line="360" w:lineRule="auto"/>
        <w:rPr>
          <w:rFonts w:ascii="宋体" w:hAnsi="宋体" w:cs="宋体"/>
          <w:sz w:val="22"/>
          <w:szCs w:val="28"/>
          <w:highlight w:val="none"/>
        </w:rPr>
      </w:pPr>
      <w:r>
        <w:rPr>
          <w:rFonts w:ascii="宋体" w:hAnsi="宋体" w:cs="宋体"/>
          <w:sz w:val="22"/>
          <w:szCs w:val="28"/>
          <w:highlight w:val="none"/>
        </w:rPr>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widowControl/>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十、投标人书面声明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u w:val="none"/>
        </w:rPr>
      </w:pPr>
      <w:r>
        <w:rPr>
          <w:rFonts w:hint="eastAsia" w:ascii="宋体" w:hAnsi="宋体" w:cs="宋体"/>
          <w:color w:val="auto"/>
          <w:sz w:val="28"/>
          <w:szCs w:val="28"/>
          <w:highlight w:val="none"/>
        </w:rPr>
        <w:t xml:space="preserve">项目名称：</w:t>
      </w:r>
      <w:r/>
    </w:p>
    <w:p>
      <w:pPr>
        <w:ind w:firstLine="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特此声明。</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我单位对上述声明的真实性负责。如有虚假，将依法承担相应责任。</w:t>
      </w:r>
      <w:r/>
    </w:p>
    <w:p>
      <w:pPr>
        <w:rPr>
          <w:rFonts w:ascii="宋体" w:hAnsi="宋体" w:cs="宋体"/>
          <w:sz w:val="22"/>
          <w:szCs w:val="28"/>
          <w:highlight w:val="none"/>
        </w:rPr>
      </w:pPr>
      <w:r>
        <w:rPr>
          <w:rFonts w:ascii="宋体" w:hAnsi="宋体" w:cs="宋体"/>
          <w:sz w:val="22"/>
          <w:szCs w:val="28"/>
          <w:highlight w:val="none"/>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3000"/>
        <w:spacing w:line="300" w:lineRule="auto"/>
        <w:rPr>
          <w:rFonts w:ascii="宋体" w:hAnsi="宋体" w:cs="宋体"/>
          <w:sz w:val="22"/>
          <w:szCs w:val="28"/>
          <w:highlight w:val="none"/>
        </w:rPr>
      </w:pPr>
      <w:r>
        <w:rPr>
          <w:rFonts w:ascii="宋体" w:hAnsi="宋体" w:cs="宋体"/>
          <w:sz w:val="22"/>
          <w:szCs w:val="28"/>
          <w:highlight w:val="none"/>
        </w:rPr>
      </w:r>
      <w:r/>
    </w:p>
    <w:p>
      <w:pPr>
        <w:pStyle w:val="1137"/>
        <w:ind w:left="0" w:firstLine="0"/>
        <w:rPr>
          <w:rFonts w:ascii="宋体" w:hAnsi="宋体" w:cs="宋体"/>
          <w:sz w:val="22"/>
          <w:szCs w:val="28"/>
          <w:highlight w:val="none"/>
        </w:rPr>
      </w:pPr>
      <w:r>
        <w:rPr>
          <w:rFonts w:ascii="宋体" w:hAnsi="宋体" w:cs="宋体"/>
          <w:sz w:val="22"/>
          <w:szCs w:val="28"/>
          <w:highlight w:val="none"/>
        </w:rPr>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十一</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供应商郑重声明：投标人具备履行合同（项目名称：项目编号： 所必需的设备和专业技术能力， 具体为：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特此声明。</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jc w:val="left"/>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6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lang w:eastAsia="zh-CN"/>
        </w:rPr>
        <w:t xml:space="preserve">电子签章</w:t>
      </w:r>
      <w:r>
        <w:rPr>
          <w:rFonts w:hint="eastAsia" w:ascii="宋体" w:hAnsi="宋体" w:cs="宋体"/>
          <w:b/>
          <w:bCs/>
          <w:color w:val="auto"/>
          <w:sz w:val="28"/>
          <w:szCs w:val="28"/>
          <w:highlight w:val="none"/>
        </w:rPr>
        <w:t xml:space="preserve">）：</w:t>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ind w:right="0"/>
        <w:spacing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十二、关于符合本国产品标准的声明函</w:t>
      </w:r>
      <w:r>
        <w:rPr>
          <w:rFonts w:hint="eastAsia"/>
          <w:color w:val="000000"/>
        </w:rPr>
        <w:t xml:space="preserve"> </w:t>
      </w:r>
      <w:r/>
    </w:p>
    <w:p>
      <w:pPr>
        <w:pStyle w:val="1140"/>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114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2"/>
          <w:szCs w:val="32"/>
          <w:lang w:val="en-US" w:eastAsia="zh-CN"/>
        </w:rPr>
        <w:t xml:space="preserve">关于符合本国产品标准的声明函</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-动力电池装调测试套件</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-动力电池PACK装调测试智训平台智能教学系统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w:t>
      </w:r>
      <w:r>
        <w:rPr>
          <w:rFonts w:hint="eastAsia" w:ascii="宋体" w:hAnsi="宋体" w:cs="宋体"/>
          <w:color w:val="auto"/>
          <w:sz w:val="28"/>
          <w:szCs w:val="28"/>
          <w:highlight w:val="none"/>
          <w:u w:val="single"/>
        </w:rPr>
        <w:t xml:space="preserve">单通道分容均衡一体实训套件</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-交直流充电智能实训台智能教学系统V1.0</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-充电设备装配与调试智能实训台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-纯电动汽车教学实训平台（半解剖车辆）</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-学生移动魔盒终端-新能源汽车故障检测交互教学实训系统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-教师控制终端-新能源汽车故障检测交互教学实训系统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-故障诊断仪</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-新能源汽车空调系统实训平台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114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114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shd w:val="clear" w:color="auto" w:fill="ffffff"/>
          <w:vertAlign w:val="baseline"/>
        </w:rPr>
        <w:t xml:space="preserve">公司（单位）名称（</w:t>
      </w:r>
      <w:r>
        <w:rPr>
          <w:rFonts w:hint="eastAsia" w:ascii="宋体" w:hAnsi="宋体" w:cs="宋体"/>
          <w:b/>
          <w:bCs/>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8"/>
          <w:szCs w:val="28"/>
          <w:shd w:val="clear" w:color="auto" w:fill="ffffff"/>
          <w:vertAlign w:val="baseline"/>
        </w:rPr>
        <w:t xml:space="preserve">）：　        </w:t>
      </w:r>
      <w:r/>
    </w:p>
    <w:p>
      <w:pPr>
        <w:pStyle w:val="114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shd w:val="clear" w:color="auto" w:fill="ffffff"/>
          <w:vertAlign w:val="baseline"/>
        </w:rPr>
        <w:t xml:space="preserve">日期：</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年</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月</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日</w:t>
      </w:r>
      <w:r/>
    </w:p>
    <w:p>
      <w:pPr>
        <w:pStyle w:val="1140"/>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8"/>
          <w:szCs w:val="28"/>
          <w:shd w:val="clear" w:color="auto" w:fill="ffffff"/>
          <w:vertAlign w:val="baseline"/>
          <w:lang w:val="en-US" w:eastAsia="zh-CN"/>
        </w:rPr>
      </w:r>
      <w:r/>
    </w:p>
    <w:p>
      <w:pPr>
        <w:pStyle w:val="1140"/>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8"/>
          <w:szCs w:val="28"/>
          <w:shd w:val="clear" w:color="auto" w:fill="ffffff"/>
          <w:vertAlign w:val="baseline"/>
          <w:lang w:val="en-US" w:eastAsia="zh-CN"/>
        </w:rPr>
        <w:t xml:space="preserve">注：</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5.该产品的关键工序要求实施前，“关键工序”栏可不填，下同。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.《声明函》中标注“</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”的地方无需填写</w:t>
      </w:r>
      <w:r>
        <w:rPr>
          <w:rFonts w:hint="eastAsia" w:cs="宋体"/>
          <w:color w:val="000000"/>
          <w:sz w:val="28"/>
          <w:szCs w:val="28"/>
          <w:highlight w:val="none"/>
          <w:lang w:eastAsia="zh-CN"/>
        </w:rPr>
        <w:t xml:space="preserve">。</w:t>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、预付款保函支付条款模板</w:t>
      </w:r>
      <w:r/>
    </w:p>
    <w:p>
      <w:pPr>
        <w:ind w:firstLine="605"/>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符合条件一：提交预付款保函的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（1）合同签订且乙方向甲方出具预付款保函后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sz w:val="30"/>
          <w:szCs w:val="30"/>
          <w:highlight w:val="none"/>
          <w:u w:val="single"/>
        </w:rPr>
        <w:t xml:space="preserve"> 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符合条件二：不提交预付款保函的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（2）合同标的全部交付并安装完毕并验收合格后，由甲方根据审批流程办理政府采购资金结算手续，经审核后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ind w:firstLine="605"/>
        <w:spacing w:line="288" w:lineRule="auto"/>
        <w:rPr>
          <w:rFonts w:hint="eastAsia" w:ascii="宋体" w:hAnsi="宋体" w:eastAsia="宋体" w:cs="宋体"/>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注</w:t>
      </w:r>
      <w:r>
        <w:rPr>
          <w:rFonts w:hint="eastAsia" w:ascii="宋体" w:hAnsi="宋体" w:eastAsia="宋体" w:cs="宋体"/>
          <w:b/>
          <w:sz w:val="30"/>
          <w:szCs w:val="30"/>
          <w:highlight w:val="none"/>
          <w:lang w:eastAsia="zh-CN"/>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1、付款条件一中，出具预付款保函后支付的合同款应当与保函金额一致。</w:t>
      </w:r>
      <w:r/>
    </w:p>
    <w:p>
      <w:pPr>
        <w:ind w:firstLine="600"/>
        <w:rPr>
          <w:rFonts w:hint="eastAsia" w:ascii="宋体" w:hAnsi="宋体" w:cs="宋体"/>
          <w:b/>
          <w:bCs/>
          <w:color w:val="auto"/>
          <w:sz w:val="32"/>
          <w:szCs w:val="32"/>
          <w:highlight w:val="none"/>
        </w:rPr>
      </w:pPr>
      <w:r>
        <w:rPr>
          <w:rFonts w:hint="eastAsia" w:ascii="宋体" w:hAnsi="宋体" w:eastAsia="宋体" w:cs="宋体"/>
          <w:sz w:val="30"/>
          <w:szCs w:val="30"/>
          <w:highlight w:val="none"/>
        </w:rPr>
        <w:t xml:space="preserve">2、付款条件二中，预付款比例设定应符合《关于做好政府采购支持企业发展有关事项的通知》(苏财购〔2020〕52号)要求。</w:t>
      </w:r>
      <w:r/>
    </w:p>
    <w:sectPr>
      <w:headerReference w:type="default" r:id="rId13"/>
      <w:footerReference w:type="default" r:id="rId18"/>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Bdr>
        <w:bottom w:val="single" w:color="auto" w:sz="4" w:space="0"/>
      </w:pBdr>
    </w:pPr>
    <w:r>
      <w:rPr>
        <w:rFonts w:hint="eastAsia"/>
        <w:lang w:eastAsia="zh-CN"/>
      </w:rPr>
      <w:t xml:space="preserve">徐州机电技师学院新能源汽车实训设备项目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rPr>
        <w:rFonts w:hint="eastAsia" w:ascii="宋体" w:hAnsi="宋体" w:eastAsia="宋体" w:cs="宋体"/>
        <w:u w:val="single"/>
        <w:lang w:eastAsia="zh-CN"/>
      </w:rPr>
      <w:pBdr>
        <w:bottom w:val="single" w:color="auto" w:sz="4" w:space="1"/>
      </w:pBdr>
    </w:pPr>
    <w:r>
      <w:rPr>
        <w:rFonts w:hint="eastAsia" w:ascii="宋体" w:hAnsi="宋体" w:cs="宋体"/>
        <w:b w:val="0"/>
        <w:bCs w:val="0"/>
        <w:i w:val="0"/>
        <w:iCs w:val="0"/>
        <w:sz w:val="18"/>
        <w:szCs w:val="18"/>
        <w:lang w:eastAsia="zh-CN"/>
      </w:rPr>
      <w:t xml:space="preserve">徐州机电技师学院新能源汽车实训设备项目</w:t>
    </w:r>
    <w:r>
      <w:rPr>
        <w:rFonts w:hint="eastAsia" w:ascii="宋体" w:hAnsi="宋体" w:eastAsia="宋体" w:cs="宋体"/>
        <w:b w:val="0"/>
        <w:bCs w:val="0"/>
        <w:i w:val="0"/>
        <w:iCs w:val="0"/>
        <w:sz w:val="18"/>
        <w:szCs w:val="18"/>
        <w:lang w:eastAsia="zh-CN"/>
      </w:rPr>
      <w:t xml:space="preserve">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徐州机电技师学院新能源汽车实训设备项目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1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bullet"/>
      <w:isLgl w:val="false"/>
      <w:suff w:val="tab"/>
      <w:lvlText w:val=""/>
      <w:lvlJc w:val="left"/>
      <w:pPr>
        <w:ind w:left="720"/>
      </w:pPr>
      <w:rPr>
        <w:rFonts w:ascii="Wingdings" w:hAnsi="Wingdings" w:cs="Wingding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link w:val="11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1106"/>
    <w:uiPriority w:val="0"/>
    <w:qFormat/>
    <w:pPr>
      <w:jc w:val="center"/>
      <w:keepLines/>
      <w:keepNext/>
      <w:spacing w:line="578" w:lineRule="auto"/>
      <w:outlineLvl w:val="0"/>
    </w:pPr>
    <w:rPr>
      <w:rFonts w:eastAsia="新宋体"/>
      <w:b/>
      <w:bCs/>
      <w:sz w:val="30"/>
      <w:szCs w:val="44"/>
    </w:rPr>
  </w:style>
  <w:style w:type="paragraph" w:styleId="846">
    <w:name w:val="Heading 2"/>
    <w:basedOn w:val="844"/>
    <w:next w:val="844"/>
    <w:link w:val="11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1105"/>
    <w:uiPriority w:val="9"/>
    <w:unhideWhenUsed/>
    <w:qFormat/>
    <w:pPr>
      <w:keepLines/>
      <w:keepNext/>
      <w:spacing w:before="260" w:after="260" w:line="416" w:lineRule="auto"/>
      <w:outlineLvl w:val="2"/>
    </w:pPr>
    <w:rPr>
      <w:b/>
      <w:bCs/>
      <w:sz w:val="32"/>
      <w:szCs w:val="32"/>
    </w:rPr>
  </w:style>
  <w:style w:type="paragraph" w:styleId="848">
    <w:name w:val="Heading 4"/>
    <w:basedOn w:val="844"/>
    <w:next w:val="844"/>
    <w:link w:val="949"/>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950"/>
    <w:uiPriority w:val="9"/>
    <w:unhideWhenUsed/>
    <w:qFormat/>
    <w:pPr>
      <w:keepLines/>
      <w:keepNext/>
      <w:spacing w:before="320" w:after="200"/>
      <w:outlineLvl w:val="4"/>
    </w:pPr>
    <w:rPr>
      <w:rFonts w:ascii="Arial" w:hAnsi="Arial" w:eastAsia="Arial" w:cs="Arial"/>
      <w:b/>
      <w:bCs/>
      <w:sz w:val="24"/>
    </w:rPr>
  </w:style>
  <w:style w:type="paragraph" w:styleId="850">
    <w:name w:val="Heading 6"/>
    <w:basedOn w:val="844"/>
    <w:next w:val="844"/>
    <w:link w:val="951"/>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953"/>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954"/>
    <w:uiPriority w:val="9"/>
    <w:unhideWhenUsed/>
    <w:qFormat/>
    <w:pPr>
      <w:keepLines/>
      <w:keepNext/>
      <w:spacing w:before="320" w:after="200"/>
      <w:outlineLvl w:val="8"/>
    </w:pPr>
    <w:rPr>
      <w:rFonts w:ascii="Arial" w:hAnsi="Arial" w:eastAsia="Arial" w:cs="Arial"/>
      <w:i/>
      <w:iCs/>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Normal Indent"/>
    <w:basedOn w:val="844"/>
    <w:uiPriority w:val="0"/>
    <w:qFormat/>
    <w:pPr>
      <w:ind w:firstLine="420"/>
    </w:pPr>
  </w:style>
  <w:style w:type="paragraph" w:styleId="858">
    <w:name w:val="Caption"/>
    <w:basedOn w:val="844"/>
    <w:next w:val="8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9">
    <w:name w:val="index 5"/>
    <w:basedOn w:val="844"/>
    <w:next w:val="844"/>
    <w:uiPriority w:val="0"/>
    <w:qFormat/>
    <w:pPr>
      <w:ind w:left="798"/>
      <w:jc w:val="left"/>
    </w:pPr>
    <w:rPr>
      <w:rFonts w:ascii="Calibri" w:hAnsi="Calibri"/>
    </w:rPr>
  </w:style>
  <w:style w:type="paragraph" w:styleId="860">
    <w:name w:val="annotation text"/>
    <w:basedOn w:val="844"/>
    <w:link w:val="1102"/>
    <w:uiPriority w:val="0"/>
    <w:unhideWhenUsed/>
    <w:qFormat/>
    <w:pPr>
      <w:jc w:val="left"/>
    </w:pPr>
  </w:style>
  <w:style w:type="paragraph" w:styleId="861">
    <w:name w:val="Body Text"/>
    <w:basedOn w:val="844"/>
    <w:next w:val="862"/>
    <w:link w:val="1108"/>
    <w:uiPriority w:val="99"/>
    <w:qFormat/>
    <w:pPr>
      <w:spacing w:after="120"/>
    </w:pPr>
    <w:rPr>
      <w:rFonts w:ascii="Calibri" w:hAnsi="Calibri"/>
    </w:r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4" w:customStyle="1">
    <w:name w:val="段"/>
    <w:basedOn w:val="865"/>
    <w:next w:val="844"/>
    <w:uiPriority w:val="0"/>
    <w:qFormat/>
    <w:pPr>
      <w:ind w:firstLine="200"/>
      <w:widowControl/>
    </w:pPr>
    <w:rPr>
      <w:sz w:val="20"/>
    </w:rPr>
  </w:style>
  <w:style w:type="paragraph" w:styleId="865" w:customStyle="1">
    <w:name w:val="正文1"/>
    <w:basedOn w:val="866"/>
    <w:next w:val="876"/>
    <w:uiPriority w:val="0"/>
    <w:qFormat/>
    <w:pPr>
      <w:jc w:val="left"/>
      <w:spacing w:line="360" w:lineRule="atLeast"/>
    </w:pPr>
    <w:rPr>
      <w:rFonts w:ascii="宋体" w:hAnsiTheme="minorHAnsi" w:eastAsiaTheme="minorEastAsia" w:cstheme="minorBidi"/>
      <w:sz w:val="24"/>
      <w:szCs w:val="20"/>
    </w:rPr>
  </w:style>
  <w:style w:type="paragraph" w:styleId="866" w:customStyle="1">
    <w:name w:val="正文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缩进1"/>
    <w:basedOn w:val="868"/>
    <w:next w:val="873"/>
    <w:uiPriority w:val="0"/>
    <w:qFormat/>
    <w:pPr>
      <w:ind w:left="420"/>
      <w:spacing w:after="120"/>
    </w:pPr>
    <w:rPr>
      <w:rFonts w:ascii="Calibri" w:hAnsi="Calibri"/>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文本块1"/>
    <w:basedOn w:val="868"/>
    <w:next w:val="870"/>
    <w:uiPriority w:val="0"/>
    <w:qFormat/>
    <w:pPr>
      <w:ind w:left="567" w:right="454" w:firstLine="498"/>
      <w:jc w:val="left"/>
      <w:widowControl/>
    </w:pPr>
    <w:rPr>
      <w:rFonts w:ascii="仿宋_GB2312" w:eastAsia="仿宋_GB2312"/>
      <w:sz w:val="30"/>
      <w:szCs w:val="20"/>
    </w:rPr>
  </w:style>
  <w:style w:type="paragraph" w:styleId="870" w:customStyle="1">
    <w:name w:val="标题 41"/>
    <w:basedOn w:val="871"/>
    <w:next w:val="868"/>
    <w:uiPriority w:val="0"/>
    <w:qFormat/>
    <w:pPr>
      <w:keepLines/>
      <w:keepNext/>
      <w:spacing w:before="280" w:after="290" w:line="376" w:lineRule="auto"/>
      <w:outlineLvl w:val="3"/>
    </w:pPr>
    <w:rPr>
      <w:rFonts w:ascii="Cambria" w:hAnsi="Cambria"/>
      <w:b/>
      <w:bCs/>
      <w:sz w:val="28"/>
      <w:szCs w:val="28"/>
    </w:rPr>
  </w:style>
  <w:style w:type="paragraph" w:styleId="871" w:customStyle="1">
    <w:name w:val="正文12"/>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正文文本111"/>
    <w:basedOn w:val="871"/>
    <w:next w:val="871"/>
    <w:uiPriority w:val="0"/>
    <w:qFormat/>
  </w:style>
  <w:style w:type="paragraph" w:styleId="873" w:customStyle="1">
    <w:name w:val="寄信人地址1"/>
    <w:basedOn w:val="874"/>
    <w:uiPriority w:val="0"/>
    <w:qFormat/>
    <w:rPr>
      <w:rFonts w:ascii="Arial" w:hAnsi="Arial"/>
    </w:rPr>
  </w:style>
  <w:style w:type="paragraph" w:styleId="874" w:customStyle="1">
    <w:name w:val="正文112"/>
    <w:next w:val="875"/>
    <w:uiPriority w:val="0"/>
    <w:qFormat/>
    <w:pPr>
      <w:jc w:val="both"/>
      <w:widowControl w:val="off"/>
    </w:pPr>
    <w:rPr>
      <w:rFonts w:ascii="Times New Roman" w:hAnsi="Times New Roman" w:eastAsia="宋体" w:cs="Times New Roman"/>
      <w:sz w:val="21"/>
      <w:szCs w:val="24"/>
      <w:lang w:val="en-US" w:eastAsia="zh-CN" w:bidi="ar-SA"/>
    </w:rPr>
  </w:style>
  <w:style w:type="paragraph" w:styleId="875" w:customStyle="1">
    <w:name w:val="正文首行缩进 21"/>
    <w:basedOn w:val="867"/>
    <w:uiPriority w:val="0"/>
    <w:qFormat/>
    <w:pPr>
      <w:ind w:left="0" w:firstLine="420"/>
      <w:spacing w:after="0" w:line="480" w:lineRule="exact"/>
      <w:tabs>
        <w:tab w:val="left" w:pos="180" w:leader="none"/>
      </w:tabs>
    </w:pPr>
    <w:rPr>
      <w:sz w:val="28"/>
    </w:rPr>
  </w:style>
  <w:style w:type="paragraph" w:styleId="876" w:customStyle="1">
    <w:name w:val="脚注文本1"/>
    <w:basedOn w:val="865"/>
    <w:next w:val="877"/>
    <w:uiPriority w:val="0"/>
    <w:qFormat/>
    <w:rPr>
      <w:rFonts w:eastAsia="Times New Roman"/>
      <w:sz w:val="18"/>
      <w:szCs w:val="18"/>
    </w:rPr>
  </w:style>
  <w:style w:type="paragraph" w:styleId="877" w:customStyle="1">
    <w:name w:val="索引 51"/>
    <w:basedOn w:val="865"/>
    <w:next w:val="865"/>
    <w:uiPriority w:val="0"/>
    <w:qFormat/>
    <w:pPr>
      <w:ind w:left="798"/>
    </w:pPr>
    <w:rPr>
      <w:rFonts w:ascii="Calibri" w:hAnsi="Calibri"/>
    </w:rPr>
  </w:style>
  <w:style w:type="paragraph" w:styleId="878">
    <w:name w:val="Body Text Indent"/>
    <w:basedOn w:val="844"/>
    <w:uiPriority w:val="0"/>
    <w:qFormat/>
    <w:pPr>
      <w:ind w:left="420"/>
      <w:spacing w:after="120"/>
    </w:pPr>
    <w:rPr>
      <w:rFonts w:ascii="Calibri" w:hAnsi="Calibri"/>
    </w:rPr>
  </w:style>
  <w:style w:type="paragraph" w:styleId="879">
    <w:name w:val="Block Text"/>
    <w:basedOn w:val="844"/>
    <w:uiPriority w:val="99"/>
    <w:unhideWhenUsed/>
    <w:qFormat/>
    <w:pPr>
      <w:ind w:left="1440" w:right="1440"/>
      <w:spacing w:after="120"/>
    </w:pPr>
  </w:style>
  <w:style w:type="paragraph" w:styleId="880">
    <w:name w:val="index 4"/>
    <w:basedOn w:val="844"/>
    <w:next w:val="844"/>
    <w:uiPriority w:val="99"/>
    <w:unhideWhenUsed/>
    <w:qFormat/>
    <w:pPr>
      <w:ind w:left="600"/>
    </w:pPr>
    <w:rPr>
      <w:rFonts w:ascii="Verdana" w:hAnsi="Verdana" w:eastAsia="微软雅黑"/>
      <w:sz w:val="20"/>
      <w:szCs w:val="20"/>
    </w:rPr>
  </w:style>
  <w:style w:type="paragraph" w:styleId="881">
    <w:name w:val="toc 5"/>
    <w:basedOn w:val="844"/>
    <w:next w:val="844"/>
    <w:uiPriority w:val="39"/>
    <w:unhideWhenUsed/>
    <w:qFormat/>
    <w:pPr>
      <w:ind w:left="1134"/>
      <w:spacing w:after="57"/>
    </w:pPr>
  </w:style>
  <w:style w:type="paragraph" w:styleId="882">
    <w:name w:val="toc 3"/>
    <w:basedOn w:val="844"/>
    <w:next w:val="844"/>
    <w:uiPriority w:val="39"/>
    <w:unhideWhenUsed/>
    <w:qFormat/>
    <w:pPr>
      <w:ind w:left="567"/>
      <w:spacing w:after="57"/>
    </w:pPr>
  </w:style>
  <w:style w:type="paragraph" w:styleId="883">
    <w:name w:val="Plain Text"/>
    <w:basedOn w:val="844"/>
    <w:uiPriority w:val="0"/>
    <w:qFormat/>
    <w:rPr>
      <w:rFonts w:ascii="宋体" w:hAnsi="Courier New"/>
      <w:sz w:val="20"/>
      <w:szCs w:val="20"/>
    </w:rPr>
  </w:style>
  <w:style w:type="paragraph" w:styleId="884">
    <w:name w:val="toc 8"/>
    <w:basedOn w:val="844"/>
    <w:next w:val="844"/>
    <w:uiPriority w:val="39"/>
    <w:unhideWhenUsed/>
    <w:qFormat/>
    <w:pPr>
      <w:ind w:left="1984"/>
      <w:spacing w:after="57"/>
    </w:pPr>
  </w:style>
  <w:style w:type="paragraph" w:styleId="885">
    <w:name w:val="Date"/>
    <w:basedOn w:val="844"/>
    <w:next w:val="844"/>
    <w:uiPriority w:val="0"/>
    <w:qFormat/>
    <w:rPr>
      <w:rFonts w:eastAsia="仿宋_GB2312"/>
      <w:sz w:val="28"/>
      <w:szCs w:val="20"/>
    </w:rPr>
  </w:style>
  <w:style w:type="paragraph" w:styleId="886">
    <w:name w:val="endnote text"/>
    <w:basedOn w:val="844"/>
    <w:link w:val="1091"/>
    <w:uiPriority w:val="99"/>
    <w:semiHidden/>
    <w:unhideWhenUsed/>
    <w:qFormat/>
    <w:rPr>
      <w:sz w:val="20"/>
    </w:rPr>
  </w:style>
  <w:style w:type="paragraph" w:styleId="887">
    <w:name w:val="Balloon Text"/>
    <w:basedOn w:val="844"/>
    <w:link w:val="1095"/>
    <w:uiPriority w:val="0"/>
    <w:qFormat/>
    <w:rPr>
      <w:sz w:val="18"/>
      <w:szCs w:val="18"/>
    </w:rPr>
  </w:style>
  <w:style w:type="paragraph" w:styleId="888">
    <w:name w:val="Footer"/>
    <w:basedOn w:val="844"/>
    <w:link w:val="1097"/>
    <w:uiPriority w:val="99"/>
    <w:qFormat/>
    <w:pPr>
      <w:jc w:val="left"/>
      <w:tabs>
        <w:tab w:val="center" w:pos="4153" w:leader="none"/>
        <w:tab w:val="right" w:pos="8306" w:leader="none"/>
      </w:tabs>
    </w:pPr>
    <w:rPr>
      <w:sz w:val="18"/>
      <w:szCs w:val="18"/>
    </w:rPr>
  </w:style>
  <w:style w:type="paragraph" w:styleId="889">
    <w:name w:val="Header"/>
    <w:basedOn w:val="844"/>
    <w:link w:val="1107"/>
    <w:uiPriority w:val="99"/>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44"/>
    <w:next w:val="844"/>
    <w:uiPriority w:val="39"/>
    <w:qFormat/>
  </w:style>
  <w:style w:type="paragraph" w:styleId="891">
    <w:name w:val="toc 4"/>
    <w:basedOn w:val="844"/>
    <w:next w:val="844"/>
    <w:uiPriority w:val="39"/>
    <w:unhideWhenUsed/>
    <w:qFormat/>
    <w:pPr>
      <w:ind w:left="850"/>
      <w:spacing w:after="57"/>
    </w:pPr>
  </w:style>
  <w:style w:type="paragraph" w:styleId="892">
    <w:name w:val="Subtitle"/>
    <w:basedOn w:val="844"/>
    <w:next w:val="844"/>
    <w:link w:val="957"/>
    <w:uiPriority w:val="11"/>
    <w:qFormat/>
    <w:pPr>
      <w:spacing w:before="200" w:after="200"/>
    </w:pPr>
    <w:rPr>
      <w:sz w:val="24"/>
    </w:rPr>
  </w:style>
  <w:style w:type="paragraph" w:styleId="893">
    <w:name w:val="footnote text"/>
    <w:basedOn w:val="844"/>
    <w:next w:val="859"/>
    <w:uiPriority w:val="0"/>
    <w:qFormat/>
    <w:pPr>
      <w:jc w:val="left"/>
    </w:pPr>
    <w:rPr>
      <w:rFonts w:ascii="宋体" w:eastAsia="Times New Roman"/>
      <w:sz w:val="18"/>
      <w:szCs w:val="18"/>
    </w:rPr>
  </w:style>
  <w:style w:type="paragraph" w:styleId="894">
    <w:name w:val="toc 6"/>
    <w:basedOn w:val="844"/>
    <w:next w:val="844"/>
    <w:uiPriority w:val="39"/>
    <w:unhideWhenUsed/>
    <w:qFormat/>
    <w:pPr>
      <w:ind w:left="1417"/>
      <w:spacing w:after="57"/>
    </w:pPr>
  </w:style>
  <w:style w:type="paragraph" w:styleId="895">
    <w:name w:val="table of figures"/>
    <w:basedOn w:val="844"/>
    <w:next w:val="844"/>
    <w:uiPriority w:val="99"/>
    <w:unhideWhenUsed/>
    <w:qFormat/>
  </w:style>
  <w:style w:type="paragraph" w:styleId="896">
    <w:name w:val="toc 2"/>
    <w:basedOn w:val="844"/>
    <w:next w:val="844"/>
    <w:uiPriority w:val="39"/>
    <w:unhideWhenUsed/>
    <w:qFormat/>
    <w:pPr>
      <w:ind w:left="283"/>
      <w:spacing w:after="57"/>
    </w:pPr>
  </w:style>
  <w:style w:type="paragraph" w:styleId="897">
    <w:name w:val="toc 9"/>
    <w:basedOn w:val="844"/>
    <w:next w:val="844"/>
    <w:uiPriority w:val="39"/>
    <w:unhideWhenUsed/>
    <w:qFormat/>
    <w:pPr>
      <w:ind w:left="2268"/>
      <w:spacing w:after="57"/>
    </w:pPr>
  </w:style>
  <w:style w:type="paragraph" w:styleId="898">
    <w:name w:val="Normal (Web)"/>
    <w:basedOn w:val="844"/>
    <w:uiPriority w:val="0"/>
    <w:qFormat/>
    <w:pPr>
      <w:jc w:val="left"/>
      <w:spacing w:before="100" w:beforeAutospacing="1" w:after="100" w:afterAutospacing="1"/>
      <w:widowControl/>
    </w:pPr>
    <w:rPr>
      <w:rFonts w:ascii="宋体" w:hAnsi="宋体" w:cs="宋体"/>
      <w:sz w:val="24"/>
    </w:rPr>
  </w:style>
  <w:style w:type="paragraph" w:styleId="899">
    <w:name w:val="Title"/>
    <w:basedOn w:val="844"/>
    <w:next w:val="844"/>
    <w:link w:val="956"/>
    <w:uiPriority w:val="10"/>
    <w:qFormat/>
    <w:pPr>
      <w:contextualSpacing/>
      <w:spacing w:before="300" w:after="200"/>
    </w:pPr>
    <w:rPr>
      <w:sz w:val="48"/>
      <w:szCs w:val="48"/>
    </w:rPr>
  </w:style>
  <w:style w:type="paragraph" w:styleId="900">
    <w:name w:val="annotation subject"/>
    <w:basedOn w:val="860"/>
    <w:next w:val="860"/>
    <w:link w:val="1103"/>
    <w:uiPriority w:val="0"/>
    <w:semiHidden/>
    <w:unhideWhenUsed/>
    <w:qFormat/>
    <w:rPr>
      <w:b/>
      <w:bCs/>
    </w:rPr>
  </w:style>
  <w:style w:type="paragraph" w:styleId="901">
    <w:name w:val="Body Text First Indent"/>
    <w:basedOn w:val="861"/>
    <w:next w:val="902"/>
    <w:uiPriority w:val="0"/>
    <w:qFormat/>
    <w:pPr>
      <w:ind w:firstLine="420"/>
    </w:pPr>
  </w:style>
  <w:style w:type="paragraph" w:styleId="902">
    <w:name w:val="Body Text First Indent 2"/>
    <w:basedOn w:val="878"/>
    <w:uiPriority w:val="0"/>
    <w:qFormat/>
    <w:pPr>
      <w:ind w:firstLine="420"/>
      <w:spacing w:line="360" w:lineRule="auto"/>
    </w:pPr>
    <w:rPr>
      <w:color w:val="000000"/>
      <w:sz w:val="20"/>
    </w:rPr>
  </w:style>
  <w:style w:type="table" w:styleId="903">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endnote reference"/>
    <w:basedOn w:val="854"/>
    <w:uiPriority w:val="99"/>
    <w:semiHidden/>
    <w:unhideWhenUsed/>
    <w:qFormat/>
    <w:rPr>
      <w:vertAlign w:val="superscript"/>
    </w:rPr>
  </w:style>
  <w:style w:type="character" w:styleId="905">
    <w:name w:val="page number"/>
    <w:basedOn w:val="854"/>
    <w:uiPriority w:val="0"/>
    <w:qFormat/>
  </w:style>
  <w:style w:type="character" w:styleId="906">
    <w:name w:val="Emphasis"/>
    <w:basedOn w:val="854"/>
    <w:uiPriority w:val="20"/>
    <w:qFormat/>
    <w:rPr>
      <w:i/>
    </w:rPr>
  </w:style>
  <w:style w:type="character" w:styleId="907">
    <w:name w:val="Hyperlink"/>
    <w:basedOn w:val="854"/>
    <w:uiPriority w:val="99"/>
    <w:unhideWhenUsed/>
    <w:qFormat/>
    <w:rPr>
      <w:color w:val="0000ff"/>
      <w:u w:val="single"/>
    </w:rPr>
  </w:style>
  <w:style w:type="character" w:styleId="908">
    <w:name w:val="annotation reference"/>
    <w:basedOn w:val="854"/>
    <w:uiPriority w:val="0"/>
    <w:semiHidden/>
    <w:unhideWhenUsed/>
    <w:qFormat/>
    <w:rPr>
      <w:sz w:val="21"/>
      <w:szCs w:val="21"/>
    </w:rPr>
  </w:style>
  <w:style w:type="character" w:styleId="909">
    <w:name w:val="footnote reference"/>
    <w:basedOn w:val="854"/>
    <w:uiPriority w:val="99"/>
    <w:unhideWhenUsed/>
    <w:qFormat/>
    <w:rPr>
      <w:vertAlign w:val="superscript"/>
    </w:rPr>
  </w:style>
  <w:style w:type="paragraph" w:styleId="910" w:customStyle="1">
    <w:name w:val="信息标题1"/>
    <w:basedOn w:val="844"/>
    <w:next w:val="91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11" w:customStyle="1">
    <w:name w:val="正文文本12"/>
    <w:basedOn w:val="844"/>
    <w:next w:val="844"/>
    <w:uiPriority w:val="99"/>
    <w:qFormat/>
    <w:pPr>
      <w:spacing w:after="120"/>
    </w:pPr>
  </w:style>
  <w:style w:type="paragraph" w:styleId="912" w:customStyle="1">
    <w:name w:val="正文文本 21"/>
    <w:basedOn w:val="866"/>
    <w:uiPriority w:val="0"/>
    <w:qFormat/>
    <w:pPr>
      <w:jc w:val="center"/>
      <w:widowControl/>
    </w:pPr>
    <w:rPr>
      <w:rFonts w:ascii="楷体_GB2312" w:eastAsia="楷体_GB2312"/>
      <w:sz w:val="28"/>
      <w:szCs w:val="28"/>
    </w:rPr>
  </w:style>
  <w:style w:type="paragraph" w:styleId="913" w:customStyle="1">
    <w:name w:val="正文文本1"/>
    <w:basedOn w:val="868"/>
    <w:next w:val="866"/>
    <w:uiPriority w:val="0"/>
    <w:qFormat/>
    <w:pPr>
      <w:spacing w:after="120"/>
    </w:pPr>
    <w:rPr>
      <w:lang w:eastAsia="en-US"/>
    </w:rPr>
  </w:style>
  <w:style w:type="character" w:styleId="914" w:customStyle="1">
    <w:name w:val="Heading 4 Char"/>
    <w:basedOn w:val="854"/>
    <w:uiPriority w:val="9"/>
    <w:qFormat/>
    <w:rPr>
      <w:rFonts w:ascii="Arial" w:hAnsi="Arial" w:eastAsia="Arial" w:cs="Arial"/>
      <w:b/>
      <w:bCs/>
      <w:sz w:val="26"/>
      <w:szCs w:val="26"/>
    </w:rPr>
  </w:style>
  <w:style w:type="character" w:styleId="915" w:customStyle="1">
    <w:name w:val="Heading 5 Char"/>
    <w:basedOn w:val="854"/>
    <w:uiPriority w:val="9"/>
    <w:qFormat/>
    <w:rPr>
      <w:rFonts w:ascii="Arial" w:hAnsi="Arial" w:eastAsia="Arial" w:cs="Arial"/>
      <w:b/>
      <w:bCs/>
      <w:sz w:val="24"/>
      <w:szCs w:val="24"/>
    </w:rPr>
  </w:style>
  <w:style w:type="character" w:styleId="916" w:customStyle="1">
    <w:name w:val="Heading 6 Char"/>
    <w:basedOn w:val="854"/>
    <w:uiPriority w:val="9"/>
    <w:qFormat/>
    <w:rPr>
      <w:rFonts w:ascii="Arial" w:hAnsi="Arial" w:eastAsia="Arial" w:cs="Arial"/>
      <w:b/>
      <w:bCs/>
      <w:sz w:val="22"/>
      <w:szCs w:val="22"/>
    </w:rPr>
  </w:style>
  <w:style w:type="character" w:styleId="917" w:customStyle="1">
    <w:name w:val="Heading 7 Char"/>
    <w:basedOn w:val="854"/>
    <w:uiPriority w:val="9"/>
    <w:qFormat/>
    <w:rPr>
      <w:rFonts w:ascii="Arial" w:hAnsi="Arial" w:eastAsia="Arial" w:cs="Arial"/>
      <w:b/>
      <w:bCs/>
      <w:i/>
      <w:iCs/>
      <w:sz w:val="22"/>
      <w:szCs w:val="22"/>
    </w:rPr>
  </w:style>
  <w:style w:type="character" w:styleId="918" w:customStyle="1">
    <w:name w:val="Heading 8 Char"/>
    <w:basedOn w:val="854"/>
    <w:uiPriority w:val="9"/>
    <w:qFormat/>
    <w:rPr>
      <w:rFonts w:ascii="Arial" w:hAnsi="Arial" w:eastAsia="Arial" w:cs="Arial"/>
      <w:i/>
      <w:iCs/>
      <w:sz w:val="22"/>
      <w:szCs w:val="22"/>
    </w:rPr>
  </w:style>
  <w:style w:type="character" w:styleId="919" w:customStyle="1">
    <w:name w:val="Heading 9 Char"/>
    <w:basedOn w:val="854"/>
    <w:uiPriority w:val="9"/>
    <w:qFormat/>
    <w:rPr>
      <w:rFonts w:ascii="Arial" w:hAnsi="Arial" w:eastAsia="Arial" w:cs="Arial"/>
      <w:i/>
      <w:iCs/>
      <w:sz w:val="21"/>
      <w:szCs w:val="21"/>
    </w:rPr>
  </w:style>
  <w:style w:type="character" w:styleId="920" w:customStyle="1">
    <w:name w:val="Title Char"/>
    <w:basedOn w:val="854"/>
    <w:uiPriority w:val="10"/>
    <w:qFormat/>
    <w:rPr>
      <w:sz w:val="48"/>
      <w:szCs w:val="48"/>
    </w:rPr>
  </w:style>
  <w:style w:type="character" w:styleId="921" w:customStyle="1">
    <w:name w:val="Subtitle Char"/>
    <w:basedOn w:val="854"/>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table" w:styleId="924"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3" w:customStyle="1">
    <w:name w:val="Endnote Text Char"/>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21"/>
    <w:basedOn w:val="868"/>
    <w:next w:val="868"/>
    <w:uiPriority w:val="0"/>
    <w:qFormat/>
    <w:pPr>
      <w:keepLines/>
      <w:keepNext/>
      <w:spacing w:before="260" w:after="260" w:line="416" w:lineRule="auto"/>
      <w:outlineLvl w:val="1"/>
    </w:pPr>
    <w:rPr>
      <w:rFonts w:ascii="Cambria" w:hAnsi="Cambria"/>
      <w:b/>
      <w:bCs/>
      <w:sz w:val="32"/>
      <w:szCs w:val="32"/>
    </w:rPr>
  </w:style>
  <w:style w:type="character" w:styleId="946" w:customStyle="1">
    <w:name w:val="Heading 1 Char"/>
    <w:basedOn w:val="854"/>
    <w:uiPriority w:val="9"/>
    <w:qFormat/>
    <w:rPr>
      <w:rFonts w:ascii="Arial" w:hAnsi="Arial" w:eastAsia="Arial" w:cs="Arial"/>
      <w:sz w:val="40"/>
      <w:szCs w:val="40"/>
    </w:rPr>
  </w:style>
  <w:style w:type="character" w:styleId="947" w:customStyle="1">
    <w:name w:val="Heading 2 Char"/>
    <w:basedOn w:val="854"/>
    <w:uiPriority w:val="9"/>
    <w:qFormat/>
    <w:rPr>
      <w:rFonts w:ascii="Arial" w:hAnsi="Arial" w:eastAsia="Arial" w:cs="Arial"/>
      <w:sz w:val="34"/>
    </w:rPr>
  </w:style>
  <w:style w:type="character" w:styleId="948" w:customStyle="1">
    <w:name w:val="Heading 3 Char"/>
    <w:basedOn w:val="854"/>
    <w:uiPriority w:val="9"/>
    <w:qFormat/>
    <w:rPr>
      <w:rFonts w:ascii="Arial" w:hAnsi="Arial" w:eastAsia="Arial" w:cs="Arial"/>
      <w:sz w:val="30"/>
      <w:szCs w:val="30"/>
    </w:rPr>
  </w:style>
  <w:style w:type="character" w:styleId="949" w:customStyle="1">
    <w:name w:val="标题 4 字符"/>
    <w:basedOn w:val="854"/>
    <w:link w:val="848"/>
    <w:uiPriority w:val="9"/>
    <w:qFormat/>
    <w:rPr>
      <w:rFonts w:ascii="Arial" w:hAnsi="Arial" w:eastAsia="Arial" w:cs="Arial"/>
      <w:b/>
      <w:bCs/>
      <w:sz w:val="26"/>
      <w:szCs w:val="26"/>
    </w:rPr>
  </w:style>
  <w:style w:type="character" w:styleId="950" w:customStyle="1">
    <w:name w:val="标题 5 字符"/>
    <w:basedOn w:val="854"/>
    <w:link w:val="849"/>
    <w:uiPriority w:val="9"/>
    <w:qFormat/>
    <w:rPr>
      <w:rFonts w:ascii="Arial" w:hAnsi="Arial" w:eastAsia="Arial" w:cs="Arial"/>
      <w:b/>
      <w:bCs/>
      <w:sz w:val="24"/>
      <w:szCs w:val="24"/>
    </w:rPr>
  </w:style>
  <w:style w:type="character" w:styleId="951" w:customStyle="1">
    <w:name w:val="标题 6 字符"/>
    <w:basedOn w:val="854"/>
    <w:link w:val="850"/>
    <w:uiPriority w:val="9"/>
    <w:qFormat/>
    <w:rPr>
      <w:rFonts w:ascii="Arial" w:hAnsi="Arial" w:eastAsia="Arial" w:cs="Arial"/>
      <w:b/>
      <w:bCs/>
      <w:sz w:val="22"/>
      <w:szCs w:val="22"/>
    </w:rPr>
  </w:style>
  <w:style w:type="character" w:styleId="952" w:customStyle="1">
    <w:name w:val="标题 7 字符"/>
    <w:basedOn w:val="854"/>
    <w:link w:val="851"/>
    <w:uiPriority w:val="9"/>
    <w:qFormat/>
    <w:rPr>
      <w:rFonts w:ascii="Arial" w:hAnsi="Arial" w:eastAsia="Arial" w:cs="Arial"/>
      <w:b/>
      <w:bCs/>
      <w:i/>
      <w:iCs/>
      <w:sz w:val="22"/>
      <w:szCs w:val="22"/>
    </w:rPr>
  </w:style>
  <w:style w:type="character" w:styleId="953" w:customStyle="1">
    <w:name w:val="标题 8 字符"/>
    <w:basedOn w:val="854"/>
    <w:link w:val="852"/>
    <w:uiPriority w:val="9"/>
    <w:qFormat/>
    <w:rPr>
      <w:rFonts w:ascii="Arial" w:hAnsi="Arial" w:eastAsia="Arial" w:cs="Arial"/>
      <w:i/>
      <w:iCs/>
      <w:sz w:val="22"/>
      <w:szCs w:val="22"/>
    </w:rPr>
  </w:style>
  <w:style w:type="character" w:styleId="954" w:customStyle="1">
    <w:name w:val="标题 9 字符"/>
    <w:basedOn w:val="854"/>
    <w:link w:val="853"/>
    <w:uiPriority w:val="9"/>
    <w:qFormat/>
    <w:rPr>
      <w:rFonts w:ascii="Arial" w:hAnsi="Arial" w:eastAsia="Arial" w:cs="Arial"/>
      <w:i/>
      <w:iCs/>
      <w:sz w:val="21"/>
      <w:szCs w:val="21"/>
    </w:rPr>
  </w:style>
  <w:style w:type="paragraph" w:styleId="955">
    <w:name w:val="No Spacing"/>
    <w:uiPriority w:val="1"/>
    <w:qFormat/>
    <w:rPr>
      <w:rFonts w:hint="default" w:ascii="Times New Roman" w:hAnsi="Times New Roman" w:eastAsia="宋体" w:cs="Times New Roman"/>
      <w:lang w:val="en-US" w:eastAsia="zh-CN" w:bidi="ar-SA"/>
    </w:rPr>
  </w:style>
  <w:style w:type="character" w:styleId="956" w:customStyle="1">
    <w:name w:val="标题 字符"/>
    <w:basedOn w:val="854"/>
    <w:link w:val="899"/>
    <w:uiPriority w:val="10"/>
    <w:qFormat/>
    <w:rPr>
      <w:sz w:val="48"/>
      <w:szCs w:val="48"/>
    </w:rPr>
  </w:style>
  <w:style w:type="character" w:styleId="957" w:customStyle="1">
    <w:name w:val="副标题 字符"/>
    <w:basedOn w:val="854"/>
    <w:link w:val="892"/>
    <w:uiPriority w:val="11"/>
    <w:qFormat/>
    <w:rPr>
      <w:sz w:val="24"/>
      <w:szCs w:val="24"/>
    </w:rPr>
  </w:style>
  <w:style w:type="paragraph" w:styleId="958">
    <w:name w:val="Quote"/>
    <w:basedOn w:val="844"/>
    <w:next w:val="844"/>
    <w:link w:val="959"/>
    <w:uiPriority w:val="29"/>
    <w:qFormat/>
    <w:pPr>
      <w:ind w:left="720" w:right="720"/>
    </w:pPr>
    <w:rPr>
      <w:i/>
    </w:rPr>
  </w:style>
  <w:style w:type="character" w:styleId="959" w:customStyle="1">
    <w:name w:val="引用 字符"/>
    <w:link w:val="958"/>
    <w:uiPriority w:val="29"/>
    <w:qFormat/>
    <w:rPr>
      <w:i/>
    </w:rPr>
  </w:style>
  <w:style w:type="paragraph" w:styleId="960">
    <w:name w:val="Intense Quote"/>
    <w:basedOn w:val="844"/>
    <w:next w:val="844"/>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Header Char"/>
    <w:basedOn w:val="854"/>
    <w:uiPriority w:val="99"/>
    <w:qFormat/>
  </w:style>
  <w:style w:type="character" w:styleId="963" w:customStyle="1">
    <w:name w:val="Footer Char"/>
    <w:basedOn w:val="854"/>
    <w:uiPriority w:val="99"/>
    <w:qFormat/>
  </w:style>
  <w:style w:type="character" w:styleId="964" w:customStyle="1">
    <w:name w:val="Caption Char"/>
    <w:uiPriority w:val="99"/>
    <w:qFormat/>
  </w:style>
  <w:style w:type="table" w:styleId="965"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6"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basedOn w:val="8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basedOn w:val="8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basedOn w:val="8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basedOn w:val="8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basedOn w:val="8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basedOn w:val="8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basedOn w:val="8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4" w:customStyle="1">
    <w:name w:val="Grid Table 2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5"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basedOn w:val="8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basedOn w:val="8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4" w:customStyle="1">
    <w:name w:val="Grid Table 4 - Accent 2"/>
    <w:basedOn w:val="8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5" w:customStyle="1">
    <w:name w:val="Grid Table 4 - Accent 3"/>
    <w:basedOn w:val="8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6" w:customStyle="1">
    <w:name w:val="Grid Table 4 - Accent 4"/>
    <w:basedOn w:val="8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7" w:customStyle="1">
    <w:name w:val="Grid Table 4 - Accent 5"/>
    <w:basedOn w:val="8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8" w:customStyle="1">
    <w:name w:val="Grid Table 4 - Accent 6"/>
    <w:basedOn w:val="8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9"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1"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2"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3"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4"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5"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6"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basedOn w:val="8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0" w:customStyle="1">
    <w:name w:val="Grid Table 6 Colorful - Accent 4"/>
    <w:basedOn w:val="8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2" w:customStyle="1">
    <w:name w:val="Grid Table 6 Colorful - Accent 6"/>
    <w:basedOn w:val="8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3"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basedOn w:val="8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basedOn w:val="8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basedOn w:val="8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basedOn w:val="8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basedOn w:val="8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basedOn w:val="85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basedOn w:val="8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basedOn w:val="8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9" w:customStyle="1">
    <w:name w:val="List Table 2 - Accent 2"/>
    <w:basedOn w:val="8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0" w:customStyle="1">
    <w:name w:val="List Table 2 - Accent 3"/>
    <w:basedOn w:val="8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1" w:customStyle="1">
    <w:name w:val="List Table 2 - Accent 4"/>
    <w:basedOn w:val="8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2" w:customStyle="1">
    <w:name w:val="List Table 2 - Accent 5"/>
    <w:basedOn w:val="8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3" w:customStyle="1">
    <w:name w:val="List Table 2 - Accent 6"/>
    <w:basedOn w:val="8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4"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basedOn w:val="8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6" w:customStyle="1">
    <w:name w:val="List Table 3 - Accent 2"/>
    <w:basedOn w:val="8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7" w:customStyle="1">
    <w:name w:val="List Table 3 - Accent 3"/>
    <w:basedOn w:val="8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8" w:customStyle="1">
    <w:name w:val="List Table 3 - Accent 4"/>
    <w:basedOn w:val="8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9" w:customStyle="1">
    <w:name w:val="List Table 3 - Accent 5"/>
    <w:basedOn w:val="8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0" w:customStyle="1">
    <w:name w:val="List Table 3 - Accent 6"/>
    <w:basedOn w:val="8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1"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basedOn w:val="8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3" w:customStyle="1">
    <w:name w:val="List Table 4 - Accent 2"/>
    <w:basedOn w:val="8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4" w:customStyle="1">
    <w:name w:val="List Table 4 - Accent 3"/>
    <w:basedOn w:val="8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5" w:customStyle="1">
    <w:name w:val="List Table 4 - Accent 4"/>
    <w:basedOn w:val="8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6" w:customStyle="1">
    <w:name w:val="List Table 4 - Accent 5"/>
    <w:basedOn w:val="8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7" w:customStyle="1">
    <w:name w:val="List Table 4 - Accent 6"/>
    <w:basedOn w:val="8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8"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basedOn w:val="8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basedOn w:val="8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basedOn w:val="8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basedOn w:val="8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basedOn w:val="8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basedOn w:val="8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basedOn w:val="85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7" w:customStyle="1">
    <w:name w:val="List Table 6 Colorful - Accent 2"/>
    <w:basedOn w:val="8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8" w:customStyle="1">
    <w:name w:val="List Table 6 Colorful - Accent 3"/>
    <w:basedOn w:val="8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9" w:customStyle="1">
    <w:name w:val="List Table 6 Colorful - Accent 4"/>
    <w:basedOn w:val="8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0" w:customStyle="1">
    <w:name w:val="List Table 6 Colorful - Accent 5"/>
    <w:basedOn w:val="85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1" w:customStyle="1">
    <w:name w:val="List Table 6 Colorful - Accent 6"/>
    <w:basedOn w:val="8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2"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basedOn w:val="85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basedOn w:val="8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basedOn w:val="8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basedOn w:val="8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basedOn w:val="85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basedOn w:val="8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9"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1"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2"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3"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4"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5"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6"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basedOn w:val="8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8" w:customStyle="1">
    <w:name w:val="Bordered &amp; Lined - Accent 2"/>
    <w:basedOn w:val="8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Bordered &amp; Lined - Accent 3"/>
    <w:basedOn w:val="8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Bordered &amp; Lined - Accent 4"/>
    <w:basedOn w:val="8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Bordered &amp; Lined - Accent 5"/>
    <w:basedOn w:val="8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Bordered &amp; Lined - Accent 6"/>
    <w:basedOn w:val="8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basedOn w:val="8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5" w:customStyle="1">
    <w:name w:val="Bordered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6" w:customStyle="1">
    <w:name w:val="Bordered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7" w:customStyle="1">
    <w:name w:val="Bordered - Accent 4"/>
    <w:basedOn w:val="8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8" w:customStyle="1">
    <w:name w:val="Bordered - Accent 5"/>
    <w:basedOn w:val="8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9" w:customStyle="1">
    <w:name w:val="Bordered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0" w:customStyle="1">
    <w:name w:val="Footnote Text Char"/>
    <w:uiPriority w:val="99"/>
    <w:qFormat/>
    <w:rPr>
      <w:sz w:val="18"/>
    </w:rPr>
  </w:style>
  <w:style w:type="character" w:styleId="1091" w:customStyle="1">
    <w:name w:val="尾注文本 字符"/>
    <w:link w:val="886"/>
    <w:uiPriority w:val="99"/>
    <w:qFormat/>
    <w:rPr>
      <w:sz w:val="20"/>
    </w:rPr>
  </w:style>
  <w:style w:type="paragraph" w:styleId="1092" w:customStyle="1">
    <w:name w:val="TOC 标题1"/>
    <w:uiPriority w:val="39"/>
    <w:unhideWhenUsed/>
    <w:qFormat/>
    <w:rPr>
      <w:rFonts w:hint="default" w:ascii="Times New Roman" w:hAnsi="Times New Roman" w:eastAsia="宋体" w:cs="Times New Roman"/>
      <w:lang w:val="en-US" w:eastAsia="zh-CN" w:bidi="ar-SA"/>
    </w:rPr>
  </w:style>
  <w:style w:type="paragraph" w:styleId="1093" w:customStyle="1">
    <w:name w:val="p0"/>
    <w:basedOn w:val="844"/>
    <w:uiPriority w:val="0"/>
    <w:qFormat/>
    <w:pPr>
      <w:widowControl/>
    </w:pPr>
    <w:rPr>
      <w:szCs w:val="21"/>
    </w:rPr>
  </w:style>
  <w:style w:type="paragraph" w:styleId="1094">
    <w:name w:val="List Paragraph"/>
    <w:basedOn w:val="844"/>
    <w:uiPriority w:val="1"/>
    <w:qFormat/>
    <w:pPr>
      <w:ind w:firstLine="420"/>
    </w:pPr>
  </w:style>
  <w:style w:type="character" w:styleId="1095" w:customStyle="1">
    <w:name w:val="批注框文本 字符"/>
    <w:basedOn w:val="854"/>
    <w:link w:val="887"/>
    <w:uiPriority w:val="0"/>
    <w:qFormat/>
    <w:rPr>
      <w:rFonts w:ascii="Times New Roman" w:hAnsi="Times New Roman" w:eastAsia="宋体" w:cs="Times New Roman"/>
      <w:sz w:val="18"/>
      <w:szCs w:val="18"/>
    </w:rPr>
  </w:style>
  <w:style w:type="paragraph" w:styleId="10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97" w:customStyle="1">
    <w:name w:val="页脚 字符"/>
    <w:basedOn w:val="854"/>
    <w:link w:val="888"/>
    <w:uiPriority w:val="99"/>
    <w:qFormat/>
    <w:rPr>
      <w:rFonts w:ascii="Times New Roman" w:hAnsi="Times New Roman" w:eastAsia="宋体" w:cs="Times New Roman"/>
      <w:sz w:val="18"/>
      <w:szCs w:val="18"/>
    </w:rPr>
  </w:style>
  <w:style w:type="character" w:styleId="1098" w:customStyle="1">
    <w:name w:val="NormalCharacter"/>
    <w:uiPriority w:val="0"/>
    <w:semiHidden/>
    <w:qFormat/>
    <w:rPr>
      <w:sz w:val="28"/>
      <w:lang w:val="en-US" w:eastAsia="zh-CN" w:bidi="ar-SA"/>
    </w:rPr>
  </w:style>
  <w:style w:type="paragraph" w:styleId="1099" w:customStyle="1">
    <w:name w:val="179"/>
    <w:basedOn w:val="844"/>
    <w:uiPriority w:val="0"/>
    <w:qFormat/>
    <w:pPr>
      <w:ind w:firstLine="420"/>
      <w:jc w:val="left"/>
      <w:widowControl/>
    </w:pPr>
    <w:rPr>
      <w:rFonts w:ascii="宋体" w:hAnsi="宋体"/>
      <w:sz w:val="24"/>
    </w:rPr>
  </w:style>
  <w:style w:type="paragraph" w:styleId="110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1" w:customStyle="1">
    <w:name w:val="标准"/>
    <w:basedOn w:val="844"/>
    <w:uiPriority w:val="0"/>
    <w:qFormat/>
    <w:pPr>
      <w:ind w:firstLine="200"/>
      <w:spacing w:line="360" w:lineRule="auto"/>
    </w:pPr>
    <w:rPr>
      <w:rFonts w:cs="宋体"/>
      <w:sz w:val="20"/>
      <w:szCs w:val="20"/>
    </w:rPr>
  </w:style>
  <w:style w:type="character" w:styleId="1102" w:customStyle="1">
    <w:name w:val="批注文字 字符"/>
    <w:basedOn w:val="854"/>
    <w:link w:val="860"/>
    <w:uiPriority w:val="0"/>
    <w:qFormat/>
    <w:rPr>
      <w:rFonts w:ascii="Times New Roman" w:hAnsi="Times New Roman" w:eastAsia="宋体" w:cs="Times New Roman"/>
      <w:sz w:val="21"/>
      <w:szCs w:val="24"/>
    </w:rPr>
  </w:style>
  <w:style w:type="character" w:styleId="1103" w:customStyle="1">
    <w:name w:val="批注主题 字符"/>
    <w:basedOn w:val="1102"/>
    <w:link w:val="900"/>
    <w:uiPriority w:val="0"/>
    <w:semiHidden/>
    <w:qFormat/>
    <w:rPr>
      <w:rFonts w:ascii="Times New Roman" w:hAnsi="Times New Roman" w:eastAsia="宋体" w:cs="Times New Roman"/>
      <w:b/>
      <w:bCs/>
      <w:sz w:val="21"/>
      <w:szCs w:val="24"/>
    </w:rPr>
  </w:style>
  <w:style w:type="character" w:styleId="1104" w:customStyle="1">
    <w:name w:val="标题 2 字符"/>
    <w:basedOn w:val="854"/>
    <w:link w:val="846"/>
    <w:uiPriority w:val="9"/>
    <w:qFormat/>
    <w:rPr>
      <w:rFonts w:asciiTheme="majorHAnsi" w:hAnsiTheme="majorHAnsi" w:eastAsiaTheme="majorEastAsia" w:cstheme="majorBidi"/>
      <w:b/>
      <w:bCs/>
      <w:sz w:val="32"/>
      <w:szCs w:val="32"/>
    </w:rPr>
  </w:style>
  <w:style w:type="character" w:styleId="1105" w:customStyle="1">
    <w:name w:val="标题 3 字符"/>
    <w:basedOn w:val="854"/>
    <w:link w:val="847"/>
    <w:uiPriority w:val="9"/>
    <w:qFormat/>
    <w:rPr>
      <w:rFonts w:ascii="Times New Roman" w:hAnsi="Times New Roman" w:eastAsia="宋体" w:cs="Times New Roman"/>
      <w:b/>
      <w:bCs/>
      <w:sz w:val="32"/>
      <w:szCs w:val="32"/>
    </w:rPr>
  </w:style>
  <w:style w:type="character" w:styleId="1106" w:customStyle="1">
    <w:name w:val="标题 1 字符"/>
    <w:basedOn w:val="854"/>
    <w:link w:val="845"/>
    <w:uiPriority w:val="0"/>
    <w:qFormat/>
    <w:rPr>
      <w:rFonts w:ascii="Times New Roman" w:hAnsi="Times New Roman" w:eastAsia="新宋体" w:cs="Times New Roman"/>
      <w:b/>
      <w:bCs/>
      <w:sz w:val="30"/>
      <w:szCs w:val="44"/>
    </w:rPr>
  </w:style>
  <w:style w:type="character" w:styleId="1107" w:customStyle="1">
    <w:name w:val="页眉 字符"/>
    <w:basedOn w:val="854"/>
    <w:link w:val="889"/>
    <w:uiPriority w:val="99"/>
    <w:qFormat/>
    <w:rPr>
      <w:rFonts w:ascii="Times New Roman" w:hAnsi="Times New Roman" w:eastAsia="宋体" w:cs="Times New Roman"/>
      <w:sz w:val="18"/>
      <w:szCs w:val="18"/>
    </w:rPr>
  </w:style>
  <w:style w:type="character" w:styleId="1108" w:customStyle="1">
    <w:name w:val="正文文本 字符"/>
    <w:basedOn w:val="854"/>
    <w:link w:val="861"/>
    <w:uiPriority w:val="99"/>
    <w:qFormat/>
    <w:rPr>
      <w:rFonts w:ascii="Calibri" w:hAnsi="Calibri" w:eastAsia="宋体" w:cs="Times New Roman"/>
      <w:sz w:val="21"/>
      <w:szCs w:val="24"/>
    </w:rPr>
  </w:style>
  <w:style w:type="paragraph" w:styleId="1109" w:customStyle="1">
    <w:name w:val="_Style 11"/>
    <w:basedOn w:val="844"/>
    <w:next w:val="1094"/>
    <w:uiPriority w:val="34"/>
    <w:qFormat/>
    <w:pPr>
      <w:ind w:firstLine="420"/>
    </w:pPr>
    <w:rPr>
      <w:color w:val="000000"/>
      <w:szCs w:val="21"/>
    </w:rPr>
  </w:style>
  <w:style w:type="paragraph" w:styleId="1110" w:customStyle="1">
    <w:name w:val="TOC 11"/>
    <w:basedOn w:val="844"/>
    <w:next w:val="844"/>
    <w:uiPriority w:val="0"/>
    <w:qFormat/>
    <w:pPr>
      <w:jc w:val="left"/>
      <w:spacing w:before="120" w:after="120"/>
      <w:widowControl/>
    </w:pPr>
    <w:rPr>
      <w:rFonts w:ascii="Calibri" w:hAnsi="Calibri" w:cs="Calibri"/>
      <w:b/>
      <w:bCs/>
      <w:caps/>
      <w:sz w:val="20"/>
      <w:szCs w:val="20"/>
    </w:rPr>
  </w:style>
  <w:style w:type="paragraph" w:styleId="1111" w:customStyle="1">
    <w:name w:val="BodyText1I2"/>
    <w:basedOn w:val="844"/>
    <w:uiPriority w:val="0"/>
    <w:qFormat/>
    <w:pPr>
      <w:ind w:firstLine="420"/>
      <w:spacing w:line="360" w:lineRule="auto"/>
      <w:widowControl/>
    </w:pPr>
    <w:rPr>
      <w:rFonts w:ascii="宋体" w:hAnsi="宋体" w:cstheme="minorBidi"/>
      <w:sz w:val="20"/>
      <w:szCs w:val="20"/>
    </w:rPr>
  </w:style>
  <w:style w:type="paragraph" w:styleId="1112" w:customStyle="1">
    <w:name w:val="UserStyle_133"/>
    <w:basedOn w:val="844"/>
    <w:uiPriority w:val="0"/>
    <w:qFormat/>
    <w:pPr>
      <w:widowControl/>
    </w:pPr>
    <w:rPr>
      <w:rFonts w:ascii="Tahoma" w:hAnsi="Tahoma" w:cstheme="minorBidi"/>
      <w:sz w:val="24"/>
    </w:rPr>
  </w:style>
  <w:style w:type="paragraph" w:styleId="1113" w:customStyle="1">
    <w:name w:val="AnnotationText"/>
    <w:basedOn w:val="844"/>
    <w:link w:val="1114"/>
    <w:uiPriority w:val="0"/>
    <w:qFormat/>
    <w:pPr>
      <w:jc w:val="left"/>
      <w:widowControl/>
    </w:pPr>
    <w:rPr>
      <w:rFonts w:cstheme="minorBidi"/>
    </w:rPr>
  </w:style>
  <w:style w:type="character" w:styleId="1114" w:customStyle="1">
    <w:name w:val="UserStyle_12"/>
    <w:link w:val="1113"/>
    <w:uiPriority w:val="0"/>
    <w:qFormat/>
    <w:rPr>
      <w:rFonts w:ascii="Times New Roman" w:hAnsi="Times New Roman" w:eastAsia="宋体"/>
      <w:sz w:val="21"/>
      <w:szCs w:val="24"/>
    </w:rPr>
  </w:style>
  <w:style w:type="paragraph" w:styleId="111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16" w:customStyle="1">
    <w:name w:val="*正文-表格"/>
    <w:basedOn w:val="844"/>
    <w:uiPriority w:val="0"/>
    <w:qFormat/>
    <w:rPr>
      <w:sz w:val="24"/>
      <w:szCs w:val="20"/>
    </w:rPr>
  </w:style>
  <w:style w:type="character" w:styleId="1117" w:customStyle="1">
    <w:name w:val="font21"/>
    <w:basedOn w:val="854"/>
    <w:uiPriority w:val="0"/>
    <w:qFormat/>
    <w:rPr>
      <w:rFonts w:hint="eastAsia" w:ascii="宋体" w:hAnsi="宋体" w:eastAsia="宋体" w:cs="宋体"/>
      <w:b/>
      <w:bCs/>
      <w:color w:val="000000"/>
      <w:sz w:val="28"/>
      <w:szCs w:val="28"/>
      <w:u w:val="none"/>
    </w:rPr>
  </w:style>
  <w:style w:type="paragraph" w:styleId="1118" w:customStyle="1">
    <w:name w:val="标题 5（有编号）（绿盟科技）"/>
    <w:basedOn w:val="844"/>
    <w:next w:val="111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1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20" w:customStyle="1">
    <w:name w:val="投标文件正文"/>
    <w:basedOn w:val="844"/>
    <w:uiPriority w:val="0"/>
    <w:qFormat/>
    <w:pPr>
      <w:ind w:firstLine="200"/>
      <w:spacing w:before="40" w:after="40" w:line="400" w:lineRule="exact"/>
    </w:pPr>
    <w:rPr>
      <w:sz w:val="24"/>
    </w:rPr>
  </w:style>
  <w:style w:type="paragraph" w:styleId="1121" w:customStyle="1">
    <w:name w:val="标题 22"/>
    <w:basedOn w:val="844"/>
    <w:next w:val="844"/>
    <w:uiPriority w:val="0"/>
    <w:qFormat/>
    <w:pPr>
      <w:jc w:val="left"/>
      <w:keepLines/>
      <w:keepNext/>
      <w:spacing w:before="50"/>
      <w:tabs>
        <w:tab w:val="left" w:pos="0" w:leader="none"/>
      </w:tabs>
    </w:pPr>
    <w:rPr>
      <w:rFonts w:ascii="Arial" w:hAnsi="Arial" w:eastAsia="黑体"/>
      <w:sz w:val="32"/>
      <w:szCs w:val="20"/>
    </w:rPr>
  </w:style>
  <w:style w:type="paragraph" w:styleId="1122" w:customStyle="1">
    <w:name w:val="BodyTextIndent"/>
    <w:basedOn w:val="844"/>
    <w:next w:val="1123"/>
    <w:uiPriority w:val="0"/>
    <w:qFormat/>
    <w:pPr>
      <w:ind w:left="420"/>
      <w:spacing w:after="120"/>
    </w:pPr>
  </w:style>
  <w:style w:type="paragraph" w:styleId="1123" w:customStyle="1">
    <w:name w:val="EnvelopeReturn"/>
    <w:basedOn w:val="844"/>
    <w:uiPriority w:val="0"/>
    <w:qFormat/>
    <w:rPr>
      <w:rFonts w:ascii="Arial" w:hAnsi="Arial"/>
    </w:rPr>
  </w:style>
  <w:style w:type="paragraph" w:styleId="1124" w:customStyle="1">
    <w:name w:val="Table Paragraph"/>
    <w:basedOn w:val="844"/>
    <w:uiPriority w:val="1"/>
    <w:qFormat/>
    <w:pPr>
      <w:ind w:left="107"/>
    </w:pPr>
    <w:rPr>
      <w:rFonts w:ascii="宋体" w:hAnsi="宋体" w:cs="宋体"/>
    </w:rPr>
  </w:style>
  <w:style w:type="paragraph" w:styleId="1125" w:customStyle="1">
    <w:name w:val="列出段落1"/>
    <w:basedOn w:val="844"/>
    <w:uiPriority w:val="34"/>
    <w:qFormat/>
    <w:pPr>
      <w:ind w:left="480"/>
      <w:jc w:val="left"/>
    </w:pPr>
    <w:rPr>
      <w:rFonts w:ascii="Calibri" w:hAnsi="Calibri" w:eastAsia="PMingLiU"/>
      <w:sz w:val="24"/>
      <w:szCs w:val="20"/>
      <w:lang w:eastAsia="zh-TW"/>
    </w:rPr>
  </w:style>
  <w:style w:type="paragraph" w:styleId="1126" w:customStyle="1">
    <w:name w:val="纯文本1"/>
    <w:basedOn w:val="868"/>
    <w:uiPriority w:val="0"/>
    <w:qFormat/>
    <w:rPr>
      <w:rFonts w:ascii="宋体" w:hAnsi="Courier New"/>
      <w:sz w:val="20"/>
      <w:szCs w:val="20"/>
    </w:rPr>
  </w:style>
  <w:style w:type="table" w:styleId="1127" w:customStyle="1">
    <w:name w:val="Table Normal"/>
    <w:uiPriority w:val="0"/>
    <w:semiHidden/>
    <w:unhideWhenUsed/>
    <w:qFormat/>
    <w:tblPr>
      <w:tblCellMar>
        <w:left w:w="0" w:type="dxa"/>
        <w:top w:w="0" w:type="dxa"/>
        <w:right w:w="0" w:type="dxa"/>
        <w:bottom w:w="0" w:type="dxa"/>
      </w:tblCellMar>
    </w:tblPr>
  </w:style>
  <w:style w:type="character" w:styleId="1128" w:customStyle="1">
    <w:name w:val="wyg1"/>
    <w:uiPriority w:val="6"/>
    <w:qFormat/>
    <w:rPr>
      <w:color w:val="000000"/>
      <w:sz w:val="20"/>
      <w:szCs w:val="20"/>
      <w:u w:val="none"/>
    </w:rPr>
  </w:style>
  <w:style w:type="character" w:styleId="1129" w:customStyle="1">
    <w:name w:val="font01"/>
    <w:basedOn w:val="854"/>
    <w:uiPriority w:val="0"/>
    <w:qFormat/>
    <w:rPr>
      <w:rFonts w:hint="eastAsia" w:ascii="宋体" w:hAnsi="宋体" w:eastAsia="宋体" w:cs="宋体"/>
      <w:color w:val="000000"/>
      <w:sz w:val="20"/>
      <w:szCs w:val="20"/>
      <w:u w:val="none"/>
    </w:rPr>
  </w:style>
  <w:style w:type="character" w:styleId="1130" w:customStyle="1">
    <w:name w:val="font71"/>
    <w:basedOn w:val="854"/>
    <w:uiPriority w:val="0"/>
    <w:qFormat/>
    <w:rPr>
      <w:rFonts w:hint="eastAsia" w:ascii="宋体" w:hAnsi="宋体" w:eastAsia="宋体" w:cs="宋体"/>
      <w:color w:val="ff0000"/>
      <w:sz w:val="20"/>
      <w:szCs w:val="20"/>
      <w:u w:val="none"/>
    </w:rPr>
  </w:style>
  <w:style w:type="character" w:styleId="1131" w:customStyle="1">
    <w:name w:val="font61"/>
    <w:basedOn w:val="854"/>
    <w:uiPriority w:val="0"/>
    <w:qFormat/>
    <w:rPr>
      <w:rFonts w:hint="eastAsia" w:ascii="宋体" w:hAnsi="宋体" w:eastAsia="宋体" w:cs="宋体"/>
      <w:color w:val="ff0000"/>
      <w:sz w:val="20"/>
      <w:szCs w:val="20"/>
      <w:u w:val="none"/>
    </w:rPr>
  </w:style>
  <w:style w:type="character" w:styleId="1132" w:customStyle="1">
    <w:name w:val="超链接1"/>
    <w:link w:val="844"/>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页脚1"/>
    <w:basedOn w:val="844"/>
    <w:uiPriority w:val="99"/>
    <w:qFormat/>
    <w:pPr>
      <w:jc w:val="left"/>
      <w:tabs>
        <w:tab w:val="center" w:pos="4153" w:leader="none"/>
        <w:tab w:val="right" w:pos="8306" w:leader="none"/>
      </w:tabs>
    </w:pPr>
    <w:rPr>
      <w:sz w:val="18"/>
      <w:szCs w:val="18"/>
    </w:rPr>
  </w:style>
  <w:style w:type="paragraph" w:styleId="1134" w:customStyle="1">
    <w:name w:val="正文1111"/>
    <w:next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文本块2"/>
    <w:basedOn w:val="1134"/>
    <w:uiPriority w:val="0"/>
    <w:qFormat/>
    <w:pPr>
      <w:ind w:left="420" w:right="33"/>
      <w:jc w:val="left"/>
    </w:pPr>
    <w:rPr>
      <w:sz w:val="24"/>
      <w:szCs w:val="20"/>
    </w:rPr>
  </w:style>
  <w:style w:type="paragraph" w:styleId="1136" w:customStyle="1">
    <w:name w:val="文本块11"/>
    <w:basedOn w:val="871"/>
    <w:uiPriority w:val="0"/>
    <w:qFormat/>
    <w:pPr>
      <w:ind w:left="256" w:right="6" w:firstLine="624"/>
    </w:pPr>
    <w:rPr>
      <w:rFonts w:ascii="Arial" w:hAnsi="Arial" w:eastAsia="仿宋"/>
      <w:sz w:val="28"/>
    </w:rPr>
  </w:style>
  <w:style w:type="paragraph" w:styleId="1137" w:customStyle="1">
    <w:name w:val="正文首行缩进 211"/>
    <w:basedOn w:val="1138"/>
    <w:uiPriority w:val="0"/>
    <w:qFormat/>
    <w:pPr>
      <w:ind w:firstLine="420"/>
    </w:pPr>
  </w:style>
  <w:style w:type="paragraph" w:styleId="1138" w:customStyle="1">
    <w:name w:val="正文文本缩进11"/>
    <w:basedOn w:val="844"/>
    <w:uiPriority w:val="0"/>
    <w:qFormat/>
    <w:pPr>
      <w:ind w:left="420"/>
      <w:spacing w:after="120"/>
    </w:pPr>
  </w:style>
  <w:style w:type="character" w:styleId="1139" w:customStyle="1">
    <w:name w:val="NormalCharacter1"/>
    <w:link w:val="844"/>
    <w:uiPriority w:val="0"/>
    <w:semiHidden/>
    <w:qFormat/>
    <w:rPr>
      <w:sz w:val="28"/>
      <w:lang w:val="en-US" w:eastAsia="zh-CN" w:bidi="ar-SA"/>
    </w:rPr>
  </w:style>
  <w:style w:type="paragraph" w:styleId="1140" w:customStyle="1">
    <w:name w:val="普通(网站)11"/>
    <w:basedOn w:val="844"/>
    <w:uiPriority w:val="0"/>
    <w:qFormat/>
    <w:pPr>
      <w:jc w:val="left"/>
      <w:spacing w:before="100" w:beforeAutospacing="1" w:after="100" w:afterAutospacing="1"/>
      <w:widowControl/>
    </w:pPr>
    <w:rPr>
      <w:rFonts w:ascii="宋体" w:hAnsi="宋体" w:cs="宋体"/>
      <w:sz w:val="24"/>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0BD6C5-33C8-4839-BA87-6D5DE6F0AC27}"/>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11</cp:revision>
  <dcterms:created xsi:type="dcterms:W3CDTF">2023-04-24T03:52:00Z</dcterms:created>
  <dcterms:modified xsi:type="dcterms:W3CDTF">2026-05-07T03:18:43Z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7D614F033A9F4AE691DF7FD1CF234EBF_13</vt:lpwstr>
  </property>
  <property fmtid="{D5CDD505-2E9C-101B-9397-08002B2CF9AE}" pid="4" name="KSOTemplateDocerSaveRecord">
    <vt:lpwstr>eyJoZGlkIjoiMWYzY2YyOWNlNzFmNzAwMTg3MDgxZThlYmJkYzhlNDYiLCJ1c2VySWQiOiIxMTQwNTc1MTUwIn0=</vt:lpwstr>
  </property>
</Properties>
</file>