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spacing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lang w:eastAsia="zh-CN"/>
        </w:rPr>
        <w:t xml:space="preserve">泰州市政府采购</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公开</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
        <w:rPr>
          <w:rFonts w:ascii="宋体" w:hAnsi="宋体" w:eastAsia="宋体" w:cs="宋体"/>
          <w:color w:val="000000"/>
          <w:spacing w:val="20"/>
          <w:sz w:val="52"/>
          <w:lang w:eastAsia="zh-CN"/>
        </w:rPr>
        <w:t xml:space="preserve">招标文件</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（全流程电子化不见面开标）</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rPr>
          <w:lang w:eastAsia="zh-CN"/>
        </w:rPr>
      </w:r>
      <w:r/>
    </w:p>
    <w:p>
      <w:pPr>
        <w:pStyle w:val="613"/>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19"/>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招标编号：</w:t>
      </w:r>
      <w:r>
        <w:rPr>
          <w:rFonts w:hint="eastAsia" w:ascii="宋体" w:hAnsi="宋体" w:eastAsia="宋体" w:cs="宋体"/>
          <w:b/>
          <w:color w:val="000000"/>
          <w:sz w:val="28"/>
          <w:szCs w:val="28"/>
          <w:lang w:eastAsia="zh-CN"/>
        </w:rPr>
        <w:t xml:space="preserve">JSZC-321204-SZQY-G2026-0004</w:t>
      </w:r>
      <w:r>
        <w:rPr>
          <w:rFonts w:eastAsia="宋体"/>
          <w:sz w:val="28"/>
          <w:szCs w:val="28"/>
          <w:lang w:eastAsia="zh-CN"/>
        </w:rPr>
      </w:r>
      <w:r/>
    </w:p>
    <w:p>
      <w:pPr>
        <w:pStyle w:val="613"/>
        <w:ind w:left="1960" w:hanging="1541"/>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项目名称：</w:t>
      </w:r>
      <w:r>
        <w:rPr>
          <w:rFonts w:hint="eastAsia" w:ascii="宋体" w:hAnsi="宋体" w:eastAsia="宋体" w:cs="宋体"/>
          <w:b/>
          <w:color w:val="000000"/>
          <w:sz w:val="28"/>
          <w:szCs w:val="28"/>
          <w:lang w:eastAsia="zh-CN"/>
        </w:rPr>
        <w:t xml:space="preserve">健身器材采购项目</w:t>
      </w:r>
      <w:r>
        <w:rPr>
          <w:rFonts w:eastAsia="宋体"/>
          <w:sz w:val="28"/>
          <w:szCs w:val="28"/>
          <w:lang w:eastAsia="zh-CN"/>
        </w:rPr>
      </w:r>
      <w:r/>
    </w:p>
    <w:p>
      <w:pPr>
        <w:pStyle w:val="613"/>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lang w:eastAsia="zh-CN"/>
        </w:rPr>
      </w:r>
      <w:r/>
    </w:p>
    <w:p>
      <w:pPr>
        <w:pStyle w:val="613"/>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lang w:eastAsia="zh-CN"/>
        </w:rPr>
      </w:r>
      <w:r/>
    </w:p>
    <w:p>
      <w:pPr>
        <w:pStyle w:val="613"/>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lang w:eastAsia="zh-CN"/>
        </w:rPr>
      </w:r>
      <w:r/>
    </w:p>
    <w:p>
      <w:pPr>
        <w:pStyle w:val="613"/>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购</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人：</w:t>
      </w:r>
      <w:r>
        <w:rPr>
          <w:rFonts w:hint="eastAsia" w:ascii="宋体" w:hAnsi="宋体" w:eastAsia="宋体" w:cs="宋体"/>
          <w:b/>
          <w:color w:val="000000"/>
          <w:sz w:val="28"/>
          <w:lang w:eastAsia="zh-CN"/>
        </w:rPr>
        <w:t xml:space="preserve">泰州市姜堰区文体广电和旅游局</w:t>
      </w:r>
      <w:r>
        <w:rPr>
          <w:rFonts w:eastAsia="宋体"/>
          <w:lang w:eastAsia="zh-CN"/>
        </w:rPr>
      </w:r>
      <w:r/>
    </w:p>
    <w:p>
      <w:pPr>
        <w:pStyle w:val="613"/>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采购代理机构：</w:t>
      </w:r>
      <w:r>
        <w:rPr>
          <w:rFonts w:hint="eastAsia" w:ascii="宋体" w:hAnsi="宋体" w:eastAsia="宋体" w:cs="宋体"/>
          <w:b/>
          <w:color w:val="000000"/>
          <w:sz w:val="28"/>
          <w:lang w:eastAsia="zh-CN"/>
        </w:rPr>
        <w:t xml:space="preserve">苏州市群益工程顾问有限责任公司</w:t>
      </w:r>
      <w:r>
        <w:rPr>
          <w:rFonts w:eastAsia="宋体"/>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2026</w:t>
      </w:r>
      <w:r>
        <w:rPr>
          <w:rFonts w:ascii="宋体" w:hAnsi="宋体" w:eastAsia="宋体" w:cs="宋体"/>
          <w:b/>
          <w:color w:val="000000"/>
          <w:sz w:val="28"/>
          <w:lang w:eastAsia="zh-CN"/>
        </w:rPr>
        <w:t xml:space="preserve">年</w:t>
      </w:r>
      <w:r>
        <w:rPr>
          <w:rFonts w:hint="eastAsia" w:ascii="宋体" w:hAnsi="宋体" w:eastAsia="宋体" w:cs="宋体"/>
          <w:b/>
          <w:color w:val="000000"/>
          <w:sz w:val="28"/>
          <w:lang w:val="en-US" w:eastAsia="zh-CN"/>
        </w:rPr>
        <w:t xml:space="preserve">5</w:t>
      </w:r>
      <w:r>
        <w:rPr>
          <w:rFonts w:ascii="宋体" w:hAnsi="宋体" w:eastAsia="宋体" w:cs="宋体"/>
          <w:b/>
          <w:color w:val="000000"/>
          <w:sz w:val="28"/>
          <w:lang w:eastAsia="zh-CN"/>
        </w:rPr>
        <w:t xml:space="preserve">月</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rPr>
          <w:lang w:eastAsia="zh-CN"/>
        </w:rPr>
      </w:r>
      <w:r/>
    </w:p>
    <w:p>
      <w:pPr>
        <w:pStyle w:val="613"/>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  录</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第一章 招标公告</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第二章 投标人须知</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第三章 采购需求</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第四章 评标办法及标准</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第五章 合同条款</w:t>
      </w:r>
      <w:r>
        <w:rPr>
          <w:lang w:eastAsia="zh-CN"/>
        </w:rPr>
      </w:r>
      <w:r/>
    </w:p>
    <w:p>
      <w:pPr>
        <w:pStyle w:val="613"/>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第六章 投标文件格式</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lang w:eastAsia="zh-CN"/>
        </w:rPr>
        <w:t xml:space="preserve">第一章</w:t>
      </w:r>
      <w:r>
        <w:rPr>
          <w:rFonts w:ascii="宋体" w:hAnsi="宋体" w:eastAsia="宋体" w:cs="宋体"/>
          <w:color w:val="000000"/>
          <w:sz w:val="24"/>
          <w:lang w:eastAsia="zh-CN"/>
        </w:rPr>
        <w:t xml:space="preserve"> </w:t>
      </w:r>
      <w:r>
        <w:rPr>
          <w:rFonts w:ascii="宋体" w:hAnsi="宋体" w:eastAsia="宋体" w:cs="宋体"/>
          <w:b/>
          <w:color w:val="000000"/>
          <w:spacing w:val="15"/>
          <w:sz w:val="32"/>
          <w:lang w:eastAsia="zh-CN"/>
        </w:rPr>
        <w:t xml:space="preserve">招标公告</w:t>
      </w:r>
      <w:r>
        <w:rPr>
          <w:lang w:eastAsia="zh-CN"/>
        </w:rPr>
      </w:r>
      <w:r/>
    </w:p>
    <w:p>
      <w:pPr>
        <w:pStyle w:val="613"/>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项目概况</w:t>
      </w:r>
      <w:r>
        <w:rPr>
          <w:rFonts w:hint="eastAsia" w:ascii="宋体" w:hAnsi="宋体" w:eastAsia="宋体" w:cs="宋体"/>
          <w:lang w:eastAsia="zh-CN"/>
        </w:rPr>
      </w:r>
      <w:r/>
    </w:p>
    <w:p>
      <w:pPr>
        <w:pStyle w:val="613"/>
        <w:ind w:firstLine="488"/>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健身器材采购项目</w:t>
      </w:r>
      <w:r>
        <w:rPr>
          <w:rFonts w:hint="eastAsia" w:ascii="宋体" w:hAnsi="宋体" w:eastAsia="宋体" w:cs="宋体"/>
          <w:color w:val="000000"/>
          <w:lang w:eastAsia="zh-CN"/>
        </w:rPr>
        <w:t xml:space="preserve">的潜在投标人应在</w:t>
      </w:r>
      <w:r>
        <w:rPr>
          <w:rFonts w:hint="eastAsia" w:ascii="宋体" w:hAnsi="宋体" w:eastAsia="宋体" w:cs="宋体"/>
          <w:color w:val="000000"/>
          <w:u w:val="single"/>
          <w:lang w:eastAsia="zh-CN"/>
        </w:rPr>
        <w:t xml:space="preserve">江苏政府采购“苏采云”系统 </w:t>
      </w:r>
      <w:r>
        <w:fldChar w:fldCharType="begin"/>
      </w:r>
      <w:r>
        <w:rPr>
          <w:lang w:eastAsia="zh-CN"/>
        </w:rPr>
        <w:instrText xml:space="preserve"> HYPERLINK "http://jszfcg.jsczt.cn/%EF%BC%89%E8%8E%B7%E5%8F%96%E6%8B%9B%E6%A0%87%E6%96%87%E4%BB%B6%EF%BC%8C%E5%B9%B6%E4%BA%8E2023%E5%B9%B411%E6%9C%88" \o "http://jszfcg.jsczt.cn/）获取招标文件，并于2023年11月" </w:instrText>
      </w:r>
      <w:r>
        <w:fldChar w:fldCharType="separate"/>
      </w:r>
      <w:r>
        <w:rPr>
          <w:rStyle w:val="676"/>
          <w:rFonts w:hint="eastAsia" w:ascii="宋体" w:hAnsi="宋体" w:eastAsia="宋体" w:cs="宋体"/>
          <w:color w:val="000000"/>
          <w:lang w:eastAsia="zh-CN"/>
        </w:rPr>
        <w:t xml:space="preserve">获取招标文件，并于2026年</w:t>
      </w:r>
      <w:r>
        <w:rPr>
          <w:rStyle w:val="676"/>
          <w:rFonts w:hint="eastAsia" w:ascii="宋体" w:hAnsi="宋体" w:eastAsia="宋体" w:cs="宋体"/>
          <w:color w:val="000000"/>
          <w:lang w:val="en-US" w:eastAsia="zh-CN"/>
        </w:rPr>
        <w:t xml:space="preserve">6</w:t>
      </w:r>
      <w:r>
        <w:rPr>
          <w:rStyle w:val="676"/>
          <w:rFonts w:hint="eastAsia" w:ascii="宋体" w:hAnsi="宋体" w:eastAsia="宋体" w:cs="宋体"/>
          <w:color w:val="000000"/>
          <w:lang w:eastAsia="zh-CN"/>
        </w:rPr>
        <w:t xml:space="preserve">月</w:t>
      </w:r>
      <w:r>
        <w:rPr>
          <w:rStyle w:val="676"/>
          <w:rFonts w:hint="eastAsia" w:ascii="宋体" w:hAnsi="宋体" w:eastAsia="宋体" w:cs="宋体"/>
          <w:color w:val="000000"/>
          <w:lang w:eastAsia="zh-CN"/>
        </w:rPr>
        <w:fldChar w:fldCharType="end"/>
      </w:r>
      <w:r>
        <w:rPr>
          <w:rStyle w:val="676"/>
          <w:rFonts w:hint="eastAsia" w:ascii="宋体" w:hAnsi="宋体" w:eastAsia="宋体" w:cs="宋体"/>
          <w:color w:val="000000"/>
          <w:lang w:val="en-US" w:eastAsia="zh-CN"/>
        </w:rPr>
        <w:t xml:space="preserve">10</w:t>
      </w:r>
      <w:r>
        <w:rPr>
          <w:rFonts w:hint="eastAsia" w:ascii="宋体" w:hAnsi="宋体" w:eastAsia="宋体" w:cs="宋体"/>
          <w:u w:val="single"/>
          <w:lang w:eastAsia="zh-CN"/>
        </w:rPr>
        <w:t xml:space="preserve">日9</w:t>
      </w:r>
      <w:r>
        <w:rPr>
          <w:rFonts w:hint="eastAsia" w:ascii="宋体" w:hAnsi="宋体" w:eastAsia="宋体" w:cs="宋体"/>
          <w:color w:val="000000"/>
          <w:u w:val="single"/>
          <w:lang w:eastAsia="zh-CN"/>
        </w:rPr>
        <w:t xml:space="preserve">点00分</w:t>
      </w:r>
      <w:r>
        <w:rPr>
          <w:rFonts w:hint="eastAsia" w:ascii="宋体" w:hAnsi="宋体" w:eastAsia="宋体" w:cs="宋体"/>
          <w:color w:val="000000"/>
          <w:lang w:eastAsia="zh-CN"/>
        </w:rPr>
        <w:t xml:space="preserve">（北京时间）前上传投标文件。</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一、项目基本情况</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1、项目编号：JSZC-321204-SZQY-G2026-0004</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2、项目名称：健身器材采购项目</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3、预算金额：146.8万元，投标报价不得超过最高限价，否则作废标处理。</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4、采购需求：健身器材采购。具体采购需求详见招标文件第三章。</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5、合同履行期限：合同签订后60日内完成项目所有内容并安装调试到位。</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6、本项目不接受联合体投标。</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二、申请人的资格要求：</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2.落实政府采购政策需满足的资格要求：</w:t>
      </w:r>
      <w:r>
        <w:rPr>
          <w:rFonts w:hint="eastAsia" w:ascii="宋体" w:hAnsi="宋体" w:eastAsia="宋体" w:cs="宋体"/>
          <w:b/>
          <w:bCs/>
          <w:lang w:eastAsia="zh-CN"/>
        </w:rPr>
        <w:t xml:space="preserve">本项目专门面向中小企业,供应商应为中小微企业、监狱企业、残疾人福利性单位。</w:t>
      </w:r>
      <w:r>
        <w:rPr>
          <w:rFonts w:hint="eastAsia" w:ascii="宋体" w:hAnsi="宋体" w:eastAsia="宋体" w:cs="宋体"/>
          <w:b/>
          <w:bCs/>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bookmarkStart w:id="0" w:name="OLE_LINK7"/>
      <w:r>
        <w:rPr>
          <w:rFonts w:hint="eastAsia" w:ascii="宋体" w:hAnsi="宋体" w:eastAsia="宋体" w:cs="宋体"/>
          <w:color w:val="000000"/>
          <w:lang w:eastAsia="zh-CN"/>
        </w:rPr>
        <w:t xml:space="preserve">（1）</w:t>
      </w:r>
      <w:bookmarkEnd w:id="0"/>
      <w:r>
        <w:rPr>
          <w:rFonts w:hint="eastAsia" w:ascii="宋体" w:hAnsi="宋体" w:eastAsia="宋体" w:cs="宋体"/>
          <w:color w:val="000000"/>
          <w:lang w:eastAsia="zh-CN"/>
        </w:rPr>
        <w:t xml:space="preserve">具有独立承担民事责任的能力（提供法人证书或者其他组织的营业执照等证明文件，自然人的身份证明）；</w:t>
      </w:r>
      <w:r>
        <w:rPr>
          <w:rFonts w:hint="eastAsia" w:ascii="宋体" w:hAnsi="宋体" w:eastAsia="宋体" w:cs="宋体"/>
          <w:color w:val="000000"/>
          <w:lang w:eastAsia="zh-CN"/>
        </w:rPr>
      </w:r>
      <w:r/>
    </w:p>
    <w:p>
      <w:pPr>
        <w:pStyle w:val="613"/>
        <w:ind w:firstLine="488"/>
        <w:jc w:val="both"/>
        <w:spacing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三、获取招标文件：</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时间：自本公告发布之日起5个工作日，截止2026年</w:t>
      </w: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t xml:space="preserve">月</w:t>
      </w:r>
      <w:r>
        <w:rPr>
          <w:rFonts w:hint="eastAsia" w:ascii="宋体" w:hAnsi="宋体" w:eastAsia="宋体" w:cs="宋体"/>
          <w:color w:val="000000"/>
          <w:lang w:val="en-US" w:eastAsia="zh-CN"/>
        </w:rPr>
        <w:t xml:space="preserve">26</w:t>
      </w:r>
      <w:r>
        <w:rPr>
          <w:rFonts w:hint="eastAsia" w:ascii="宋体" w:hAnsi="宋体" w:eastAsia="宋体" w:cs="宋体"/>
          <w:color w:val="000000"/>
          <w:lang w:eastAsia="zh-CN"/>
        </w:rPr>
        <w:t xml:space="preserve">日00:00:00止。</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地点：投标人完成注册并办理CA证书后登录“江苏政府采购‘苏采云’系统”下载本项目招标文件。</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方式：登录江苏政府采购“苏采云”系统免费下载</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售价：免费</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注意事项：</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本项目采用网上注册登记方式。</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1.潜在投标人访问电子招标投标交易平台的网络地址和方法：</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（1）登录 http://jszfcg.jsczt.cn/，点击“苏采云”进入系统。</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（2）“CA数字证书”的获取：投标人需办理CA锁（原国信CA须更换新CA,详见http://jsxcmm.com/help/gys.html）。</w:t>
      </w:r>
      <w:r>
        <w:rPr>
          <w:rFonts w:hint="eastAsia" w:ascii="宋体" w:hAnsi="宋体" w:eastAsia="宋体" w:cs="宋体"/>
          <w:color w:val="000000"/>
          <w:lang w:eastAsia="zh-CN"/>
        </w:rPr>
        <w:t xml:space="preserve">投标客户端工具及投标人操作手册可访问江苏省政府采购网，“资料下载”进行下载《江苏省政府采购管理交易系统（苏采云）供应商操作手册及政府采购客户端》。</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2.采购代理机构将数据电文形式的招标文件加载至电子招标投标交易平台，供潜在投标人下载或者查阅。</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3.如潜在投标人未按上述要求操作，将自行承担所产生的风险。</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四、提交投标文件截止时间、开标时间和地点</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时间：2026年</w:t>
      </w:r>
      <w:r>
        <w:rPr>
          <w:rFonts w:hint="eastAsia" w:ascii="宋体" w:hAnsi="宋体" w:eastAsia="宋体" w:cs="宋体"/>
          <w:b/>
          <w:color w:val="000000"/>
          <w:lang w:val="en-US" w:eastAsia="zh-CN"/>
        </w:rPr>
        <w:t xml:space="preserve">6</w:t>
      </w:r>
      <w:r>
        <w:rPr>
          <w:rFonts w:hint="eastAsia" w:ascii="宋体" w:hAnsi="宋体" w:eastAsia="宋体" w:cs="宋体"/>
          <w:b/>
          <w:color w:val="000000"/>
          <w:lang w:eastAsia="zh-CN"/>
        </w:rPr>
        <w:t xml:space="preserve"> 月</w:t>
      </w:r>
      <w:r>
        <w:rPr>
          <w:rFonts w:hint="eastAsia" w:ascii="宋体" w:hAnsi="宋体" w:eastAsia="宋体" w:cs="宋体"/>
          <w:b/>
          <w:color w:val="000000"/>
          <w:lang w:val="en-US" w:eastAsia="zh-CN"/>
        </w:rPr>
        <w:t xml:space="preserve">1</w:t>
      </w:r>
      <w:r>
        <w:rPr>
          <w:rFonts w:hint="eastAsia" w:ascii="宋体" w:hAnsi="宋体" w:eastAsia="宋体" w:cs="宋体"/>
          <w:b/>
          <w:color w:val="000000"/>
          <w:lang w:val="en-US" w:eastAsia="zh-CN"/>
        </w:rPr>
        <w:t xml:space="preserve">0</w:t>
      </w:r>
      <w:r>
        <w:rPr>
          <w:rFonts w:hint="eastAsia" w:ascii="宋体" w:hAnsi="宋体" w:eastAsia="宋体" w:cs="宋体"/>
          <w:b/>
          <w:color w:val="000000"/>
          <w:lang w:eastAsia="zh-CN"/>
        </w:rPr>
        <w:t xml:space="preserve">日9点00分（北京时间）</w:t>
      </w:r>
      <w:r>
        <w:rPr>
          <w:rFonts w:hint="eastAsia" w:ascii="宋体" w:hAnsi="宋体" w:eastAsia="宋体" w:cs="宋体"/>
          <w:lang w:eastAsia="zh-CN"/>
        </w:rPr>
      </w:r>
      <w:r/>
    </w:p>
    <w:p>
      <w:pPr>
        <w:pStyle w:val="613"/>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五、公告期限</w:t>
      </w:r>
      <w:r>
        <w:rPr>
          <w:rFonts w:hint="eastAsia" w:ascii="宋体" w:hAnsi="宋体" w:eastAsia="宋体" w:cs="宋体"/>
          <w:lang w:eastAsia="zh-CN"/>
        </w:rPr>
      </w:r>
      <w:r/>
    </w:p>
    <w:p>
      <w:pPr>
        <w:pStyle w:val="613"/>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自本公告发布之日起5个工作日。</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六、其他补充事宜</w:t>
      </w:r>
      <w:r>
        <w:rPr>
          <w:rFonts w:hint="eastAsia" w:ascii="宋体" w:hAnsi="宋体" w:eastAsia="宋体" w:cs="宋体"/>
          <w:lang w:eastAsia="zh-CN"/>
        </w:rPr>
      </w:r>
      <w:r/>
    </w:p>
    <w:p>
      <w:pPr>
        <w:pStyle w:val="613"/>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1.投标人自行勘察现场，现状移交，要求务必认真、仔细阅读合同条款，谨慎报价，严禁恶意竞争低价中标，一经中标，采购人将严格按照合同条款执行。</w:t>
      </w:r>
      <w:r>
        <w:rPr>
          <w:rFonts w:hint="eastAsia" w:ascii="宋体" w:hAnsi="宋体" w:eastAsia="宋体" w:cs="宋体"/>
          <w:lang w:eastAsia="zh-CN"/>
        </w:rPr>
      </w:r>
      <w:r/>
    </w:p>
    <w:p>
      <w:pPr>
        <w:pStyle w:val="613"/>
        <w:ind w:firstLine="488"/>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2.在评标结束前，各投标人授权代表应保持手机畅通，以便及时澄清答疑。</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七、对本次招标提出询问，请按以下方式联系。</w:t>
      </w:r>
      <w:r>
        <w:rPr>
          <w:rFonts w:hint="eastAsia" w:ascii="宋体" w:hAnsi="宋体" w:eastAsia="宋体" w:cs="宋体"/>
          <w:lang w:eastAsia="zh-CN"/>
        </w:rPr>
      </w:r>
      <w:r/>
    </w:p>
    <w:p>
      <w:pPr>
        <w:pStyle w:val="613"/>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1.采购人信息</w:t>
      </w:r>
      <w:r>
        <w:rPr>
          <w:rFonts w:hint="eastAsia" w:ascii="宋体" w:hAnsi="宋体" w:eastAsia="宋体" w:cs="宋体"/>
          <w:lang w:eastAsia="zh-CN"/>
        </w:rPr>
      </w:r>
      <w:r/>
    </w:p>
    <w:p>
      <w:pPr>
        <w:pStyle w:val="613"/>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称：泰州市姜堰区文体广电和旅游局</w:t>
      </w:r>
      <w:r>
        <w:rPr>
          <w:rFonts w:hint="eastAsia" w:ascii="宋体" w:hAnsi="宋体" w:eastAsia="宋体" w:cs="宋体"/>
          <w:lang w:eastAsia="zh-CN"/>
        </w:rPr>
      </w:r>
      <w:r/>
    </w:p>
    <w:p>
      <w:pPr>
        <w:pStyle w:val="613"/>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地址： 泰州市姜堰区三水大道</w:t>
      </w:r>
      <w:r>
        <w:rPr>
          <w:rFonts w:hint="eastAsia" w:ascii="宋体" w:hAnsi="宋体" w:eastAsia="宋体" w:cs="宋体"/>
          <w:lang w:eastAsia="zh-CN"/>
        </w:rPr>
      </w:r>
      <w:r/>
    </w:p>
    <w:p>
      <w:pPr>
        <w:pStyle w:val="613"/>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联系方式：吕先生</w:t>
      </w:r>
      <w:r>
        <w:rPr>
          <w:rFonts w:hint="eastAsia" w:ascii="宋体" w:hAnsi="宋体" w:eastAsia="宋体" w:cs="宋体"/>
          <w:lang w:eastAsia="zh-CN"/>
        </w:rPr>
      </w:r>
      <w:r/>
    </w:p>
    <w:p>
      <w:pPr>
        <w:pStyle w:val="613"/>
        <w:ind w:firstLine="731"/>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2.采购代理机构信息</w:t>
      </w:r>
      <w:r>
        <w:rPr>
          <w:rFonts w:hint="eastAsia" w:ascii="宋体" w:hAnsi="宋体" w:eastAsia="宋体" w:cs="宋体"/>
          <w:lang w:eastAsia="zh-CN"/>
        </w:rPr>
      </w:r>
      <w:r/>
    </w:p>
    <w:p>
      <w:pPr>
        <w:pStyle w:val="613"/>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称：苏州市群益工程顾问有限责任公司</w:t>
      </w:r>
      <w:r>
        <w:rPr>
          <w:rFonts w:hint="eastAsia" w:ascii="宋体" w:hAnsi="宋体" w:eastAsia="宋体" w:cs="宋体"/>
          <w:lang w:eastAsia="zh-CN"/>
        </w:rPr>
      </w:r>
      <w:r/>
    </w:p>
    <w:p>
      <w:pPr>
        <w:pStyle w:val="613"/>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　址：泰州市姜堰区锦都国际花园A25-201</w:t>
      </w:r>
      <w:r>
        <w:rPr>
          <w:rFonts w:hint="eastAsia" w:ascii="宋体" w:hAnsi="宋体" w:eastAsia="宋体" w:cs="宋体"/>
          <w:lang w:eastAsia="zh-CN"/>
        </w:rPr>
      </w:r>
      <w:r/>
    </w:p>
    <w:p>
      <w:pPr>
        <w:pStyle w:val="613"/>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联系方式：17834639269 </w:t>
      </w:r>
      <w:r>
        <w:rPr>
          <w:rFonts w:hint="eastAsia" w:ascii="宋体" w:hAnsi="宋体" w:eastAsia="宋体" w:cs="宋体"/>
          <w:lang w:eastAsia="zh-CN"/>
        </w:rPr>
      </w:r>
      <w:r/>
    </w:p>
    <w:p>
      <w:pPr>
        <w:pStyle w:val="613"/>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3.项目联系方式</w:t>
      </w:r>
      <w:r>
        <w:rPr>
          <w:rFonts w:hint="eastAsia" w:ascii="宋体" w:hAnsi="宋体" w:eastAsia="宋体" w:cs="宋体"/>
          <w:lang w:eastAsia="zh-CN"/>
        </w:rPr>
      </w:r>
      <w:r/>
    </w:p>
    <w:p>
      <w:pPr>
        <w:pStyle w:val="613"/>
        <w:ind w:firstLine="731"/>
        <w:spacing w:before="240" w:after="24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项目联系人：钱女士</w:t>
      </w:r>
      <w:r>
        <w:rPr>
          <w:rFonts w:hint="eastAsia" w:ascii="宋体" w:hAnsi="宋体" w:eastAsia="宋体" w:cs="宋体"/>
          <w:lang w:eastAsia="zh-CN"/>
        </w:rPr>
      </w:r>
      <w:r/>
    </w:p>
    <w:p>
      <w:pPr>
        <w:pStyle w:val="613"/>
        <w:ind w:firstLine="731"/>
        <w:jc w:val="both"/>
        <w:spacing w:after="0" w:line="499" w:lineRule="atLeast"/>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电　话：17834639269 </w:t>
      </w:r>
      <w:r>
        <w:rPr>
          <w:rFonts w:ascii="宋体" w:hAnsi="宋体" w:eastAsia="宋体" w:cs="宋体"/>
          <w:color w:val="000000"/>
          <w:lang w:eastAsia="zh-CN"/>
        </w:rPr>
      </w:r>
      <w:r/>
    </w:p>
    <w:p>
      <w:pPr>
        <w:pStyle w:val="638"/>
        <w:rPr>
          <w:rFonts w:hint="eastAsia" w:eastAsia="宋体"/>
          <w:lang w:eastAsia="zh-CN"/>
        </w:rPr>
      </w:pPr>
      <w:r>
        <w:rPr>
          <w:rFonts w:hint="eastAsia" w:eastAsia="宋体"/>
          <w:lang w:eastAsia="zh-CN"/>
        </w:rPr>
      </w:r>
      <w:r/>
    </w:p>
    <w:p>
      <w:pPr>
        <w:pStyle w:val="613"/>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rPr>
          <w:rFonts w:hint="eastAsia" w:ascii="宋体" w:hAnsi="宋体" w:eastAsia="宋体" w:cs="宋体"/>
          <w:b/>
          <w:color w:val="000000"/>
          <w:sz w:val="26"/>
          <w:lang w:eastAsia="zh-CN"/>
        </w:rPr>
      </w:r>
      <w:r/>
    </w:p>
    <w:p>
      <w:pPr>
        <w:pStyle w:val="613"/>
        <w:rPr>
          <w:rFonts w:hint="eastAsia" w:ascii="宋体" w:hAnsi="宋体" w:eastAsia="宋体" w:cs="宋体"/>
          <w:b/>
          <w:color w:val="000000"/>
          <w:sz w:val="26"/>
          <w:lang w:eastAsia="zh-CN"/>
        </w:rPr>
      </w:pPr>
      <w:r>
        <w:rPr>
          <w:rFonts w:ascii="宋体" w:hAnsi="宋体" w:eastAsia="宋体" w:cs="宋体"/>
          <w:b/>
          <w:color w:val="000000"/>
          <w:sz w:val="26"/>
          <w:lang w:eastAsia="zh-CN"/>
        </w:rPr>
        <w:br w:type="page" w:clear="all"/>
      </w:r>
      <w:r>
        <w:rPr>
          <w:rFonts w:hint="eastAsia" w:ascii="宋体" w:hAnsi="宋体" w:eastAsia="宋体" w:cs="宋体"/>
          <w:b/>
          <w:color w:val="000000"/>
          <w:sz w:val="26"/>
          <w:lang w:eastAsia="zh-CN"/>
        </w:rPr>
      </w:r>
      <w:r/>
    </w:p>
    <w:p>
      <w:pPr>
        <w:pStyle w:val="613"/>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pStyle w:val="613"/>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pStyle w:val="613"/>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第二章 投标人须知</w:t>
      </w:r>
      <w:r>
        <w:rPr>
          <w:lang w:eastAsia="zh-CN"/>
        </w:rPr>
      </w:r>
      <w:r/>
    </w:p>
    <w:p>
      <w:pPr>
        <w:pStyle w:val="613"/>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投标人须知前附表</w:t>
      </w:r>
      <w:r>
        <w:rPr>
          <w:lang w:eastAsia="zh-CN"/>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24"/>
        <w:gridCol w:w="7288"/>
      </w:tblGrid>
      <w:tr>
        <w:trPr>
          <w:trHeight w:val="472"/>
        </w:trPr>
        <w:tc>
          <w:tcPr>
            <w:tcMar>
              <w:left w:w="108" w:type="dxa"/>
              <w:top w:w="0" w:type="dxa"/>
              <w:right w:w="108" w:type="dxa"/>
              <w:bottom w:w="0" w:type="dxa"/>
            </w:tcMar>
            <w:tcW w:w="643"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内容</w:t>
            </w:r>
            <w:r>
              <w:rPr>
                <w:rFonts w:hint="eastAsia" w:ascii="宋体" w:hAnsi="宋体" w:eastAsia="宋体" w:cs="宋体"/>
              </w:rPr>
            </w:r>
            <w:r/>
          </w:p>
        </w:tc>
      </w:tr>
      <w:tr>
        <w:trPr>
          <w:trHeight w:val="421"/>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项目名称</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rPr>
                <w:rFonts w:hint="eastAsia" w:ascii="宋体" w:hAnsi="宋体" w:eastAsia="宋体" w:cs="宋体"/>
                <w:lang w:eastAsia="zh-CN"/>
              </w:rPr>
            </w:r>
            <w:r/>
          </w:p>
        </w:tc>
      </w:tr>
      <w:tr>
        <w:trPr>
          <w:trHeight w:val="421"/>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招标内容</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rPr>
                <w:rFonts w:hint="eastAsia" w:ascii="宋体" w:hAnsi="宋体" w:eastAsia="宋体" w:cs="宋体"/>
                <w:lang w:eastAsia="zh-CN"/>
              </w:rPr>
            </w:r>
            <w:r/>
          </w:p>
        </w:tc>
      </w:tr>
      <w:tr>
        <w:trPr>
          <w:trHeight w:val="427"/>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服务期及服务地点</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服务期：合同签订后60日内完成项目所有内容并安装调试到位。</w:t>
            </w:r>
            <w:r>
              <w:rPr>
                <w:rFonts w:hint="eastAsia" w:ascii="宋体" w:hAnsi="宋体" w:eastAsia="宋体" w:cs="宋体"/>
                <w:shd w:val="clear" w:color="auto" w:fill="ffffff"/>
                <w:lang w:eastAsia="zh-CN"/>
              </w:rPr>
            </w:r>
            <w:r/>
          </w:p>
          <w:p>
            <w:pPr>
              <w:pStyle w:val="613"/>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服务地点：泰州市姜堰区文体广电和旅游局</w:t>
            </w:r>
            <w:r>
              <w:rPr>
                <w:rFonts w:hint="eastAsia" w:ascii="宋体" w:hAnsi="宋体" w:eastAsia="宋体" w:cs="宋体"/>
                <w:shd w:val="clear" w:color="auto" w:fill="ffffff"/>
                <w:lang w:eastAsia="zh-CN"/>
              </w:rPr>
            </w:r>
            <w:r/>
          </w:p>
        </w:tc>
      </w:tr>
      <w:tr>
        <w:trPr>
          <w:trHeight w:val="405"/>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最高投标限价</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最高限价：</w:t>
            </w:r>
            <w:r>
              <w:rPr>
                <w:rFonts w:hint="eastAsia" w:ascii="宋体" w:hAnsi="宋体" w:eastAsia="宋体" w:cs="宋体"/>
                <w:lang w:eastAsia="zh-CN"/>
              </w:rPr>
              <w:t xml:space="preserve">146.8</w:t>
            </w:r>
            <w:r>
              <w:rPr>
                <w:rFonts w:hint="eastAsia" w:ascii="宋体" w:hAnsi="宋体" w:eastAsia="宋体" w:cs="宋体"/>
                <w:shd w:val="clear" w:color="auto" w:fill="ffffff"/>
                <w:lang w:eastAsia="zh-CN"/>
              </w:rPr>
              <w:t xml:space="preserve">万元，报价超过限价的为无效报价，按照无效投标处理。</w:t>
            </w:r>
            <w:r>
              <w:rPr>
                <w:rFonts w:hint="eastAsia" w:ascii="宋体" w:hAnsi="宋体" w:eastAsia="宋体" w:cs="宋体"/>
                <w:shd w:val="clear" w:color="auto" w:fill="ffffff"/>
                <w:lang w:eastAsia="zh-CN"/>
              </w:rPr>
            </w:r>
            <w:r/>
          </w:p>
        </w:tc>
      </w:tr>
      <w:tr>
        <w:trPr>
          <w:trHeight w:val="912"/>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合格投标人资格要求</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rPr>
                <w:rFonts w:hint="eastAsia" w:ascii="宋体" w:hAnsi="宋体" w:eastAsia="宋体" w:cs="宋体"/>
                <w:lang w:eastAsia="zh-CN"/>
              </w:rPr>
            </w:r>
            <w:r/>
          </w:p>
          <w:p>
            <w:pPr>
              <w:pStyle w:val="815"/>
              <w:jc w:val="left"/>
              <w:spacing w:line="400" w:lineRule="exact"/>
              <w:widowControl/>
              <w:rPr>
                <w:rFonts w:hint="eastAsia" w:ascii="宋体" w:hAnsi="宋体" w:cs="宋体"/>
                <w:b w:val="0"/>
                <w:bCs w:val="0"/>
                <w:smallCaps w:val="0"/>
                <w:color w:val="000000"/>
                <w:spacing w:val="0"/>
                <w:sz w:val="22"/>
                <w:szCs w:val="22"/>
              </w:rPr>
            </w:pPr>
            <w:r>
              <w:rPr>
                <w:rFonts w:hint="eastAsia" w:ascii="宋体" w:hAnsi="宋体" w:cs="宋体"/>
                <w:color w:val="000000"/>
                <w:sz w:val="22"/>
                <w:szCs w:val="22"/>
              </w:rPr>
              <w:t xml:space="preserve">2.</w:t>
            </w:r>
            <w:r>
              <w:rPr>
                <w:rFonts w:hint="eastAsia" w:ascii="宋体" w:hAnsi="宋体" w:cs="宋体"/>
                <w:b w:val="0"/>
                <w:bCs w:val="0"/>
                <w:smallCaps w:val="0"/>
                <w:color w:val="000000"/>
                <w:spacing w:val="0"/>
                <w:sz w:val="22"/>
                <w:szCs w:val="22"/>
              </w:rPr>
              <w:t xml:space="preserve">落实政府采购政策需满足的资格要求：</w:t>
            </w:r>
            <w:r>
              <w:rPr>
                <w:rFonts w:hint="eastAsia" w:ascii="宋体" w:hAnsi="宋体" w:cs="宋体"/>
                <w:sz w:val="22"/>
                <w:szCs w:val="22"/>
              </w:rPr>
              <w:t xml:space="preserve">本项目专门面向中小企业,供应商应为中小微企业、监狱企业、残疾人福利性单位。</w:t>
            </w:r>
            <w:r>
              <w:rPr>
                <w:rFonts w:hint="eastAsia" w:ascii="宋体" w:hAnsi="宋体" w:cs="宋体"/>
                <w:b w:val="0"/>
                <w:bCs w:val="0"/>
                <w:smallCaps w:val="0"/>
                <w:color w:val="000000"/>
                <w:spacing w:val="0"/>
                <w:sz w:val="22"/>
                <w:szCs w:val="22"/>
              </w:rPr>
            </w:r>
            <w:r/>
          </w:p>
          <w:p>
            <w:pPr>
              <w:pStyle w:val="613"/>
              <w:jc w:val="both"/>
              <w:spacing w:after="0" w:line="24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rPr>
                <w:rFonts w:hint="eastAsia" w:ascii="宋体" w:hAnsi="宋体" w:eastAsia="宋体" w:cs="宋体"/>
                <w:color w:val="000000"/>
                <w:lang w:eastAsia="zh-CN"/>
              </w:rPr>
            </w:r>
            <w:r/>
          </w:p>
          <w:p>
            <w:pPr>
              <w:pStyle w:val="613"/>
              <w:ind w:firstLine="420"/>
              <w:rPr>
                <w:rFonts w:hint="eastAsia" w:ascii="宋体" w:hAnsi="宋体" w:eastAsia="宋体" w:cs="宋体"/>
                <w:color w:val="000000"/>
                <w:lang w:eastAsia="zh-CN"/>
              </w:rP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rPr>
                <w:rFonts w:hint="eastAsia" w:ascii="宋体" w:hAnsi="宋体" w:eastAsia="宋体" w:cs="宋体"/>
                <w:color w:val="000000"/>
                <w:lang w:eastAsia="zh-CN"/>
              </w:rPr>
            </w:r>
            <w:r/>
          </w:p>
          <w:p>
            <w:pPr>
              <w:pStyle w:val="613"/>
              <w:rPr>
                <w:rFonts w:hint="eastAsia" w:ascii="宋体" w:hAnsi="宋体" w:eastAsia="宋体" w:cs="宋体"/>
              </w:rPr>
            </w:pPr>
            <w:r>
              <w:rPr>
                <w:rFonts w:hint="eastAsia" w:ascii="宋体" w:hAnsi="宋体" w:eastAsia="宋体" w:cs="宋体"/>
                <w:color w:val="000000"/>
              </w:rPr>
              <w:t xml:space="preserve">4.未被列入“信用中国”网站(www.creditchina.gov.cn)失信被执行人名单、重大税收违法案件当事人名单和中国政府采购网(www.ccgp.gov.cn)政府采购严重违法失信行为记录名单。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rPr>
            </w:r>
            <w:r/>
          </w:p>
          <w:p>
            <w:pPr>
              <w:pStyle w:val="613"/>
              <w:jc w:val="both"/>
              <w:spacing w:after="12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5.本项目不接收联合体投标</w:t>
            </w:r>
            <w:r>
              <w:rPr>
                <w:rFonts w:hint="eastAsia" w:ascii="宋体" w:hAnsi="宋体" w:eastAsia="宋体" w:cs="宋体"/>
                <w:lang w:eastAsia="zh-CN"/>
              </w:rPr>
            </w:r>
            <w:r/>
          </w:p>
        </w:tc>
      </w:tr>
      <w:tr>
        <w:trPr>
          <w:trHeight w:val="796"/>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联合体投标</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☑不接受，招标文件中有关联合体规定均不适用。</w:t>
            </w:r>
            <w:r>
              <w:rPr>
                <w:rFonts w:hint="eastAsia" w:ascii="宋体" w:hAnsi="宋体" w:eastAsia="宋体" w:cs="宋体"/>
                <w:lang w:eastAsia="zh-CN"/>
              </w:rPr>
            </w:r>
            <w:r/>
          </w:p>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□接受 </w:t>
            </w:r>
            <w:r>
              <w:rPr>
                <w:rFonts w:hint="eastAsia" w:ascii="宋体" w:hAnsi="宋体" w:eastAsia="宋体" w:cs="宋体"/>
              </w:rPr>
            </w:r>
            <w:r/>
          </w:p>
        </w:tc>
      </w:tr>
      <w:tr>
        <w:trPr>
          <w:trHeight w:val="1385"/>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现场考察</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☑不组织，自行考察;如投标人需自行考察,费用自理。</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□组织，考察时间： 年月日时</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集合地点：</w:t>
            </w:r>
            <w:r>
              <w:rPr>
                <w:rFonts w:hint="eastAsia" w:ascii="宋体" w:hAnsi="宋体" w:eastAsia="宋体" w:cs="宋体"/>
                <w:lang w:eastAsia="zh-CN"/>
              </w:rPr>
            </w:r>
            <w:r/>
          </w:p>
          <w:p>
            <w:pPr>
              <w:pStyle w:val="613"/>
              <w:ind w:firstLine="975"/>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联系人：联系电话：</w:t>
            </w:r>
            <w:r>
              <w:rPr>
                <w:rFonts w:hint="eastAsia" w:ascii="宋体" w:hAnsi="宋体" w:eastAsia="宋体" w:cs="宋体"/>
                <w:lang w:eastAsia="zh-CN"/>
              </w:rPr>
            </w:r>
            <w:r/>
          </w:p>
        </w:tc>
      </w:tr>
      <w:tr>
        <w:trPr>
          <w:trHeight w:val="993"/>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投标答疑会 </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☑不召开</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口召开，召开时间：年月日时</w:t>
            </w:r>
            <w:r>
              <w:rPr>
                <w:rFonts w:hint="eastAsia" w:ascii="宋体" w:hAnsi="宋体" w:eastAsia="宋体" w:cs="宋体"/>
                <w:lang w:eastAsia="zh-CN"/>
              </w:rPr>
            </w:r>
            <w:r/>
          </w:p>
          <w:p>
            <w:pPr>
              <w:pStyle w:val="613"/>
              <w:ind w:firstLine="975"/>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召开地点：</w:t>
            </w:r>
            <w:r>
              <w:rPr>
                <w:rFonts w:hint="eastAsia" w:ascii="宋体" w:hAnsi="宋体" w:eastAsia="宋体" w:cs="宋体"/>
              </w:rPr>
            </w:r>
            <w:r/>
          </w:p>
        </w:tc>
      </w:tr>
      <w:tr>
        <w:trPr>
          <w:trHeight w:val="420"/>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投标货币</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人民币</w:t>
            </w:r>
            <w:r>
              <w:rPr>
                <w:rFonts w:hint="eastAsia" w:ascii="宋体" w:hAnsi="宋体" w:eastAsia="宋体" w:cs="宋体"/>
              </w:rPr>
            </w:r>
            <w:r/>
          </w:p>
        </w:tc>
      </w:tr>
      <w:tr>
        <w:trPr>
          <w:trHeight w:val="412"/>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合同方式</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☑固定单价合同</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□固定总价合同  □其他：</w:t>
            </w:r>
            <w:r>
              <w:rPr>
                <w:rFonts w:hint="eastAsia" w:ascii="宋体" w:hAnsi="宋体" w:eastAsia="宋体" w:cs="宋体"/>
                <w:lang w:eastAsia="zh-CN"/>
              </w:rPr>
            </w:r>
            <w:r/>
          </w:p>
        </w:tc>
      </w:tr>
      <w:tr>
        <w:trPr>
          <w:trHeight w:val="558"/>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投标保证金</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w:t>
            </w:r>
            <w:r>
              <w:rPr>
                <w:rFonts w:hint="eastAsia" w:ascii="宋体" w:hAnsi="宋体" w:eastAsia="宋体" w:cs="宋体"/>
                <w:b/>
                <w:color w:val="000000"/>
                <w:lang w:eastAsia="zh-CN"/>
              </w:rPr>
              <w:t xml:space="preserve">〔2020〕</w:t>
            </w:r>
            <w:r>
              <w:rPr>
                <w:rFonts w:hint="eastAsia" w:ascii="宋体" w:hAnsi="宋体" w:eastAsia="宋体" w:cs="宋体"/>
                <w:color w:val="000000"/>
                <w:lang w:eastAsia="zh-CN"/>
              </w:rPr>
              <w:t xml:space="preserve">52号文件精神，本项目免收投标保证金。</w:t>
            </w:r>
            <w:r>
              <w:rPr>
                <w:rFonts w:hint="eastAsia" w:ascii="宋体" w:hAnsi="宋体" w:eastAsia="宋体" w:cs="宋体"/>
                <w:lang w:eastAsia="zh-CN"/>
              </w:rPr>
            </w:r>
            <w:r/>
          </w:p>
        </w:tc>
      </w:tr>
      <w:tr>
        <w:trPr>
          <w:trHeight w:val="429"/>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w:t>
            </w:r>
            <w:r>
              <w:rPr>
                <w:rFonts w:hint="eastAsia" w:ascii="宋体" w:hAnsi="宋体" w:eastAsia="宋体" w:cs="宋体"/>
                <w:lang w:eastAsia="zh-CN"/>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投标文件有效期</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u w:val="single"/>
                <w:lang w:eastAsia="zh-CN"/>
              </w:rPr>
              <w:t xml:space="preserve"> 60 </w:t>
            </w:r>
            <w:r>
              <w:rPr>
                <w:rFonts w:hint="eastAsia" w:ascii="宋体" w:hAnsi="宋体" w:eastAsia="宋体" w:cs="宋体"/>
                <w:color w:val="000000"/>
                <w:lang w:eastAsia="zh-CN"/>
              </w:rPr>
              <w:t xml:space="preserve">日历天（从投标截止之日算起）</w:t>
            </w:r>
            <w:r>
              <w:rPr>
                <w:rFonts w:hint="eastAsia" w:ascii="宋体" w:hAnsi="宋体" w:eastAsia="宋体" w:cs="宋体"/>
                <w:lang w:eastAsia="zh-CN"/>
              </w:rPr>
            </w:r>
            <w:r/>
          </w:p>
        </w:tc>
      </w:tr>
      <w:tr>
        <w:trPr>
          <w:trHeight w:val="406"/>
        </w:trPr>
        <w:tc>
          <w:tcPr>
            <w:tcMar>
              <w:left w:w="108" w:type="dxa"/>
              <w:top w:w="0" w:type="dxa"/>
              <w:right w:w="108" w:type="dxa"/>
              <w:bottom w:w="0" w:type="dxa"/>
            </w:tcMar>
            <w:tcW w:w="643" w:type="dxa"/>
            <w:vAlign w:val="center"/>
            <w:vMerge w:val="restart"/>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投标截止时间</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时间：</w:t>
            </w:r>
            <w:r>
              <w:rPr>
                <w:rFonts w:hint="eastAsia" w:ascii="宋体" w:hAnsi="宋体" w:eastAsia="宋体" w:cs="宋体"/>
                <w:b/>
                <w:color w:val="000000"/>
                <w:u w:val="single"/>
              </w:rPr>
              <w:t xml:space="preserve"> </w:t>
            </w:r>
            <w:r>
              <w:rPr>
                <w:rFonts w:hint="eastAsia" w:ascii="宋体" w:hAnsi="宋体" w:eastAsia="宋体" w:cs="宋体"/>
                <w:b/>
                <w:color w:val="000000"/>
                <w:u w:val="single"/>
                <w:lang w:eastAsia="zh-CN"/>
              </w:rPr>
              <w:t xml:space="preserve">2026</w:t>
            </w:r>
            <w:r>
              <w:rPr>
                <w:rFonts w:hint="eastAsia" w:ascii="宋体" w:hAnsi="宋体" w:eastAsia="宋体" w:cs="宋体"/>
                <w:b/>
                <w:color w:val="000000"/>
              </w:rPr>
              <w:t xml:space="preserve">年</w:t>
            </w:r>
            <w:r>
              <w:rPr>
                <w:rFonts w:hint="eastAsia" w:ascii="宋体" w:hAnsi="宋体" w:eastAsia="宋体" w:cs="宋体"/>
                <w:b/>
                <w:color w:val="000000"/>
                <w:u w:val="single"/>
                <w:lang w:val="en-US" w:eastAsia="zh-CN"/>
              </w:rPr>
              <w:t xml:space="preserve">6</w:t>
            </w:r>
            <w:r>
              <w:rPr>
                <w:rFonts w:hint="eastAsia" w:ascii="宋体" w:hAnsi="宋体" w:eastAsia="宋体" w:cs="宋体"/>
                <w:b/>
                <w:color w:val="000000"/>
              </w:rPr>
              <w:t xml:space="preserve">月</w:t>
            </w:r>
            <w:r>
              <w:rPr>
                <w:rFonts w:hint="eastAsia" w:ascii="宋体" w:hAnsi="宋体" w:eastAsia="宋体" w:cs="宋体"/>
                <w:b/>
                <w:color w:val="000000"/>
                <w:u w:val="single"/>
                <w:lang w:eastAsia="zh-CN"/>
              </w:rPr>
              <w:t xml:space="preserve"> </w:t>
            </w:r>
            <w:r>
              <w:rPr>
                <w:rFonts w:hint="eastAsia" w:ascii="宋体" w:hAnsi="宋体" w:eastAsia="宋体" w:cs="宋体"/>
                <w:b/>
                <w:color w:val="000000"/>
                <w:u w:val="single"/>
                <w:lang w:val="en-US" w:eastAsia="zh-CN"/>
              </w:rPr>
              <w:t xml:space="preserve">10</w:t>
            </w:r>
            <w:r>
              <w:rPr>
                <w:rFonts w:hint="eastAsia" w:ascii="宋体" w:hAnsi="宋体" w:eastAsia="宋体" w:cs="宋体"/>
                <w:b/>
                <w:color w:val="000000"/>
                <w:u w:val="single"/>
                <w:lang w:eastAsia="zh-CN"/>
              </w:rPr>
              <w:t xml:space="preserve"> </w:t>
            </w:r>
            <w:r>
              <w:rPr>
                <w:rFonts w:hint="eastAsia" w:ascii="宋体" w:hAnsi="宋体" w:eastAsia="宋体" w:cs="宋体"/>
                <w:b/>
                <w:color w:val="000000"/>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rPr>
              <w:t xml:space="preserve">时</w:t>
            </w:r>
            <w:r>
              <w:rPr>
                <w:rFonts w:hint="eastAsia" w:ascii="宋体" w:hAnsi="宋体" w:eastAsia="宋体" w:cs="宋体"/>
                <w:b/>
                <w:color w:val="000000"/>
                <w:u w:val="single"/>
                <w:lang w:eastAsia="zh-CN"/>
              </w:rPr>
              <w:t xml:space="preserve">00</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分</w:t>
            </w:r>
            <w:r>
              <w:rPr>
                <w:rFonts w:hint="eastAsia" w:ascii="宋体" w:hAnsi="宋体" w:eastAsia="宋体" w:cs="宋体"/>
              </w:rPr>
            </w:r>
            <w:r/>
          </w:p>
        </w:tc>
      </w:tr>
      <w:tr>
        <w:trPr>
          <w:trHeight w:val="535"/>
        </w:trPr>
        <w:tc>
          <w:tcPr>
            <w:tcW w:w="643" w:type="dxa"/>
            <w:vAlign w:val="top"/>
            <w:vMerge w:val="continue"/>
            <w:textDirection w:val="lrTb"/>
            <w:noWrap w:val="false"/>
          </w:tcPr>
          <w:p>
            <w:pPr>
              <w:pStyle w:val="613"/>
              <w:spacing w:after="0" w:line="240" w:lineRule="auto"/>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投标地点</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rPr>
                <w:rFonts w:hint="eastAsia" w:ascii="宋体" w:hAnsi="宋体" w:eastAsia="宋体" w:cs="宋体"/>
                <w:lang w:eastAsia="zh-CN"/>
              </w:rPr>
            </w:r>
            <w:r/>
          </w:p>
        </w:tc>
      </w:tr>
      <w:tr>
        <w:trPr>
          <w:trHeight w:val="752"/>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开标时间和地点</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w:t>
            </w:r>
            <w:r>
              <w:rPr>
                <w:rFonts w:hint="eastAsia" w:ascii="宋体" w:hAnsi="宋体" w:eastAsia="宋体" w:cs="宋体"/>
                <w:b/>
                <w:color w:val="000000"/>
                <w:u w:val="single"/>
              </w:rPr>
              <w:t xml:space="preserve"> </w:t>
            </w:r>
            <w:r>
              <w:rPr>
                <w:rFonts w:hint="eastAsia" w:ascii="宋体" w:hAnsi="宋体" w:eastAsia="宋体" w:cs="宋体"/>
                <w:b/>
                <w:color w:val="000000"/>
                <w:u w:val="single"/>
                <w:lang w:eastAsia="zh-CN"/>
              </w:rPr>
              <w:t xml:space="preserve">2026</w:t>
            </w:r>
            <w:r>
              <w:rPr>
                <w:rFonts w:hint="eastAsia" w:ascii="宋体" w:hAnsi="宋体" w:eastAsia="宋体" w:cs="宋体"/>
                <w:b/>
                <w:color w:val="000000"/>
              </w:rPr>
              <w:t xml:space="preserve">年</w:t>
            </w:r>
            <w:r>
              <w:rPr>
                <w:rFonts w:hint="eastAsia" w:ascii="宋体" w:hAnsi="宋体" w:eastAsia="宋体" w:cs="宋体"/>
                <w:b/>
                <w:color w:val="000000"/>
                <w:u w:val="single"/>
                <w:lang w:val="en-US" w:eastAsia="zh-CN"/>
              </w:rPr>
              <w:t xml:space="preserve">6</w:t>
            </w:r>
            <w:r>
              <w:rPr>
                <w:rFonts w:hint="eastAsia" w:ascii="宋体" w:hAnsi="宋体" w:eastAsia="宋体" w:cs="宋体"/>
                <w:b/>
                <w:color w:val="000000"/>
              </w:rPr>
              <w:t xml:space="preserve">月</w:t>
            </w:r>
            <w:r>
              <w:rPr>
                <w:rFonts w:hint="eastAsia" w:ascii="宋体" w:hAnsi="宋体" w:eastAsia="宋体" w:cs="宋体"/>
                <w:b/>
                <w:color w:val="000000"/>
                <w:u w:val="single"/>
                <w:lang w:eastAsia="zh-CN"/>
              </w:rPr>
              <w:t xml:space="preserve"> </w:t>
            </w:r>
            <w:r>
              <w:rPr>
                <w:rFonts w:hint="eastAsia" w:ascii="宋体" w:hAnsi="宋体" w:eastAsia="宋体" w:cs="宋体"/>
                <w:b/>
                <w:color w:val="000000"/>
                <w:u w:val="single"/>
                <w:lang w:val="en-US" w:eastAsia="zh-CN"/>
              </w:rPr>
              <w:t xml:space="preserve">10</w:t>
            </w:r>
            <w:r>
              <w:rPr>
                <w:rFonts w:hint="eastAsia" w:ascii="宋体" w:hAnsi="宋体" w:eastAsia="宋体" w:cs="宋体"/>
                <w:b/>
                <w:color w:val="000000"/>
                <w:u w:val="single"/>
                <w:lang w:eastAsia="zh-CN"/>
              </w:rPr>
              <w:t xml:space="preserve"> </w:t>
            </w:r>
            <w:r>
              <w:rPr>
                <w:rFonts w:hint="eastAsia" w:ascii="宋体" w:hAnsi="宋体" w:eastAsia="宋体" w:cs="宋体"/>
                <w:b/>
                <w:color w:val="000000"/>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rPr>
              <w:t xml:space="preserve">时</w:t>
            </w:r>
            <w:r>
              <w:rPr>
                <w:rFonts w:hint="eastAsia" w:ascii="宋体" w:hAnsi="宋体" w:eastAsia="宋体" w:cs="宋体"/>
                <w:b/>
                <w:color w:val="000000"/>
                <w:u w:val="single"/>
                <w:lang w:eastAsia="zh-CN"/>
              </w:rPr>
              <w:t xml:space="preserve">00</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分</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rPr>
                <w:rFonts w:hint="eastAsia" w:ascii="宋体" w:hAnsi="宋体" w:eastAsia="宋体" w:cs="宋体"/>
                <w:lang w:eastAsia="zh-CN"/>
              </w:rPr>
            </w:r>
            <w:r/>
          </w:p>
        </w:tc>
      </w:tr>
      <w:tr>
        <w:trPr>
          <w:trHeight w:val="539"/>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评标办法</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☑综合评分法    □最低评标价法  </w:t>
            </w:r>
            <w:r>
              <w:rPr>
                <w:rFonts w:hint="eastAsia" w:ascii="宋体" w:hAnsi="宋体" w:eastAsia="宋体" w:cs="宋体"/>
                <w:lang w:eastAsia="zh-CN"/>
              </w:rPr>
            </w:r>
            <w:r/>
          </w:p>
        </w:tc>
      </w:tr>
      <w:tr>
        <w:trPr>
          <w:trHeight w:val="844"/>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定标办法</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采购人根据评标委员会推荐的中标候选供应商顺序确定中标人。</w:t>
            </w:r>
            <w:r>
              <w:rPr>
                <w:rFonts w:hint="eastAsia" w:ascii="宋体" w:hAnsi="宋体" w:eastAsia="宋体" w:cs="宋体"/>
                <w:lang w:eastAsia="zh-CN"/>
              </w:rPr>
            </w:r>
            <w:r/>
          </w:p>
        </w:tc>
      </w:tr>
      <w:tr>
        <w:trPr>
          <w:trHeight w:val="2110"/>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☑不提交，招标文件中有关履约保证金的规定均不适用</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金额：中标价的0%</w:t>
            </w:r>
            <w:r>
              <w:rPr>
                <w:rFonts w:hint="eastAsia" w:ascii="宋体" w:hAnsi="宋体" w:eastAsia="宋体" w:cs="宋体"/>
                <w:lang w:eastAsia="zh-CN"/>
              </w:rPr>
            </w:r>
            <w:r/>
          </w:p>
          <w:p>
            <w:pPr>
              <w:pStyle w:val="613"/>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形式：保证保险、保函、电汇、转账、汇票、支票、本票等非现金形式</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提交时间：收到中标通知书后签订合同前。</w:t>
            </w:r>
            <w:r>
              <w:rPr>
                <w:rFonts w:hint="eastAsia" w:ascii="宋体" w:hAnsi="宋体" w:eastAsia="宋体" w:cs="宋体"/>
                <w:lang w:eastAsia="zh-CN"/>
              </w:rPr>
            </w:r>
            <w:r/>
          </w:p>
          <w:p>
            <w:pPr>
              <w:pStyle w:val="613"/>
              <w:jc w:val="both"/>
              <w:spacing w:after="0" w:line="240" w:lineRule="auto"/>
              <w:rPr>
                <w:rFonts w:hint="eastAsia" w:ascii="宋体" w:hAnsi="宋体" w:eastAsia="宋体" w:cs="宋体"/>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退还时间：器材安装完成并验收合格后全额退还。</w:t>
            </w:r>
            <w:r>
              <w:rPr>
                <w:rFonts w:hint="eastAsia" w:ascii="宋体" w:hAnsi="宋体" w:eastAsia="宋体" w:cs="宋体"/>
                <w:color w:val="ff0000"/>
                <w:lang w:eastAsia="zh-CN"/>
              </w:rPr>
            </w:r>
            <w:r/>
          </w:p>
        </w:tc>
      </w:tr>
      <w:tr>
        <w:trPr>
          <w:trHeight w:val="571"/>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签订合同</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中标通知书发出之日起</w:t>
            </w:r>
            <w:r>
              <w:rPr>
                <w:rFonts w:hint="eastAsia" w:ascii="宋体" w:hAnsi="宋体" w:eastAsia="宋体" w:cs="宋体"/>
                <w:color w:val="000000"/>
                <w:u w:val="single"/>
                <w:lang w:eastAsia="zh-CN"/>
              </w:rPr>
              <w:t xml:space="preserve"> 30 </w:t>
            </w:r>
            <w:r>
              <w:rPr>
                <w:rFonts w:hint="eastAsia" w:ascii="宋体" w:hAnsi="宋体" w:eastAsia="宋体" w:cs="宋体"/>
                <w:color w:val="000000"/>
                <w:lang w:eastAsia="zh-CN"/>
              </w:rPr>
              <w:t xml:space="preserve">日内</w:t>
            </w:r>
            <w:r>
              <w:rPr>
                <w:rFonts w:hint="eastAsia" w:ascii="宋体" w:hAnsi="宋体" w:eastAsia="宋体" w:cs="宋体"/>
                <w:lang w:eastAsia="zh-CN"/>
              </w:rPr>
            </w:r>
            <w:r/>
          </w:p>
          <w:p>
            <w:pPr>
              <w:pStyle w:val="613"/>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签订合同地点：泰州市姜堰区文体广电和旅游局</w:t>
            </w:r>
            <w:r>
              <w:rPr>
                <w:rFonts w:hint="eastAsia" w:ascii="宋体" w:hAnsi="宋体" w:eastAsia="宋体" w:cs="宋体"/>
                <w:lang w:eastAsia="zh-CN"/>
              </w:rPr>
            </w:r>
            <w:r/>
          </w:p>
        </w:tc>
      </w:tr>
      <w:tr>
        <w:trPr>
          <w:trHeight w:val="571"/>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付款方式</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ind w:firstLine="420"/>
              <w:spacing w:line="300" w:lineRule="atLeast"/>
              <w:rPr>
                <w:rFonts w:hint="eastAsia" w:ascii="宋体" w:hAnsi="宋体" w:eastAsia="宋体" w:cs="宋体"/>
                <w:lang w:eastAsia="zh-CN"/>
              </w:rPr>
            </w:pPr>
            <w:r>
              <w:rPr>
                <w:rFonts w:hint="eastAsia" w:ascii="宋体" w:hAnsi="宋体" w:eastAsia="宋体" w:cs="宋体"/>
                <w:lang w:eastAsia="zh-CN"/>
              </w:rPr>
              <w:t xml:space="preserve">签订合同后预付合同价的30%；中标人所有货物交货安装调试完毕，经验收合格，并出具书面交货、验收报告后一次性付清余款。中标人申请支付货款时，须提供发票。</w:t>
            </w:r>
            <w:r>
              <w:rPr>
                <w:rFonts w:hint="eastAsia" w:ascii="宋体" w:hAnsi="宋体" w:eastAsia="宋体" w:cs="宋体"/>
                <w:lang w:eastAsia="zh-CN"/>
              </w:rPr>
            </w:r>
            <w:r/>
          </w:p>
        </w:tc>
      </w:tr>
      <w:tr>
        <w:trPr>
          <w:trHeight w:val="571"/>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20</w:t>
            </w:r>
            <w:r>
              <w:rPr>
                <w:rFonts w:hint="eastAsia" w:ascii="宋体" w:hAnsi="宋体" w:eastAsia="宋体" w:cs="宋体"/>
                <w:color w:val="0000ff"/>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特别说明</w:t>
            </w:r>
            <w:r>
              <w:rPr>
                <w:rFonts w:hint="eastAsia" w:ascii="宋体" w:hAnsi="宋体" w:eastAsia="宋体" w:cs="宋体"/>
                <w:color w:val="0000ff"/>
              </w:rPr>
            </w:r>
            <w:r/>
          </w:p>
        </w:tc>
        <w:tc>
          <w:tcPr>
            <w:tcMar>
              <w:left w:w="108" w:type="dxa"/>
              <w:top w:w="0" w:type="dxa"/>
              <w:right w:w="108" w:type="dxa"/>
              <w:bottom w:w="0" w:type="dxa"/>
            </w:tcMar>
            <w:tcW w:w="7288" w:type="dxa"/>
            <w:vAlign w:val="center"/>
            <w:textDirection w:val="lrTb"/>
            <w:noWrap/>
          </w:tcPr>
          <w:p>
            <w:pPr>
              <w:pStyle w:val="666"/>
              <w:jc w:val="both"/>
              <w:keepLines/>
              <w:keepNext/>
              <w:spacing w:before="291" w:beforeAutospacing="0" w:after="0" w:afterAutospacing="0" w:line="360" w:lineRule="auto"/>
              <w:shd w:val="clear" w:color="auto" w:fill="ffffff"/>
              <w:rPr>
                <w:rFonts w:hint="eastAsia" w:ascii="宋体" w:hAnsi="宋体" w:eastAsia="宋体" w:cs="宋体"/>
                <w:color w:val="0000ff"/>
                <w:sz w:val="22"/>
                <w:lang w:eastAsia="zh-CN"/>
              </w:rPr>
            </w:pPr>
            <w:r>
              <w:rPr>
                <w:rFonts w:hint="eastAsia" w:ascii="宋体" w:hAnsi="宋体" w:eastAsia="宋体" w:cs="宋体"/>
                <w:color w:val="0000ff"/>
                <w:sz w:val="22"/>
                <w:lang w:eastAsia="zh-CN"/>
              </w:rPr>
              <w:t xml:space="preserve">投标人于2026年</w:t>
            </w:r>
            <w:r>
              <w:rPr>
                <w:rFonts w:hint="eastAsia" w:ascii="宋体" w:hAnsi="宋体" w:eastAsia="宋体" w:cs="宋体"/>
                <w:color w:val="0000ff"/>
                <w:sz w:val="22"/>
                <w:lang w:val="en-US" w:eastAsia="zh-CN"/>
              </w:rPr>
              <w:t xml:space="preserve">6</w:t>
            </w:r>
            <w:r>
              <w:rPr>
                <w:rFonts w:hint="eastAsia" w:ascii="宋体" w:hAnsi="宋体" w:eastAsia="宋体" w:cs="宋体"/>
                <w:color w:val="0000ff"/>
                <w:sz w:val="22"/>
                <w:lang w:eastAsia="zh-CN"/>
              </w:rPr>
              <w:t xml:space="preserve">月</w:t>
            </w:r>
            <w:r>
              <w:rPr>
                <w:rFonts w:hint="eastAsia" w:ascii="宋体" w:hAnsi="宋体" w:eastAsia="宋体" w:cs="宋体"/>
                <w:color w:val="0000ff"/>
                <w:sz w:val="22"/>
                <w:lang w:val="en-US" w:eastAsia="zh-CN"/>
              </w:rPr>
              <w:t xml:space="preserve">10</w:t>
            </w:r>
            <w:r>
              <w:rPr>
                <w:rFonts w:hint="eastAsia" w:ascii="宋体" w:hAnsi="宋体" w:eastAsia="宋体" w:cs="宋体"/>
                <w:color w:val="0000ff"/>
                <w:sz w:val="22"/>
                <w:lang w:eastAsia="zh-CN"/>
              </w:rPr>
              <w:t xml:space="preserve">日8：</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0至 9:00 按照采购人要求</w:t>
            </w:r>
            <w:r>
              <w:rPr>
                <w:rFonts w:hint="eastAsia" w:ascii="宋体" w:hAnsi="宋体" w:eastAsia="宋体" w:cs="宋体"/>
                <w:color w:val="0000ff"/>
                <w:sz w:val="22"/>
                <w:lang w:val="en-US" w:eastAsia="zh-CN"/>
              </w:rPr>
              <w:t xml:space="preserve">送至</w:t>
            </w:r>
            <w:r>
              <w:rPr>
                <w:rFonts w:hint="eastAsia" w:ascii="宋体" w:hAnsi="宋体" w:eastAsia="宋体" w:cs="宋体"/>
                <w:color w:val="0000ff"/>
                <w:sz w:val="22"/>
                <w:lang w:eastAsia="zh-CN"/>
              </w:rPr>
              <w:t xml:space="preserve">姜堰区公共资源交易中心一楼开标二室（姜堰区上海路88号）。  </w:t>
            </w:r>
            <w:r>
              <w:rPr>
                <w:rFonts w:hint="eastAsia" w:ascii="宋体" w:hAnsi="宋体" w:eastAsia="宋体" w:cs="宋体"/>
                <w:color w:val="0000ff"/>
                <w:sz w:val="22"/>
                <w:lang w:eastAsia="zh-CN"/>
              </w:rPr>
            </w:r>
            <w:r/>
          </w:p>
        </w:tc>
      </w:tr>
      <w:tr>
        <w:trPr>
          <w:trHeight w:val="1090"/>
        </w:trPr>
        <w:tc>
          <w:tcPr>
            <w:tcMar>
              <w:left w:w="108" w:type="dxa"/>
              <w:top w:w="0" w:type="dxa"/>
              <w:right w:w="108" w:type="dxa"/>
              <w:bottom w:w="0" w:type="dxa"/>
            </w:tcMar>
            <w:tcW w:w="643" w:type="dxa"/>
            <w:vAlign w:val="center"/>
            <w:textDirection w:val="lrTb"/>
            <w:noWrap/>
          </w:tcPr>
          <w:p>
            <w:pPr>
              <w:pStyle w:val="613"/>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1</w:t>
            </w:r>
            <w:r>
              <w:rPr>
                <w:rFonts w:hint="eastAsia" w:ascii="宋体" w:hAnsi="宋体" w:eastAsia="宋体" w:cs="宋体"/>
                <w:lang w:eastAsia="zh-CN"/>
              </w:rPr>
            </w:r>
            <w:r/>
          </w:p>
        </w:tc>
        <w:tc>
          <w:tcPr>
            <w:tcMar>
              <w:left w:w="108" w:type="dxa"/>
              <w:top w:w="0" w:type="dxa"/>
              <w:right w:w="108" w:type="dxa"/>
              <w:bottom w:w="0" w:type="dxa"/>
            </w:tcMar>
            <w:tcW w:w="1424" w:type="dxa"/>
            <w:vAlign w:val="center"/>
            <w:textDirection w:val="lrTb"/>
            <w:noWrap/>
          </w:tcPr>
          <w:p>
            <w:pPr>
              <w:pStyle w:val="613"/>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其他</w:t>
            </w:r>
            <w:r>
              <w:rPr>
                <w:rFonts w:hint="eastAsia" w:ascii="宋体" w:hAnsi="宋体" w:eastAsia="宋体" w:cs="宋体"/>
              </w:rPr>
            </w:r>
            <w:r/>
          </w:p>
        </w:tc>
        <w:tc>
          <w:tcPr>
            <w:tcMar>
              <w:left w:w="108" w:type="dxa"/>
              <w:top w:w="0" w:type="dxa"/>
              <w:right w:w="108" w:type="dxa"/>
              <w:bottom w:w="0" w:type="dxa"/>
            </w:tcMar>
            <w:tcW w:w="7288" w:type="dxa"/>
            <w:vAlign w:val="center"/>
            <w:textDirection w:val="lrTb"/>
            <w:noWrap/>
          </w:tcPr>
          <w:p>
            <w:pPr>
              <w:pStyle w:val="613"/>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投标文件的制作要求</w:t>
            </w:r>
            <w:r>
              <w:rPr>
                <w:rFonts w:hint="eastAsia" w:ascii="宋体" w:hAnsi="宋体" w:eastAsia="宋体" w:cs="宋体"/>
                <w:lang w:eastAsia="zh-CN"/>
              </w:rPr>
            </w:r>
            <w:r/>
          </w:p>
          <w:p>
            <w:pPr>
              <w:pStyle w:val="613"/>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本次采购采用“苏采云”系统进行政府采购活动。</w:t>
            </w:r>
            <w:r>
              <w:rPr>
                <w:rFonts w:hint="eastAsia" w:ascii="宋体" w:hAnsi="宋体" w:eastAsia="宋体" w:cs="宋体"/>
                <w:lang w:eastAsia="zh-CN"/>
              </w:rPr>
            </w:r>
            <w:r/>
          </w:p>
          <w:p>
            <w:pPr>
              <w:pStyle w:val="613"/>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color w:val="000000"/>
                <w:lang w:eastAsia="zh-CN"/>
              </w:rPr>
              <w:t xml:space="preserve">有关本次招标的事项若存在变动或修改，敬请及时关注“江苏省政府采购网”发布的更正公告。</w:t>
            </w:r>
            <w:r>
              <w:rPr>
                <w:rFonts w:hint="eastAsia" w:ascii="宋体" w:hAnsi="宋体" w:eastAsia="宋体" w:cs="宋体"/>
                <w:lang w:eastAsia="zh-CN"/>
              </w:rPr>
            </w:r>
            <w:r/>
          </w:p>
        </w:tc>
      </w:tr>
    </w:tbl>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一、说明和释义</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 说明 </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1.1本招标文件仅适用于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组织的招标活动。</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1.2本次招标活动及因本次招标产生的合同受中国法律制约和保护。</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1.3本招标文件的解释权属于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 词语释义</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2.1采购人：指依法进行采购的国家机关、事业单位、团体组织。</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 供应商、投标人：指向采购人提供货物、工程或服务的法人、其他组织或者自然人，不包括其分公司。</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2.3采购代理机构：指依法接受采购人委托，从事货物、工程和服务等采购招标代理业务的社会中介机构。</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2.4招标采购单位：采购人及采购代理机构的统称。</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2.5评标委员会：是指在招标投标和采购活动中，依法由采购人代表和有关技术、经济等方面的专家组建，负责对投标文件进行评审并提出评审意见的临时性权威机构。</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2.6响应：投标人根据采购人或采购代理机构发售的招标文件，编制投标文件并按规定投标的行为。</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2.7知识产权：指专利权、商标权、著作权等无形财产专有权的统称。</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2.8天：日历天。</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2.9服务地点：合同中明确约定的乙方履行服务的最终地点。</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2.10不可抗力：不能预见、不能避免并且不能克服的客观情况。</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 实质性响应：满足有关本次采购标的、数量、质量、价款或者报酬、履行期限、履行地点和方式、违约责任和解决争议方法等要求。</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2.12书面形式：指书面文字、合同书、信件等可以有形地表现所载内容的形式。</w:t>
      </w:r>
      <w:r>
        <w:rPr>
          <w:rFonts w:hint="eastAsia" w:ascii="宋体" w:hAnsi="宋体" w:eastAsia="宋体" w:cs="宋体"/>
          <w:lang w:eastAsia="zh-CN"/>
        </w:rPr>
      </w:r>
      <w:r/>
    </w:p>
    <w:p>
      <w:pPr>
        <w:pStyle w:val="613"/>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二、投标人</w:t>
      </w:r>
      <w:r>
        <w:rPr>
          <w:rFonts w:hint="eastAsia" w:ascii="宋体" w:hAnsi="宋体" w:eastAsia="宋体" w:cs="宋体"/>
        </w:rPr>
      </w:r>
      <w:r/>
    </w:p>
    <w:p>
      <w:pPr>
        <w:pStyle w:val="613"/>
        <w:numPr>
          <w:ilvl w:val="0"/>
          <w:numId w:val="1"/>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合格投标人资格要求</w:t>
      </w:r>
      <w:r>
        <w:rPr>
          <w:rFonts w:hint="eastAsia" w:ascii="宋体" w:hAnsi="宋体" w:eastAsia="宋体" w:cs="宋体"/>
        </w:rPr>
      </w:r>
      <w:r/>
    </w:p>
    <w:p>
      <w:pPr>
        <w:pStyle w:val="613"/>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3.1详见投标人须知前附表规定。</w:t>
      </w:r>
      <w:r>
        <w:rPr>
          <w:rFonts w:hint="eastAsia" w:ascii="宋体" w:hAnsi="宋体" w:eastAsia="宋体" w:cs="宋体"/>
          <w:lang w:eastAsia="zh-CN"/>
        </w:rPr>
      </w:r>
      <w:r/>
    </w:p>
    <w:p>
      <w:pPr>
        <w:pStyle w:val="613"/>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4.投标人应在江苏政府采购“苏采云”系统（http://jszfcg.jsczt.cn/，下同）下载招标文件及有关资料，按招标文件要求提交全部资料并对招标文件各项内容做出实质性响应。</w:t>
      </w:r>
      <w:r>
        <w:rPr>
          <w:rFonts w:hint="eastAsia" w:ascii="宋体" w:hAnsi="宋体" w:eastAsia="宋体" w:cs="宋体"/>
        </w:rPr>
      </w:r>
      <w:r/>
    </w:p>
    <w:p>
      <w:pPr>
        <w:pStyle w:val="613"/>
        <w:numPr>
          <w:ilvl w:val="0"/>
          <w:numId w:val="2"/>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投标人代表</w:t>
      </w:r>
      <w:r>
        <w:rPr>
          <w:rFonts w:hint="eastAsia" w:ascii="宋体" w:hAnsi="宋体" w:eastAsia="宋体" w:cs="宋体"/>
        </w:rPr>
      </w:r>
      <w:r/>
    </w:p>
    <w:p>
      <w:pPr>
        <w:pStyle w:val="613"/>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5.1指全权代表投标人参加投标活动并签署投标文件的人，如果投标人代表不是法人代表，须持有《法人代表授权委托书》（详见统一格式）。</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6. 不接受联合体投标。</w:t>
      </w:r>
      <w:r>
        <w:rPr>
          <w:rFonts w:hint="eastAsia" w:ascii="宋体" w:hAnsi="宋体" w:eastAsia="宋体" w:cs="宋体"/>
          <w:lang w:eastAsia="zh-CN"/>
        </w:rPr>
      </w:r>
      <w:r/>
    </w:p>
    <w:p>
      <w:pPr>
        <w:pStyle w:val="613"/>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7. 投标人有下列情形之一的不能参加本次投标：</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（1）因重大经济问题正在接受国家有关部门审查的；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（2）正在被其他企业兼并（或收购）或因重大经济纠纷正在进行诉讼或仲裁的；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（3）因腐败和欺诈行为而被有关部门处理的。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（4）被责令停业的； </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（5）被暂停或取消投标资格的； </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（6）财产被接管或冻结的；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（7）在最近三年内有骗取中标或严重违约或重大工程质量问题的；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（8）在投标过程中弄虚作假、行贿或有其他违法违规行为的；</w:t>
      </w:r>
      <w:r>
        <w:rPr>
          <w:rFonts w:hint="eastAsia" w:ascii="宋体" w:hAnsi="宋体" w:eastAsia="宋体" w:cs="宋体"/>
          <w:lang w:eastAsia="zh-CN"/>
        </w:rPr>
      </w:r>
      <w:r/>
    </w:p>
    <w:p>
      <w:pPr>
        <w:pStyle w:val="613"/>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（9）违反法律法规相关规定的。</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三、招标文件说明</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8. 招标文件</w:t>
      </w:r>
      <w:r>
        <w:rPr>
          <w:rFonts w:hint="eastAsia" w:ascii="宋体" w:hAnsi="宋体" w:eastAsia="宋体" w:cs="宋体"/>
          <w:lang w:eastAsia="zh-CN"/>
        </w:rPr>
      </w:r>
      <w:r/>
    </w:p>
    <w:p>
      <w:pPr>
        <w:pStyle w:val="613"/>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9.现场考察 </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9.1投标人应按招标文件中所述时间对有关现场和周围环境进行考察，以获取编制投标文件和签署合同所需的信息。考察现场所发生的费用由投标人自己承担。</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lang w:eastAsia="zh-CN"/>
        </w:rPr>
      </w:r>
      <w:r/>
    </w:p>
    <w:p>
      <w:pPr>
        <w:pStyle w:val="613"/>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rPr>
          <w:rFonts w:hint="eastAsia" w:ascii="宋体" w:hAnsi="宋体" w:eastAsia="宋体" w:cs="宋体"/>
          <w:lang w:eastAsia="zh-CN"/>
        </w:rPr>
      </w:r>
      <w:r/>
    </w:p>
    <w:p>
      <w:pPr>
        <w:pStyle w:val="613"/>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10. 招标文件的澄清和修改</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10.1 投标人在购买招标文件后，若有问题需要询问和澄清，应于前附表规定的时间提出。</w:t>
      </w:r>
      <w:r>
        <w:rPr>
          <w:rFonts w:hint="eastAsia" w:ascii="宋体" w:hAnsi="宋体" w:eastAsia="宋体" w:cs="宋体"/>
          <w:lang w:eastAsia="zh-CN"/>
        </w:rPr>
      </w:r>
      <w:r/>
    </w:p>
    <w:p>
      <w:pPr>
        <w:pStyle w:val="613"/>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10.2如需召开投标答疑会的，招标采购单位将按前附表规定的时间、地点召开招标答疑会。</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10.3迟于前附表规定时间的询问和提交的疑问，采购人和采购代理机构有权拒绝回答，也不承担由此带来的对投标人投标结果的影响。</w:t>
      </w:r>
      <w:r>
        <w:rPr>
          <w:rFonts w:hint="eastAsia" w:ascii="宋体" w:hAnsi="宋体" w:eastAsia="宋体" w:cs="宋体"/>
          <w:lang w:eastAsia="zh-CN"/>
        </w:rPr>
      </w:r>
      <w:r/>
    </w:p>
    <w:p>
      <w:pPr>
        <w:pStyle w:val="613"/>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lang w:eastAsia="zh-CN"/>
        </w:rPr>
      </w:r>
      <w:r/>
    </w:p>
    <w:p>
      <w:pPr>
        <w:pStyle w:val="613"/>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10.5为使投标人有足够的时间按招标文件的修改要求考虑修正投标文件，或出于其他原因，招标采购单位有权推迟投标截止日期和开标日期，将此变更通知所有招标文件的收受人。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lang w:eastAsia="zh-CN"/>
        </w:rPr>
      </w:r>
      <w:r/>
    </w:p>
    <w:p>
      <w:pPr>
        <w:pStyle w:val="613"/>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10.6招标文件的更正（含澄清、修改等）内容与原招标文件在同一内容上表述不一致时，以发出日期最接近开标时间的公告为准。</w:t>
      </w:r>
      <w:r>
        <w:rPr>
          <w:rFonts w:hint="eastAsia" w:ascii="宋体" w:hAnsi="宋体" w:eastAsia="宋体" w:cs="宋体"/>
          <w:lang w:eastAsia="zh-CN"/>
        </w:rPr>
      </w:r>
      <w:r/>
    </w:p>
    <w:p>
      <w:pPr>
        <w:pStyle w:val="613"/>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10.7招标文件的更正（含澄清、修改等）内容将作为招标文件的组成部分，对投标人起约束作用。</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四、投标文件说明</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11. 投标文件计量单位和使用文字</w:t>
      </w:r>
      <w:r>
        <w:rPr>
          <w:rFonts w:hint="eastAsia" w:ascii="宋体" w:hAnsi="宋体" w:eastAsia="宋体" w:cs="宋体"/>
          <w:lang w:eastAsia="zh-CN"/>
        </w:rPr>
      </w:r>
      <w:r/>
    </w:p>
    <w:p>
      <w:pPr>
        <w:pStyle w:val="613"/>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11.1投标文件中所使用的计量单位，除招标文件中有特殊要求外，均应使用中华人民共和国法定计量单位。</w:t>
      </w:r>
      <w:r>
        <w:rPr>
          <w:rFonts w:hint="eastAsia" w:ascii="宋体" w:hAnsi="宋体" w:eastAsia="宋体" w:cs="宋体"/>
          <w:lang w:eastAsia="zh-CN"/>
        </w:rPr>
      </w:r>
      <w:r/>
    </w:p>
    <w:p>
      <w:pPr>
        <w:pStyle w:val="613"/>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宋体"/>
          <w:lang w:eastAsia="zh-CN"/>
        </w:rPr>
      </w:r>
      <w:r/>
    </w:p>
    <w:p>
      <w:pPr>
        <w:pStyle w:val="613"/>
        <w:ind w:firstLine="488"/>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11.3投标人应当同时凭CA数字证书登录“江苏政府采购“苏采云”系统”，并在投标截止时间前上传电子投标文件。</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12. 知识产权</w:t>
      </w:r>
      <w:r>
        <w:rPr>
          <w:rFonts w:hint="eastAsia" w:ascii="宋体" w:hAnsi="宋体" w:eastAsia="宋体" w:cs="宋体"/>
          <w:lang w:eastAsia="zh-CN"/>
        </w:rPr>
      </w:r>
      <w:r/>
    </w:p>
    <w:p>
      <w:pPr>
        <w:pStyle w:val="613"/>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lang w:eastAsia="zh-CN"/>
        </w:rPr>
      </w:r>
      <w:r/>
    </w:p>
    <w:p>
      <w:pPr>
        <w:pStyle w:val="613"/>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13. 投标文件的组成</w:t>
      </w:r>
      <w:r>
        <w:rPr>
          <w:rFonts w:hint="eastAsia" w:ascii="宋体" w:hAnsi="宋体" w:eastAsia="宋体" w:cs="宋体"/>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投标函（格式见附件）</w:t>
      </w:r>
      <w:r>
        <w:rPr>
          <w:rFonts w:hint="eastAsia" w:ascii="宋体" w:hAnsi="宋体" w:eastAsia="宋体" w:cs="宋体"/>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资格、资信证明文件：</w:t>
      </w:r>
      <w:r>
        <w:rPr>
          <w:rFonts w:hint="eastAsia" w:ascii="宋体" w:hAnsi="宋体" w:eastAsia="宋体" w:cs="宋体"/>
        </w:rPr>
      </w:r>
      <w:r/>
    </w:p>
    <w:p>
      <w:pPr>
        <w:pStyle w:val="613"/>
        <w:numPr>
          <w:ilvl w:val="1"/>
          <w:numId w:val="3"/>
        </w:numPr>
        <w:spacing w:before="240" w:after="240" w:line="360" w:lineRule="auto"/>
        <w:tabs>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法人或其他组织的营业执照或相关部门的登记证明文件； </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投标人近六个月中任意一个月份(不含投标文件递交当月)的依法缴纳社会保障资金的相关材料（提供相关主管部门证明或银行代扣证明）复印件（依法免缴或缓缴的供应商，应提供相应文件证明其依法免</w:t>
      </w:r>
      <w:r>
        <w:rPr>
          <w:rFonts w:hint="eastAsia" w:ascii="宋体" w:hAnsi="宋体" w:eastAsia="宋体" w:cs="宋体"/>
          <w:color w:val="000000"/>
          <w:lang w:val="en-US" w:eastAsia="zh-CN"/>
        </w:rPr>
        <w:t xml:space="preserve">缴</w:t>
      </w:r>
      <w:r>
        <w:rPr>
          <w:rFonts w:hint="eastAsia" w:ascii="宋体" w:hAnsi="宋体" w:eastAsia="宋体" w:cs="宋体"/>
          <w:color w:val="000000"/>
          <w:lang w:eastAsia="zh-CN"/>
        </w:rPr>
        <w:t xml:space="preserve">的证明材料）；</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承诺书（格式见附件）；</w:t>
      </w:r>
      <w:r>
        <w:rPr>
          <w:rFonts w:hint="eastAsia" w:ascii="宋体" w:hAnsi="宋体" w:eastAsia="宋体" w:cs="宋体"/>
          <w:lang w:eastAsia="zh-CN"/>
        </w:rPr>
      </w:r>
      <w:r/>
    </w:p>
    <w:p>
      <w:pPr>
        <w:pStyle w:val="613"/>
        <w:numPr>
          <w:ilvl w:val="1"/>
          <w:numId w:val="3"/>
        </w:numPr>
        <w:jc w:val="both"/>
        <w:spacing w:after="0" w:line="360" w:lineRule="auto"/>
        <w:tabs>
          <w:tab w:val="left" w:pos="945"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采购人要求的特定资质证明（详见“采购公告”-“本项目特定资格要求”之3中要求）。</w:t>
      </w:r>
      <w:r>
        <w:rPr>
          <w:rFonts w:hint="eastAsia" w:ascii="宋体" w:hAnsi="宋体" w:eastAsia="宋体" w:cs="宋体"/>
          <w:lang w:eastAsia="zh-CN"/>
        </w:rPr>
      </w:r>
      <w:r/>
    </w:p>
    <w:p>
      <w:pPr>
        <w:pStyle w:val="613"/>
        <w:ind w:firstLine="480"/>
        <w:jc w:val="both"/>
        <w:spacing w:after="0" w:line="360" w:lineRule="auto"/>
        <w:tabs>
          <w:tab w:val="left" w:pos="945" w:leader="none"/>
          <w:tab w:val="left" w:pos="1276"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8</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宋体"/>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商务偏离表（格式见附件）</w:t>
      </w:r>
      <w:r>
        <w:rPr>
          <w:rFonts w:hint="eastAsia" w:ascii="宋体" w:hAnsi="宋体" w:eastAsia="宋体" w:cs="宋体"/>
          <w:lang w:eastAsia="zh-CN"/>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技术偏离表（格式见附件）</w:t>
      </w:r>
      <w:r>
        <w:rPr>
          <w:rFonts w:hint="eastAsia" w:ascii="宋体" w:hAnsi="宋体" w:eastAsia="宋体" w:cs="宋体"/>
          <w:lang w:eastAsia="zh-CN"/>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评分标准中对应的其它所需证明材料（如有自行添加）</w:t>
      </w:r>
      <w:r>
        <w:rPr>
          <w:rFonts w:hint="eastAsia" w:ascii="宋体" w:hAnsi="宋体" w:eastAsia="宋体" w:cs="宋体"/>
          <w:lang w:eastAsia="zh-CN"/>
        </w:rPr>
      </w:r>
      <w:r/>
    </w:p>
    <w:p>
      <w:pPr>
        <w:pStyle w:val="613"/>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其它（投标人认为有必要提供的声明和文件，如有自拟并自行添加）</w:t>
      </w:r>
      <w:r>
        <w:rPr>
          <w:rFonts w:hint="eastAsia" w:ascii="宋体" w:hAnsi="宋体" w:eastAsia="宋体" w:cs="宋体"/>
          <w:lang w:eastAsia="zh-CN"/>
        </w:rPr>
      </w:r>
      <w:r/>
    </w:p>
    <w:p>
      <w:pPr>
        <w:pStyle w:val="613"/>
        <w:ind w:firstLine="609"/>
        <w:jc w:val="both"/>
        <w:spacing w:after="0" w:line="360" w:lineRule="auto"/>
        <w:tabs>
          <w:tab w:val="left" w:pos="2850" w:leader="none"/>
          <w:tab w:val="left" w:pos="4153"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14. 投标文件编制及递交要求</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14.1所有文件、往来函件均应使用简体中文（规格、型号辅助符号例外）。</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14.3如无特别说明，投标人报价一律以人民币为投标结算货币,结算单位为“元”。</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14.4投标文件不应有涂改、增删和潦草之处，如有必须修改时，修改处必须有投标人盖章、法定代表人或法定代表人授权代表的签字。</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14.5投标费用自理。</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14.6投标人应当同时凭CA数字证书登录“江苏政府采购“苏采云”系统”，并在投标截止时间前上传电子投标文件。</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15. 投标报价（编制）要求的说明</w:t>
      </w:r>
      <w:r>
        <w:rPr>
          <w:rFonts w:hint="eastAsia" w:ascii="宋体" w:hAnsi="宋体" w:eastAsia="宋体" w:cs="宋体"/>
          <w:lang w:eastAsia="zh-CN"/>
        </w:rPr>
      </w:r>
      <w:r/>
    </w:p>
    <w:p>
      <w:pPr>
        <w:pStyle w:val="613"/>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hint="eastAsia" w:ascii="宋体" w:hAnsi="宋体" w:eastAsia="宋体" w:cs="宋体"/>
          <w:lang w:eastAsia="zh-CN"/>
        </w:rPr>
      </w:r>
      <w:r/>
    </w:p>
    <w:p>
      <w:pPr>
        <w:pStyle w:val="613"/>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投标人要认真阅读清单，慎重报价。采购人不再支付报价以外的任何费用。</w:t>
      </w:r>
      <w:r>
        <w:rPr>
          <w:rFonts w:hint="eastAsia" w:ascii="宋体" w:hAnsi="宋体" w:eastAsia="宋体" w:cs="宋体"/>
          <w:lang w:eastAsia="zh-CN"/>
        </w:rPr>
      </w:r>
      <w:r/>
    </w:p>
    <w:p>
      <w:pPr>
        <w:pStyle w:val="613"/>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15.2投标人应对招标文件内所要采购的全部内容进行报价，只投其中部分内容者，其标书将被拒绝。</w:t>
      </w:r>
      <w:r>
        <w:rPr>
          <w:rFonts w:hint="eastAsia" w:ascii="宋体" w:hAnsi="宋体" w:eastAsia="宋体" w:cs="宋体"/>
          <w:lang w:eastAsia="zh-CN"/>
        </w:rPr>
      </w:r>
      <w:r/>
    </w:p>
    <w:p>
      <w:pPr>
        <w:pStyle w:val="613"/>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15.3一项投标内容只允许一个报价，招标采购单位不接受任何有选择性的投标报价。</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15.4投标文件报价中的单价和总价全部采用人民币表示，除非合同的特殊条款另有规定。</w:t>
      </w:r>
      <w:r>
        <w:rPr>
          <w:rFonts w:hint="eastAsia" w:ascii="宋体" w:hAnsi="宋体" w:eastAsia="宋体" w:cs="宋体"/>
          <w:lang w:eastAsia="zh-CN"/>
        </w:rPr>
      </w:r>
      <w:r/>
    </w:p>
    <w:p>
      <w:pPr>
        <w:pStyle w:val="613"/>
        <w:numPr>
          <w:ilvl w:val="0"/>
          <w:numId w:val="4"/>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投标保证金</w:t>
      </w:r>
      <w:r>
        <w:rPr>
          <w:rFonts w:hint="eastAsia" w:ascii="宋体" w:hAnsi="宋体" w:eastAsia="宋体" w:cs="宋体"/>
        </w:rPr>
      </w:r>
      <w:r/>
    </w:p>
    <w:p>
      <w:pPr>
        <w:pStyle w:val="613"/>
        <w:ind w:firstLine="48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依据苏财购〔2020〕52号文件精神，本项目免收投标保证金。 </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17. 投标文件的有效期</w:t>
      </w:r>
      <w:r>
        <w:rPr>
          <w:rFonts w:hint="eastAsia" w:ascii="宋体" w:hAnsi="宋体" w:eastAsia="宋体" w:cs="宋体"/>
          <w:lang w:eastAsia="zh-CN"/>
        </w:rPr>
      </w:r>
      <w:r/>
    </w:p>
    <w:p>
      <w:pPr>
        <w:pStyle w:val="613"/>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宋体"/>
          <w:lang w:eastAsia="zh-CN"/>
        </w:rPr>
      </w:r>
      <w:r/>
    </w:p>
    <w:p>
      <w:pPr>
        <w:pStyle w:val="613"/>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18. 投标文件的拒收</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采购人拒绝接收在其规定的投标截止时间后上传的任何投标文件。</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五、投标文件的递交</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19.投标文件的递交</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19.1电子投标文件的递交</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投标人应当按照《江苏省政府采购管理交易系统（苏采云）供应商操作手册及政府采购客户端》规定，在投标截止时间前制作并上传电子投标文件。</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20．投标截止日期</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20.2采购人可以按照规定，通过修改招标文件酌情延长投标截止日期，在此情况下，投标人的所有权利和义务以及投标人受制的截止日期均应以延长后新的截止日期为准。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21. 投标文件的修改和撤回</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21.1投标文件的撤回</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投标人可在投标截止时间前，撤回其电子投标文件，具体操作方法见《江苏省政府采购管理交易系统（苏采云）供应商操作手册及政府采购客户端》。</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 投标文件的修改</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投标人可在投标截止时间前，对其电子投标文件进行修改，具体操作方法见《江苏省政府采购管理交易系统（苏采云）供应商操作手册及政府采购客户端》。</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21.3在投标截止时间之后，投标人不得对其电子投标文件作任何修改。</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六、开标和评标</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22. 开标</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22.1采购人将在招标公告中规定的时间和地点组织公开开标。投标人应当按照《江苏省政府采购管理交易系统（苏采云）供应商操作手册及政府采购客户端》规定，参加开标活动。</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22.2开标仪式由采购代理机构组织。“江苏政府采购“苏采云”系统”将自动对项目进行开标，并宣读各投标人的《开标一览表》。</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22.5开标时，投标文件中开标一览表内容与投标文件中明细表内容不一致的，以开标一览表为准。</w:t>
      </w:r>
      <w:r>
        <w:rPr>
          <w:rFonts w:hint="eastAsia" w:ascii="宋体" w:hAnsi="宋体" w:eastAsia="宋体" w:cs="宋体"/>
          <w:lang w:eastAsia="zh-CN"/>
        </w:rPr>
      </w:r>
      <w:r/>
    </w:p>
    <w:p>
      <w:pPr>
        <w:pStyle w:val="613"/>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lang w:eastAsia="zh-CN"/>
        </w:rPr>
      </w:r>
      <w:r/>
    </w:p>
    <w:p>
      <w:pPr>
        <w:pStyle w:val="613"/>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22.6投标人未参加开标的，视同认可开标结果。</w:t>
      </w:r>
      <w:r>
        <w:rPr>
          <w:rFonts w:hint="eastAsia" w:ascii="宋体" w:hAnsi="宋体" w:eastAsia="宋体" w:cs="宋体"/>
          <w:lang w:eastAsia="zh-CN"/>
        </w:rPr>
      </w:r>
      <w:r/>
    </w:p>
    <w:p>
      <w:pPr>
        <w:pStyle w:val="613"/>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23. 评标委员会</w:t>
      </w:r>
      <w:r>
        <w:rPr>
          <w:rFonts w:hint="eastAsia" w:ascii="宋体" w:hAnsi="宋体" w:eastAsia="宋体" w:cs="宋体"/>
          <w:b/>
          <w:color w:val="000000"/>
          <w:lang w:eastAsia="zh-CN"/>
        </w:rPr>
        <w:tab/>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23.1评标委员会由招标采购单位依法组建，负责本项目的评标事务。</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23.2评标委员会独立履行下列职责：</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23.2.1审查投标文件是否符合招标文件的要求，并作出评价；</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23.2.2可以要求投标供应商对投标文件有关事项作出解释或澄清；</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23.2.3推荐中标候选供应商名单，或者受采购人委托按照事先确定的办法直接确定中标供应商；</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23.2.4向招标采购单位或者有关部门报告非法干预评标工作的行为。</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23.3评标委员会成员应当履行下列义务：</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23.3.1遵纪守法，客观、公正、廉洁地履行职责；</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23.3.2按照招标文件规定的评标办法和评标标准进行评标，对评审意见承担个人责任；</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23.3.3对评标过程和结果，以及投标人的商业秘密保密；</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23.3.4参与评标报告的起草；</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23.3.5配合相关部门的投诉处理工作；</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23.3.6配合招标采购单位答复投标供应商提出的质疑。</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24. 评标内容的保密</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24.1公开开标后，直到宣布授予中标人合同为止，凡属于审查、澄清、评价和比较投标的所有资料，有关授予合同的信息都不应向投标人或与评标无关的其他人泄露。</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24.2 在投标文件的审查、澄清、评价和比较以及授予合同的过程中，投标人对招标采购单位和评标委员会成员施加影响的任何行为，都将取消其投标资格。</w:t>
      </w:r>
      <w:r>
        <w:rPr>
          <w:rFonts w:hint="eastAsia" w:ascii="宋体" w:hAnsi="宋体" w:eastAsia="宋体" w:cs="宋体"/>
          <w:lang w:eastAsia="zh-CN"/>
        </w:rPr>
      </w:r>
      <w:r/>
    </w:p>
    <w:p>
      <w:pPr>
        <w:pStyle w:val="613"/>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24.3在评标期间，招标采购单位将通过指定联络人与投标人进行联系。</w:t>
      </w:r>
      <w:r>
        <w:rPr>
          <w:rFonts w:hint="eastAsia" w:ascii="宋体" w:hAnsi="宋体" w:eastAsia="宋体" w:cs="宋体"/>
          <w:lang w:eastAsia="zh-CN"/>
        </w:rPr>
      </w:r>
      <w:r/>
    </w:p>
    <w:p>
      <w:pPr>
        <w:pStyle w:val="613"/>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25.对投标文件初审</w:t>
      </w:r>
      <w:r>
        <w:rPr>
          <w:rFonts w:hint="eastAsia" w:ascii="宋体" w:hAnsi="宋体" w:eastAsia="宋体" w:cs="宋体"/>
          <w:lang w:eastAsia="zh-CN"/>
        </w:rPr>
      </w:r>
      <w:r/>
    </w:p>
    <w:p>
      <w:pPr>
        <w:pStyle w:val="613"/>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25.1投标文件初审分为资格性检查和符合性检查。</w:t>
      </w:r>
      <w:r>
        <w:rPr>
          <w:rFonts w:hint="eastAsia" w:ascii="宋体" w:hAnsi="宋体" w:eastAsia="宋体" w:cs="宋体"/>
          <w:lang w:eastAsia="zh-CN"/>
        </w:rPr>
      </w:r>
      <w:r/>
    </w:p>
    <w:p>
      <w:pPr>
        <w:pStyle w:val="613"/>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25.1.1资格性检查。依据法律法规和招标文件的规定，对投标文件中的资格证明、投标保证金等进行审查，以确定投标供应商是否具备投标资格。</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25.1.2符合性检查。依据招标文件的规定，从投标文件的有效性、完整性和对招标文件的响应程度进行审查，以确定是否对招标文件的实质性要求作出响应。</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投标人有下列情况之一者，投标文件无效：</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1）投标人未在规定时间内成功解密电子投标文件的；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2）投标人未按照招标文件要求上传电子投标文件的；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3）投标文件未按照招标文件要求加盖电子签章；</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4）招标人的法定代表人授权代表，无法定代表人授权委托书的；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5）不具备招标文件中规定的资格要求或未按招标文件规定的要求提供资格、资信证明文件的；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6）被“信用中国”网站（www.creditchina.gov.cn）列入失信执行人、重大税收违法案件当事人名单、中国政府采购网(www.ccgp.gov.cn)政府采购严重违法失信行为记录名单的；</w:t>
      </w:r>
      <w:r>
        <w:rPr>
          <w:rFonts w:hint="eastAsia" w:ascii="宋体" w:hAnsi="宋体" w:eastAsia="宋体" w:cs="宋体"/>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7）投标文件未按招标文件规定的内容和要求填写的；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8）投标文件中有招标文件未允许提供的选择性内容；</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9）不同投标人的投标文件由同一单位或者个人编制的；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10）不同投标人委托同一单位或者个人办理投标事宜的；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11）不同投标人的投标文件载明的项目管理成员为同一人的；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12）不同投标人的投标文件异常一致或者投标报价呈规律性差异的；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13）不同投标人的单位负责人为同一人或者存在直接控股、管理关系的；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14）项目（标段）投标总价或单价超过本项目（标段）预算或最高限价的；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15）提供虚假材料的（包括工商营业执照、财务报表、资格证明文件等）；</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16）投标文件含有采购人不能接受的附加条件的；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18）除单一来源采购项目外，为采购项目提供整体设计、规范编制或者项目管理、监理、检测等服务的；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19）投标文件内容不全或不符合招标文件中规定的其它实质性要求的；</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20）法律法规和招标文件规定的其它无效情形；</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21）改变招标文件清单给出的名称、实施范围、工作内容、计量单位、工程量、养护标准等。</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25.5招标采购单位对投标文件的判定，只依据投标内容本身，不依靠开标后的任何外来证明。</w:t>
      </w:r>
      <w:r>
        <w:rPr>
          <w:rFonts w:hint="eastAsia" w:ascii="宋体" w:hAnsi="宋体" w:eastAsia="宋体" w:cs="宋体"/>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25.6招标采购单位将拒绝被确定为非实质性响应的投标，投标人不能通过修正或撤销不符之处而使其投标成为实质性响应的投标。</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25.7依据《江苏省财政厅转发财政部关于推动解决政府采购异常低价问题的通知》（苏财购[2026]36号文）规定：</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（一）评审过程中出现下列情形之一的，评审委员会应当启动异常低价投标（响应）审查程序：</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3.投标(响应)报价低于采购项目最高限价45%的，即投标(响应)报价&lt;采购项目最高限价X45%;</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4.评审委员会基于专业判断，认为供应商报价过低，有可能影响产品质量或者不能诚信履约的其他情形。</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lang w:eastAsia="zh-CN"/>
        </w:rPr>
      </w:r>
      <w:r/>
    </w:p>
    <w:p>
      <w:pPr>
        <w:pStyle w:val="613"/>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26.投标的澄清</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26.1对投标文件中含义不明确</w:t>
      </w:r>
      <w:r>
        <w:rPr>
          <w:rFonts w:hint="eastAsia" w:ascii="宋体" w:hAnsi="宋体" w:eastAsia="宋体" w:cs="宋体"/>
          <w:color w:val="000000"/>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27.废标</w:t>
      </w:r>
      <w:r>
        <w:rPr>
          <w:rFonts w:hint="eastAsia" w:ascii="宋体" w:hAnsi="宋体" w:eastAsia="宋体" w:cs="宋体"/>
          <w:lang w:eastAsia="zh-CN"/>
        </w:rPr>
      </w:r>
      <w:r/>
    </w:p>
    <w:p>
      <w:pPr>
        <w:pStyle w:val="613"/>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27.1 在招标采购中，出现下列情形之一的，应予废标：</w:t>
      </w:r>
      <w:r>
        <w:rPr>
          <w:rFonts w:hint="eastAsia" w:ascii="宋体" w:hAnsi="宋体" w:eastAsia="宋体" w:cs="宋体"/>
          <w:lang w:eastAsia="zh-CN"/>
        </w:rPr>
      </w:r>
      <w:r/>
    </w:p>
    <w:p>
      <w:pPr>
        <w:pStyle w:val="613"/>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1．符合专业条件的投标人或者对招标文件作出实质性响应的投标人不足三家；</w:t>
      </w:r>
      <w:r>
        <w:rPr>
          <w:rFonts w:hint="eastAsia" w:ascii="宋体" w:hAnsi="宋体" w:eastAsia="宋体" w:cs="宋体"/>
          <w:lang w:eastAsia="zh-CN"/>
        </w:rPr>
      </w:r>
      <w:r/>
    </w:p>
    <w:p>
      <w:pPr>
        <w:pStyle w:val="613"/>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2．出现影响采购公正的违法、违规行为；</w:t>
      </w:r>
      <w:r>
        <w:rPr>
          <w:rFonts w:hint="eastAsia" w:ascii="宋体" w:hAnsi="宋体" w:eastAsia="宋体" w:cs="宋体"/>
          <w:lang w:eastAsia="zh-CN"/>
        </w:rPr>
      </w:r>
      <w:r/>
    </w:p>
    <w:p>
      <w:pPr>
        <w:pStyle w:val="613"/>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3．投标人的报价均超过采购预算，采购人不能支付的；</w:t>
      </w:r>
      <w:r>
        <w:rPr>
          <w:rFonts w:hint="eastAsia" w:ascii="宋体" w:hAnsi="宋体" w:eastAsia="宋体" w:cs="宋体"/>
          <w:lang w:eastAsia="zh-CN"/>
        </w:rPr>
      </w:r>
      <w:r/>
    </w:p>
    <w:p>
      <w:pPr>
        <w:pStyle w:val="613"/>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4．因重大变故，采购任务取消。</w:t>
      </w:r>
      <w:r>
        <w:rPr>
          <w:rFonts w:hint="eastAsia" w:ascii="宋体" w:hAnsi="宋体" w:eastAsia="宋体" w:cs="宋体"/>
          <w:lang w:eastAsia="zh-CN"/>
        </w:rPr>
      </w:r>
      <w:r/>
    </w:p>
    <w:p>
      <w:pPr>
        <w:pStyle w:val="613"/>
        <w:ind w:left="485" w:firstLine="8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5．因“江苏政府采购“苏采云”系统”系统重大故障原因无法继续开评标的。</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28. 投标文件的评价和比较</w:t>
      </w:r>
      <w:r>
        <w:rPr>
          <w:rFonts w:hint="eastAsia" w:ascii="宋体" w:hAnsi="宋体" w:eastAsia="宋体" w:cs="宋体"/>
          <w:lang w:eastAsia="zh-CN"/>
        </w:rPr>
      </w:r>
      <w:r/>
    </w:p>
    <w:p>
      <w:pPr>
        <w:pStyle w:val="613"/>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28.1评标委员会按招标文件规定的评标方法和标准，对符合性检查合格的投标文件进行商务和技术评估，综合比较与评价。</w:t>
      </w:r>
      <w:r>
        <w:rPr>
          <w:rFonts w:hint="eastAsia" w:ascii="宋体" w:hAnsi="宋体" w:eastAsia="宋体" w:cs="宋体"/>
          <w:lang w:eastAsia="zh-CN"/>
        </w:rPr>
      </w:r>
      <w:r/>
    </w:p>
    <w:p>
      <w:pPr>
        <w:pStyle w:val="613"/>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28.2最低的投标报价或最高的折扣比例是中标的重要条件，但不是唯一条件。</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七、授予合同</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29. 中标人的确认</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29.1评标委员会按招标文件规定的评标方法和标准进行详细评审后，按招标采购单位的委托向招标采购单位推荐中标候选单位或根据采购人授权直接确定中标供应商。</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29.2中标无效的确认：</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（1）提供虚假材料谋取中标的；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（2）采取不正当手段诋毁、排挤其他投标人的；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（3）与招标采购单位、其他投标人恶意串通的；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（4）向招标采购单位行贿或者提供其他不正当利益的；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（6）拒绝有关部门监督检查或者提供虚假情况的。</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29.3经评标委员</w:t>
      </w:r>
      <w:r>
        <w:rPr>
          <w:rFonts w:hint="eastAsia" w:ascii="宋体" w:hAnsi="宋体" w:eastAsia="宋体" w:cs="宋体"/>
          <w:color w:val="000000"/>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30. 合同授予标准</w:t>
      </w:r>
      <w:r>
        <w:rPr>
          <w:rFonts w:hint="eastAsia" w:ascii="宋体" w:hAnsi="宋体" w:eastAsia="宋体" w:cs="宋体"/>
          <w:lang w:eastAsia="zh-CN"/>
        </w:rPr>
      </w:r>
      <w:r/>
    </w:p>
    <w:p>
      <w:pPr>
        <w:pStyle w:val="613"/>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30.1招标采购单位将把合同授予其投标文件在实质上响应招标文件要求且综合评分得分最高的投标人。</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31. 中标通知书</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31.2中标通知书将成为合同的组成部分。</w:t>
      </w:r>
      <w:r>
        <w:rPr>
          <w:rFonts w:hint="eastAsia" w:ascii="宋体" w:hAnsi="宋体" w:eastAsia="宋体" w:cs="宋体"/>
          <w:lang w:eastAsia="zh-CN"/>
        </w:rPr>
      </w:r>
      <w:r/>
    </w:p>
    <w:p>
      <w:pPr>
        <w:pStyle w:val="613"/>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31.3招标采购单位对未中标供应商不承担解释未中标原因的义务。</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32.履约保</w:t>
      </w:r>
      <w:r>
        <w:rPr>
          <w:rFonts w:hint="eastAsia" w:ascii="宋体" w:hAnsi="宋体" w:eastAsia="宋体" w:cs="宋体"/>
          <w:b/>
          <w:bCs w:val="0"/>
          <w:color w:val="000000"/>
          <w:lang w:eastAsia="zh-CN"/>
        </w:rPr>
        <w:t xml:space="preserve">证金（</w:t>
      </w:r>
      <w:r>
        <w:rPr>
          <w:rFonts w:hint="eastAsia" w:ascii="宋体" w:hAnsi="宋体" w:eastAsia="宋体" w:cs="宋体"/>
          <w:b/>
          <w:bCs w:val="0"/>
          <w:color w:val="000000"/>
          <w:lang w:val="en-US" w:eastAsia="zh-CN"/>
        </w:rPr>
        <w:t xml:space="preserve">如有</w:t>
      </w:r>
      <w:r>
        <w:rPr>
          <w:rFonts w:hint="eastAsia" w:ascii="宋体" w:hAnsi="宋体" w:eastAsia="宋体" w:cs="宋体"/>
          <w:b/>
          <w:bCs w:val="0"/>
          <w:color w:val="000000"/>
          <w:lang w:eastAsia="zh-CN"/>
        </w:rPr>
        <w:t xml:space="preserve">）</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32.1中标人应按规定提交履约保证金。</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32.2中标人必须在合同签订前按规定将履约保证金交至采购人指定账户。中标人未按上述要求提交履约保证金的,采购人可取消其中标资格。</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32.3履约保证金将在合同期结束且经双方验收合格后，采购人凭中标人的收款收据在七个工作日内全额退返给中标单位。</w:t>
      </w:r>
      <w:r>
        <w:rPr>
          <w:rFonts w:hint="eastAsia" w:ascii="宋体" w:hAnsi="宋体" w:eastAsia="宋体" w:cs="宋体"/>
          <w:lang w:eastAsia="zh-CN"/>
        </w:rPr>
      </w:r>
      <w:r/>
    </w:p>
    <w:p>
      <w:pPr>
        <w:pStyle w:val="613"/>
        <w:ind w:firstLine="478"/>
        <w:jc w:val="both"/>
        <w:spacing w:after="0" w:line="360" w:lineRule="auto"/>
        <w:tabs>
          <w:tab w:val="left" w:pos="900"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32.3履约保证金用以约束供应商在合同履行中的行为，弥补合同执行中由于自身行为可能给采购人带来的各种损失。</w:t>
      </w:r>
      <w:r>
        <w:rPr>
          <w:rFonts w:hint="eastAsia" w:ascii="宋体" w:hAnsi="宋体" w:eastAsia="宋体" w:cs="宋体"/>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33. 合同的签订</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33.1中标人应按中标通知书中规定的时间和地点，由法定代表人或委托代理人与采购人代表签订合同。</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33.2签订合同及合同条款应以招标文件和中标人的投标文件及其澄清文件为依据。</w:t>
      </w:r>
      <w:r>
        <w:rPr>
          <w:rFonts w:hint="eastAsia" w:ascii="宋体" w:hAnsi="宋体" w:eastAsia="宋体" w:cs="宋体"/>
          <w:lang w:eastAsia="zh-CN"/>
        </w:rPr>
      </w:r>
      <w:r/>
    </w:p>
    <w:p>
      <w:pPr>
        <w:pStyle w:val="613"/>
        <w:ind w:firstLine="431"/>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lang w:eastAsia="zh-CN"/>
        </w:rPr>
      </w:r>
      <w:r/>
    </w:p>
    <w:p>
      <w:pPr>
        <w:pStyle w:val="613"/>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34.招标代理服务费</w:t>
      </w:r>
      <w:r>
        <w:rPr>
          <w:rFonts w:hint="eastAsia" w:ascii="宋体" w:hAnsi="宋体" w:eastAsia="宋体" w:cs="宋体"/>
          <w:b/>
          <w:color w:val="000000"/>
          <w:lang w:eastAsia="zh-CN"/>
        </w:rPr>
      </w:r>
      <w:r/>
    </w:p>
    <w:p>
      <w:pPr>
        <w:pStyle w:val="613"/>
        <w:ind w:firstLine="422"/>
        <w:jc w:val="both"/>
        <w:spacing w:after="0" w:line="360" w:lineRule="auto"/>
        <w:rPr>
          <w:rFonts w:hint="eastAsia" w:ascii="宋体" w:hAnsi="宋体" w:eastAsia="宋体" w:cs="宋体"/>
          <w:b/>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lang w:eastAsia="zh-CN"/>
        </w:rPr>
        <w:t xml:space="preserve"> </w:t>
      </w:r>
      <w:r>
        <w:rPr>
          <w:rFonts w:hint="eastAsia" w:ascii="宋体" w:hAnsi="宋体" w:eastAsia="宋体" w:cs="宋体"/>
          <w:color w:val="000000"/>
          <w:lang w:eastAsia="zh-CN"/>
        </w:rPr>
        <w:t xml:space="preserve">本项目招标代理服务费由采购人支付，以中标价为计算基数，按差额定率分档累进法计算，50万元以下（含）为1万元，50万元-400万元（含400万元）为1.5%。专家评审费由采购人支付，费用按实结算。 </w:t>
      </w:r>
      <w:r>
        <w:rPr>
          <w:rFonts w:hint="eastAsia" w:ascii="宋体" w:hAnsi="宋体" w:eastAsia="宋体" w:cs="宋体"/>
          <w:b/>
          <w:color w:val="ff0000"/>
          <w:lang w:eastAsia="zh-CN"/>
        </w:rPr>
      </w:r>
      <w:r/>
    </w:p>
    <w:p>
      <w:pPr>
        <w:pStyle w:val="613"/>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r>
      <w:r/>
    </w:p>
    <w:p>
      <w:pPr>
        <w:pStyle w:val="613"/>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35.特别提醒</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35.1投标单位如有提供不实评审材料，弄虚作假者，一律作废标处理，该不良行为将予以公示。</w:t>
      </w:r>
      <w:r>
        <w:rPr>
          <w:rFonts w:hint="eastAsia" w:ascii="宋体" w:hAnsi="宋体" w:eastAsia="宋体" w:cs="宋体"/>
          <w:lang w:eastAsia="zh-CN"/>
        </w:rPr>
      </w:r>
      <w:r/>
    </w:p>
    <w:p>
      <w:pPr>
        <w:pStyle w:val="613"/>
        <w:ind w:firstLine="431"/>
        <w:jc w:val="both"/>
        <w:spacing w:before="240" w:after="24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eastAsia="宋体" w:cs="宋体"/>
          <w:color w:val="000000"/>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35.3政府采购线上合同信用融资功能告知提醒</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我区已正式启用“苏采云”系统，目前已全面开通政府采购线上合同信用融资（以下简称“政采贷”）功能。成交供应商可凭政府采购合同在中征平台发起贷款申请贷款。</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.3.1.“政采贷”业务流程</w:t>
      </w:r>
      <w:r>
        <w:rPr>
          <w:rFonts w:hint="eastAsia" w:ascii="宋体" w:hAnsi="宋体" w:eastAsia="宋体" w:cs="宋体"/>
          <w:sz w:val="22"/>
        </w:rPr>
      </w:r>
      <w:r/>
    </w:p>
    <w:p>
      <w:pPr>
        <w:pStyle w:val="817"/>
        <w:ind w:firstLine="431"/>
        <w:jc w:val="center"/>
        <w:spacing w:line="360" w:lineRule="auto"/>
        <w:rPr>
          <w:rFonts w:hint="eastAsia" w:ascii="宋体" w:hAnsi="宋体" w:eastAsia="宋体" w:cs="宋体"/>
          <w:sz w:val="22"/>
        </w:rPr>
      </w:pPr>
      <w:r>
        <w:rPr>
          <w:rFonts w:hint="eastAsia" w:ascii="宋体" w:hAnsi="宋体" w:eastAsia="宋体" w:cs="宋体"/>
          <w:sz w:val="22"/>
        </w:rPr>
        <mc:AlternateContent>
          <mc:Choice Requires="wpg">
            <w:drawing>
              <wp:inline xmlns:wp="http://schemas.openxmlformats.org/drawingml/2006/wordprocessingDrawing" distT="0" distB="0" distL="0" distR="0">
                <wp:extent cx="5134674" cy="151517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134674" cy="1515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3pt;height:119.3pt;mso-wrap-distance-left:0.0pt;mso-wrap-distance-top:0.0pt;mso-wrap-distance-right:0.0pt;mso-wrap-distance-bottom:0.0pt;" stroked="f">
                <v:path textboxrect="0,0,0,0"/>
                <v:imagedata r:id="rId9" o:title=""/>
              </v:shape>
            </w:pict>
          </mc:Fallback>
        </mc:AlternateContent>
      </w:r>
      <w:r>
        <w:rPr>
          <w:rFonts w:hint="eastAsia" w:ascii="宋体" w:hAnsi="宋体" w:eastAsia="宋体" w:cs="宋体"/>
          <w:sz w:val="22"/>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35.3.2.操作流程</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35.3.3.常见问题</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Q1：哪些企业能申请“政采贷”？</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答：江苏省内采用国库集中支付的政府采购项目的中标供应商，可凭政府采购合同申请"政采贷"。</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Q2：供应商在哪里申请“政采贷”？</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答：中标供应商在“中征应收账款融资服务平台”（简称“中征平台”）上向意向银行发起融资申请</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Q3：中标供应商要注意什么？</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答：中标供应商要加强和采购单位的沟通协调，尽早确定融资需求。需要“政采贷”融资的，政府采购合同付款账号应当空置。</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Q4：采购单位要做什么？</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Q5：“政采贷”融资失败怎么办？</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eastAsia="宋体" w:cs="宋体"/>
          <w:sz w:val="22"/>
          <w:lang w:eastAsia="zh-CN"/>
        </w:rPr>
      </w:r>
      <w:r/>
    </w:p>
    <w:p>
      <w:pPr>
        <w:pStyle w:val="817"/>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.3.4.网址及联系方式</w:t>
      </w:r>
      <w:r>
        <w:rPr>
          <w:rFonts w:hint="eastAsia" w:ascii="宋体" w:hAnsi="宋体" w:eastAsia="宋体" w:cs="宋体"/>
          <w:sz w:val="22"/>
        </w:rPr>
      </w:r>
      <w:r/>
    </w:p>
    <w:p>
      <w:pPr>
        <w:pStyle w:val="817"/>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政采贷：http://www.ccgp-jiangsu.gov.cn/jiangsu/paying.html</w:t>
      </w:r>
      <w:r>
        <w:rPr>
          <w:rFonts w:hint="eastAsia" w:ascii="宋体" w:hAnsi="宋体" w:eastAsia="宋体" w:cs="宋体"/>
          <w:sz w:val="22"/>
        </w:rPr>
      </w:r>
      <w:r/>
    </w:p>
    <w:p>
      <w:pPr>
        <w:pStyle w:val="817"/>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中征平台：https://www.crcrfsp.com/</w:t>
      </w:r>
      <w:r>
        <w:rPr>
          <w:rFonts w:hint="eastAsia" w:ascii="宋体" w:hAnsi="宋体" w:eastAsia="宋体" w:cs="宋体"/>
          <w:sz w:val="22"/>
        </w:rPr>
      </w:r>
      <w:r/>
    </w:p>
    <w:p>
      <w:pPr>
        <w:pStyle w:val="639"/>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联系人：翟先生           联系电话：0523-88816349</w:t>
      </w:r>
      <w:r>
        <w:rPr>
          <w:rFonts w:hint="eastAsia" w:ascii="宋体" w:hAnsi="宋体" w:eastAsia="宋体" w:cs="宋体"/>
          <w:sz w:val="22"/>
          <w:szCs w:val="22"/>
          <w:lang w:eastAsia="zh-CN"/>
        </w:rPr>
      </w:r>
      <w:r/>
    </w:p>
    <w:p>
      <w:pPr>
        <w:pStyle w:val="613"/>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rPr>
          <w:rFonts w:hint="eastAsia" w:ascii="宋体" w:hAnsi="宋体" w:eastAsia="宋体" w:cs="宋体"/>
          <w:color w:val="000000"/>
          <w:lang w:eastAsia="zh-CN"/>
        </w:rPr>
      </w:r>
      <w:r/>
    </w:p>
    <w:p>
      <w:pPr>
        <w:pStyle w:val="613"/>
        <w:spacing w:line="360" w:lineRule="auto"/>
        <w:rPr>
          <w:rFonts w:hint="eastAsia" w:ascii="宋体" w:hAnsi="宋体" w:eastAsia="宋体" w:cs="宋体"/>
          <w:lang w:eastAsia="zh-CN"/>
        </w:rPr>
      </w:pPr>
      <w:r>
        <w:rPr>
          <w:rFonts w:hint="eastAsia" w:ascii="宋体" w:hAnsi="宋体" w:eastAsia="宋体" w:cs="宋体"/>
          <w:color w:val="000000"/>
          <w:lang w:eastAsia="zh-CN"/>
        </w:rPr>
        <w:br w:type="page" w:clear="all"/>
      </w:r>
      <w:r>
        <w:rPr>
          <w:rFonts w:hint="eastAsia" w:ascii="宋体" w:hAnsi="宋体" w:eastAsia="宋体" w:cs="宋体"/>
          <w:lang w:eastAsia="zh-CN"/>
        </w:rPr>
      </w:r>
      <w:r/>
    </w:p>
    <w:p>
      <w:pPr>
        <w:pStyle w:val="614"/>
        <w:numPr>
          <w:ilvl w:val="0"/>
          <w:numId w:val="5"/>
        </w:numPr>
        <w:jc w:val="cente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采购项目及技术要求</w:t>
      </w:r>
      <w:r>
        <w:rPr>
          <w:rFonts w:hint="eastAsia" w:ascii="宋体" w:hAnsi="宋体" w:eastAsia="宋体" w:cs="宋体"/>
          <w:b/>
          <w:color w:val="000000"/>
          <w:sz w:val="28"/>
          <w:szCs w:val="28"/>
        </w:rPr>
      </w:r>
      <w:r/>
    </w:p>
    <w:p>
      <w:pPr>
        <w:pStyle w:val="613"/>
        <w:ind w:firstLine="482"/>
        <w:spacing w:line="520" w:lineRule="exact"/>
        <w:rPr>
          <w:b/>
          <w:sz w:val="24"/>
        </w:rPr>
      </w:pPr>
      <w:r>
        <w:rPr>
          <w:rFonts w:hint="eastAsia"/>
          <w:b/>
          <w:sz w:val="24"/>
        </w:rPr>
        <w:t xml:space="preserve">一、</w:t>
      </w:r>
      <w:r>
        <w:rPr>
          <w:rFonts w:hint="eastAsia"/>
          <w:b/>
          <w:sz w:val="24"/>
          <w:lang w:eastAsia="zh-CN"/>
        </w:rPr>
        <w:t xml:space="preserve">采购清单</w:t>
      </w:r>
      <w:r>
        <w:rPr>
          <w:rFonts w:hint="eastAsia"/>
          <w:b/>
          <w:sz w:val="24"/>
        </w:rPr>
        <w:t xml:space="preserve">：</w:t>
      </w:r>
      <w:r>
        <w:rPr>
          <w:b/>
          <w:sz w:val="24"/>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0"/>
        <w:gridCol w:w="4957"/>
        <w:gridCol w:w="848"/>
        <w:gridCol w:w="2269"/>
      </w:tblGrid>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产品名称</w:t>
            </w:r>
            <w:r>
              <w:rPr>
                <w:rFonts w:hint="eastAsia" w:ascii="宋体" w:hAnsi="宋体" w:eastAsia="宋体" w:cs="宋体"/>
              </w:rPr>
            </w:r>
            <w:r/>
          </w:p>
        </w:tc>
        <w:tc>
          <w:tcPr>
            <w:tcW w:w="4957"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技术参数</w:t>
            </w:r>
            <w:r>
              <w:rPr>
                <w:rFonts w:hint="eastAsia" w:ascii="宋体" w:hAnsi="宋体" w:eastAsia="宋体" w:cs="宋体"/>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参考图片</w: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告示牌</w:t>
            </w:r>
            <w:r>
              <w:rPr>
                <w:rFonts w:hint="eastAsia" w:ascii="宋体" w:hAnsi="宋体" w:eastAsia="宋体" w:cs="宋体"/>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114×3mm的国标钢管，主要承载横梁不小于20×20×2mm的方管或不小于</w:t>
            </w:r>
            <w:r>
              <w:rPr>
                <w:rFonts w:hint="eastAsia" w:ascii="宋体" w:hAnsi="宋体" w:eastAsia="宋体" w:cs="宋体"/>
              </w:rPr>
              <w:t xml:space="preserve">φ</w:t>
            </w:r>
            <w:r>
              <w:rPr>
                <w:rFonts w:hint="eastAsia" w:ascii="宋体" w:hAnsi="宋体" w:eastAsia="宋体" w:cs="宋体"/>
                <w:lang w:eastAsia="zh-CN"/>
              </w:rPr>
              <w:t xml:space="preserve">28--32×2.5mm圆管。</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2.告示牌采用不锈钢材质，用矩形管焊接框架将其用抽芯铆钉和防盗螺栓固定，图样及字样蚀刻处理，不锈钢板边缘及尖角不允许外露。</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3.器材安全警示需采用图示方式，告知使用者可能存在的风险。</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79500" cy="145178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079500" cy="1451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5.0pt;height:114.3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lang w:eastAsia="zh-CN"/>
              </w:rPr>
            </w:pPr>
            <w:r>
              <w:rPr>
                <w:rFonts w:hint="eastAsia" w:ascii="宋体" w:hAnsi="宋体" w:eastAsia="宋体" w:cs="宋体"/>
              </w:rPr>
              <w:t xml:space="preserve">单杠</w:t>
            </w:r>
            <w:r>
              <w:rPr>
                <w:rFonts w:hint="eastAsia" w:ascii="宋体" w:hAnsi="宋体" w:eastAsia="宋体" w:cs="宋体"/>
                <w:lang w:eastAsia="zh-CN"/>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114×3mm的标准国际钢管，横杆外径应不大于32mm；</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2.单杠有效使用宽度不小于1220mm，符合GB19272-2024《室外健身器材的安全通用要求》；</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3.整机无勾挂，无挤压点，无剪切点，无卡夹处，符合GB19272-2024《室外健身器材的安全通用要求》标准；</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149586" cy="87137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149586" cy="871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5pt;height:68.6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双杠</w:t>
            </w:r>
            <w:r>
              <w:rPr>
                <w:rFonts w:hint="eastAsia" w:ascii="宋体" w:hAnsi="宋体" w:eastAsia="宋体" w:cs="宋体"/>
              </w:rPr>
            </w:r>
            <w:r/>
          </w:p>
        </w:tc>
        <w:tc>
          <w:tcPr>
            <w:tcW w:w="4957" w:type="dxa"/>
            <w:vAlign w:val="top"/>
            <w:textDirection w:val="lrTb"/>
            <w:noWrap w:val="false"/>
          </w:tcPr>
          <w:p>
            <w:pPr>
              <w:pStyle w:val="613"/>
              <w:spacing w:after="0"/>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2.横杠的外经应不大于50mm。</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3.杠长应为2000mm-2500mm，杠面高度应为1200mm-1700mm。</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4.两杠内侧距离应为 390mm-550mm。</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5.器材标牌采用全不锈钢腐蚀，拉铆钉固定，边缘紧贴立柱，避免造成勾挂伤害；</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6.整机无勾挂，无挤压点，无剪切点，无卡夹处，符合GB19272-2024标准；</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83424" cy="1159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083424" cy="1159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3pt;height:91.3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上肢牵引器</w:t>
            </w:r>
            <w:r>
              <w:rPr>
                <w:rFonts w:hint="eastAsia" w:ascii="宋体" w:hAnsi="宋体" w:eastAsia="宋体" w:cs="宋体"/>
              </w:rPr>
            </w:r>
            <w:r/>
          </w:p>
        </w:tc>
        <w:tc>
          <w:tcPr>
            <w:tcW w:w="4957" w:type="dxa"/>
            <w:vAlign w:val="center"/>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2.立柱横梁采用不小于</w:t>
            </w:r>
            <w:r>
              <w:rPr>
                <w:rFonts w:hint="eastAsia" w:ascii="宋体" w:hAnsi="宋体" w:eastAsia="宋体" w:cs="宋体"/>
              </w:rPr>
              <w:t xml:space="preserve">φ</w:t>
            </w:r>
            <w:r>
              <w:rPr>
                <w:rFonts w:hint="eastAsia" w:ascii="宋体" w:hAnsi="宋体" w:eastAsia="宋体" w:cs="宋体"/>
                <w:lang w:eastAsia="zh-CN"/>
              </w:rPr>
              <w:t xml:space="preserve">48×3mm的国标钢管；</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3.立柱采用封头，避免淋入雨水；</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4.可双人同时使用；</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5.采用橡塑手把套，以增加使用时的舒适程度，手柄 端部直径应不小于50mm，除专用工具外应不可拆；</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6.活动把手（不含柔性部件)质量不大于600g，柔性连接装置小于把手重量；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7.若使用链环结构时，链扣之间最大间隙小于8mm  </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8.整机无勾挂，无挤压点，无剪切点，无卡夹处，各处孔径空隙符合GB19272-2024《室外健身器材的安全通用要求》标准；</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★9.产品需符合GB19272-2024《室外健身器材的安全通用要求》的要求，并通过经国家批准的器材质量认证机构的产品质量认证，提供认证证书及确认函扫描件加盖公章。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79500" cy="151486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79500" cy="1514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0pt;height:119.3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双位太空漫步机</w:t>
            </w:r>
            <w:r>
              <w:rPr>
                <w:rFonts w:hint="eastAsia" w:ascii="宋体" w:hAnsi="宋体" w:eastAsia="宋体" w:cs="宋体"/>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60×3mm优质圆管或不小于50×50×3.0mm的方管，与其他管材同时满足GB19272-2024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2.使用人数：2人。</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3.摆杆有限位装置，且单侧摆动幅度不大于70°，限位部件为铸钢件。</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4.摆杆与主立柱内侧的最小距离处大于60mm。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5.踏板采用4mm优质钢板冲压件，踏板的主运动方向和易滑脱方向应设置高度不小于30mm、长度大于踏板周长2/3的防滑脱的凸台或护板；凸台顶部棱边R弧2mm。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6.脚踏部位应有防滑措施，站立使用的单脚防滑面应不小于（3×104）mm²，摩擦系数应不小于0.5。</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7.摆动部件下缘距地面或底面最小高度应不小于80mm。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8.相邻运动的两踏板的间距应不小于100mm。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9.转轴直径为30mm，并辅以调质热处理；轴承座最薄处壁厚6.5mm，轴承选用深沟球轴承。</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10.踏板前后采取防止碰撞第三者的缓冲措施。</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★11.产品需符合GB19272-2024《室外健身器材的安全通用要求》的要求，并通过经国家批准的器材质量认证机构的产品质量认证，提供认证证书及确认函扫描件加盖公章。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79500" cy="62926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79500" cy="629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5.0pt;height:49.5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三位扭腰器</w:t>
            </w:r>
            <w:r>
              <w:rPr>
                <w:rFonts w:hint="eastAsia" w:ascii="宋体" w:hAnsi="宋体" w:eastAsia="宋体" w:cs="宋体"/>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32×2.0mm优质钢管，扭腰盘立柱不小于</w:t>
            </w:r>
            <w:r>
              <w:rPr>
                <w:rFonts w:hint="eastAsia" w:ascii="宋体" w:hAnsi="宋体" w:eastAsia="宋体" w:cs="宋体"/>
              </w:rPr>
              <w:t xml:space="preserve">φ</w:t>
            </w:r>
            <w:r>
              <w:rPr>
                <w:rFonts w:hint="eastAsia" w:ascii="宋体" w:hAnsi="宋体" w:eastAsia="宋体" w:cs="宋体"/>
                <w:lang w:eastAsia="zh-CN"/>
              </w:rPr>
              <w:t xml:space="preserve">60×3mm，与其他管材同时满足GB19272-2024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2.使用人数：3人。</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3.转动部位采用深沟球轴承或推力轴承。</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4.扭腰盘直径不小于320mm，采用4mm优质钢板冲压制作；盘上表面边缘R5mm的圆弧过渡；扭腰盘下部棱边R2mm。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5.扭腰盘应具有阻尼装置。 </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★6.产品需符合GB19272-2024《室外健身器材的安全通用要求》的要求，并通过经国家批准的器材质量认证机构的产品质量认证，提供认证证书及确认函扫描件加盖公章。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79500" cy="10680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79500" cy="1068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5.0pt;height:84.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双位坐蹬训练器</w:t>
            </w:r>
            <w:r>
              <w:rPr>
                <w:rFonts w:hint="eastAsia" w:ascii="宋体" w:hAnsi="宋体" w:eastAsia="宋体" w:cs="宋体"/>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60×2.5mm优质钢管或不小于100×50×3钢管，与其他管材同时满足GB19272-2024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2.使用人数：2人。 </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3.座支撑管为</w:t>
            </w:r>
            <w:r>
              <w:rPr>
                <w:rFonts w:hint="eastAsia" w:ascii="宋体" w:hAnsi="宋体" w:eastAsia="宋体" w:cs="宋体"/>
              </w:rPr>
              <w:t xml:space="preserve">φ</w:t>
            </w:r>
            <w:r>
              <w:rPr>
                <w:rFonts w:hint="eastAsia" w:ascii="宋体" w:hAnsi="宋体" w:eastAsia="宋体" w:cs="宋体"/>
                <w:lang w:eastAsia="zh-CN"/>
              </w:rPr>
              <w:t xml:space="preserve">60×3mm优质钢管弯管而成。</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4.限位轴承座为精密铸钢件，主轴直径</w:t>
            </w:r>
            <w:r>
              <w:rPr>
                <w:rFonts w:hint="eastAsia" w:ascii="宋体" w:hAnsi="宋体" w:eastAsia="宋体" w:cs="宋体"/>
              </w:rPr>
              <w:t xml:space="preserve">φ</w:t>
            </w:r>
            <w:r>
              <w:rPr>
                <w:rFonts w:hint="eastAsia" w:ascii="宋体" w:hAnsi="宋体" w:eastAsia="宋体" w:cs="宋体"/>
                <w:lang w:eastAsia="zh-CN"/>
              </w:rPr>
              <w:t xml:space="preserve">30mm，限位轴直径</w:t>
            </w:r>
            <w:r>
              <w:rPr>
                <w:rFonts w:hint="eastAsia" w:ascii="宋体" w:hAnsi="宋体" w:eastAsia="宋体" w:cs="宋体"/>
              </w:rPr>
              <w:t xml:space="preserve">φ</w:t>
            </w:r>
            <w:r>
              <w:rPr>
                <w:rFonts w:hint="eastAsia" w:ascii="宋体" w:hAnsi="宋体" w:eastAsia="宋体" w:cs="宋体"/>
                <w:lang w:eastAsia="zh-CN"/>
              </w:rPr>
              <w:t xml:space="preserve">20mm。限位耳板为8mm钢板整体冲压件且边角圆弧过渡。</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111</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79500" cy="75322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9500" cy="7532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5.0pt;height:59.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室外乒乓球台</w:t>
            </w:r>
            <w:r>
              <w:rPr>
                <w:rFonts w:hint="eastAsia" w:ascii="宋体" w:hAnsi="宋体" w:eastAsia="宋体" w:cs="宋体"/>
              </w:rPr>
            </w:r>
            <w:r/>
          </w:p>
        </w:tc>
        <w:tc>
          <w:tcPr>
            <w:tcW w:w="4957" w:type="dxa"/>
            <w:vAlign w:val="top"/>
            <w:textDirection w:val="lrTb"/>
            <w:noWrap w:val="false"/>
          </w:tcPr>
          <w:p>
            <w:pPr>
              <w:pStyle w:val="826"/>
              <w:spacing w:line="0" w:lineRule="atLeast"/>
              <w:rPr>
                <w:rFonts w:hint="eastAsia" w:eastAsia="宋体"/>
                <w:lang w:eastAsia="zh-CN"/>
              </w:rPr>
            </w:pPr>
            <w:r>
              <w:rPr>
                <w:rFonts w:hint="eastAsia" w:eastAsia="宋体"/>
                <w:lang w:eastAsia="zh-CN"/>
              </w:rPr>
              <w:t xml:space="preserve">1.球台台面采用SMC材料，整体高温模压一次成型，台面弹性为230～260mm，能承受500N静载荷要求和冲击球冲击要求，稳定性好，耐气候性强、耐老化程度高，防腐、防晒、防雨、阻燃、不易变形等；</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2.台面长度为：不小于2740mm，台面宽度为：不小于1525mm，台面离地高度为：不小于760mm，半张台面对角线之差≤4mm，半张台面平面度≤5mm，端、边线宽度20±1.5mm，中线宽3±1mm，中线对称度≤3mm，中线与网间距离≤50mm，中线与断线距离≤10mm。</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3.台面背部采用钢管支撑架连接，板面支撑框架</w:t>
            </w:r>
            <w:r>
              <w:rPr>
                <w:rFonts w:hint="eastAsia" w:eastAsia="宋体"/>
                <w:lang w:val="en-US" w:eastAsia="zh-CN"/>
              </w:rPr>
              <w:t xml:space="preserve">采用</w:t>
            </w:r>
            <w:r>
              <w:rPr>
                <w:rFonts w:hint="eastAsia" w:eastAsia="宋体"/>
                <w:lang w:eastAsia="zh-CN"/>
              </w:rPr>
              <w:t xml:space="preserve">支撑管连接。</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4.底架采用彩虹腿设计结构，采用不小于φ60×3mm的优质钢管，保证整体的稳定性；</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5.球台网架防锈、防松、防盗、防损坏；</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6.焊接严密牢固、无漏焊、虚焊、包渣、裂纹等缺陷。器材无钩挂、卡夹等潜在危险。</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7.器材按照GB19272-2011</w:t>
            </w:r>
            <w:r>
              <w:rPr>
                <w:rFonts w:hint="eastAsia" w:eastAsia="宋体"/>
                <w:lang w:val="en-US" w:eastAsia="zh-CN"/>
              </w:rPr>
              <w:t xml:space="preserve">  </w:t>
            </w:r>
            <w:r>
              <w:rPr>
                <w:rFonts w:hint="eastAsia" w:eastAsia="宋体"/>
                <w:b/>
                <w:bCs/>
                <w:lang w:eastAsia="zh-CN"/>
              </w:rPr>
              <w:t xml:space="preserve">GB19272-20</w:t>
            </w:r>
            <w:r>
              <w:rPr>
                <w:rFonts w:hint="eastAsia" w:eastAsia="宋体"/>
                <w:b/>
                <w:bCs/>
                <w:lang w:val="en-US" w:eastAsia="zh-CN"/>
              </w:rPr>
              <w:t xml:space="preserve">24</w:t>
            </w:r>
            <w:r>
              <w:rPr>
                <w:rFonts w:hint="eastAsia" w:eastAsia="宋体"/>
                <w:lang w:eastAsia="zh-CN"/>
              </w:rPr>
              <w:t xml:space="preserve">标准进行相关静载荷、稳定性及疲劳试验，并符合标准要求。</w:t>
            </w:r>
            <w:r>
              <w:rPr>
                <w:rFonts w:hint="eastAsia" w:eastAsia="宋体"/>
                <w:lang w:eastAsia="zh-CN"/>
              </w:rPr>
            </w:r>
            <w:r/>
          </w:p>
          <w:p>
            <w:pPr>
              <w:pStyle w:val="826"/>
              <w:spacing w:line="0" w:lineRule="atLeast"/>
              <w:rPr>
                <w:rFonts w:hint="eastAsia" w:eastAsia="宋体"/>
                <w:lang w:eastAsia="zh-CN"/>
              </w:rPr>
            </w:pPr>
            <w:r>
              <w:rPr>
                <w:rFonts w:hint="eastAsia" w:eastAsia="宋体"/>
                <w:lang w:eastAsia="zh-CN"/>
              </w:rPr>
              <w:t xml:space="preserve">★</w:t>
            </w:r>
            <w:r>
              <w:rPr>
                <w:rFonts w:hint="eastAsia" w:eastAsia="宋体"/>
                <w:lang w:val="en-US" w:eastAsia="zh-CN"/>
              </w:rPr>
              <w:t xml:space="preserve">8</w:t>
            </w:r>
            <w:r>
              <w:rPr>
                <w:rFonts w:hint="eastAsia" w:eastAsia="宋体"/>
                <w:lang w:eastAsia="zh-CN"/>
              </w:rPr>
              <w:t xml:space="preserve">.产品需符合GB19272-2024《室外健身器材的安全通用要求》</w:t>
            </w:r>
            <w:r>
              <w:rPr>
                <w:rFonts w:hint="eastAsia" w:eastAsia="宋体"/>
                <w:lang w:val="en-US" w:eastAsia="zh-CN"/>
              </w:rPr>
              <w:t xml:space="preserve">的</w:t>
            </w:r>
            <w:r>
              <w:rPr>
                <w:rFonts w:hint="eastAsia" w:eastAsia="宋体"/>
                <w:lang w:eastAsia="zh-CN"/>
              </w:rPr>
              <w:t xml:space="preserve">要求，并通过经国家批准的器材质量认证机构的产品质量认证，提供认证证书及确认函</w:t>
            </w:r>
            <w:r>
              <w:rPr>
                <w:rFonts w:hint="eastAsia" w:eastAsia="宋体"/>
                <w:lang w:val="en-US" w:eastAsia="zh-CN"/>
              </w:rPr>
              <w:t xml:space="preserve">扫描件加盖公章</w:t>
            </w:r>
            <w:r>
              <w:rPr>
                <w:rFonts w:hint="eastAsia" w:eastAsia="宋体"/>
                <w:lang w:eastAsia="zh-CN"/>
              </w:rPr>
              <w:t xml:space="preserve">。</w:t>
            </w:r>
            <w:r>
              <w:rPr>
                <w:rFonts w:hint="eastAsia" w:eastAsia="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b/>
              </w:rPr>
              <mc:AlternateContent>
                <mc:Choice Requires="wpg">
                  <w:drawing>
                    <wp:inline xmlns:wp="http://schemas.openxmlformats.org/drawingml/2006/wordprocessingDrawing" distT="0" distB="0" distL="0" distR="0">
                      <wp:extent cx="765840" cy="4397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5840" cy="439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3pt;height:34.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室内乒乓球台</w:t>
            </w:r>
            <w:r>
              <w:rPr>
                <w:rFonts w:hint="eastAsia" w:ascii="宋体" w:hAnsi="宋体" w:eastAsia="宋体" w:cs="宋体"/>
              </w:rPr>
            </w:r>
            <w:r/>
          </w:p>
        </w:tc>
        <w:tc>
          <w:tcPr>
            <w:tcW w:w="4957" w:type="dxa"/>
            <w:vAlign w:val="top"/>
            <w:textDirection w:val="lrTb"/>
            <w:noWrap w:val="false"/>
          </w:tcPr>
          <w:p>
            <w:pPr>
              <w:pStyle w:val="613"/>
              <w:spacing w:after="0"/>
              <w:rPr>
                <w:rFonts w:hint="eastAsia" w:ascii="宋体" w:hAnsi="宋体" w:eastAsia="宋体" w:cs="宋体"/>
                <w:lang w:eastAsia="zh-CN"/>
              </w:rPr>
            </w:pPr>
            <w:r>
              <w:rPr>
                <w:rFonts w:hint="eastAsia" w:ascii="宋体" w:hAnsi="宋体" w:eastAsia="宋体" w:cs="宋体"/>
                <w:lang w:eastAsia="zh-CN"/>
              </w:rPr>
              <w:t xml:space="preserve">1.主要承载立柱：不小于40mm×40mm×1mm的方管，支架带轮可移动，可折叠方便收纳</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2.台面尺寸2740-2745mm×1525±3mm，台高：760±3mm；台面厚度15-30mm高密度纤维板；</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3.台面颜色：黑色/蓝色，内附网架一副</w:t>
            </w:r>
            <w:r>
              <w:rPr>
                <w:rFonts w:hint="eastAsia" w:ascii="宋体" w:hAnsi="宋体" w:eastAsia="宋体" w:cs="宋体"/>
                <w:lang w:eastAsia="zh-CN"/>
              </w:rPr>
            </w:r>
            <w:r/>
          </w:p>
          <w:p>
            <w:pPr>
              <w:pStyle w:val="613"/>
              <w:spacing w:after="0"/>
              <w:rPr>
                <w:rFonts w:hint="eastAsia" w:ascii="宋体" w:hAnsi="宋体" w:eastAsia="宋体" w:cs="宋体"/>
                <w:lang w:val="zh-CN" w:eastAsia="zh-CN" w:bidi="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val="zh-CN" w:eastAsia="zh-CN" w:bidi="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lang w:val="en-US" w:eastAsia="zh-CN"/>
              </w:rPr>
              <w:t xml:space="preserve">22</w:t>
            </w:r>
            <w:r>
              <w:rPr>
                <w:rFonts w:hint="eastAsia" w:ascii="宋体" w:hAnsi="宋体" w:eastAsia="宋体" w:cs="宋体"/>
              </w:rPr>
              <w:t xml:space="preserve">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b/>
              </w:rPr>
              <mc:AlternateContent>
                <mc:Choice Requires="wpg">
                  <w:drawing>
                    <wp:inline xmlns:wp="http://schemas.openxmlformats.org/drawingml/2006/wordprocessingDrawing" distT="0" distB="0" distL="0" distR="0">
                      <wp:extent cx="937321" cy="50873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37320" cy="508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3.8pt;height:40.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移动篮球架</w:t>
            </w:r>
            <w:r>
              <w:rPr>
                <w:rFonts w:hint="eastAsia" w:ascii="宋体" w:hAnsi="宋体" w:eastAsia="宋体" w:cs="宋体"/>
              </w:rPr>
            </w:r>
            <w:r/>
          </w:p>
        </w:tc>
        <w:tc>
          <w:tcPr>
            <w:tcW w:w="4957" w:type="dxa"/>
            <w:vAlign w:val="top"/>
            <w:textDirection w:val="lrTb"/>
            <w:noWrap w:val="false"/>
          </w:tcPr>
          <w:p>
            <w:pPr>
              <w:pStyle w:val="613"/>
              <w:rPr>
                <w:rFonts w:hint="eastAsia" w:ascii="宋体" w:hAnsi="宋体" w:eastAsia="宋体" w:cs="宋体"/>
                <w:lang w:eastAsia="zh-CN"/>
              </w:rPr>
            </w:pPr>
            <w:r>
              <w:rPr>
                <w:rFonts w:hint="eastAsia" w:ascii="宋体" w:hAnsi="宋体" w:eastAsia="宋体" w:cs="宋体"/>
                <w:lang w:eastAsia="zh-CN"/>
              </w:rPr>
              <w:t xml:space="preserve">1.立柱采用规格不小于150mm×150mm×3.0mm国标优质钢管，篮架上、下拉杆采用不小于Ф38×3.0mm国标优质钢管。</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2.底座箱体规格为1000mm×2000mm，底座箱体内应有整体骨架支撑，外部采用3.0mm钢板包覆，箱体内放置配重块位置采用30×30角钢支撑，与箱体骨架整体焊接，箱体内无存水结构；</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3.通过调节上拉杆可调节篮板的板面垂直度，通过调节下拉杆，可调节篮圈与地面的平行度，通过调节篮板与探臂连接部位，可微调篮板垂直度和平行度；</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4.篮球板尺寸：1800mm×1050mm×50mm，篮板连接处所用螺栓均作预埋处理，保证平整光滑，防水、抗寒、耐热，不变形；</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5.篮球板SMC面板厚度不低于5mm，翻边宽度不低于50mm，翻边厚度不低于7 mm；背面加强筋采用V字型与井字型相结合结构；</w:t>
            </w:r>
            <w:r>
              <w:rPr>
                <w:rFonts w:hint="eastAsia" w:ascii="宋体" w:hAnsi="宋体" w:eastAsia="宋体" w:cs="宋体"/>
                <w:lang w:eastAsia="zh-CN"/>
              </w:rPr>
            </w:r>
            <w:r/>
          </w:p>
          <w:p>
            <w:pPr>
              <w:pStyle w:val="670"/>
              <w:ind w:firstLine="0"/>
              <w:tabs>
                <w:tab w:val="left" w:pos="567" w:leader="none"/>
              </w:tabs>
              <w:rPr>
                <w:rFonts w:hint="eastAsia" w:ascii="宋体" w:hAnsi="宋体" w:cs="宋体"/>
                <w:sz w:val="22"/>
                <w:lang w:eastAsia="zh-CN"/>
              </w:rPr>
            </w:pPr>
            <w:r>
              <w:rPr>
                <w:rFonts w:hint="eastAsia" w:ascii="宋体" w:hAnsi="宋体" w:cs="宋体"/>
                <w:sz w:val="22"/>
                <w:lang w:eastAsia="zh-CN"/>
              </w:rPr>
              <w:t xml:space="preserve">6.篮圈采用抗压篮圈，水平固定在篮板上，与篮架连接的钢板采用优质钢板，优质特制圆头螺栓。篮圈用直径为</w:t>
            </w:r>
            <w:r>
              <w:rPr>
                <w:rFonts w:hint="eastAsia" w:ascii="宋体" w:hAnsi="宋体" w:cs="宋体"/>
                <w:sz w:val="22"/>
              </w:rPr>
              <w:t xml:space="preserve">Φ</w:t>
            </w:r>
            <w:r>
              <w:rPr>
                <w:rFonts w:hint="eastAsia" w:ascii="宋体" w:hAnsi="宋体" w:cs="宋体"/>
                <w:sz w:val="22"/>
                <w:lang w:eastAsia="zh-CN"/>
              </w:rPr>
              <w:t xml:space="preserve">18mm的实心圆钢制作，整圆内侧直径450mm。</w:t>
            </w:r>
            <w:r>
              <w:rPr>
                <w:rFonts w:hint="eastAsia" w:ascii="宋体" w:hAnsi="宋体" w:cs="宋体"/>
                <w:sz w:val="22"/>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color w:val="333333"/>
              </w:rPr>
            </w:pPr>
            <w:r>
              <w:rPr>
                <w:rFonts w:hint="eastAsia" w:ascii="宋体" w:hAnsi="宋体" w:eastAsia="宋体" w:cs="宋体"/>
                <w:lang w:eastAsia="zh-CN"/>
              </w:rPr>
              <w:t xml:space="preserve">9</w:t>
            </w:r>
            <w:r>
              <w:rPr>
                <w:rFonts w:hint="eastAsia" w:ascii="宋体" w:hAnsi="宋体" w:eastAsia="宋体" w:cs="宋体"/>
              </w:rPr>
              <w:t xml:space="preserve">件</w:t>
            </w:r>
            <w:r>
              <w:rPr>
                <w:rFonts w:hint="eastAsia" w:ascii="宋体" w:hAnsi="宋体" w:eastAsia="宋体" w:cs="宋体"/>
                <w:color w:val="333333"/>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1085665" cy="66865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85665"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5pt;height:52.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地埋篮球架</w:t>
            </w:r>
            <w:r>
              <w:rPr>
                <w:rFonts w:hint="eastAsia" w:ascii="宋体" w:hAnsi="宋体" w:eastAsia="宋体" w:cs="宋体"/>
              </w:rPr>
            </w:r>
            <w:r/>
          </w:p>
        </w:tc>
        <w:tc>
          <w:tcPr>
            <w:tcW w:w="4957" w:type="dxa"/>
            <w:vAlign w:val="top"/>
            <w:textDirection w:val="lrTb"/>
            <w:noWrap w:val="false"/>
          </w:tcPr>
          <w:p>
            <w:pPr>
              <w:pStyle w:val="613"/>
              <w:spacing w:after="0"/>
              <w:rPr>
                <w:rFonts w:hint="eastAsia" w:ascii="宋体" w:hAnsi="宋体" w:eastAsia="宋体" w:cs="宋体"/>
                <w:lang w:eastAsia="zh-CN"/>
              </w:rPr>
            </w:pPr>
            <w:r>
              <w:rPr>
                <w:rFonts w:hint="eastAsia" w:ascii="宋体" w:hAnsi="宋体" w:eastAsia="宋体" w:cs="宋体"/>
                <w:lang w:eastAsia="zh-CN"/>
              </w:rPr>
              <w:t xml:space="preserve">1.主架采用不小于</w:t>
            </w:r>
            <w:r>
              <w:rPr>
                <w:rFonts w:hint="eastAsia" w:ascii="宋体" w:hAnsi="宋体" w:eastAsia="宋体" w:cs="宋体"/>
              </w:rPr>
              <w:t xml:space="preserve">Φ</w:t>
            </w:r>
            <w:r>
              <w:rPr>
                <w:rFonts w:hint="eastAsia" w:ascii="宋体" w:hAnsi="宋体" w:eastAsia="宋体" w:cs="宋体"/>
                <w:lang w:eastAsia="zh-CN"/>
              </w:rPr>
              <w:t xml:space="preserve">165×4mm定制的优质国标钢管整体弯制而成，篮架上、下拉杆采用优质国标钢管。</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2.通过调节拉杆可调节篮板的板面垂直度、平行度，通过调节篮板与探臂连接部位，可微调篮板垂直和平行度；</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3.篮球板尺寸：1800mm×1050mm×50mm，篮板连接处所用螺栓均作预埋处理，保证平整光滑，防水、抗寒、耐热，不变形；</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4.篮圈采用抗压篮圈，水平固定在篮板上，与篮架连接的钢板采用优质钢板。篮圈用直径为</w:t>
            </w:r>
            <w:r>
              <w:rPr>
                <w:rFonts w:hint="eastAsia" w:ascii="宋体" w:hAnsi="宋体" w:eastAsia="宋体" w:cs="宋体"/>
              </w:rPr>
              <w:t xml:space="preserve">Φ</w:t>
            </w:r>
            <w:r>
              <w:rPr>
                <w:rFonts w:hint="eastAsia" w:ascii="宋体" w:hAnsi="宋体" w:eastAsia="宋体" w:cs="宋体"/>
                <w:lang w:eastAsia="zh-CN"/>
              </w:rPr>
              <w:t xml:space="preserve">18mm的实心圆钢制作，整圆内侧直径450mm。</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10件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791870" cy="116707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91870" cy="11670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4pt;height:91.9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rPr>
            </w:r>
            <w:r/>
          </w:p>
        </w:tc>
      </w:tr>
      <w:tr>
        <w:trPr/>
        <w:tc>
          <w:tcPr>
            <w:tcW w:w="794"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12</w:t>
            </w:r>
            <w:r>
              <w:rPr>
                <w:rFonts w:hint="eastAsia" w:ascii="宋体" w:hAnsi="宋体" w:eastAsia="宋体" w:cs="宋体"/>
              </w:rPr>
            </w:r>
            <w:r/>
          </w:p>
        </w:tc>
        <w:tc>
          <w:tcPr>
            <w:tcW w:w="1050"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羽毛球架</w:t>
            </w:r>
            <w:r>
              <w:rPr>
                <w:rFonts w:hint="eastAsia" w:ascii="宋体" w:hAnsi="宋体" w:eastAsia="宋体" w:cs="宋体"/>
              </w:rPr>
            </w:r>
            <w:r/>
          </w:p>
        </w:tc>
        <w:tc>
          <w:tcPr>
            <w:tcW w:w="4957" w:type="dxa"/>
            <w:vAlign w:val="top"/>
            <w:textDirection w:val="lrTb"/>
            <w:noWrap w:val="false"/>
          </w:tcPr>
          <w:p>
            <w:pPr>
              <w:pStyle w:val="613"/>
              <w:spacing w:after="0"/>
              <w:rPr>
                <w:rFonts w:hint="eastAsia" w:ascii="宋体" w:hAnsi="宋体" w:eastAsia="宋体" w:cs="宋体"/>
                <w:lang w:eastAsia="zh-CN"/>
              </w:rPr>
            </w:pPr>
            <w:r>
              <w:rPr>
                <w:rFonts w:hint="eastAsia" w:ascii="宋体" w:hAnsi="宋体" w:eastAsia="宋体" w:cs="宋体"/>
                <w:lang w:eastAsia="zh-CN"/>
              </w:rPr>
              <w:t xml:space="preserve">1.移动式，立柱采用规格不小于</w:t>
            </w:r>
            <w:r>
              <w:rPr>
                <w:rFonts w:hint="eastAsia" w:ascii="宋体" w:hAnsi="宋体" w:eastAsia="宋体" w:cs="宋体"/>
              </w:rPr>
              <w:t xml:space="preserve">φ</w:t>
            </w:r>
            <w:r>
              <w:rPr>
                <w:rFonts w:hint="eastAsia" w:ascii="宋体" w:hAnsi="宋体" w:eastAsia="宋体" w:cs="宋体"/>
                <w:lang w:eastAsia="zh-CN"/>
              </w:rPr>
              <w:t xml:space="preserve">40×3mm优质钢管。</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2.底座为铸铁整体结构。</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3.稳定性满足200N平拉试验要求；</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4.器材铭牌采用全不锈钢腐蚀，拉铆钉坚固，边缘紧贴立柱，避免造成勾挂伤害；</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5.整机无勾挂，无挤压点，无剪切点，无卡夹；</w:t>
            </w:r>
            <w:r>
              <w:rPr>
                <w:rFonts w:hint="eastAsia" w:ascii="宋体" w:hAnsi="宋体" w:eastAsia="宋体" w:cs="宋体"/>
                <w:lang w:eastAsia="zh-CN"/>
              </w:rPr>
            </w:r>
            <w:r/>
          </w:p>
          <w:p>
            <w:pPr>
              <w:pStyle w:val="613"/>
              <w:spacing w:after="0"/>
              <w:rPr>
                <w:rFonts w:hint="eastAsia" w:ascii="宋体" w:hAnsi="宋体" w:eastAsia="宋体" w:cs="宋体"/>
                <w:lang w:eastAsia="zh-CN"/>
              </w:rPr>
            </w:pPr>
            <w:r>
              <w:rPr>
                <w:rFonts w:hint="eastAsia" w:ascii="宋体" w:hAnsi="宋体" w:eastAsia="宋体" w:cs="宋体"/>
                <w:lang w:eastAsia="zh-CN"/>
              </w:rPr>
              <w:t xml:space="preserve">6.标准件选用防盗304不锈钢材质；</w:t>
            </w:r>
            <w:r>
              <w:rPr>
                <w:rFonts w:hint="eastAsia" w:ascii="宋体" w:hAnsi="宋体" w:eastAsia="宋体" w:cs="宋体"/>
                <w:lang w:eastAsia="zh-CN"/>
              </w:rPr>
            </w:r>
            <w:r/>
          </w:p>
          <w:p>
            <w:pPr>
              <w:pStyle w:val="613"/>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rPr>
                <w:rFonts w:hint="eastAsia" w:ascii="宋体" w:hAnsi="宋体" w:eastAsia="宋体" w:cs="宋体"/>
                <w:lang w:eastAsia="zh-CN"/>
              </w:rPr>
            </w:r>
            <w:r/>
          </w:p>
        </w:tc>
        <w:tc>
          <w:tcPr>
            <w:tcW w:w="848"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w:t xml:space="preserve">20件</w:t>
            </w:r>
            <w:r>
              <w:rPr>
                <w:rFonts w:hint="eastAsia" w:ascii="宋体" w:hAnsi="宋体" w:eastAsia="宋体" w:cs="宋体"/>
              </w:rPr>
            </w:r>
            <w:r/>
          </w:p>
        </w:tc>
        <w:tc>
          <w:tcPr>
            <w:tcW w:w="2269" w:type="dxa"/>
            <w:vAlign w:val="center"/>
            <w:textDirection w:val="lrTb"/>
            <w:noWrap w:val="false"/>
          </w:tcPr>
          <w:p>
            <w:pPr>
              <w:pStyle w:val="613"/>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927095" cy="1115776"/>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27095" cy="11157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3.0pt;height:8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rPr>
            </w:r>
            <w:r/>
          </w:p>
        </w:tc>
      </w:tr>
    </w:tbl>
    <w:p>
      <w:pPr>
        <w:pStyle w:val="613"/>
        <w:ind w:firstLine="281"/>
        <w:spacing w:line="240" w:lineRule="atLeast"/>
        <w:rPr>
          <w:rFonts w:hint="eastAsia" w:ascii="宋体" w:hAnsi="宋体"/>
          <w:b/>
          <w:sz w:val="28"/>
          <w:szCs w:val="28"/>
        </w:rPr>
      </w:pPr>
      <w:r>
        <w:rPr>
          <w:rFonts w:hint="eastAsia" w:ascii="宋体" w:hAnsi="宋体" w:eastAsia="宋体"/>
          <w:b/>
          <w:sz w:val="28"/>
          <w:szCs w:val="28"/>
          <w:lang w:val="en-US" w:eastAsia="zh-CN"/>
        </w:rPr>
        <w:t xml:space="preserve">二</w:t>
      </w:r>
      <w:r>
        <w:rPr>
          <w:rFonts w:hint="eastAsia" w:ascii="宋体" w:hAnsi="宋体" w:eastAsia="Arial" w:cs="Times New Roman"/>
          <w:b/>
          <w:lang w:val="en-US" w:eastAsia="zh-CN"/>
        </w:rPr>
        <w:t xml:space="preserve">、样品要求</w:t>
      </w:r>
      <w:r>
        <w:rPr>
          <w:rFonts w:hint="eastAsia" w:ascii="宋体" w:hAnsi="宋体"/>
          <w:b/>
          <w:sz w:val="28"/>
          <w:szCs w:val="28"/>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eastAsia="zh-CN"/>
        </w:rPr>
        <w:t xml:space="preserve">1、</w:t>
      </w:r>
      <w:r>
        <w:rPr>
          <w:rFonts w:hint="eastAsia" w:ascii="宋体" w:hAnsi="宋体" w:eastAsia="宋体" w:cs="宋体"/>
          <w:b w:val="0"/>
          <w:bCs w:val="0"/>
          <w:color w:val="000000"/>
          <w:sz w:val="22"/>
          <w:szCs w:val="22"/>
          <w:lang w:val="en-US" w:eastAsia="zh-CN"/>
        </w:rPr>
        <w:t xml:space="preserve">采购清单中核心产品需提供样品零器件</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lang w:val="en-US" w:eastAsia="zh-CN"/>
        </w:rPr>
        <w:t xml:space="preserve">样品要求如下：</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（1）三位扭腰器须提供扭腰盘一块；</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（2）双位漫步机须提供承载立柱一根（尺寸：截面：φ114×3mm，高度不小于500mm ；）、踏板（含摆杆）一个、轴承一个；</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（3）上肢牵引器须提供牵引器把手（含柔性部件）一个；</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（4）室外乒乓球台须提供台面面板小样一块（尺寸：30cm × 30cm 正方形）；</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（5）移动篮球架须提供主体立柱切段一个（长度30cm）。</w:t>
      </w:r>
      <w:r>
        <w:rPr>
          <w:rFonts w:hint="eastAsia"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eastAsia="zh-CN"/>
        </w:rPr>
      </w:pPr>
      <w:r>
        <w:rPr>
          <w:rFonts w:hint="eastAsia" w:ascii="宋体" w:hAnsi="宋体" w:eastAsia="宋体" w:cs="宋体"/>
          <w:b w:val="0"/>
          <w:bCs w:val="0"/>
          <w:color w:val="000000"/>
          <w:sz w:val="22"/>
          <w:szCs w:val="22"/>
          <w:lang w:val="en-US" w:eastAsia="zh-CN"/>
        </w:rPr>
        <w:t xml:space="preserve">所有</w:t>
      </w:r>
      <w:r>
        <w:rPr>
          <w:rFonts w:hint="eastAsia" w:ascii="宋体" w:hAnsi="宋体" w:eastAsia="宋体" w:cs="宋体"/>
          <w:b w:val="0"/>
          <w:bCs w:val="0"/>
          <w:color w:val="000000"/>
          <w:sz w:val="22"/>
          <w:szCs w:val="22"/>
          <w:lang w:eastAsia="zh-CN"/>
        </w:rPr>
        <w:t xml:space="preserve">样品不得出现投标人名称、品牌标识和其他可以识别投标人身份的字符、徽标、人员名称等。</w:t>
      </w:r>
      <w:r>
        <w:rPr>
          <w:rFonts w:hint="eastAsia" w:ascii="宋体" w:hAnsi="宋体" w:eastAsia="宋体" w:cs="宋体"/>
          <w:b w:val="0"/>
          <w:bCs w:val="0"/>
          <w:color w:val="000000"/>
          <w:sz w:val="22"/>
          <w:szCs w:val="22"/>
          <w:lang w:eastAsia="zh-CN"/>
        </w:rPr>
      </w:r>
      <w:r/>
    </w:p>
    <w:p>
      <w:pPr>
        <w:pStyle w:val="613"/>
        <w:ind w:firstLine="422"/>
        <w:spacing w:line="540" w:lineRule="exact"/>
        <w:rPr>
          <w:rFonts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样品须用</w:t>
      </w:r>
      <w:r>
        <w:rPr>
          <w:rFonts w:hint="eastAsia" w:ascii="宋体" w:hAnsi="宋体" w:eastAsia="宋体" w:cs="宋体"/>
          <w:b w:val="0"/>
          <w:bCs w:val="0"/>
          <w:color w:val="000000"/>
          <w:sz w:val="22"/>
          <w:szCs w:val="22"/>
          <w:lang w:eastAsia="zh-CN"/>
        </w:rPr>
        <w:t xml:space="preserve">专门的密封袋或密封箱，确保密封牢固，密封袋或箱显著位置标注项目名称、项目编号和投标人名称并在密封处加盖投标人的公章或法定代表人印章。</w:t>
      </w:r>
      <w:r>
        <w:rPr>
          <w:rFonts w:ascii="宋体" w:hAnsi="宋体" w:eastAsia="宋体" w:cs="宋体"/>
          <w:b w:val="0"/>
          <w:bCs w:val="0"/>
          <w:color w:val="000000"/>
          <w:sz w:val="22"/>
          <w:szCs w:val="22"/>
          <w:lang w:val="en-US" w:eastAsia="zh-CN"/>
        </w:rPr>
      </w:r>
      <w:r/>
    </w:p>
    <w:p>
      <w:pPr>
        <w:pStyle w:val="613"/>
        <w:ind w:firstLine="422"/>
        <w:spacing w:line="540" w:lineRule="exact"/>
        <w:rPr>
          <w:rFonts w:hint="eastAsia" w:ascii="宋体" w:hAnsi="宋体" w:eastAsia="宋体" w:cs="宋体"/>
          <w:b w:val="0"/>
          <w:bCs w:val="0"/>
          <w:color w:val="000000"/>
          <w:sz w:val="22"/>
          <w:szCs w:val="22"/>
          <w:lang w:eastAsia="zh-CN"/>
        </w:rPr>
      </w:pPr>
      <w:r>
        <w:rPr>
          <w:rFonts w:hint="eastAsia" w:ascii="宋体" w:hAnsi="宋体" w:eastAsia="宋体" w:cs="宋体"/>
          <w:b w:val="0"/>
          <w:bCs w:val="0"/>
          <w:color w:val="000000"/>
          <w:sz w:val="22"/>
          <w:szCs w:val="22"/>
          <w:lang w:eastAsia="zh-CN"/>
        </w:rPr>
        <w:t xml:space="preserve">中标样品按照采购文件的规定进行保管、封存，并作为履约验收的参考。未中标人的投标样品请供应商评标结束后当日自行带回，采购人不对样品负保管责任。</w:t>
      </w:r>
      <w:r>
        <w:rPr>
          <w:rFonts w:hint="eastAsia" w:ascii="宋体" w:hAnsi="宋体" w:eastAsia="宋体" w:cs="宋体"/>
          <w:b w:val="0"/>
          <w:bCs w:val="0"/>
          <w:color w:val="000000"/>
          <w:sz w:val="22"/>
          <w:szCs w:val="22"/>
          <w:lang w:eastAsia="zh-CN"/>
        </w:rPr>
      </w:r>
      <w:r/>
    </w:p>
    <w:p>
      <w:pPr>
        <w:pStyle w:val="613"/>
        <w:ind w:firstLine="422"/>
        <w:spacing w:line="540" w:lineRule="exact"/>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rPr>
        <w:t xml:space="preserve">、提交时间：</w:t>
      </w:r>
      <w:r>
        <w:rPr>
          <w:rFonts w:hint="eastAsia" w:ascii="宋体" w:hAnsi="宋体" w:eastAsia="宋体" w:cs="宋体"/>
          <w:b w:val="0"/>
          <w:bCs w:val="0"/>
          <w:color w:val="000000"/>
          <w:sz w:val="22"/>
          <w:szCs w:val="22"/>
          <w:lang w:val="en-US" w:eastAsia="zh-CN"/>
        </w:rPr>
        <w:t xml:space="preserve">开标当日8:30-9:00</w:t>
      </w:r>
      <w:r>
        <w:rPr>
          <w:rFonts w:hint="eastAsia" w:ascii="宋体" w:hAnsi="宋体" w:eastAsia="宋体" w:cs="宋体"/>
          <w:b w:val="0"/>
          <w:bCs w:val="0"/>
          <w:color w:val="000000"/>
          <w:sz w:val="22"/>
          <w:szCs w:val="22"/>
          <w:lang w:eastAsia="zh-CN"/>
        </w:rPr>
        <w:t xml:space="preserve">，</w:t>
      </w:r>
      <w:r>
        <w:rPr>
          <w:rFonts w:hint="eastAsia" w:ascii="宋体" w:hAnsi="宋体" w:eastAsia="宋体" w:cs="宋体"/>
          <w:b w:val="0"/>
          <w:bCs w:val="0"/>
          <w:color w:val="000000"/>
          <w:sz w:val="22"/>
          <w:szCs w:val="22"/>
          <w:lang w:val="en-US" w:eastAsia="zh-CN"/>
        </w:rPr>
        <w:t xml:space="preserve">样品送达人须携带有效的授权委托书，样品送达登记后即可离场</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613"/>
        <w:ind w:firstLine="422"/>
        <w:spacing w:line="540" w:lineRule="exact"/>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rPr>
        <w:t xml:space="preserve">、提交地点</w:t>
      </w:r>
      <w:r>
        <w:rPr>
          <w:rFonts w:hint="eastAsia" w:ascii="宋体" w:hAnsi="宋体" w:eastAsia="宋体" w:cs="宋体"/>
          <w:b w:val="0"/>
          <w:bCs w:val="0"/>
          <w:color w:val="000000"/>
          <w:sz w:val="22"/>
          <w:szCs w:val="22"/>
          <w:lang w:val="en-US" w:eastAsia="zh-CN"/>
        </w:rPr>
        <w:t xml:space="preserve">：姜堰区公共资源交易中心一楼开标二室（姜堰区上海路88号）</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613"/>
        <w:ind w:firstLine="420"/>
        <w:spacing w:line="54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没有提供样品或提供的样品不全的，其相应的评分项不得分。中标人的样品须由采购人封样，若所提供实物与样品不符则采购人可要求退货且按合同规定进行赔偿或采购人将暂时使用中标人提供的与样品不符的货物直至中标人重新提供与样品相符的货物直至采购人满意为止。</w:t>
      </w:r>
      <w:r>
        <w:rPr>
          <w:rFonts w:hint="eastAsia" w:ascii="宋体" w:hAnsi="宋体" w:eastAsia="宋体" w:cs="宋体"/>
          <w:color w:val="000000"/>
          <w:sz w:val="22"/>
          <w:szCs w:val="22"/>
        </w:rPr>
      </w:r>
      <w:r/>
    </w:p>
    <w:p>
      <w:pPr>
        <w:pStyle w:val="613"/>
        <w:ind w:firstLine="482"/>
        <w:spacing w:line="520" w:lineRule="exact"/>
        <w:rPr>
          <w:rFonts w:hint="eastAsia" w:ascii="宋体" w:hAnsi="宋体" w:eastAsia="宋体" w:cs="宋体"/>
          <w:color w:val="000000"/>
          <w:lang w:eastAsia="zh-CN"/>
        </w:rPr>
      </w:pPr>
      <w:r>
        <w:rPr>
          <w:rFonts w:hint="eastAsia" w:ascii="宋体" w:hAnsi="宋体"/>
          <w:b/>
          <w:color w:val="000000"/>
          <w:lang w:val="en-US" w:eastAsia="zh-CN"/>
        </w:rPr>
        <w:t xml:space="preserve">三</w:t>
      </w:r>
      <w:r>
        <w:rPr>
          <w:rFonts w:hint="eastAsia" w:ascii="宋体" w:hAnsi="宋体"/>
          <w:b/>
          <w:color w:val="000000"/>
          <w:lang w:eastAsia="zh-CN"/>
        </w:rPr>
        <w:t xml:space="preserve">、合同</w:t>
      </w:r>
      <w:r>
        <w:rPr>
          <w:rFonts w:hint="eastAsia" w:ascii="宋体" w:hAnsi="宋体" w:eastAsia="宋体" w:cs="宋体"/>
          <w:b/>
          <w:bCs/>
          <w:color w:val="000000"/>
          <w:lang w:eastAsia="zh-CN"/>
        </w:rPr>
        <w:t xml:space="preserve">履行期限：</w:t>
      </w:r>
      <w:r>
        <w:rPr>
          <w:rFonts w:hint="eastAsia" w:ascii="宋体" w:hAnsi="宋体" w:eastAsia="宋体" w:cs="宋体"/>
          <w:color w:val="000000"/>
          <w:lang w:eastAsia="zh-CN"/>
        </w:rPr>
        <w:t xml:space="preserve">合同签订后60日内完成项目所有内容并安装调试到位。</w:t>
      </w:r>
      <w:r>
        <w:rPr>
          <w:rFonts w:hint="eastAsia" w:ascii="宋体" w:hAnsi="宋体" w:eastAsia="宋体" w:cs="宋体"/>
          <w:color w:val="000000"/>
          <w:lang w:eastAsia="zh-CN"/>
        </w:rPr>
      </w:r>
      <w:r/>
    </w:p>
    <w:p>
      <w:pPr>
        <w:pStyle w:val="613"/>
        <w:ind w:firstLine="482"/>
        <w:spacing w:line="520" w:lineRule="exact"/>
        <w:rPr>
          <w:rFonts w:hint="eastAsia" w:ascii="宋体" w:hAnsi="宋体" w:eastAsia="宋体" w:cs="宋体"/>
          <w:b/>
          <w:bCs/>
          <w:color w:val="000000"/>
          <w:lang w:eastAsia="zh-CN"/>
        </w:rPr>
      </w:pPr>
      <w:r>
        <w:rPr>
          <w:rFonts w:hint="eastAsia" w:ascii="宋体" w:hAnsi="宋体"/>
          <w:b/>
          <w:color w:val="000000"/>
          <w:lang w:val="en-US" w:eastAsia="zh-CN"/>
        </w:rPr>
        <w:t xml:space="preserve">四</w:t>
      </w:r>
      <w:r>
        <w:rPr>
          <w:rFonts w:hint="eastAsia" w:ascii="宋体" w:hAnsi="宋体"/>
          <w:b/>
          <w:color w:val="000000"/>
          <w:lang w:eastAsia="zh-CN"/>
        </w:rPr>
        <w:t xml:space="preserve">、履约保证金</w:t>
      </w:r>
      <w:r>
        <w:rPr>
          <w:rFonts w:hint="eastAsia"/>
          <w:b/>
          <w:color w:val="000000"/>
          <w:lang w:eastAsia="zh-CN"/>
        </w:rPr>
        <w:t xml:space="preserve">：</w:t>
      </w:r>
      <w:r>
        <w:rPr>
          <w:rFonts w:hint="eastAsia"/>
          <w:color w:val="000000"/>
          <w:lang w:eastAsia="zh-CN"/>
        </w:rPr>
        <w:t xml:space="preserve">无 </w:t>
      </w:r>
      <w:r>
        <w:rPr>
          <w:rFonts w:hint="eastAsia" w:ascii="宋体" w:hAnsi="宋体" w:eastAsia="宋体" w:cs="宋体"/>
          <w:b/>
          <w:bCs/>
          <w:color w:val="000000"/>
          <w:lang w:eastAsia="zh-CN"/>
        </w:rPr>
      </w:r>
      <w:r/>
    </w:p>
    <w:p>
      <w:pPr>
        <w:pStyle w:val="613"/>
        <w:ind w:firstLine="482"/>
        <w:spacing w:line="520" w:lineRule="exact"/>
        <w:rPr>
          <w:rFonts w:ascii="宋体" w:hAnsi="宋体"/>
          <w:bCs/>
          <w:color w:val="000000"/>
          <w:lang w:eastAsia="zh-CN"/>
        </w:rPr>
      </w:pPr>
      <w:r>
        <w:rPr>
          <w:rFonts w:hint="eastAsia" w:ascii="宋体" w:hAnsi="宋体"/>
          <w:b/>
          <w:color w:val="000000"/>
          <w:lang w:val="en-US" w:eastAsia="zh-CN"/>
        </w:rPr>
        <w:t xml:space="preserve">五</w:t>
      </w:r>
      <w:r>
        <w:rPr>
          <w:rFonts w:hint="eastAsia" w:ascii="宋体" w:hAnsi="宋体"/>
          <w:b/>
          <w:color w:val="000000"/>
          <w:lang w:eastAsia="zh-CN"/>
        </w:rPr>
        <w:t xml:space="preserve">、质保期：</w:t>
      </w:r>
      <w:r>
        <w:rPr>
          <w:rFonts w:hint="eastAsia" w:ascii="宋体" w:hAnsi="宋体"/>
          <w:bCs/>
          <w:color w:val="000000"/>
          <w:lang w:eastAsia="zh-CN"/>
        </w:rPr>
        <w:t xml:space="preserve">自产品验收合格（以双方在验收报告签订日期为准），提供3年整体全免费质保服务。全免费质保期内，除人为损坏和不可抗拒因素外，中标人对物品进行免费维修或更换。</w:t>
      </w:r>
      <w:r>
        <w:rPr>
          <w:rFonts w:ascii="宋体" w:hAnsi="宋体"/>
          <w:bCs/>
          <w:color w:val="000000"/>
          <w:lang w:eastAsia="zh-CN"/>
        </w:rPr>
      </w:r>
      <w:r/>
    </w:p>
    <w:p>
      <w:pPr>
        <w:pStyle w:val="613"/>
        <w:ind w:firstLine="482"/>
        <w:spacing w:line="520" w:lineRule="exact"/>
        <w:rPr>
          <w:rFonts w:hint="eastAsia" w:ascii="宋体" w:hAnsi="宋体" w:eastAsia="宋体" w:cs="宋体"/>
          <w:b/>
          <w:bCs/>
          <w:color w:val="000000"/>
          <w:lang w:eastAsia="zh-CN"/>
        </w:rPr>
      </w:pPr>
      <w:r>
        <w:rPr>
          <w:rFonts w:hint="eastAsia" w:cs="宋体"/>
          <w:b/>
          <w:bCs/>
          <w:color w:val="000000"/>
          <w:lang w:val="en-US" w:eastAsia="zh-CN" w:bidi="zh-CN"/>
        </w:rPr>
        <w:t xml:space="preserve">六</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合同形式及付款方式：</w:t>
      </w:r>
      <w:r>
        <w:rPr>
          <w:rFonts w:hint="eastAsia" w:ascii="宋体" w:hAnsi="宋体" w:eastAsia="宋体" w:cs="宋体"/>
          <w:b/>
          <w:bCs/>
          <w:color w:val="000000"/>
          <w:lang w:eastAsia="zh-CN"/>
        </w:rPr>
      </w:r>
      <w:r/>
    </w:p>
    <w:p>
      <w:pPr>
        <w:pStyle w:val="613"/>
        <w:ind w:firstLine="482"/>
        <w:spacing w:line="52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1.合同形式：固定</w:t>
      </w:r>
      <w:r>
        <w:rPr>
          <w:rFonts w:hint="eastAsia" w:ascii="宋体" w:hAnsi="宋体" w:eastAsia="宋体" w:cs="宋体"/>
          <w:color w:val="000000"/>
          <w:lang w:val="en-US" w:eastAsia="zh-CN"/>
        </w:rPr>
        <w:t xml:space="preserve">单</w:t>
      </w:r>
      <w:r>
        <w:rPr>
          <w:rFonts w:hint="eastAsia" w:ascii="宋体" w:hAnsi="宋体" w:eastAsia="宋体" w:cs="宋体"/>
          <w:color w:val="000000"/>
          <w:lang w:eastAsia="zh-CN"/>
        </w:rPr>
        <w:t xml:space="preserve">价合同</w:t>
      </w:r>
      <w:r>
        <w:rPr>
          <w:rFonts w:hint="eastAsia" w:ascii="宋体" w:hAnsi="宋体" w:eastAsia="宋体" w:cs="宋体"/>
          <w:color w:val="000000"/>
          <w:lang w:eastAsia="zh-CN"/>
        </w:rPr>
      </w:r>
      <w:r/>
    </w:p>
    <w:p>
      <w:pPr>
        <w:pStyle w:val="613"/>
        <w:ind w:firstLine="480"/>
        <w:spacing w:line="540" w:lineRule="exact"/>
        <w:rPr>
          <w:color w:val="000000"/>
          <w:lang w:eastAsia="zh-CN"/>
        </w:rPr>
      </w:pPr>
      <w:r>
        <w:rPr>
          <w:rFonts w:hint="eastAsia" w:ascii="宋体" w:hAnsi="宋体" w:eastAsia="宋体"/>
          <w:bCs/>
          <w:color w:val="000000"/>
          <w:lang w:eastAsia="zh-CN"/>
        </w:rPr>
        <w:t xml:space="preserve">2.付款方式：</w:t>
      </w:r>
      <w:r>
        <w:rPr>
          <w:rFonts w:hint="eastAsia"/>
          <w:color w:val="000000"/>
          <w:lang w:eastAsia="zh-CN"/>
        </w:rPr>
        <w:t xml:space="preserve">签订合同后预付合同价的30%；中标人所有货物交货安装调试完毕，经验收合格，并出具书面交货、验收报告后一次性付清余款。中标人申请支付货款时，须提供发票</w:t>
      </w:r>
      <w:r>
        <w:rPr>
          <w:rFonts w:hint="eastAsia"/>
          <w:bCs/>
          <w:color w:val="000000"/>
          <w:lang w:eastAsia="zh-CN"/>
        </w:rPr>
        <w:t xml:space="preserve">。</w:t>
      </w:r>
      <w:r>
        <w:rPr>
          <w:color w:val="000000"/>
          <w:lang w:eastAsia="zh-CN"/>
        </w:rPr>
      </w:r>
      <w:r/>
    </w:p>
    <w:p>
      <w:pPr>
        <w:pStyle w:val="613"/>
        <w:ind w:firstLine="482"/>
        <w:spacing w:line="520" w:lineRule="exact"/>
        <w:rPr>
          <w:rFonts w:hint="eastAsia" w:ascii="宋体" w:hAnsi="宋体" w:eastAsia="宋体" w:cs="宋体"/>
          <w:b/>
          <w:bCs/>
          <w:color w:val="000000"/>
          <w:lang w:eastAsia="zh-CN"/>
        </w:rPr>
      </w:pPr>
      <w:r>
        <w:rPr>
          <w:rFonts w:hint="eastAsia" w:cs="宋体"/>
          <w:b/>
          <w:bCs/>
          <w:color w:val="000000"/>
          <w:lang w:val="en-US" w:eastAsia="zh-CN" w:bidi="zh-CN"/>
        </w:rPr>
        <w:t xml:space="preserve">七</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售后服务响应：</w:t>
      </w:r>
      <w:r>
        <w:rPr>
          <w:rFonts w:hint="eastAsia" w:ascii="宋体" w:hAnsi="宋体" w:eastAsia="宋体" w:cs="宋体"/>
          <w:b/>
          <w:bCs/>
          <w:color w:val="000000"/>
          <w:lang w:eastAsia="zh-CN"/>
        </w:rPr>
      </w:r>
      <w:r/>
    </w:p>
    <w:p>
      <w:pPr>
        <w:pStyle w:val="613"/>
        <w:ind w:firstLine="480"/>
        <w:spacing w:line="540" w:lineRule="exact"/>
        <w:rPr>
          <w:rFonts w:hint="eastAsia" w:ascii="宋体" w:hAnsi="宋体" w:eastAsia="宋体"/>
          <w:bCs/>
          <w:color w:val="000000"/>
          <w:lang w:eastAsia="zh-CN"/>
        </w:rPr>
      </w:pPr>
      <w:r>
        <w:rPr>
          <w:rFonts w:hint="eastAsia"/>
          <w:bCs/>
          <w:color w:val="000000"/>
          <w:lang w:eastAsia="zh-CN"/>
        </w:rPr>
        <w:t xml:space="preserve">1.</w:t>
      </w:r>
      <w:r>
        <w:rPr>
          <w:rFonts w:hint="eastAsia" w:ascii="宋体" w:hAnsi="宋体" w:eastAsia="宋体"/>
          <w:bCs/>
          <w:color w:val="000000"/>
          <w:lang w:eastAsia="zh-CN"/>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rPr>
          <w:rFonts w:hint="eastAsia" w:ascii="宋体" w:hAnsi="宋体" w:eastAsia="宋体"/>
          <w:bCs/>
          <w:color w:val="000000"/>
          <w:lang w:eastAsia="zh-CN"/>
        </w:rPr>
      </w:r>
      <w:r/>
    </w:p>
    <w:p>
      <w:pPr>
        <w:pStyle w:val="613"/>
        <w:ind w:firstLine="480"/>
        <w:spacing w:line="540" w:lineRule="exact"/>
        <w:rPr>
          <w:rFonts w:hint="eastAsia" w:ascii="宋体" w:hAnsi="宋体" w:eastAsia="宋体"/>
          <w:bCs/>
          <w:color w:val="000000"/>
          <w:lang w:eastAsia="zh-CN"/>
        </w:rPr>
      </w:pPr>
      <w:r>
        <w:rPr>
          <w:rFonts w:hint="eastAsia" w:ascii="宋体" w:hAnsi="宋体" w:eastAsia="宋体"/>
          <w:bCs/>
          <w:color w:val="000000"/>
          <w:lang w:eastAsia="zh-CN"/>
        </w:rPr>
        <w:t xml:space="preserve">2、质保期内，每半年须组织售后服务人员对所供货物进行巡检一次。质保期满后的维修内容减免上门费及人工费等费用，仅按原材料的价格收取维修费用，零配件应保证3年以上的供应期，合同签订时提供原材料的价格、零配件的优惠价为质保期满后的结算依据，未提供在质保期满后价格维修清单的内容视为免费维修，价格不因时间的递增或物价上涨而改变结算价格。</w:t>
      </w:r>
      <w:r>
        <w:rPr>
          <w:rFonts w:hint="eastAsia" w:ascii="宋体" w:hAnsi="宋体" w:eastAsia="宋体"/>
          <w:bCs/>
          <w:color w:val="000000"/>
          <w:lang w:eastAsia="zh-CN"/>
        </w:rPr>
      </w:r>
      <w:r/>
    </w:p>
    <w:p>
      <w:pPr>
        <w:pStyle w:val="613"/>
        <w:ind w:firstLine="480"/>
        <w:spacing w:line="540" w:lineRule="exact"/>
        <w:rPr>
          <w:rFonts w:hint="eastAsia" w:ascii="宋体" w:hAnsi="宋体" w:eastAsia="宋体"/>
          <w:bCs/>
          <w:lang w:eastAsia="zh-CN"/>
        </w:rPr>
      </w:pPr>
      <w:r>
        <w:rPr>
          <w:rFonts w:hint="eastAsia" w:ascii="宋体" w:hAnsi="宋体" w:eastAsia="宋体"/>
          <w:bCs/>
          <w:lang w:eastAsia="zh-CN"/>
        </w:rPr>
        <w:t xml:space="preserve">3、免费质保期内如有质量问题时（使用不当除外），供应商将免费修复、更换，同一问题二次修复后仍有问题时，则全套更换。</w:t>
      </w:r>
      <w:r>
        <w:rPr>
          <w:rFonts w:hint="eastAsia" w:ascii="宋体" w:hAnsi="宋体" w:eastAsia="宋体"/>
          <w:bCs/>
          <w:lang w:eastAsia="zh-CN"/>
        </w:rPr>
      </w:r>
      <w:r/>
    </w:p>
    <w:p>
      <w:pPr>
        <w:pStyle w:val="613"/>
        <w:ind w:firstLine="482"/>
        <w:spacing w:line="520" w:lineRule="exact"/>
        <w:rPr>
          <w:rFonts w:hint="eastAsia" w:ascii="宋体" w:hAnsi="宋体" w:eastAsia="宋体" w:cs="宋体"/>
          <w:b/>
          <w:bCs/>
          <w:lang w:eastAsia="zh-CN"/>
        </w:rPr>
      </w:pPr>
      <w:r>
        <w:rPr>
          <w:rFonts w:hint="eastAsia" w:cs="宋体"/>
          <w:b/>
          <w:bCs/>
          <w:lang w:val="en-US" w:eastAsia="zh-CN" w:bidi="zh-CN"/>
        </w:rPr>
        <w:t xml:space="preserve">八</w:t>
      </w:r>
      <w:r>
        <w:rPr>
          <w:rFonts w:hint="eastAsia" w:ascii="宋体" w:hAnsi="宋体" w:eastAsia="宋体" w:cs="宋体"/>
          <w:b/>
          <w:bCs/>
          <w:lang w:eastAsia="zh-CN" w:bidi="zh-CN"/>
        </w:rPr>
        <w:t xml:space="preserve">、</w:t>
      </w:r>
      <w:r>
        <w:rPr>
          <w:rFonts w:hint="eastAsia" w:ascii="宋体" w:hAnsi="宋体" w:eastAsia="宋体" w:cs="宋体"/>
          <w:b/>
          <w:bCs/>
          <w:lang w:eastAsia="zh-CN"/>
        </w:rPr>
        <w:t xml:space="preserve">综合说明</w:t>
      </w:r>
      <w:r>
        <w:rPr>
          <w:rFonts w:hint="eastAsia" w:ascii="宋体" w:hAnsi="宋体" w:eastAsia="宋体" w:cs="宋体"/>
          <w:b/>
          <w:bCs/>
          <w:lang w:eastAsia="zh-CN"/>
        </w:rPr>
      </w:r>
      <w:r/>
    </w:p>
    <w:p>
      <w:pPr>
        <w:pStyle w:val="613"/>
        <w:ind w:firstLine="480"/>
        <w:spacing w:line="540" w:lineRule="exact"/>
        <w:rPr>
          <w:rFonts w:hint="eastAsia" w:ascii="宋体" w:hAnsi="宋体" w:eastAsia="宋体"/>
          <w:bCs/>
          <w:lang w:eastAsia="zh-CN"/>
        </w:rPr>
      </w:pPr>
      <w:r>
        <w:rPr>
          <w:rFonts w:hint="eastAsia" w:ascii="宋体" w:hAnsi="宋体" w:eastAsia="宋体"/>
          <w:bCs/>
          <w:lang w:eastAsia="zh-CN"/>
        </w:rPr>
        <w:t xml:space="preserve">1.投标人按照招标文件的要求提交投标文件，并对所提供的全部资料的真实性承担法律责任。</w:t>
      </w:r>
      <w:r>
        <w:rPr>
          <w:rFonts w:hint="eastAsia" w:ascii="宋体" w:hAnsi="宋体" w:eastAsia="宋体"/>
          <w:bCs/>
          <w:lang w:eastAsia="zh-CN"/>
        </w:rPr>
      </w:r>
      <w:r/>
    </w:p>
    <w:p>
      <w:pPr>
        <w:pStyle w:val="613"/>
        <w:ind w:firstLine="480"/>
        <w:spacing w:line="540" w:lineRule="exact"/>
        <w:rPr>
          <w:rFonts w:hint="eastAsia" w:ascii="宋体" w:hAnsi="宋体" w:eastAsia="宋体"/>
          <w:bCs/>
          <w:lang w:eastAsia="zh-CN"/>
        </w:rPr>
      </w:pPr>
      <w:r>
        <w:rPr>
          <w:rFonts w:hint="eastAsia" w:ascii="宋体" w:hAnsi="宋体" w:eastAsia="宋体"/>
          <w:bCs/>
          <w:lang w:eastAsia="zh-CN"/>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bCs/>
          <w:lang w:eastAsia="zh-CN"/>
        </w:rPr>
      </w:r>
      <w:r/>
    </w:p>
    <w:p>
      <w:pPr>
        <w:pStyle w:val="613"/>
        <w:ind w:firstLine="480"/>
        <w:spacing w:line="540" w:lineRule="exact"/>
        <w:rPr>
          <w:rFonts w:hint="eastAsia" w:ascii="宋体" w:hAnsi="宋体" w:eastAsia="宋体"/>
          <w:bCs/>
          <w:lang w:eastAsia="zh-CN"/>
        </w:rPr>
      </w:pPr>
      <w:r>
        <w:rPr>
          <w:rFonts w:hint="eastAsia" w:ascii="宋体" w:hAnsi="宋体" w:eastAsia="宋体"/>
          <w:bCs/>
          <w:lang w:eastAsia="zh-CN"/>
        </w:rPr>
        <w:t xml:space="preserve">3.中标单位将根据招标文件、投标文件的相关约定，承担合同责任，履行合同义务。</w:t>
      </w:r>
      <w:r>
        <w:rPr>
          <w:rFonts w:hint="eastAsia" w:ascii="宋体" w:hAnsi="宋体" w:eastAsia="宋体"/>
          <w:bCs/>
          <w:lang w:eastAsia="zh-CN"/>
        </w:rPr>
      </w:r>
      <w:r/>
    </w:p>
    <w:p>
      <w:pPr>
        <w:pStyle w:val="613"/>
        <w:ind w:firstLine="480"/>
        <w:spacing w:line="540" w:lineRule="exact"/>
        <w:rPr>
          <w:rFonts w:hint="eastAsia" w:ascii="宋体" w:hAnsi="宋体" w:eastAsia="宋体"/>
          <w:bCs/>
          <w:lang w:eastAsia="zh-CN"/>
        </w:rPr>
      </w:pPr>
      <w:r>
        <w:rPr>
          <w:rFonts w:hint="eastAsia" w:ascii="宋体" w:hAnsi="宋体" w:eastAsia="宋体"/>
          <w:bCs/>
          <w:lang w:eastAsia="zh-CN"/>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bCs/>
          <w:lang w:eastAsia="zh-CN"/>
        </w:rPr>
      </w:r>
      <w:r/>
    </w:p>
    <w:p>
      <w:pPr>
        <w:pStyle w:val="613"/>
        <w:rPr>
          <w:rFonts w:hint="eastAsia" w:ascii="宋体" w:hAnsi="宋体" w:eastAsia="宋体"/>
          <w:bCs/>
          <w:lang w:eastAsia="zh-CN"/>
        </w:rPr>
      </w:pPr>
      <w:r>
        <w:rPr>
          <w:rFonts w:hint="eastAsia" w:ascii="宋体" w:hAnsi="宋体" w:eastAsia="宋体"/>
          <w:bCs/>
          <w:lang w:eastAsia="zh-CN"/>
        </w:rPr>
        <w:br w:type="page" w:clear="all"/>
      </w:r>
      <w:r>
        <w:rPr>
          <w:rFonts w:hint="eastAsia" w:ascii="宋体" w:hAnsi="宋体" w:eastAsia="宋体"/>
          <w:bCs/>
          <w:lang w:eastAsia="zh-CN"/>
        </w:rPr>
      </w:r>
      <w:r/>
    </w:p>
    <w:p>
      <w:pPr>
        <w:pStyle w:val="613"/>
        <w:jc w:val="center"/>
        <w:spacing w:after="0"/>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pStyle w:val="613"/>
        <w:jc w:val="center"/>
        <w:spacing w:after="0"/>
        <w:rPr>
          <w:rFonts w:hint="eastAsia" w:ascii="宋体" w:hAnsi="宋体" w:eastAsia="宋体" w:cs="宋体"/>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lang w:eastAsia="zh-CN"/>
        </w:rPr>
        <w:t xml:space="preserve">第四章   </w:t>
      </w:r>
      <w:r>
        <w:rPr>
          <w:rFonts w:ascii="宋体" w:hAnsi="宋体" w:eastAsia="宋体" w:cs="宋体"/>
          <w:b/>
          <w:bCs/>
          <w:color w:val="000000"/>
          <w:sz w:val="30"/>
          <w:lang w:eastAsia="zh-CN"/>
        </w:rPr>
        <w:t xml:space="preserve">评标办法及标准</w:t>
      </w:r>
      <w:r>
        <w:rPr>
          <w:rFonts w:hint="eastAsia" w:ascii="宋体" w:hAnsi="宋体" w:eastAsia="宋体" w:cs="宋体"/>
          <w:b/>
          <w:bCs/>
          <w:color w:val="000000"/>
          <w:sz w:val="30"/>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rPr>
          <w:lang w:eastAsia="zh-CN"/>
        </w:rPr>
      </w:r>
      <w:r/>
    </w:p>
    <w:p>
      <w:pPr>
        <w:pStyle w:val="613"/>
        <w:jc w:val="both"/>
        <w:spacing w:line="85"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bookmarkStart w:id="1" w:name="OLE_LINK3"/>
      <w:r>
        <w:rPr>
          <w:rFonts w:hint="eastAsia" w:ascii="宋体" w:hAnsi="宋体" w:eastAsia="宋体" w:cs="宋体"/>
          <w:b/>
          <w:color w:val="000000"/>
          <w:sz w:val="24"/>
          <w:szCs w:val="24"/>
          <w:lang w:eastAsia="zh-CN"/>
        </w:rPr>
        <w:t xml:space="preserve">一、评标办法：</w:t>
      </w:r>
      <w:r>
        <w:rPr>
          <w:rFonts w:hint="eastAsia"/>
          <w:sz w:val="24"/>
          <w:szCs w:val="24"/>
          <w:lang w:eastAsia="zh-CN"/>
        </w:rPr>
      </w:r>
      <w:r/>
    </w:p>
    <w:p>
      <w:pPr>
        <w:pStyle w:val="613"/>
        <w:ind w:firstLine="630"/>
        <w:spacing w:line="360" w:lineRule="exact"/>
        <w:rPr>
          <w:rFonts w:hint="eastAsia"/>
          <w:sz w:val="24"/>
          <w:szCs w:val="24"/>
          <w:lang w:eastAsia="zh-CN"/>
        </w:rPr>
      </w:pPr>
      <w:r>
        <w:rPr>
          <w:rFonts w:hint="eastAsia" w:ascii="宋体" w:hAnsi="宋体" w:eastAsia="宋体" w:cs="宋体"/>
          <w:sz w:val="24"/>
          <w:szCs w:val="24"/>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hint="eastAsia"/>
          <w:sz w:val="24"/>
          <w:szCs w:val="24"/>
          <w:lang w:eastAsia="zh-CN"/>
        </w:rPr>
      </w:r>
      <w:r/>
    </w:p>
    <w:p>
      <w:pPr>
        <w:pStyle w:val="613"/>
        <w:ind w:firstLine="630"/>
        <w:spacing w:line="360" w:lineRule="exact"/>
        <w:rPr>
          <w:rFonts w:hint="eastAsia"/>
          <w:sz w:val="24"/>
          <w:szCs w:val="24"/>
        </w:rPr>
      </w:pPr>
      <w:r>
        <w:rPr>
          <w:rFonts w:hint="eastAsia" w:ascii="宋体" w:hAnsi="宋体" w:eastAsia="宋体" w:cs="宋体"/>
          <w:sz w:val="24"/>
          <w:szCs w:val="24"/>
          <w:lang w:eastAsia="zh-CN"/>
        </w:rPr>
        <w:t xml:space="preserve">小微型企业价格扣除：①本项目对小型和微型企业产品给予10%</w:t>
      </w:r>
      <w:r>
        <w:rPr>
          <w:rFonts w:hint="eastAsia" w:ascii="宋体" w:hAnsi="宋体" w:eastAsia="宋体" w:cs="宋体"/>
          <w:sz w:val="24"/>
          <w:szCs w:val="24"/>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4"/>
          <w:szCs w:val="24"/>
        </w:rPr>
        <w:t xml:space="preserve">（如面向中小企业的不享受价格折扣）</w:t>
      </w:r>
      <w:r>
        <w:rPr>
          <w:rFonts w:hint="eastAsia"/>
          <w:sz w:val="24"/>
          <w:szCs w:val="24"/>
        </w:rPr>
      </w:r>
      <w:r/>
    </w:p>
    <w:p>
      <w:pPr>
        <w:pStyle w:val="613"/>
        <w:numPr>
          <w:ilvl w:val="0"/>
          <w:numId w:val="6"/>
        </w:numPr>
        <w:ind w:left="18" w:firstLine="422"/>
        <w:jc w:val="both"/>
        <w:spacing w:before="120" w:after="0" w:line="85" w:lineRule="atLeast"/>
        <w:widowControl w:val="off"/>
        <w:rPr>
          <w:rFonts w:hint="eastAsia"/>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技术、商务、价格评分应分别考虑下列因素： </w:t>
      </w:r>
      <w:r>
        <w:rPr>
          <w:rFonts w:hint="eastAsia"/>
          <w:b/>
          <w:color w:val="000000"/>
          <w:sz w:val="24"/>
          <w:szCs w:val="24"/>
          <w:lang w:eastAsia="zh-CN"/>
        </w:rPr>
      </w:r>
      <w:r/>
    </w:p>
    <w:tbl>
      <w:tblPr>
        <w:tblW w:w="4586"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28"/>
        <w:gridCol w:w="5882"/>
        <w:gridCol w:w="1569"/>
      </w:tblGrid>
      <w:tr>
        <w:trPr>
          <w:trHeight w:val="722"/>
        </w:trPr>
        <w:tc>
          <w:tcPr>
            <w:tcW w:w="1328" w:type="dxa"/>
            <w:vAlign w:val="center"/>
            <w:textDirection w:val="lrTb"/>
            <w:noWrap w:val="false"/>
          </w:tcPr>
          <w:p>
            <w:pPr>
              <w:pStyle w:val="613"/>
              <w:ind w:left="-78" w:right="-73"/>
              <w:jc w:val="center"/>
              <w:spacing w:line="288" w:lineRule="auto"/>
              <w:rPr>
                <w:rFonts w:ascii="宋体" w:hAnsi="宋体" w:eastAsia="宋体" w:cs="宋体"/>
                <w:b/>
                <w:sz w:val="21"/>
                <w:szCs w:val="21"/>
              </w:rPr>
            </w:pPr>
            <w:r>
              <w:rPr>
                <w:rFonts w:hint="eastAsia" w:ascii="宋体" w:hAnsi="宋体" w:eastAsia="宋体" w:cs="宋体"/>
                <w:b/>
                <w:sz w:val="21"/>
                <w:szCs w:val="21"/>
              </w:rPr>
              <w:t xml:space="preserve">评审因素</w:t>
            </w:r>
            <w:r>
              <w:rPr>
                <w:rFonts w:ascii="宋体" w:hAnsi="宋体" w:eastAsia="宋体" w:cs="宋体"/>
                <w:b/>
                <w:sz w:val="21"/>
                <w:szCs w:val="21"/>
              </w:rPr>
            </w:r>
            <w:r/>
          </w:p>
        </w:tc>
        <w:tc>
          <w:tcPr>
            <w:tcW w:w="5883" w:type="dxa"/>
            <w:vAlign w:val="center"/>
            <w:textDirection w:val="lrTb"/>
            <w:noWrap w:val="false"/>
          </w:tcPr>
          <w:p>
            <w:pPr>
              <w:pStyle w:val="613"/>
              <w:ind w:left="-78" w:right="-73"/>
              <w:jc w:val="center"/>
              <w:spacing w:line="288" w:lineRule="auto"/>
              <w:rPr>
                <w:rFonts w:ascii="宋体" w:hAnsi="宋体" w:eastAsia="宋体" w:cs="宋体"/>
                <w:b/>
                <w:sz w:val="21"/>
                <w:szCs w:val="21"/>
              </w:rPr>
            </w:pPr>
            <w:r>
              <w:rPr>
                <w:rFonts w:hint="eastAsia" w:ascii="宋体" w:hAnsi="宋体" w:eastAsia="宋体" w:cs="宋体"/>
                <w:b/>
                <w:sz w:val="21"/>
                <w:szCs w:val="21"/>
              </w:rPr>
              <w:t xml:space="preserve">评分细则</w:t>
            </w:r>
            <w:r>
              <w:rPr>
                <w:rFonts w:ascii="宋体" w:hAnsi="宋体" w:eastAsia="宋体" w:cs="宋体"/>
                <w:b/>
                <w:sz w:val="21"/>
                <w:szCs w:val="21"/>
              </w:rPr>
            </w:r>
            <w:r/>
          </w:p>
        </w:tc>
        <w:tc>
          <w:tcPr>
            <w:tcW w:w="1569" w:type="dxa"/>
            <w:vAlign w:val="center"/>
            <w:textDirection w:val="lrTb"/>
            <w:noWrap w:val="false"/>
          </w:tcPr>
          <w:p>
            <w:pPr>
              <w:pStyle w:val="613"/>
              <w:ind w:left="-78" w:right="-73"/>
              <w:jc w:val="center"/>
              <w:spacing w:line="288" w:lineRule="auto"/>
              <w:rPr>
                <w:rFonts w:ascii="宋体" w:hAnsi="宋体" w:eastAsia="宋体" w:cs="宋体"/>
                <w:b/>
                <w:sz w:val="21"/>
                <w:szCs w:val="21"/>
              </w:rPr>
            </w:pPr>
            <w:r>
              <w:rPr>
                <w:rFonts w:hint="eastAsia" w:ascii="宋体" w:hAnsi="宋体" w:eastAsia="宋体" w:cs="宋体"/>
                <w:b/>
                <w:sz w:val="21"/>
                <w:szCs w:val="21"/>
              </w:rPr>
              <w:t xml:space="preserve">分值（分）</w:t>
            </w:r>
            <w:r>
              <w:rPr>
                <w:rFonts w:ascii="宋体" w:hAnsi="宋体" w:eastAsia="宋体" w:cs="宋体"/>
                <w:b/>
                <w:sz w:val="21"/>
                <w:szCs w:val="21"/>
              </w:rPr>
            </w:r>
            <w:r/>
          </w:p>
        </w:tc>
      </w:tr>
      <w:tr>
        <w:trPr/>
        <w:tc>
          <w:tcPr>
            <w:gridSpan w:val="3"/>
            <w:tcW w:w="8780" w:type="dxa"/>
            <w:vAlign w:val="center"/>
            <w:textDirection w:val="lrTb"/>
            <w:noWrap w:val="false"/>
          </w:tcPr>
          <w:p>
            <w:pPr>
              <w:pStyle w:val="613"/>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报价部分（</w:t>
            </w:r>
            <w:r>
              <w:rPr>
                <w:rFonts w:hint="eastAsia" w:cs="宋体"/>
                <w:b/>
                <w:sz w:val="21"/>
                <w:szCs w:val="21"/>
                <w:lang w:eastAsia="zh-CN"/>
              </w:rPr>
              <w:t xml:space="preserve">3</w:t>
            </w:r>
            <w:r>
              <w:rPr>
                <w:rFonts w:ascii="宋体" w:hAnsi="宋体" w:eastAsia="宋体" w:cs="宋体"/>
                <w:b/>
                <w:sz w:val="21"/>
                <w:szCs w:val="21"/>
              </w:rPr>
              <w:t xml:space="preserve">0</w:t>
            </w:r>
            <w:r>
              <w:rPr>
                <w:rFonts w:hint="eastAsia" w:ascii="宋体" w:hAnsi="宋体" w:eastAsia="宋体" w:cs="宋体"/>
                <w:b/>
                <w:sz w:val="21"/>
                <w:szCs w:val="21"/>
              </w:rPr>
              <w:t xml:space="preserve">分）</w:t>
            </w:r>
            <w:r>
              <w:rPr>
                <w:rFonts w:hint="eastAsia" w:ascii="宋体" w:hAnsi="宋体" w:eastAsia="宋体" w:cs="宋体"/>
                <w:b/>
                <w:sz w:val="21"/>
                <w:szCs w:val="21"/>
              </w:rPr>
            </w:r>
            <w:r/>
          </w:p>
        </w:tc>
      </w:tr>
      <w:tr>
        <w:trPr/>
        <w:tc>
          <w:tcPr>
            <w:tcW w:w="1328" w:type="dxa"/>
            <w:vAlign w:val="center"/>
            <w:textDirection w:val="lrTb"/>
            <w:noWrap w:val="false"/>
          </w:tcPr>
          <w:p>
            <w:pPr>
              <w:pStyle w:val="613"/>
              <w:jc w:val="center"/>
              <w:spacing w:line="288" w:lineRule="auto"/>
              <w:rPr>
                <w:rFonts w:ascii="宋体" w:hAnsi="宋体" w:eastAsia="宋体" w:cs="宋体"/>
                <w:sz w:val="21"/>
                <w:szCs w:val="21"/>
              </w:rPr>
            </w:pPr>
            <w:r>
              <w:rPr>
                <w:rFonts w:hint="eastAsia" w:ascii="宋体" w:hAnsi="宋体" w:eastAsia="宋体" w:cs="宋体"/>
                <w:bCs/>
                <w:sz w:val="21"/>
                <w:szCs w:val="21"/>
              </w:rPr>
              <w:t xml:space="preserve">价格部分</w:t>
            </w:r>
            <w:r>
              <w:rPr>
                <w:rFonts w:ascii="宋体" w:hAnsi="宋体" w:eastAsia="宋体" w:cs="宋体"/>
                <w:sz w:val="21"/>
                <w:szCs w:val="21"/>
              </w:rPr>
            </w:r>
            <w:r/>
          </w:p>
        </w:tc>
        <w:tc>
          <w:tcPr>
            <w:tcW w:w="5883" w:type="dxa"/>
            <w:vAlign w:val="center"/>
            <w:textDirection w:val="lrTb"/>
            <w:noWrap w:val="false"/>
          </w:tcPr>
          <w:p>
            <w:pPr>
              <w:pStyle w:val="613"/>
              <w:rPr>
                <w:rFonts w:ascii="宋体" w:hAnsi="宋体" w:eastAsia="宋体" w:cs="宋体"/>
                <w:sz w:val="21"/>
                <w:szCs w:val="21"/>
                <w:lang w:eastAsia="zh-CN"/>
              </w:rPr>
            </w:pPr>
            <w:r>
              <w:rPr>
                <w:rFonts w:hint="eastAsia" w:ascii="宋体" w:hAnsi="宋体" w:eastAsia="宋体" w:cs="宋体"/>
                <w:b/>
                <w:bCs/>
                <w:sz w:val="21"/>
                <w:szCs w:val="21"/>
                <w:lang w:eastAsia="zh-CN"/>
              </w:rPr>
              <w:t xml:space="preserve">价格分应当采用经评审的最低价法计算，即满足</w:t>
            </w:r>
            <w:r>
              <w:rPr>
                <w:rFonts w:hint="eastAsia" w:ascii="宋体" w:hAnsi="宋体" w:eastAsia="宋体" w:cs="宋体"/>
                <w:b/>
                <w:bCs/>
                <w:sz w:val="21"/>
                <w:szCs w:val="21"/>
                <w:lang w:val="en-US" w:eastAsia="zh-CN"/>
              </w:rPr>
              <w:t xml:space="preserve">招标</w:t>
            </w:r>
            <w:r>
              <w:rPr>
                <w:rFonts w:hint="eastAsia" w:ascii="宋体" w:hAnsi="宋体" w:eastAsia="宋体" w:cs="宋体"/>
                <w:b/>
                <w:bCs/>
                <w:sz w:val="21"/>
                <w:szCs w:val="21"/>
                <w:lang w:eastAsia="zh-CN"/>
              </w:rPr>
              <w:t xml:space="preserve">文件要求且最终报价最低的投标报价为评标基准价，</w:t>
            </w:r>
            <w:r>
              <w:rPr>
                <w:rFonts w:hint="eastAsia" w:ascii="宋体" w:hAnsi="宋体" w:eastAsia="宋体" w:cs="宋体"/>
                <w:sz w:val="21"/>
                <w:szCs w:val="21"/>
                <w:lang w:eastAsia="zh-CN"/>
              </w:rPr>
              <w:t xml:space="preserve">其价格分为满分。其他供应商的价格分统一按照下列公式计算：</w:t>
            </w:r>
            <w:r>
              <w:rPr>
                <w:rFonts w:ascii="宋体" w:hAnsi="宋体" w:eastAsia="宋体" w:cs="宋体"/>
                <w:sz w:val="21"/>
                <w:szCs w:val="21"/>
                <w:lang w:eastAsia="zh-CN"/>
              </w:rPr>
            </w:r>
            <w:r/>
          </w:p>
          <w:p>
            <w:pPr>
              <w:pStyle w:val="613"/>
              <w:rPr>
                <w:rFonts w:ascii="宋体" w:hAnsi="宋体" w:eastAsia="宋体" w:cs="宋体"/>
                <w:sz w:val="21"/>
                <w:szCs w:val="21"/>
                <w:lang w:eastAsia="zh-CN"/>
              </w:rPr>
            </w:pPr>
            <w:r>
              <w:rPr>
                <w:rFonts w:hint="eastAsia" w:ascii="宋体" w:hAnsi="宋体" w:eastAsia="宋体" w:cs="宋体"/>
                <w:sz w:val="21"/>
                <w:szCs w:val="21"/>
                <w:lang w:eastAsia="zh-CN"/>
              </w:rPr>
              <w:t xml:space="preserve">投标报价得分=（评标基准价/最终报价）×</w:t>
            </w:r>
            <w:r>
              <w:rPr>
                <w:rFonts w:hint="eastAsia" w:cs="宋体"/>
                <w:sz w:val="21"/>
                <w:szCs w:val="21"/>
                <w:lang w:eastAsia="zh-CN"/>
              </w:rPr>
              <w:t xml:space="preserve">3</w:t>
            </w:r>
            <w:r>
              <w:rPr>
                <w:rFonts w:hint="eastAsia" w:ascii="宋体" w:hAnsi="宋体" w:eastAsia="宋体" w:cs="宋体"/>
                <w:sz w:val="21"/>
                <w:szCs w:val="21"/>
                <w:lang w:eastAsia="zh-CN"/>
              </w:rPr>
              <w:t xml:space="preserve">0，小数点后保留2位。</w:t>
            </w:r>
            <w:r>
              <w:rPr>
                <w:rFonts w:ascii="宋体" w:hAnsi="宋体" w:eastAsia="宋体" w:cs="宋体"/>
                <w:sz w:val="21"/>
                <w:szCs w:val="21"/>
                <w:lang w:eastAsia="zh-CN"/>
              </w:rPr>
            </w:r>
            <w:r/>
          </w:p>
        </w:tc>
        <w:tc>
          <w:tcPr>
            <w:tcW w:w="1569" w:type="dxa"/>
            <w:vAlign w:val="center"/>
            <w:textDirection w:val="lrTb"/>
            <w:noWrap w:val="false"/>
          </w:tcPr>
          <w:p>
            <w:pPr>
              <w:pStyle w:val="613"/>
              <w:jc w:val="center"/>
              <w:spacing w:line="288" w:lineRule="auto"/>
              <w:rPr>
                <w:rFonts w:ascii="宋体" w:hAnsi="宋体" w:eastAsia="宋体" w:cs="宋体"/>
                <w:sz w:val="21"/>
                <w:szCs w:val="21"/>
                <w:lang w:eastAsia="zh-CN"/>
              </w:rPr>
            </w:pPr>
            <w:r>
              <w:rPr>
                <w:rFonts w:hint="eastAsia" w:cs="宋体"/>
                <w:sz w:val="21"/>
                <w:szCs w:val="21"/>
                <w:lang w:eastAsia="zh-CN"/>
              </w:rPr>
              <w:t xml:space="preserve">30</w:t>
            </w:r>
            <w:r>
              <w:rPr>
                <w:rFonts w:ascii="宋体" w:hAnsi="宋体" w:eastAsia="宋体" w:cs="宋体"/>
                <w:sz w:val="21"/>
                <w:szCs w:val="21"/>
                <w:lang w:eastAsia="zh-CN"/>
              </w:rPr>
            </w:r>
            <w:r/>
          </w:p>
        </w:tc>
      </w:tr>
      <w:tr>
        <w:trPr/>
        <w:tc>
          <w:tcPr>
            <w:gridSpan w:val="3"/>
            <w:tcW w:w="8780" w:type="dxa"/>
            <w:vAlign w:val="center"/>
            <w:textDirection w:val="lrTb"/>
            <w:noWrap w:val="false"/>
          </w:tcPr>
          <w:p>
            <w:pPr>
              <w:pStyle w:val="613"/>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商务部分（</w:t>
            </w:r>
            <w:r>
              <w:rPr>
                <w:rFonts w:hint="eastAsia" w:cs="宋体"/>
                <w:b/>
                <w:sz w:val="21"/>
                <w:szCs w:val="21"/>
                <w:lang w:eastAsia="zh-CN"/>
              </w:rPr>
              <w:t xml:space="preserve">23</w:t>
            </w:r>
            <w:r>
              <w:rPr>
                <w:rFonts w:hint="eastAsia" w:ascii="宋体" w:hAnsi="宋体" w:eastAsia="宋体" w:cs="宋体"/>
                <w:b/>
                <w:sz w:val="21"/>
                <w:szCs w:val="21"/>
              </w:rPr>
              <w:t xml:space="preserve">分）</w:t>
            </w:r>
            <w:r>
              <w:rPr>
                <w:rFonts w:hint="eastAsia" w:ascii="宋体" w:hAnsi="宋体" w:eastAsia="宋体" w:cs="宋体"/>
                <w:sz w:val="21"/>
                <w:szCs w:val="21"/>
              </w:rPr>
            </w:r>
            <w:r/>
          </w:p>
        </w:tc>
      </w:tr>
      <w:tr>
        <w:trPr/>
        <w:tc>
          <w:tcPr>
            <w:tcW w:w="1328" w:type="dxa"/>
            <w:vAlign w:val="center"/>
            <w:textDirection w:val="lrTb"/>
            <w:noWrap w:val="false"/>
          </w:tcPr>
          <w:p>
            <w:pPr>
              <w:pStyle w:val="613"/>
              <w:jc w:val="center"/>
              <w:spacing w:line="520" w:lineRule="exact"/>
              <w:rPr>
                <w:rFonts w:ascii="宋体" w:hAnsi="宋体" w:eastAsia="宋体" w:cs="宋体"/>
                <w:bCs/>
                <w:sz w:val="21"/>
                <w:szCs w:val="21"/>
              </w:rPr>
            </w:pPr>
            <w:r>
              <w:rPr>
                <w:rFonts w:hint="eastAsia" w:ascii="宋体" w:hAnsi="宋体" w:eastAsia="宋体" w:cs="宋体"/>
                <w:bCs/>
                <w:sz w:val="21"/>
                <w:szCs w:val="21"/>
              </w:rPr>
              <w:t xml:space="preserve">技术参数响应情况</w:t>
            </w:r>
            <w:r>
              <w:rPr>
                <w:rFonts w:ascii="宋体" w:hAnsi="宋体" w:eastAsia="宋体" w:cs="宋体"/>
                <w:bCs/>
                <w:sz w:val="21"/>
                <w:szCs w:val="21"/>
              </w:rPr>
            </w:r>
            <w:r/>
          </w:p>
          <w:p>
            <w:pPr>
              <w:pStyle w:val="613"/>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83" w:type="dxa"/>
            <w:vAlign w:val="center"/>
            <w:textDirection w:val="lrTb"/>
            <w:noWrap w:val="false"/>
          </w:tcPr>
          <w:p>
            <w:pPr>
              <w:pStyle w:val="613"/>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根据各供应商所投产品技术偏离表、投标产品彩图及投标产品技术情况描述由评标委员会进行评分。完全响应招标文件第</w:t>
            </w:r>
            <w:r>
              <w:rPr>
                <w:rFonts w:hint="eastAsia" w:cs="宋体"/>
                <w:sz w:val="21"/>
                <w:szCs w:val="21"/>
                <w:lang w:eastAsia="zh-CN"/>
              </w:rPr>
              <w:t xml:space="preserve">五</w:t>
            </w:r>
            <w:r>
              <w:rPr>
                <w:rFonts w:hint="eastAsia" w:ascii="宋体" w:hAnsi="宋体" w:eastAsia="宋体" w:cs="宋体"/>
                <w:sz w:val="21"/>
                <w:szCs w:val="21"/>
                <w:lang w:eastAsia="zh-CN"/>
              </w:rPr>
              <w:t xml:space="preserve">部分的技术要求的得满分</w:t>
            </w:r>
            <w:r>
              <w:rPr>
                <w:rFonts w:hint="eastAsia" w:cs="宋体"/>
                <w:sz w:val="21"/>
                <w:szCs w:val="21"/>
                <w:lang w:eastAsia="zh-CN"/>
              </w:rPr>
              <w:t xml:space="preserve">10</w:t>
            </w:r>
            <w:r>
              <w:rPr>
                <w:rFonts w:hint="eastAsia" w:ascii="宋体" w:hAnsi="宋体" w:eastAsia="宋体" w:cs="宋体"/>
                <w:sz w:val="21"/>
                <w:szCs w:val="21"/>
                <w:lang w:eastAsia="zh-CN"/>
              </w:rPr>
              <w:t xml:space="preserve">分，关键指标要求（标注★）为必须满足项，如有负偏离，将作为无效投标；其余指标要求负偏离一项（指参数要求中的一条）扣1分，扣完为止。</w:t>
            </w:r>
            <w:r>
              <w:rPr>
                <w:rFonts w:hint="eastAsia" w:ascii="宋体" w:hAnsi="宋体" w:eastAsia="宋体" w:cs="宋体"/>
                <w:b/>
                <w:bCs/>
                <w:sz w:val="21"/>
                <w:szCs w:val="21"/>
                <w:lang w:eastAsia="zh-CN"/>
              </w:rPr>
            </w:r>
            <w:r/>
          </w:p>
        </w:tc>
        <w:tc>
          <w:tcPr>
            <w:tcW w:w="1569" w:type="dxa"/>
            <w:vAlign w:val="center"/>
            <w:textDirection w:val="lrTb"/>
            <w:noWrap w:val="false"/>
          </w:tcPr>
          <w:p>
            <w:pPr>
              <w:pStyle w:val="613"/>
              <w:jc w:val="center"/>
              <w:spacing w:line="288" w:lineRule="auto"/>
              <w:rPr>
                <w:rFonts w:ascii="宋体" w:hAnsi="宋体" w:eastAsia="宋体" w:cs="宋体"/>
                <w:sz w:val="21"/>
                <w:szCs w:val="21"/>
                <w:lang w:eastAsia="zh-CN"/>
              </w:rPr>
            </w:pPr>
            <w:r>
              <w:rPr>
                <w:rFonts w:hint="eastAsia" w:cs="宋体"/>
                <w:sz w:val="21"/>
                <w:szCs w:val="21"/>
                <w:lang w:eastAsia="zh-CN"/>
              </w:rPr>
              <w:t xml:space="preserve">10</w:t>
            </w:r>
            <w:r>
              <w:rPr>
                <w:rFonts w:ascii="宋体" w:hAnsi="宋体" w:eastAsia="宋体" w:cs="宋体"/>
                <w:sz w:val="21"/>
                <w:szCs w:val="21"/>
                <w:lang w:eastAsia="zh-CN"/>
              </w:rPr>
            </w:r>
            <w:r/>
          </w:p>
        </w:tc>
      </w:tr>
      <w:tr>
        <w:trPr>
          <w:trHeight w:val="1724"/>
        </w:trPr>
        <w:tc>
          <w:tcPr>
            <w:tcW w:w="1328" w:type="dxa"/>
            <w:vAlign w:val="center"/>
            <w:textDirection w:val="lrTb"/>
            <w:noWrap w:val="false"/>
          </w:tcPr>
          <w:p>
            <w:pPr>
              <w:pStyle w:val="613"/>
              <w:jc w:val="center"/>
              <w:spacing w:line="320"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核心产品 检测报告</w:t>
            </w:r>
            <w:r>
              <w:rPr>
                <w:rFonts w:ascii="宋体" w:hAnsi="宋体" w:eastAsia="宋体" w:cs="宋体"/>
                <w:color w:val="000000"/>
                <w:sz w:val="21"/>
                <w:szCs w:val="21"/>
                <w:lang w:val="en-US" w:eastAsia="zh-CN"/>
              </w:rPr>
            </w:r>
            <w:r/>
          </w:p>
        </w:tc>
        <w:tc>
          <w:tcPr>
            <w:tcW w:w="5883" w:type="dxa"/>
            <w:vAlign w:val="center"/>
            <w:textDirection w:val="lrTb"/>
            <w:noWrap w:val="false"/>
          </w:tcPr>
          <w:p>
            <w:pPr>
              <w:pStyle w:val="613"/>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双位漫步机、三位扭腰器、上肢牵引器、</w:t>
            </w:r>
            <w:r>
              <w:rPr>
                <w:rFonts w:hint="eastAsia" w:ascii="宋体" w:hAnsi="宋体" w:eastAsia="宋体" w:cs="宋体"/>
                <w:color w:val="000000"/>
                <w:sz w:val="21"/>
                <w:szCs w:val="21"/>
                <w:lang w:val="en-US" w:eastAsia="zh-CN"/>
              </w:rPr>
              <w:t xml:space="preserve">室外</w:t>
            </w:r>
            <w:r>
              <w:rPr>
                <w:rFonts w:hint="eastAsia" w:ascii="宋体" w:hAnsi="宋体" w:eastAsia="宋体" w:cs="宋体"/>
                <w:color w:val="000000"/>
                <w:sz w:val="21"/>
                <w:szCs w:val="21"/>
                <w:lang w:eastAsia="zh-CN"/>
              </w:rPr>
              <w:t xml:space="preserve">乒乓球台、</w:t>
            </w:r>
            <w:r>
              <w:rPr>
                <w:rFonts w:hint="eastAsia" w:ascii="宋体" w:hAnsi="宋体" w:eastAsia="宋体" w:cs="宋体"/>
                <w:color w:val="000000"/>
                <w:sz w:val="21"/>
                <w:szCs w:val="21"/>
                <w:lang w:val="en-US" w:eastAsia="zh-CN"/>
              </w:rPr>
              <w:t xml:space="preserve">移动</w:t>
            </w:r>
            <w:r>
              <w:rPr>
                <w:rFonts w:hint="eastAsia" w:ascii="宋体" w:hAnsi="宋体" w:eastAsia="宋体" w:cs="宋体"/>
                <w:color w:val="000000"/>
                <w:sz w:val="21"/>
                <w:szCs w:val="21"/>
                <w:lang w:eastAsia="zh-CN"/>
              </w:rPr>
              <w:t xml:space="preserve">篮球架</w:t>
            </w:r>
            <w:r>
              <w:rPr>
                <w:rFonts w:hint="eastAsia" w:ascii="宋体" w:hAnsi="宋体" w:eastAsia="宋体" w:cs="宋体"/>
                <w:color w:val="000000"/>
                <w:sz w:val="21"/>
                <w:szCs w:val="21"/>
                <w:lang w:val="en-US" w:eastAsia="zh-CN"/>
              </w:rPr>
              <w:t xml:space="preserve">五件核心产品，每个产品提供专业第三方检测机构出具的合格</w:t>
            </w:r>
            <w:r>
              <w:rPr>
                <w:rFonts w:hint="eastAsia" w:ascii="宋体" w:hAnsi="宋体" w:eastAsia="宋体" w:cs="宋体"/>
                <w:color w:val="000000"/>
                <w:sz w:val="21"/>
                <w:szCs w:val="21"/>
                <w:lang w:eastAsia="zh-CN"/>
              </w:rPr>
              <w:t xml:space="preserve">质量检测报告</w:t>
            </w:r>
            <w:r>
              <w:rPr>
                <w:rFonts w:hint="eastAsia" w:ascii="宋体" w:hAnsi="宋体" w:eastAsia="宋体" w:cs="宋体"/>
                <w:color w:val="000000"/>
                <w:sz w:val="21"/>
                <w:szCs w:val="21"/>
                <w:lang w:val="en-US" w:eastAsia="zh-CN"/>
              </w:rPr>
              <w:t xml:space="preserve">得1分，最高得5分。</w:t>
            </w:r>
            <w:r>
              <w:rPr>
                <w:rFonts w:hint="eastAsia" w:ascii="宋体" w:hAnsi="宋体" w:eastAsia="宋体" w:cs="宋体"/>
                <w:color w:val="000000"/>
                <w:sz w:val="21"/>
                <w:szCs w:val="21"/>
                <w:lang w:val="en-US" w:eastAsia="zh-CN"/>
              </w:rPr>
            </w:r>
            <w:r/>
          </w:p>
          <w:p>
            <w:pPr>
              <w:pStyle w:val="613"/>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eastAsia="zh-CN" w:bidi="en-US"/>
              </w:rPr>
              <w:t xml:space="preserve">提供检测报告复印件并加盖投标单位公章，</w:t>
            </w:r>
            <w:r>
              <w:rPr>
                <w:rFonts w:hint="eastAsia" w:ascii="宋体" w:hAnsi="宋体" w:eastAsia="宋体" w:cs="宋体"/>
                <w:b/>
                <w:bCs/>
                <w:color w:val="000000"/>
                <w:sz w:val="21"/>
                <w:szCs w:val="21"/>
                <w:lang w:val="en-US" w:eastAsia="zh-CN" w:bidi="en-US"/>
              </w:rPr>
              <w:t xml:space="preserve">未</w:t>
            </w:r>
            <w:r>
              <w:rPr>
                <w:rFonts w:hint="eastAsia" w:ascii="宋体" w:hAnsi="宋体" w:eastAsia="宋体" w:cs="宋体"/>
                <w:b/>
                <w:bCs/>
                <w:color w:val="000000"/>
                <w:sz w:val="21"/>
                <w:szCs w:val="21"/>
                <w:lang w:eastAsia="zh-CN" w:bidi="en-US"/>
              </w:rPr>
              <w:t xml:space="preserve">提供或不符合要求</w:t>
            </w:r>
            <w:r>
              <w:rPr>
                <w:rFonts w:hint="eastAsia" w:ascii="宋体" w:hAnsi="宋体" w:eastAsia="宋体" w:cs="宋体"/>
                <w:b/>
                <w:bCs/>
                <w:color w:val="000000"/>
                <w:sz w:val="21"/>
                <w:szCs w:val="21"/>
                <w:lang w:val="en-US" w:eastAsia="zh-CN" w:bidi="en-US"/>
              </w:rPr>
              <w:t xml:space="preserve">的不得分</w:t>
            </w:r>
            <w:r>
              <w:rPr>
                <w:rFonts w:hint="eastAsia" w:ascii="宋体" w:hAnsi="宋体" w:eastAsia="宋体" w:cs="宋体"/>
                <w:b/>
                <w:bCs/>
                <w:color w:val="000000"/>
                <w:sz w:val="21"/>
                <w:szCs w:val="21"/>
                <w:lang w:eastAsia="zh-CN" w:bidi="en-US"/>
              </w:rPr>
              <w:t xml:space="preserve">。</w:t>
            </w:r>
            <w:r>
              <w:rPr>
                <w:rFonts w:ascii="宋体" w:hAnsi="宋体" w:eastAsia="宋体" w:cs="宋体"/>
                <w:color w:val="000000"/>
                <w:sz w:val="21"/>
                <w:szCs w:val="21"/>
                <w:lang w:val="en-US" w:eastAsia="zh-CN"/>
              </w:rPr>
            </w:r>
            <w:r/>
          </w:p>
        </w:tc>
        <w:tc>
          <w:tcPr>
            <w:tcW w:w="1569" w:type="dxa"/>
            <w:vAlign w:val="center"/>
            <w:textDirection w:val="lrTb"/>
            <w:noWrap w:val="false"/>
          </w:tcPr>
          <w:p>
            <w:pPr>
              <w:pStyle w:val="613"/>
              <w:ind w:left="-78" w:right="-73"/>
              <w:jc w:val="center"/>
              <w:spacing w:line="288" w:lineRule="auto"/>
              <w:rPr>
                <w:rFonts w:cs="宋体"/>
                <w:color w:val="000000"/>
                <w:sz w:val="21"/>
                <w:szCs w:val="21"/>
                <w:lang w:val="en-US" w:eastAsia="zh-CN"/>
              </w:rPr>
            </w:pPr>
            <w:r>
              <w:rPr>
                <w:rFonts w:hint="eastAsia" w:cs="宋体"/>
                <w:color w:val="000000"/>
                <w:sz w:val="21"/>
                <w:szCs w:val="21"/>
                <w:lang w:val="en-US" w:eastAsia="zh-CN"/>
              </w:rPr>
              <w:t xml:space="preserve">5</w:t>
            </w:r>
            <w:r>
              <w:rPr>
                <w:rFonts w:cs="宋体"/>
                <w:color w:val="000000"/>
                <w:sz w:val="21"/>
                <w:szCs w:val="21"/>
                <w:lang w:val="en-US" w:eastAsia="zh-CN"/>
              </w:rPr>
            </w:r>
            <w:r/>
          </w:p>
        </w:tc>
      </w:tr>
      <w:tr>
        <w:trPr>
          <w:trHeight w:val="1724"/>
        </w:trPr>
        <w:tc>
          <w:tcPr>
            <w:tcW w:w="1328" w:type="dxa"/>
            <w:vAlign w:val="center"/>
            <w:textDirection w:val="lrTb"/>
            <w:noWrap w:val="false"/>
          </w:tcPr>
          <w:p>
            <w:pPr>
              <w:pStyle w:val="613"/>
              <w:jc w:val="center"/>
              <w:spacing w:line="320" w:lineRule="exact"/>
              <w:rPr>
                <w:rFonts w:ascii="宋体" w:hAnsi="宋体" w:eastAsia="宋体" w:cs="宋体"/>
                <w:bCs/>
                <w:sz w:val="21"/>
                <w:szCs w:val="21"/>
              </w:rPr>
            </w:pPr>
            <w:r>
              <w:rPr>
                <w:rFonts w:hint="eastAsia" w:ascii="宋体" w:hAnsi="宋体" w:eastAsia="宋体" w:cs="宋体"/>
                <w:bCs/>
                <w:sz w:val="21"/>
                <w:szCs w:val="21"/>
              </w:rPr>
              <w:t xml:space="preserve">资质认证</w:t>
            </w:r>
            <w:r>
              <w:rPr>
                <w:rFonts w:ascii="宋体" w:hAnsi="宋体" w:eastAsia="宋体" w:cs="宋体"/>
                <w:bCs/>
                <w:sz w:val="21"/>
                <w:szCs w:val="21"/>
              </w:rPr>
            </w:r>
            <w:r/>
          </w:p>
          <w:p>
            <w:pPr>
              <w:pStyle w:val="613"/>
              <w:jc w:val="center"/>
              <w:spacing w:line="320" w:lineRule="exact"/>
              <w:rPr>
                <w:rFonts w:ascii="宋体" w:hAnsi="宋体" w:eastAsia="宋体" w:cs="宋体"/>
                <w:sz w:val="21"/>
                <w:szCs w:val="21"/>
              </w:rPr>
            </w:pPr>
            <w:r>
              <w:rPr>
                <w:rFonts w:ascii="宋体" w:hAnsi="宋体" w:eastAsia="宋体" w:cs="宋体"/>
                <w:sz w:val="21"/>
                <w:szCs w:val="21"/>
              </w:rPr>
            </w:r>
            <w:r/>
          </w:p>
        </w:tc>
        <w:tc>
          <w:tcPr>
            <w:tcW w:w="5883" w:type="dxa"/>
            <w:vAlign w:val="center"/>
            <w:textDirection w:val="lrTb"/>
            <w:noWrap w:val="false"/>
          </w:tcPr>
          <w:p>
            <w:pPr>
              <w:pStyle w:val="613"/>
              <w:rPr>
                <w:rFonts w:hint="eastAsia" w:ascii="宋体" w:hAnsi="宋体" w:eastAsia="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sz w:val="21"/>
                <w:szCs w:val="21"/>
                <w:lang w:eastAsia="zh-CN"/>
              </w:rPr>
              <w:t xml:space="preserve">具有有效的质量管理体系、环境管理体系、职业健康安全管理体系，有一个得</w:t>
            </w:r>
            <w:r>
              <w:rPr>
                <w:rFonts w:hint="eastAsia"/>
                <w:sz w:val="21"/>
                <w:szCs w:val="21"/>
                <w:lang w:eastAsia="zh-CN"/>
              </w:rPr>
              <w:t xml:space="preserve">1</w:t>
            </w:r>
            <w:r>
              <w:rPr>
                <w:rFonts w:hint="eastAsia" w:ascii="宋体" w:hAnsi="宋体" w:eastAsia="宋体"/>
                <w:sz w:val="21"/>
                <w:szCs w:val="21"/>
                <w:lang w:eastAsia="zh-CN"/>
              </w:rPr>
              <w:t xml:space="preserve">分，最高得</w:t>
            </w:r>
            <w:r>
              <w:rPr>
                <w:rFonts w:hint="eastAsia"/>
                <w:sz w:val="21"/>
                <w:szCs w:val="21"/>
                <w:lang w:eastAsia="zh-CN"/>
              </w:rPr>
              <w:t xml:space="preserve">3</w:t>
            </w:r>
            <w:r>
              <w:rPr>
                <w:rFonts w:hint="eastAsia" w:ascii="宋体" w:hAnsi="宋体" w:eastAsia="宋体"/>
                <w:sz w:val="21"/>
                <w:szCs w:val="21"/>
                <w:lang w:eastAsia="zh-CN"/>
              </w:rPr>
              <w:t xml:space="preserve">分。</w:t>
            </w:r>
            <w:r>
              <w:rPr>
                <w:rFonts w:hint="eastAsia" w:ascii="宋体" w:hAnsi="宋体" w:eastAsia="宋体"/>
                <w:sz w:val="21"/>
                <w:szCs w:val="21"/>
                <w:lang w:eastAsia="zh-CN"/>
              </w:rPr>
            </w:r>
            <w:r/>
          </w:p>
          <w:p>
            <w:pPr>
              <w:pStyle w:val="613"/>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bidi="en-US"/>
              </w:rPr>
              <w:t xml:space="preserve">提供国家认证认可信息公共服务平台查询截图及证书扫描件。证书失效或未提供或不符合要求的均不得分。</w:t>
            </w:r>
            <w:r>
              <w:rPr>
                <w:rFonts w:hint="eastAsia" w:ascii="宋体" w:hAnsi="宋体" w:eastAsia="宋体" w:cs="宋体"/>
                <w:b/>
                <w:bCs/>
                <w:sz w:val="21"/>
                <w:szCs w:val="21"/>
                <w:lang w:eastAsia="zh-CN" w:bidi="en-US"/>
              </w:rPr>
            </w:r>
            <w:r/>
          </w:p>
        </w:tc>
        <w:tc>
          <w:tcPr>
            <w:tcW w:w="1569" w:type="dxa"/>
            <w:vAlign w:val="center"/>
            <w:textDirection w:val="lrTb"/>
            <w:noWrap w:val="false"/>
          </w:tcPr>
          <w:p>
            <w:pPr>
              <w:pStyle w:val="613"/>
              <w:ind w:left="-78" w:right="-73"/>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w:t>
            </w:r>
            <w:r>
              <w:rPr>
                <w:rFonts w:hint="eastAsia" w:ascii="宋体" w:hAnsi="宋体" w:eastAsia="宋体" w:cs="宋体"/>
                <w:sz w:val="21"/>
                <w:szCs w:val="21"/>
                <w:lang w:eastAsia="zh-CN"/>
              </w:rPr>
            </w:r>
            <w:r/>
          </w:p>
        </w:tc>
      </w:tr>
      <w:tr>
        <w:trPr/>
        <w:tc>
          <w:tcPr>
            <w:tcW w:w="1328" w:type="dxa"/>
            <w:vAlign w:val="center"/>
            <w:textDirection w:val="lrTb"/>
            <w:noWrap w:val="false"/>
          </w:tcPr>
          <w:p>
            <w:pPr>
              <w:pStyle w:val="613"/>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业绩</w:t>
            </w:r>
            <w:r>
              <w:rPr>
                <w:rFonts w:hint="eastAsia" w:ascii="宋体" w:hAnsi="宋体" w:eastAsia="宋体" w:cs="宋体"/>
                <w:bCs/>
                <w:sz w:val="21"/>
                <w:szCs w:val="21"/>
              </w:rPr>
            </w:r>
            <w:r/>
          </w:p>
        </w:tc>
        <w:tc>
          <w:tcPr>
            <w:tcW w:w="5883" w:type="dxa"/>
            <w:vAlign w:val="center"/>
            <w:textDirection w:val="lrTb"/>
            <w:noWrap w:val="false"/>
          </w:tcPr>
          <w:p>
            <w:pPr>
              <w:pStyle w:val="644"/>
              <w:spacing w:line="288" w:lineRule="auto"/>
              <w:rPr>
                <w:rFonts w:hint="eastAsia" w:hAnsi="宋体" w:eastAsia="宋体"/>
                <w:sz w:val="21"/>
                <w:szCs w:val="21"/>
                <w:lang w:eastAsia="zh-CN"/>
              </w:rPr>
            </w:pPr>
            <w:r>
              <w:rPr>
                <w:rFonts w:hint="eastAsia" w:hAnsi="宋体"/>
                <w:sz w:val="21"/>
                <w:szCs w:val="21"/>
                <w:lang w:eastAsia="zh-CN"/>
              </w:rPr>
              <w:t xml:space="preserve">投标供应商或生产企业</w:t>
            </w:r>
            <w:r>
              <w:rPr>
                <w:rFonts w:hint="eastAsia" w:hAnsi="宋体" w:eastAsia="宋体"/>
                <w:sz w:val="21"/>
                <w:szCs w:val="21"/>
                <w:lang w:eastAsia="zh-CN"/>
              </w:rPr>
              <w:t xml:space="preserve">近三年（自202</w:t>
            </w:r>
            <w:r>
              <w:rPr>
                <w:rFonts w:hint="eastAsia" w:hAnsi="宋体"/>
                <w:sz w:val="21"/>
                <w:szCs w:val="21"/>
                <w:lang w:eastAsia="zh-CN"/>
              </w:rPr>
              <w:t xml:space="preserve">3</w:t>
            </w:r>
            <w:r>
              <w:rPr>
                <w:rFonts w:hint="eastAsia" w:hAnsi="宋体" w:eastAsia="宋体"/>
                <w:sz w:val="21"/>
                <w:szCs w:val="21"/>
                <w:lang w:eastAsia="zh-CN"/>
              </w:rPr>
              <w:t xml:space="preserve">年1月1日起至投标截止日止</w:t>
            </w:r>
            <w:r>
              <w:rPr>
                <w:rFonts w:hint="eastAsia" w:hAnsi="宋体"/>
                <w:sz w:val="21"/>
                <w:szCs w:val="21"/>
                <w:lang w:eastAsia="zh-CN"/>
              </w:rPr>
              <w:t xml:space="preserve">，</w:t>
            </w:r>
            <w:r>
              <w:rPr>
                <w:rFonts w:hint="eastAsia" w:hAnsi="宋体" w:eastAsia="宋体" w:cs="宋体"/>
                <w:sz w:val="21"/>
                <w:szCs w:val="21"/>
                <w:lang w:eastAsia="zh-CN"/>
              </w:rPr>
              <w:t xml:space="preserve">以合同签订的时间为准</w:t>
            </w:r>
            <w:r>
              <w:rPr>
                <w:rFonts w:hint="eastAsia" w:hAnsi="宋体" w:eastAsia="宋体"/>
                <w:sz w:val="21"/>
                <w:szCs w:val="21"/>
                <w:lang w:eastAsia="zh-CN"/>
              </w:rPr>
              <w:t xml:space="preserve">）有与本项目类似的室外健身器材销售业绩的，每提供一个得</w:t>
            </w:r>
            <w:r>
              <w:rPr>
                <w:rFonts w:hint="eastAsia" w:hAnsi="宋体"/>
                <w:sz w:val="21"/>
                <w:szCs w:val="21"/>
                <w:lang w:eastAsia="zh-CN"/>
              </w:rPr>
              <w:t xml:space="preserve">1</w:t>
            </w:r>
            <w:r>
              <w:rPr>
                <w:rFonts w:hint="eastAsia" w:hAnsi="宋体" w:eastAsia="宋体"/>
                <w:sz w:val="21"/>
                <w:szCs w:val="21"/>
                <w:lang w:eastAsia="zh-CN"/>
              </w:rPr>
              <w:t xml:space="preserve">分，本项最高得</w:t>
            </w:r>
            <w:r>
              <w:rPr>
                <w:rFonts w:hint="eastAsia" w:hAnsi="宋体"/>
                <w:sz w:val="21"/>
                <w:szCs w:val="21"/>
                <w:lang w:val="en-US" w:eastAsia="zh-CN"/>
              </w:rPr>
              <w:t xml:space="preserve">3</w:t>
            </w:r>
            <w:r>
              <w:rPr>
                <w:rFonts w:hint="eastAsia" w:hAnsi="宋体" w:eastAsia="宋体"/>
                <w:sz w:val="21"/>
                <w:szCs w:val="21"/>
                <w:lang w:eastAsia="zh-CN"/>
              </w:rPr>
              <w:t xml:space="preserve">分。</w:t>
            </w:r>
            <w:r>
              <w:rPr>
                <w:rFonts w:hint="eastAsia" w:hAnsi="宋体" w:eastAsia="宋体"/>
                <w:sz w:val="21"/>
                <w:szCs w:val="21"/>
                <w:lang w:eastAsia="zh-CN"/>
              </w:rPr>
            </w:r>
            <w:r/>
          </w:p>
          <w:p>
            <w:pPr>
              <w:pStyle w:val="613"/>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提供相关证明材料扫描件，无资料、提供资料不全或无法体现投标人业绩的不得分。</w:t>
            </w:r>
            <w:r>
              <w:rPr>
                <w:rFonts w:hint="eastAsia" w:ascii="宋体" w:hAnsi="宋体" w:eastAsia="宋体" w:cs="宋体"/>
                <w:sz w:val="21"/>
                <w:szCs w:val="21"/>
                <w:lang w:eastAsia="zh-CN"/>
              </w:rPr>
            </w:r>
            <w:r/>
          </w:p>
        </w:tc>
        <w:tc>
          <w:tcPr>
            <w:tcW w:w="1569" w:type="dxa"/>
            <w:vAlign w:val="center"/>
            <w:textDirection w:val="lrTb"/>
            <w:noWrap w:val="false"/>
          </w:tcPr>
          <w:p>
            <w:pPr>
              <w:pStyle w:val="613"/>
              <w:ind w:left="-78" w:right="-73"/>
              <w:jc w:val="center"/>
              <w:spacing w:line="288" w:lineRule="auto"/>
              <w:rPr>
                <w:rFonts w:hint="eastAsia" w:ascii="Arial" w:hAnsi="Arial" w:eastAsia="Arial" w:cs="宋体"/>
                <w:sz w:val="21"/>
                <w:szCs w:val="21"/>
                <w:lang w:val="en-US" w:eastAsia="zh-CN"/>
              </w:rPr>
            </w:pPr>
            <w:r>
              <w:rPr>
                <w:rFonts w:hint="eastAsia" w:ascii="Arial" w:hAnsi="Arial" w:eastAsia="Arial" w:cs="宋体"/>
                <w:sz w:val="21"/>
                <w:szCs w:val="21"/>
                <w:lang w:val="en-US" w:eastAsia="zh-CN"/>
              </w:rPr>
              <w:t xml:space="preserve">3</w:t>
            </w:r>
            <w:r>
              <w:rPr>
                <w:rFonts w:hint="eastAsia" w:ascii="Arial" w:hAnsi="Arial" w:eastAsia="Arial" w:cs="宋体"/>
                <w:sz w:val="21"/>
                <w:szCs w:val="21"/>
                <w:lang w:val="en-US" w:eastAsia="zh-CN"/>
              </w:rPr>
            </w:r>
            <w:r/>
          </w:p>
        </w:tc>
      </w:tr>
      <w:tr>
        <w:trPr/>
        <w:tc>
          <w:tcPr>
            <w:tcW w:w="1328" w:type="dxa"/>
            <w:vAlign w:val="center"/>
            <w:textDirection w:val="lrTb"/>
            <w:noWrap w:val="false"/>
          </w:tcPr>
          <w:p>
            <w:pPr>
              <w:pStyle w:val="613"/>
              <w:jc w:val="center"/>
              <w:spacing w:line="288" w:lineRule="auto"/>
              <w:rPr>
                <w:rFonts w:ascii="宋体" w:hAnsi="宋体" w:eastAsia="宋体" w:cs="宋体"/>
                <w:bCs/>
                <w:sz w:val="21"/>
                <w:szCs w:val="21"/>
              </w:rPr>
            </w:pPr>
            <w:r>
              <w:rPr>
                <w:rFonts w:hint="eastAsia" w:ascii="宋体" w:hAnsi="宋体" w:eastAsia="宋体" w:cs="宋体"/>
                <w:bCs/>
                <w:sz w:val="21"/>
                <w:szCs w:val="21"/>
              </w:rPr>
              <w:t xml:space="preserve">产品保险</w:t>
            </w:r>
            <w:r>
              <w:rPr>
                <w:rFonts w:ascii="宋体" w:hAnsi="宋体" w:eastAsia="宋体" w:cs="宋体"/>
                <w:bCs/>
                <w:sz w:val="21"/>
                <w:szCs w:val="21"/>
              </w:rPr>
            </w:r>
            <w:r/>
          </w:p>
        </w:tc>
        <w:tc>
          <w:tcPr>
            <w:tcW w:w="5883" w:type="dxa"/>
            <w:vAlign w:val="center"/>
            <w:textDirection w:val="lrTb"/>
            <w:noWrap w:val="false"/>
          </w:tcPr>
          <w:p>
            <w:pPr>
              <w:pStyle w:val="613"/>
              <w:rPr>
                <w:rFonts w:ascii="宋体" w:hAnsi="宋体" w:eastAsia="宋体" w:cs="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cs="宋体"/>
                <w:sz w:val="21"/>
                <w:szCs w:val="21"/>
                <w:lang w:eastAsia="zh-CN"/>
              </w:rPr>
              <w:t xml:space="preserve">提供投保的产品责任险、产品质量险</w:t>
            </w:r>
            <w:r>
              <w:rPr>
                <w:rFonts w:hint="eastAsia" w:cs="宋体"/>
                <w:sz w:val="21"/>
                <w:szCs w:val="21"/>
                <w:lang w:eastAsia="zh-CN"/>
              </w:rPr>
              <w:t xml:space="preserve">，</w:t>
            </w:r>
            <w:r>
              <w:rPr>
                <w:rFonts w:hint="eastAsia" w:ascii="宋体" w:hAnsi="宋体" w:eastAsia="宋体" w:cs="宋体"/>
                <w:sz w:val="21"/>
                <w:szCs w:val="21"/>
                <w:lang w:eastAsia="zh-CN"/>
              </w:rPr>
              <w:t xml:space="preserve">并同时提供其在服务期内承担相应安全责任的承诺书，每投保一个险种得</w:t>
            </w:r>
            <w:r>
              <w:rPr>
                <w:rFonts w:hint="eastAsia" w:cs="宋体"/>
                <w:sz w:val="21"/>
                <w:szCs w:val="21"/>
                <w:lang w:val="en-US" w:eastAsia="zh-CN"/>
              </w:rPr>
              <w:t xml:space="preserve">1</w:t>
            </w:r>
            <w:r>
              <w:rPr>
                <w:rFonts w:hint="eastAsia" w:ascii="宋体" w:hAnsi="宋体" w:eastAsia="宋体" w:cs="宋体"/>
                <w:sz w:val="21"/>
                <w:szCs w:val="21"/>
                <w:lang w:eastAsia="zh-CN"/>
              </w:rPr>
              <w:t xml:space="preserve">分，最高得</w:t>
            </w:r>
            <w:r>
              <w:rPr>
                <w:rFonts w:hint="eastAsia" w:cs="宋体"/>
                <w:sz w:val="21"/>
                <w:szCs w:val="21"/>
                <w:lang w:val="en-US" w:eastAsia="zh-CN"/>
              </w:rPr>
              <w:t xml:space="preserve">2</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rPr>
                <w:rFonts w:ascii="宋体" w:hAnsi="宋体" w:eastAsia="宋体" w:cs="宋体"/>
                <w:b/>
                <w:bCs/>
                <w:sz w:val="21"/>
                <w:szCs w:val="21"/>
                <w:lang w:eastAsia="zh-CN" w:bidi="en-US"/>
              </w:rPr>
            </w:pPr>
            <w:r>
              <w:rPr>
                <w:rFonts w:hint="eastAsia" w:ascii="宋体" w:hAnsi="宋体" w:eastAsia="宋体" w:cs="宋体"/>
                <w:b/>
                <w:bCs/>
                <w:sz w:val="21"/>
                <w:szCs w:val="21"/>
                <w:lang w:eastAsia="zh-CN"/>
              </w:rPr>
              <w:t xml:space="preserve">（需提供承诺书（格式自拟）和有效保险单及缴费发票扫描件，无内容和内容不全均不得分）。</w:t>
            </w:r>
            <w:r>
              <w:rPr>
                <w:rFonts w:ascii="宋体" w:hAnsi="宋体" w:eastAsia="宋体" w:cs="宋体"/>
                <w:b/>
                <w:bCs/>
                <w:sz w:val="21"/>
                <w:szCs w:val="21"/>
                <w:lang w:eastAsia="zh-CN" w:bidi="en-US"/>
              </w:rPr>
            </w:r>
            <w:r/>
          </w:p>
        </w:tc>
        <w:tc>
          <w:tcPr>
            <w:tcW w:w="1569" w:type="dxa"/>
            <w:vAlign w:val="center"/>
            <w:textDirection w:val="lrTb"/>
            <w:noWrap w:val="false"/>
          </w:tcPr>
          <w:p>
            <w:pPr>
              <w:pStyle w:val="613"/>
              <w:ind w:left="-78" w:right="-73"/>
              <w:jc w:val="center"/>
              <w:spacing w:line="288" w:lineRule="auto"/>
              <w:rPr>
                <w:rFonts w:ascii="Arial" w:hAnsi="Arial" w:eastAsia="Arial" w:cs="宋体"/>
                <w:sz w:val="21"/>
                <w:szCs w:val="21"/>
                <w:lang w:val="en-US" w:eastAsia="zh-CN"/>
              </w:rPr>
            </w:pPr>
            <w:r>
              <w:rPr>
                <w:rFonts w:hint="eastAsia" w:ascii="Arial" w:hAnsi="Arial" w:eastAsia="Arial" w:cs="宋体"/>
                <w:sz w:val="21"/>
                <w:szCs w:val="21"/>
                <w:lang w:val="en-US" w:eastAsia="zh-CN"/>
              </w:rPr>
              <w:t xml:space="preserve">2</w:t>
            </w:r>
            <w:r>
              <w:rPr>
                <w:rFonts w:ascii="Arial" w:hAnsi="Arial" w:eastAsia="Arial" w:cs="宋体"/>
                <w:sz w:val="21"/>
                <w:szCs w:val="21"/>
                <w:lang w:val="en-US" w:eastAsia="zh-CN"/>
              </w:rPr>
            </w:r>
            <w:r/>
          </w:p>
        </w:tc>
      </w:tr>
      <w:tr>
        <w:trPr/>
        <w:tc>
          <w:tcPr>
            <w:gridSpan w:val="3"/>
            <w:tcW w:w="8780" w:type="dxa"/>
            <w:vAlign w:val="center"/>
            <w:textDirection w:val="lrTb"/>
            <w:noWrap w:val="false"/>
          </w:tcPr>
          <w:p>
            <w:pPr>
              <w:pStyle w:val="613"/>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技术部分（</w:t>
            </w:r>
            <w:r>
              <w:rPr>
                <w:rFonts w:hint="eastAsia" w:cs="宋体"/>
                <w:b/>
                <w:sz w:val="21"/>
                <w:szCs w:val="21"/>
                <w:lang w:eastAsia="zh-CN"/>
              </w:rPr>
              <w:t xml:space="preserve">47</w:t>
            </w:r>
            <w:r>
              <w:rPr>
                <w:rFonts w:hint="eastAsia" w:ascii="宋体" w:hAnsi="宋体" w:eastAsia="宋体" w:cs="宋体"/>
                <w:b/>
                <w:sz w:val="21"/>
                <w:szCs w:val="21"/>
              </w:rPr>
              <w:t xml:space="preserve">分）</w:t>
            </w:r>
            <w:r>
              <w:rPr>
                <w:rFonts w:hint="eastAsia" w:ascii="宋体" w:hAnsi="宋体" w:eastAsia="宋体" w:cs="宋体"/>
                <w:sz w:val="21"/>
                <w:szCs w:val="21"/>
              </w:rPr>
            </w:r>
            <w:r/>
          </w:p>
        </w:tc>
      </w:tr>
      <w:tr>
        <w:trPr>
          <w:trHeight w:val="3126"/>
        </w:trPr>
        <w:tc>
          <w:tcPr>
            <w:tcW w:w="1328" w:type="dxa"/>
            <w:vAlign w:val="center"/>
            <w:vMerge w:val="restart"/>
            <w:textDirection w:val="lrTb"/>
            <w:noWrap w:val="false"/>
          </w:tcPr>
          <w:p>
            <w:pPr>
              <w:pStyle w:val="613"/>
              <w:jc w:val="center"/>
              <w:spacing w:line="440" w:lineRule="atLeast"/>
              <w:rPr>
                <w:rFonts w:hint="eastAsia" w:ascii="宋体" w:hAnsi="宋体" w:cs="宋体"/>
                <w:b/>
                <w:color w:val="000000"/>
                <w:szCs w:val="21"/>
              </w:rPr>
            </w:pPr>
            <w:r>
              <w:rPr>
                <w:rFonts w:hint="eastAsia" w:ascii="宋体" w:hAnsi="宋体" w:cs="宋体"/>
                <w:b/>
                <w:color w:val="000000"/>
                <w:szCs w:val="21"/>
              </w:rPr>
              <w:t xml:space="preserve">样品部分</w:t>
            </w:r>
            <w:r>
              <w:rPr>
                <w:rFonts w:hint="eastAsia" w:ascii="宋体" w:hAnsi="宋体" w:cs="宋体"/>
                <w:b/>
                <w:color w:val="000000"/>
                <w:szCs w:val="21"/>
              </w:rPr>
            </w:r>
            <w:r/>
          </w:p>
          <w:p>
            <w:pPr>
              <w:pStyle w:val="613"/>
              <w:jc w:val="center"/>
              <w:spacing w:line="288" w:lineRule="auto"/>
              <w:rPr>
                <w:rFonts w:hint="eastAsia" w:ascii="宋体" w:hAnsi="宋体" w:eastAsia="宋体" w:cs="宋体"/>
                <w:b/>
                <w:sz w:val="21"/>
                <w:szCs w:val="21"/>
              </w:rPr>
            </w:pPr>
            <w:r>
              <w:rPr>
                <w:rFonts w:hint="eastAsia" w:ascii="宋体" w:hAnsi="宋体" w:cs="宋体"/>
                <w:b/>
                <w:color w:val="000000"/>
                <w:szCs w:val="21"/>
              </w:rPr>
              <w:t xml:space="preserve">（1</w:t>
            </w:r>
            <w:r>
              <w:rPr>
                <w:rFonts w:hint="eastAsia" w:ascii="宋体" w:hAnsi="宋体" w:cs="宋体"/>
                <w:b/>
                <w:color w:val="000000"/>
                <w:szCs w:val="21"/>
                <w:lang w:eastAsia="zh-CN"/>
              </w:rPr>
              <w:t xml:space="preserve">5</w:t>
            </w:r>
            <w:r>
              <w:rPr>
                <w:rFonts w:hint="eastAsia" w:ascii="宋体" w:hAnsi="宋体" w:cs="宋体"/>
                <w:b/>
                <w:color w:val="000000"/>
                <w:szCs w:val="21"/>
              </w:rPr>
              <w:t xml:space="preserve">分）</w:t>
            </w:r>
            <w:r>
              <w:rPr>
                <w:rFonts w:hint="eastAsia" w:ascii="宋体" w:hAnsi="宋体" w:eastAsia="宋体" w:cs="宋体"/>
                <w:b/>
                <w:sz w:val="21"/>
                <w:szCs w:val="21"/>
              </w:rPr>
            </w:r>
            <w:r/>
          </w:p>
        </w:tc>
        <w:tc>
          <w:tcPr>
            <w:tcW w:w="5883" w:type="dxa"/>
            <w:vAlign w:val="center"/>
            <w:textDirection w:val="lrTb"/>
            <w:noWrap w:val="false"/>
          </w:tcPr>
          <w:p>
            <w:pPr>
              <w:pStyle w:val="613"/>
              <w:spacing w:line="240" w:lineRule="auto"/>
              <w:rPr>
                <w:rFonts w:hint="eastAsia" w:ascii="宋体" w:hAnsi="宋体" w:cs="宋体"/>
                <w:bCs/>
                <w:color w:val="000000"/>
                <w:szCs w:val="21"/>
                <w:lang w:eastAsia="zh-CN"/>
              </w:rPr>
            </w:pPr>
            <w:r>
              <w:rPr>
                <w:rFonts w:hint="eastAsia" w:ascii="宋体" w:hAnsi="宋体" w:cs="宋体"/>
                <w:b/>
                <w:color w:val="000000"/>
                <w:szCs w:val="21"/>
                <w:lang w:eastAsia="zh-CN"/>
              </w:rPr>
              <w:t xml:space="preserve">1.表面处理工艺、设计的合理性</w:t>
            </w:r>
            <w:r>
              <w:rPr>
                <w:rFonts w:hint="eastAsia" w:ascii="宋体" w:hAnsi="宋体" w:cs="宋体"/>
                <w:bCs/>
                <w:color w:val="000000"/>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器材各零部件的外观表面平整光滑；无外部机械损伤（如划痕、凸起等）；无涂镀层裂纹、变形、锈蚀等现象；器材与人体接触或易接触的外露表面，均光滑平整，无锐边、尖角和毛刺现象；工艺非常精致；得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rPr>
                <w:rFonts w:hint="eastAsia" w:ascii="宋体" w:hAnsi="宋体" w:eastAsia="宋体" w:cs="宋体"/>
                <w:sz w:val="21"/>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不平滑有点粗糙；无明显外部机械损伤（如划痕、凸起等）；无明显涂镀层裂纹、变形、锈蚀等现象；器材与人体接触或易接触的外露表面不平滑有点粗糙，无锐边、尖角和毛刺现象；工艺较精致；得</w:t>
            </w:r>
            <w:r>
              <w:rPr>
                <w:rFonts w:hint="eastAsia" w:cs="宋体"/>
                <w:sz w:val="21"/>
                <w:szCs w:val="21"/>
                <w:lang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器材各零部件的外观表面非常粗糙，有明显外部机械损伤（如划痕、凸起等）、有涂镀层裂纹、变形、锈蚀等现象；器材与人体接触或易接触的外露表面非常粗糙，有锐边、尖角和毛</w:t>
            </w:r>
            <w:r>
              <w:rPr>
                <w:rFonts w:hint="eastAsia" w:ascii="宋体" w:hAnsi="宋体" w:eastAsia="宋体" w:cs="宋体"/>
                <w:color w:val="000000"/>
                <w:sz w:val="21"/>
                <w:szCs w:val="21"/>
                <w:lang w:eastAsia="zh-CN"/>
              </w:rPr>
              <w:t xml:space="preserve">刺现象；工艺不太精致；得</w:t>
            </w:r>
            <w:r>
              <w:rPr>
                <w:rFonts w:hint="eastAsia" w:cs="宋体"/>
                <w:color w:val="000000"/>
                <w:sz w:val="21"/>
                <w:szCs w:val="21"/>
                <w:lang w:eastAsia="zh-CN"/>
              </w:rPr>
              <w:t xml:space="preserve">1</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未提供样品不得分。</w:t>
            </w:r>
            <w:r>
              <w:rPr>
                <w:rFonts w:hint="eastAsia" w:ascii="宋体" w:hAnsi="宋体" w:eastAsia="宋体" w:cs="宋体"/>
                <w:color w:val="000000"/>
                <w:sz w:val="21"/>
                <w:szCs w:val="21"/>
                <w:lang w:eastAsia="zh-CN"/>
              </w:rPr>
            </w:r>
            <w:r/>
          </w:p>
          <w:p>
            <w:pPr>
              <w:pStyle w:val="613"/>
              <w:numPr>
                <w:ilvl w:val="0"/>
                <w:numId w:val="7"/>
              </w:numPr>
              <w:spacing w:line="240" w:lineRule="auto"/>
              <w:tabs>
                <w:tab w:val="left" w:pos="312" w:leader="none"/>
              </w:tabs>
              <w:rPr>
                <w:rFonts w:hint="eastAsia" w:ascii="宋体" w:hAnsi="宋体" w:eastAsia="宋体" w:cs="宋体"/>
                <w:sz w:val="21"/>
                <w:szCs w:val="21"/>
                <w:lang w:eastAsia="zh-CN"/>
              </w:rPr>
            </w:pPr>
            <w:r>
              <w:rPr>
                <w:rFonts w:ascii="宋体" w:hAnsi="宋体" w:eastAsia="宋体" w:cs="宋体"/>
                <w:color w:val="000000"/>
                <w:sz w:val="21"/>
                <w:szCs w:val="21"/>
                <w:lang w:eastAsia="zh-CN"/>
              </w:rPr>
              <w:t xml:space="preserve">样品不得出现投标人名称</w:t>
            </w:r>
            <w:r>
              <w:rPr>
                <w:rFonts w:ascii="宋体" w:hAnsi="宋体" w:eastAsia="宋体" w:cs="宋体"/>
                <w:sz w:val="21"/>
                <w:szCs w:val="21"/>
                <w:lang w:eastAsia="zh-CN"/>
              </w:rPr>
              <w:t xml:space="preserve">、品牌标识和其他可以识别投标人身份的字符、徽标、人员名称等。</w:t>
            </w:r>
            <w:r>
              <w:rPr>
                <w:rFonts w:hint="eastAsia" w:ascii="宋体" w:hAnsi="宋体" w:eastAsia="宋体" w:cs="宋体"/>
                <w:sz w:val="21"/>
                <w:szCs w:val="21"/>
                <w:lang w:eastAsia="zh-CN"/>
              </w:rPr>
            </w:r>
            <w:r/>
          </w:p>
        </w:tc>
        <w:tc>
          <w:tcPr>
            <w:tcW w:w="1569" w:type="dxa"/>
            <w:vAlign w:val="center"/>
            <w:textDirection w:val="lrTb"/>
            <w:noWrap w:val="false"/>
          </w:tcPr>
          <w:p>
            <w:pPr>
              <w:pStyle w:val="613"/>
              <w:jc w:val="center"/>
              <w:rPr>
                <w:rFonts w:hint="eastAsia" w:ascii="宋体" w:hAnsi="宋体" w:eastAsia="宋体" w:cs="宋体"/>
                <w:sz w:val="21"/>
                <w:szCs w:val="21"/>
                <w:lang w:eastAsia="zh-CN"/>
              </w:rPr>
            </w:pPr>
            <w:r>
              <w:rPr>
                <w:rFonts w:hint="eastAsia" w:cs="宋体"/>
                <w:sz w:val="21"/>
                <w:szCs w:val="21"/>
                <w:lang w:eastAsia="zh-CN"/>
              </w:rPr>
              <w:t xml:space="preserve">5</w:t>
            </w:r>
            <w:r>
              <w:rPr>
                <w:rFonts w:hint="eastAsia" w:ascii="宋体" w:hAnsi="宋体" w:eastAsia="宋体" w:cs="宋体"/>
                <w:sz w:val="21"/>
                <w:szCs w:val="21"/>
                <w:lang w:eastAsia="zh-CN"/>
              </w:rPr>
            </w:r>
            <w:r/>
          </w:p>
        </w:tc>
      </w:tr>
      <w:tr>
        <w:trPr>
          <w:trHeight w:val="955"/>
        </w:trPr>
        <w:tc>
          <w:tcPr>
            <w:tcW w:w="1328" w:type="dxa"/>
            <w:vAlign w:val="center"/>
            <w:vMerge w:val="continue"/>
            <w:textDirection w:val="lrTb"/>
            <w:noWrap w:val="false"/>
          </w:tcPr>
          <w:p>
            <w:pPr>
              <w:pStyle w:val="613"/>
            </w:pPr>
            <w:r/>
            <w:r/>
          </w:p>
        </w:tc>
        <w:tc>
          <w:tcPr>
            <w:tcW w:w="5883" w:type="dxa"/>
            <w:vAlign w:val="center"/>
            <w:textDirection w:val="lrTb"/>
            <w:noWrap w:val="false"/>
          </w:tcPr>
          <w:p>
            <w:pPr>
              <w:pStyle w:val="613"/>
              <w:spacing w:line="240" w:lineRule="auto"/>
              <w:rPr>
                <w:rFonts w:hint="eastAsia" w:ascii="宋体" w:hAnsi="宋体" w:cs="宋体"/>
                <w:b/>
                <w:color w:val="000000"/>
                <w:szCs w:val="21"/>
                <w:lang w:eastAsia="zh-CN"/>
              </w:rPr>
            </w:pPr>
            <w:r>
              <w:rPr>
                <w:rFonts w:hint="eastAsia" w:ascii="宋体" w:hAnsi="宋体" w:cs="宋体"/>
                <w:b/>
                <w:color w:val="000000"/>
                <w:szCs w:val="21"/>
                <w:lang w:eastAsia="zh-CN"/>
              </w:rPr>
              <w:t xml:space="preserve">2.结构稳定性、安全性</w:t>
            </w:r>
            <w:r>
              <w:rPr>
                <w:rFonts w:hint="eastAsia" w:ascii="宋体" w:hAnsi="宋体" w:cs="宋体"/>
                <w:b/>
                <w:color w:val="000000"/>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每有一个安全隐患则扣1分，如接口锋利易伤人、‌缝隙形状不规范、材料变形、‌螺钉螺母松动、易发生衣服头发钩挂或缠绕等直至扣完为止。若有重大安全问题则直接被扣为0</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未提供样品不得分。</w:t>
            </w:r>
            <w:r>
              <w:rPr>
                <w:rFonts w:hint="eastAsia" w:ascii="宋体" w:hAnsi="宋体" w:eastAsia="宋体" w:cs="宋体"/>
                <w:color w:val="000000"/>
                <w:sz w:val="21"/>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rPr>
                <w:rFonts w:hint="eastAsia" w:ascii="宋体" w:hAnsi="宋体" w:eastAsia="宋体" w:cs="宋体"/>
                <w:sz w:val="21"/>
                <w:szCs w:val="21"/>
                <w:lang w:eastAsia="zh-CN"/>
              </w:rPr>
            </w:r>
            <w:r/>
          </w:p>
        </w:tc>
        <w:tc>
          <w:tcPr>
            <w:tcW w:w="1569" w:type="dxa"/>
            <w:vAlign w:val="center"/>
            <w:textDirection w:val="lrTb"/>
            <w:noWrap w:val="false"/>
          </w:tcPr>
          <w:p>
            <w:pPr>
              <w:pStyle w:val="613"/>
              <w:jc w:val="center"/>
              <w:rPr>
                <w:rFonts w:hint="eastAsia" w:ascii="宋体" w:hAnsi="宋体" w:eastAsia="宋体" w:cs="宋体"/>
                <w:sz w:val="21"/>
                <w:szCs w:val="21"/>
                <w:lang w:eastAsia="zh-CN"/>
              </w:rPr>
            </w:pPr>
            <w:r>
              <w:rPr>
                <w:rFonts w:hint="eastAsia" w:cs="宋体"/>
                <w:sz w:val="21"/>
                <w:szCs w:val="21"/>
                <w:lang w:eastAsia="zh-CN"/>
              </w:rPr>
              <w:t xml:space="preserve">5</w:t>
            </w:r>
            <w:r>
              <w:rPr>
                <w:rFonts w:hint="eastAsia" w:ascii="宋体" w:hAnsi="宋体" w:eastAsia="宋体" w:cs="宋体"/>
                <w:sz w:val="21"/>
                <w:szCs w:val="21"/>
                <w:lang w:eastAsia="zh-CN"/>
              </w:rPr>
            </w:r>
            <w:r/>
          </w:p>
        </w:tc>
      </w:tr>
      <w:tr>
        <w:trPr>
          <w:trHeight w:val="2522"/>
        </w:trPr>
        <w:tc>
          <w:tcPr>
            <w:tcW w:w="1328" w:type="dxa"/>
            <w:vAlign w:val="center"/>
            <w:vMerge w:val="continue"/>
            <w:textDirection w:val="lrTb"/>
            <w:noWrap w:val="false"/>
          </w:tcPr>
          <w:p>
            <w:pPr>
              <w:pStyle w:val="613"/>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pStyle w:val="613"/>
              <w:spacing w:line="240" w:lineRule="auto"/>
              <w:rPr>
                <w:rFonts w:hint="eastAsia" w:ascii="宋体" w:hAnsi="宋体" w:cs="宋体"/>
                <w:b/>
                <w:color w:val="000000"/>
                <w:szCs w:val="21"/>
                <w:lang w:eastAsia="zh-CN"/>
              </w:rPr>
            </w:pPr>
            <w:r>
              <w:rPr>
                <w:rFonts w:hint="eastAsia" w:ascii="宋体" w:hAnsi="宋体" w:cs="宋体"/>
                <w:b/>
                <w:color w:val="000000"/>
                <w:sz w:val="21"/>
                <w:szCs w:val="21"/>
                <w:lang w:eastAsia="zh-CN"/>
              </w:rPr>
              <w:t xml:space="preserve">3.</w:t>
            </w:r>
            <w:r>
              <w:rPr>
                <w:rFonts w:hint="eastAsia" w:ascii="宋体" w:hAnsi="宋体" w:cs="宋体"/>
                <w:b/>
                <w:color w:val="000000"/>
                <w:szCs w:val="21"/>
                <w:lang w:eastAsia="zh-CN"/>
              </w:rPr>
              <w:t xml:space="preserve">外观</w:t>
            </w:r>
            <w:r>
              <w:rPr>
                <w:rFonts w:hint="eastAsia" w:ascii="宋体" w:hAnsi="宋体" w:cs="宋体"/>
                <w:b/>
                <w:color w:val="000000"/>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样品外观喷漆均匀平整，光滑光亮，色泽均匀；镀层结合牢固，无起皮、脱落、露底等；刷漆边缘没有漏漆；零部件无染色、掉沫；固定点结实牢固；得5分；</w:t>
            </w:r>
            <w:r>
              <w:rPr>
                <w:rFonts w:hint="eastAsia" w:ascii="宋体" w:hAnsi="宋体" w:eastAsia="宋体" w:cs="宋体"/>
                <w:sz w:val="21"/>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样品外观喷漆较均匀，不光滑有点粗糙，色泽均匀；镀层结合相对牢固，无明显起皮、脱落、露底等；刷漆边缘无明显漏漆；零部件无明显染色、掉沫；固定点较牢固；得3分；</w:t>
            </w:r>
            <w:r>
              <w:rPr>
                <w:rFonts w:hint="eastAsia" w:ascii="宋体" w:hAnsi="宋体" w:eastAsia="宋体" w:cs="宋体"/>
                <w:sz w:val="21"/>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样品外观喷漆不均，不光滑非常粗糙，表面颜色深浅不一；镀层结合不牢固，存在起皮、脱落、露底等现象；刷漆边缘漏漆；</w:t>
            </w:r>
            <w:r>
              <w:rPr>
                <w:rFonts w:hint="eastAsia" w:ascii="宋体" w:hAnsi="宋体" w:eastAsia="宋体" w:cs="宋体"/>
                <w:color w:val="000000"/>
                <w:sz w:val="21"/>
                <w:szCs w:val="21"/>
                <w:lang w:eastAsia="zh-CN"/>
              </w:rPr>
              <w:t xml:space="preserve">零部件染色、掉沫；固定点松动；得1分；</w:t>
            </w:r>
            <w:r>
              <w:rPr>
                <w:rFonts w:hint="eastAsia" w:ascii="宋体" w:hAnsi="宋体" w:eastAsia="宋体" w:cs="宋体"/>
                <w:color w:val="000000"/>
                <w:sz w:val="21"/>
                <w:szCs w:val="21"/>
                <w:lang w:eastAsia="zh-CN"/>
              </w:rPr>
            </w:r>
            <w:r/>
          </w:p>
          <w:p>
            <w:pPr>
              <w:pStyle w:val="613"/>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未提供样品不得分。</w:t>
            </w:r>
            <w:r>
              <w:rPr>
                <w:rFonts w:hint="eastAsia" w:ascii="宋体" w:hAnsi="宋体" w:eastAsia="宋体" w:cs="宋体"/>
                <w:color w:val="000000"/>
                <w:sz w:val="21"/>
                <w:szCs w:val="21"/>
                <w:lang w:eastAsia="zh-CN"/>
              </w:rPr>
            </w:r>
            <w:r/>
          </w:p>
          <w:p>
            <w:pPr>
              <w:pStyle w:val="613"/>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rPr>
                <w:rFonts w:hint="eastAsia" w:ascii="宋体" w:hAnsi="宋体" w:eastAsia="宋体" w:cs="宋体"/>
                <w:sz w:val="21"/>
                <w:szCs w:val="21"/>
                <w:lang w:eastAsia="zh-CN"/>
              </w:rPr>
            </w:r>
            <w:r/>
          </w:p>
        </w:tc>
        <w:tc>
          <w:tcPr>
            <w:tcW w:w="1569" w:type="dxa"/>
            <w:vAlign w:val="center"/>
            <w:textDirection w:val="lrTb"/>
            <w:noWrap w:val="false"/>
          </w:tcPr>
          <w:p>
            <w:pPr>
              <w:pStyle w:val="613"/>
              <w:jc w:val="center"/>
              <w:rPr>
                <w:rFonts w:hint="eastAsia" w:ascii="宋体" w:hAnsi="宋体" w:eastAsia="宋体" w:cs="宋体"/>
                <w:sz w:val="21"/>
                <w:szCs w:val="21"/>
                <w:lang w:eastAsia="zh-CN"/>
              </w:rPr>
            </w:pPr>
            <w:r>
              <w:rPr>
                <w:rFonts w:hint="eastAsia" w:cs="宋体"/>
                <w:sz w:val="21"/>
                <w:szCs w:val="21"/>
                <w:lang w:eastAsia="zh-CN"/>
              </w:rPr>
              <w:t xml:space="preserve">5</w:t>
            </w:r>
            <w:r>
              <w:rPr>
                <w:rFonts w:hint="eastAsia" w:ascii="宋体" w:hAnsi="宋体" w:eastAsia="宋体" w:cs="宋体"/>
                <w:sz w:val="21"/>
                <w:szCs w:val="21"/>
                <w:lang w:eastAsia="zh-CN"/>
              </w:rPr>
            </w:r>
            <w:r/>
          </w:p>
        </w:tc>
      </w:tr>
      <w:tr>
        <w:trPr/>
        <w:tc>
          <w:tcPr>
            <w:tcW w:w="1328" w:type="dxa"/>
            <w:vAlign w:val="center"/>
            <w:textDirection w:val="lrTb"/>
            <w:noWrap w:val="false"/>
          </w:tcPr>
          <w:p>
            <w:pPr>
              <w:pStyle w:val="613"/>
              <w:jc w:val="center"/>
              <w:spacing w:line="288" w:lineRule="auto"/>
              <w:rPr>
                <w:rFonts w:ascii="宋体" w:hAnsi="宋体" w:eastAsia="宋体" w:cs="宋体"/>
                <w:bCs/>
                <w:sz w:val="21"/>
                <w:szCs w:val="21"/>
              </w:rPr>
            </w:pPr>
            <w:r>
              <w:rPr>
                <w:rFonts w:hint="eastAsia" w:ascii="宋体" w:hAnsi="宋体" w:eastAsia="宋体" w:cs="宋体"/>
                <w:sz w:val="21"/>
                <w:szCs w:val="21"/>
              </w:rPr>
              <w:t xml:space="preserve">供货保障方案</w:t>
            </w:r>
            <w:r>
              <w:rPr>
                <w:rFonts w:ascii="宋体" w:hAnsi="宋体" w:eastAsia="宋体" w:cs="宋体"/>
                <w:bCs/>
                <w:sz w:val="21"/>
                <w:szCs w:val="21"/>
              </w:rPr>
            </w:r>
            <w:r/>
          </w:p>
        </w:tc>
        <w:tc>
          <w:tcPr>
            <w:tcW w:w="5883" w:type="dxa"/>
            <w:vAlign w:val="top"/>
            <w:textDirection w:val="lrTb"/>
            <w:noWrap w:val="false"/>
          </w:tcPr>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根据供应商提供的针对本项目的供货保障计划和方案：对其方案的可行性、周密性、科学性、包括但不限于货物配送安全、接到供货通知响应时间、少量货物配送承诺以及安装保证等进行评分：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2、供货保障计划和方案基本符合客观规律和实际情况，供货保障计划和方案仅包含货物配送安全、接到供货通知响应时间、少量货物配送承诺以及安装保证这四项内容，方案符合逻辑，切实可行的；得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3、供货保障计划和方案不符合客观规律和实际情况，供货保障计划和方案描述不全面，逻辑混乱，不合理的；得1分；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rPr>
            </w:pPr>
            <w:r>
              <w:rPr>
                <w:rFonts w:hint="eastAsia" w:ascii="宋体" w:hAnsi="宋体" w:eastAsia="宋体" w:cs="宋体"/>
                <w:sz w:val="21"/>
                <w:szCs w:val="21"/>
              </w:rPr>
              <w:t xml:space="preserve">4、不提供得0分。</w:t>
            </w:r>
            <w:r>
              <w:rPr>
                <w:rFonts w:ascii="宋体" w:hAnsi="宋体" w:eastAsia="宋体" w:cs="宋体"/>
                <w:sz w:val="21"/>
                <w:szCs w:val="21"/>
              </w:rPr>
            </w:r>
            <w:r/>
          </w:p>
        </w:tc>
        <w:tc>
          <w:tcPr>
            <w:tcW w:w="1569" w:type="dxa"/>
            <w:vAlign w:val="center"/>
            <w:textDirection w:val="lrTb"/>
            <w:noWrap w:val="false"/>
          </w:tcPr>
          <w:p>
            <w:pPr>
              <w:pStyle w:val="613"/>
              <w:jc w:val="center"/>
              <w:spacing w:line="288" w:lineRule="auto"/>
              <w:rPr>
                <w:rFonts w:ascii="宋体" w:hAnsi="宋体" w:eastAsia="宋体" w:cs="宋体"/>
                <w:sz w:val="21"/>
                <w:szCs w:val="21"/>
                <w:lang w:eastAsia="zh-CN"/>
              </w:rPr>
            </w:pPr>
            <w:r>
              <w:rPr>
                <w:rFonts w:hint="eastAsia" w:cs="宋体"/>
                <w:sz w:val="21"/>
                <w:szCs w:val="21"/>
                <w:lang w:eastAsia="zh-CN"/>
              </w:rPr>
              <w:t xml:space="preserve">10</w:t>
            </w:r>
            <w:r>
              <w:rPr>
                <w:rFonts w:ascii="宋体" w:hAnsi="宋体" w:eastAsia="宋体" w:cs="宋体"/>
                <w:sz w:val="21"/>
                <w:szCs w:val="21"/>
                <w:lang w:eastAsia="zh-CN"/>
              </w:rPr>
            </w:r>
            <w:r/>
          </w:p>
        </w:tc>
      </w:tr>
      <w:tr>
        <w:trPr/>
        <w:tc>
          <w:tcPr>
            <w:tcW w:w="1328" w:type="dxa"/>
            <w:vAlign w:val="center"/>
            <w:textDirection w:val="lrTb"/>
            <w:noWrap w:val="false"/>
          </w:tcPr>
          <w:p>
            <w:pPr>
              <w:pStyle w:val="613"/>
              <w:jc w:val="center"/>
              <w:spacing w:line="288"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施工质量保障措施方案</w:t>
            </w:r>
            <w:r>
              <w:rPr>
                <w:rFonts w:hint="eastAsia" w:ascii="宋体" w:hAnsi="宋体" w:eastAsia="宋体" w:cs="宋体"/>
                <w:bCs/>
                <w:sz w:val="21"/>
                <w:szCs w:val="21"/>
                <w:lang w:eastAsia="zh-CN"/>
              </w:rPr>
            </w:r>
            <w:r/>
          </w:p>
        </w:tc>
        <w:tc>
          <w:tcPr>
            <w:tcW w:w="5883" w:type="dxa"/>
            <w:vAlign w:val="top"/>
            <w:textDirection w:val="lrTb"/>
            <w:noWrap w:val="false"/>
          </w:tcPr>
          <w:p>
            <w:pPr>
              <w:pStyle w:val="613"/>
              <w:ind w:firstLine="210"/>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根据供应商提供的针对本项目的提供施工质量控制保证方案，内容包括但不限于项目管理及施工人员水平、施工过程、安全文明施工、环保措施、质量保证措施等进行评分：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施工质量保障措施方案结合项目实际、方案内容包括项目管理及施工人员水平、施工过程、安全文明施工、环保措施、质量保证措施等五项，同时提出其他与本项目相关的方案内容，各部分内容合理清晰且后续履约过程中可以按此方案履约，保证项目实施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2、施工质量保障措施方案，方案内容仅限于项目管理及施工人员水平、施工过程、安全文明施工、环保措施、质量保证措施这五项；各部分描述有欠缺；切实可行的。得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3、施工质量保障措施方案内容描述不全面，后续履约过程中不能按此方案履约，不能保证项目实施的；得1分。</w:t>
            </w:r>
            <w:r>
              <w:rPr>
                <w:rFonts w:ascii="宋体" w:hAnsi="宋体" w:eastAsia="宋体" w:cs="宋体"/>
                <w:sz w:val="21"/>
                <w:szCs w:val="21"/>
                <w:lang w:eastAsia="zh-CN"/>
              </w:rPr>
            </w:r>
            <w:r/>
          </w:p>
          <w:p>
            <w:pPr>
              <w:pStyle w:val="613"/>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4、不提供的得0分。</w:t>
            </w:r>
            <w:r>
              <w:rPr>
                <w:rFonts w:hint="eastAsia" w:ascii="宋体" w:hAnsi="宋体" w:eastAsia="宋体" w:cs="宋体"/>
                <w:sz w:val="21"/>
                <w:szCs w:val="21"/>
              </w:rPr>
            </w:r>
            <w:r/>
          </w:p>
        </w:tc>
        <w:tc>
          <w:tcPr>
            <w:tcW w:w="1569" w:type="dxa"/>
            <w:vAlign w:val="center"/>
            <w:textDirection w:val="lrTb"/>
            <w:noWrap w:val="false"/>
          </w:tcPr>
          <w:p>
            <w:pPr>
              <w:pStyle w:val="613"/>
              <w:jc w:val="center"/>
              <w:spacing w:line="288" w:lineRule="auto"/>
              <w:rPr>
                <w:rFonts w:ascii="宋体" w:hAnsi="宋体" w:eastAsia="宋体" w:cs="宋体"/>
                <w:sz w:val="21"/>
                <w:szCs w:val="21"/>
                <w:lang w:eastAsia="zh-CN"/>
              </w:rPr>
            </w:pPr>
            <w:r>
              <w:rPr>
                <w:rFonts w:hint="eastAsia" w:cs="宋体"/>
                <w:sz w:val="21"/>
                <w:szCs w:val="21"/>
                <w:lang w:eastAsia="zh-CN"/>
              </w:rPr>
              <w:t xml:space="preserve">10</w:t>
            </w:r>
            <w:r>
              <w:rPr>
                <w:rFonts w:ascii="宋体" w:hAnsi="宋体" w:eastAsia="宋体" w:cs="宋体"/>
                <w:sz w:val="21"/>
                <w:szCs w:val="21"/>
                <w:lang w:eastAsia="zh-CN"/>
              </w:rPr>
            </w:r>
            <w:r/>
          </w:p>
        </w:tc>
      </w:tr>
      <w:tr>
        <w:trPr/>
        <w:tc>
          <w:tcPr>
            <w:tcW w:w="1328" w:type="dxa"/>
            <w:vAlign w:val="center"/>
            <w:textDirection w:val="lrTb"/>
            <w:noWrap w:val="false"/>
          </w:tcPr>
          <w:p>
            <w:pPr>
              <w:pStyle w:val="613"/>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售后服务及保障</w:t>
            </w:r>
            <w:r>
              <w:rPr>
                <w:rFonts w:hint="eastAsia" w:ascii="宋体" w:hAnsi="宋体" w:eastAsia="宋体" w:cs="宋体"/>
                <w:bCs/>
                <w:sz w:val="21"/>
                <w:szCs w:val="21"/>
              </w:rPr>
            </w:r>
            <w:r/>
          </w:p>
        </w:tc>
        <w:tc>
          <w:tcPr>
            <w:tcW w:w="5883" w:type="dxa"/>
            <w:vAlign w:val="center"/>
            <w:textDirection w:val="lrTb"/>
            <w:noWrap w:val="false"/>
          </w:tcPr>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根据供应商提供的针对本项目的提供售后服务方案，包含但不限于售后服务体系、售后人员水平、售后服务报修细则、售后保障措施等进行评分：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1、售后服务方案内容全面合理，包含售后服务体系、售后人员水平、售后服务报修细则、售后保障措施四项内容，并提出其他切实可行的重要方案内容，切实可行的；得</w:t>
            </w:r>
            <w:r>
              <w:rPr>
                <w:rFonts w:hint="eastAsia" w:cs="宋体"/>
                <w:sz w:val="21"/>
                <w:szCs w:val="21"/>
                <w:lang w:eastAsia="zh-CN"/>
              </w:rPr>
              <w:t xml:space="preserve">10</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2、售后服务方案内容仅包含售后服务体系、售后人员水平、售后服务报修细则、售后保障措施四项内容，切实可行的得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3、售后服务方案描述不全面，且逻辑混乱，不合理的，得</w:t>
            </w:r>
            <w:r>
              <w:rPr>
                <w:rFonts w:hint="eastAsia" w:cs="宋体"/>
                <w:sz w:val="21"/>
                <w:szCs w:val="21"/>
                <w:lang w:eastAsia="zh-CN"/>
              </w:rPr>
              <w:t xml:space="preserve">1</w:t>
            </w:r>
            <w:r>
              <w:rPr>
                <w:rFonts w:hint="eastAsia" w:ascii="宋体" w:hAnsi="宋体" w:eastAsia="宋体" w:cs="宋体"/>
                <w:sz w:val="21"/>
                <w:szCs w:val="21"/>
                <w:lang w:eastAsia="zh-CN"/>
              </w:rPr>
              <w:t xml:space="preserve">分。</w:t>
            </w:r>
            <w:r>
              <w:rPr>
                <w:rFonts w:ascii="宋体" w:hAnsi="宋体" w:eastAsia="宋体" w:cs="宋体"/>
                <w:sz w:val="21"/>
                <w:szCs w:val="21"/>
                <w:lang w:eastAsia="zh-CN"/>
              </w:rPr>
            </w:r>
            <w:r/>
          </w:p>
          <w:p>
            <w:pPr>
              <w:pStyle w:val="613"/>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4、不提供的得0分。</w:t>
            </w:r>
            <w:r>
              <w:rPr>
                <w:rFonts w:hint="eastAsia" w:ascii="宋体" w:hAnsi="宋体" w:eastAsia="宋体" w:cs="宋体"/>
                <w:b/>
                <w:bCs/>
                <w:sz w:val="21"/>
                <w:szCs w:val="21"/>
              </w:rPr>
            </w:r>
            <w:r/>
          </w:p>
        </w:tc>
        <w:tc>
          <w:tcPr>
            <w:tcW w:w="1569" w:type="dxa"/>
            <w:vAlign w:val="center"/>
            <w:textDirection w:val="lrTb"/>
            <w:noWrap w:val="false"/>
          </w:tcPr>
          <w:p>
            <w:pPr>
              <w:pStyle w:val="613"/>
              <w:jc w:val="center"/>
              <w:spacing w:line="288" w:lineRule="auto"/>
              <w:rPr>
                <w:rFonts w:ascii="宋体" w:hAnsi="宋体" w:eastAsia="宋体"/>
                <w:sz w:val="21"/>
                <w:szCs w:val="21"/>
                <w:lang w:eastAsia="zh-CN"/>
              </w:rPr>
            </w:pPr>
            <w:r>
              <w:rPr>
                <w:rFonts w:hint="eastAsia"/>
                <w:sz w:val="21"/>
                <w:szCs w:val="21"/>
                <w:lang w:eastAsia="zh-CN"/>
              </w:rPr>
              <w:t xml:space="preserve">10</w:t>
            </w:r>
            <w:r>
              <w:rPr>
                <w:rFonts w:ascii="宋体" w:hAnsi="宋体" w:eastAsia="宋体"/>
                <w:sz w:val="21"/>
                <w:szCs w:val="21"/>
                <w:lang w:eastAsia="zh-CN"/>
              </w:rPr>
            </w:r>
            <w:r/>
          </w:p>
        </w:tc>
      </w:tr>
      <w:tr>
        <w:trPr/>
        <w:tc>
          <w:tcPr>
            <w:tcW w:w="1328" w:type="dxa"/>
            <w:vAlign w:val="center"/>
            <w:textDirection w:val="lrTb"/>
            <w:noWrap w:val="false"/>
          </w:tcPr>
          <w:p>
            <w:pPr>
              <w:pStyle w:val="613"/>
              <w:jc w:val="center"/>
              <w:spacing w:line="288" w:lineRule="auto"/>
              <w:rPr>
                <w:rFonts w:hint="eastAsia" w:cs="宋体"/>
                <w:bCs/>
                <w:sz w:val="21"/>
                <w:szCs w:val="21"/>
                <w:lang w:eastAsia="zh-CN"/>
              </w:rPr>
            </w:pPr>
            <w:r>
              <w:rPr>
                <w:rFonts w:hint="eastAsia" w:cs="宋体"/>
                <w:bCs/>
                <w:sz w:val="21"/>
                <w:szCs w:val="21"/>
                <w:lang w:eastAsia="zh-CN"/>
              </w:rPr>
              <w:t xml:space="preserve">质保服务</w:t>
            </w:r>
            <w:r>
              <w:rPr>
                <w:rFonts w:hint="eastAsia" w:cs="宋体"/>
                <w:bCs/>
                <w:sz w:val="21"/>
                <w:szCs w:val="21"/>
                <w:lang w:eastAsia="zh-CN"/>
              </w:rPr>
            </w:r>
            <w:r/>
          </w:p>
          <w:p>
            <w:pPr>
              <w:pStyle w:val="613"/>
              <w:jc w:val="center"/>
              <w:spacing w:line="288" w:lineRule="auto"/>
              <w:rPr>
                <w:rFonts w:ascii="宋体" w:hAnsi="宋体" w:eastAsia="宋体" w:cs="宋体"/>
                <w:bCs/>
                <w:sz w:val="21"/>
                <w:szCs w:val="21"/>
                <w:lang w:eastAsia="zh-CN"/>
              </w:rPr>
            </w:pPr>
            <w:r>
              <w:rPr>
                <w:rFonts w:hint="eastAsia" w:cs="宋体"/>
                <w:bCs/>
                <w:sz w:val="21"/>
                <w:szCs w:val="21"/>
                <w:lang w:eastAsia="zh-CN"/>
              </w:rPr>
              <w:t xml:space="preserve">承诺</w:t>
            </w:r>
            <w:r>
              <w:rPr>
                <w:rFonts w:ascii="宋体" w:hAnsi="宋体" w:eastAsia="宋体" w:cs="宋体"/>
                <w:bCs/>
                <w:sz w:val="21"/>
                <w:szCs w:val="21"/>
                <w:lang w:eastAsia="zh-CN"/>
              </w:rPr>
            </w:r>
            <w:r/>
          </w:p>
        </w:tc>
        <w:tc>
          <w:tcPr>
            <w:tcW w:w="5883" w:type="dxa"/>
            <w:vAlign w:val="center"/>
            <w:textDirection w:val="lrTb"/>
            <w:noWrap w:val="false"/>
          </w:tcPr>
          <w:p>
            <w:pPr>
              <w:pStyle w:val="613"/>
              <w:spacing w:line="240" w:lineRule="auto"/>
              <w:rPr>
                <w:rFonts w:ascii="宋体" w:hAnsi="宋体" w:eastAsia="宋体" w:cs="宋体"/>
                <w:sz w:val="21"/>
                <w:szCs w:val="21"/>
              </w:rPr>
            </w:pPr>
            <w:r>
              <w:rPr>
                <w:rFonts w:hint="eastAsia"/>
                <w:bCs/>
                <w:lang w:eastAsia="zh-CN"/>
              </w:rPr>
              <w:t xml:space="preserve">健身器材需</w:t>
            </w:r>
            <w:r>
              <w:rPr>
                <w:rFonts w:hint="eastAsia" w:ascii="宋体" w:hAnsi="宋体"/>
                <w:bCs/>
                <w:lang w:eastAsia="zh-CN"/>
              </w:rPr>
              <w:t xml:space="preserve">提供3年整体全免费质保服务</w:t>
            </w:r>
            <w:r>
              <w:rPr>
                <w:rFonts w:hint="eastAsia"/>
                <w:bCs/>
                <w:lang w:eastAsia="zh-CN"/>
              </w:rPr>
              <w:t xml:space="preserve">，供应商承诺每多1年质保服务得1分，本项最高得2分。 （承诺书格式自拟）</w:t>
            </w:r>
            <w:r>
              <w:rPr>
                <w:rFonts w:ascii="宋体" w:hAnsi="宋体" w:eastAsia="宋体" w:cs="宋体"/>
                <w:sz w:val="21"/>
                <w:szCs w:val="21"/>
              </w:rPr>
            </w:r>
            <w:r/>
          </w:p>
        </w:tc>
        <w:tc>
          <w:tcPr>
            <w:tcW w:w="1569" w:type="dxa"/>
            <w:vAlign w:val="center"/>
            <w:textDirection w:val="lrTb"/>
            <w:noWrap w:val="false"/>
          </w:tcPr>
          <w:p>
            <w:pPr>
              <w:pStyle w:val="613"/>
              <w:jc w:val="center"/>
              <w:spacing w:line="288" w:lineRule="auto"/>
              <w:rPr>
                <w:sz w:val="21"/>
                <w:szCs w:val="21"/>
                <w:lang w:eastAsia="zh-CN"/>
              </w:rPr>
            </w:pPr>
            <w:r>
              <w:rPr>
                <w:rFonts w:hint="eastAsia"/>
                <w:sz w:val="21"/>
                <w:szCs w:val="21"/>
                <w:lang w:eastAsia="zh-CN"/>
              </w:rPr>
              <w:t xml:space="preserve">2</w:t>
            </w:r>
            <w:r>
              <w:rPr>
                <w:sz w:val="21"/>
                <w:szCs w:val="21"/>
                <w:lang w:eastAsia="zh-CN"/>
              </w:rPr>
            </w:r>
            <w:r/>
          </w:p>
        </w:tc>
      </w:tr>
    </w:tbl>
    <w:p>
      <w:pPr>
        <w:pStyle w:val="680"/>
      </w:pPr>
      <w:r/>
      <w:r/>
    </w:p>
    <w:p>
      <w:pPr>
        <w:pStyle w:val="680"/>
      </w:pPr>
      <w:r/>
      <w:r/>
    </w:p>
    <w:p>
      <w:pPr>
        <w:pStyle w:val="680"/>
        <w:spacing w:line="360" w:lineRule="auto"/>
        <w:rPr>
          <w:rFonts w:hint="eastAsia" w:ascii="宋体" w:hAnsi="宋体" w:cs="宋体"/>
          <w:sz w:val="24"/>
          <w:szCs w:val="24"/>
        </w:rPr>
      </w:pPr>
      <w:r>
        <w:rPr>
          <w:rFonts w:hint="eastAsia" w:ascii="宋体" w:hAnsi="宋体" w:cs="宋体"/>
          <w:sz w:val="24"/>
          <w:szCs w:val="24"/>
        </w:rPr>
        <w:t xml:space="preserve">注:1、以上所有要求提供的证明材料在投标截止时间之前扫描件加盖单位公章或者电子签章上传，未提供或未按要求提供不得分，用投标文件制作工具制作并生成上传至苏采云平台。</w:t>
      </w:r>
      <w:r>
        <w:rPr>
          <w:rFonts w:hint="eastAsia" w:ascii="宋体" w:hAnsi="宋体" w:cs="宋体"/>
          <w:sz w:val="24"/>
          <w:szCs w:val="24"/>
        </w:rPr>
      </w:r>
      <w:r/>
    </w:p>
    <w:p>
      <w:pPr>
        <w:pStyle w:val="680"/>
        <w:spacing w:line="360" w:lineRule="auto"/>
        <w:rPr>
          <w:rFonts w:hint="eastAsia" w:ascii="宋体" w:hAnsi="宋体" w:cs="宋体"/>
          <w:sz w:val="24"/>
          <w:szCs w:val="24"/>
        </w:rPr>
      </w:pPr>
      <w:r>
        <w:rPr>
          <w:rFonts w:hint="eastAsia" w:ascii="宋体" w:hAnsi="宋体" w:cs="宋体"/>
          <w:sz w:val="24"/>
          <w:szCs w:val="24"/>
        </w:rPr>
        <w:t xml:space="preserve">2、供应商所提供的证明材料应真实、有效。在合同签订前须提供原件供采购人核查。无法提供原件或提供不全的，采购人有权取消其中标资格，并按相关规定对其进行严肃处理。（检测机构直接出具的报告方可视为原件，任何扫描打印件、复印件等不能视为原件）</w:t>
      </w:r>
      <w:r>
        <w:rPr>
          <w:rFonts w:hint="eastAsia" w:ascii="宋体" w:hAnsi="宋体" w:cs="宋体"/>
          <w:sz w:val="24"/>
          <w:szCs w:val="24"/>
        </w:rPr>
      </w:r>
      <w:r/>
    </w:p>
    <w:p>
      <w:pPr>
        <w:pStyle w:val="680"/>
        <w:rPr>
          <w:rFonts w:hint="eastAsia" w:ascii="宋体" w:hAnsi="宋体" w:cs="宋体"/>
          <w:sz w:val="24"/>
          <w:szCs w:val="24"/>
        </w:rPr>
      </w:pPr>
      <w:r>
        <w:rPr>
          <w:rFonts w:hint="eastAsia" w:ascii="宋体" w:hAnsi="宋体" w:cs="宋体"/>
          <w:sz w:val="24"/>
          <w:szCs w:val="24"/>
        </w:rPr>
      </w:r>
      <w:r/>
    </w:p>
    <w:p>
      <w:pPr>
        <w:pStyle w:val="613"/>
        <w:jc w:val="both"/>
        <w:spacing w:line="85"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三、推荐中标候选人:</w:t>
      </w:r>
      <w:r>
        <w:rPr>
          <w:rFonts w:hint="eastAsia"/>
          <w:sz w:val="24"/>
          <w:szCs w:val="24"/>
          <w:lang w:eastAsia="zh-CN"/>
        </w:rPr>
      </w:r>
      <w:r/>
    </w:p>
    <w:p>
      <w:pPr>
        <w:pStyle w:val="613"/>
        <w:ind w:firstLine="488"/>
        <w:jc w:val="both"/>
        <w:spacing w:line="85"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汇总上述各项分值（保留两位小数,小数点后第三位四舍五入），按总得分由高到低的顺序排列,综合得分最高的为中标候选人。</w:t>
      </w:r>
      <w:r>
        <w:rPr>
          <w:rFonts w:hint="eastAsia" w:ascii="宋体" w:hAnsi="宋体" w:eastAsia="宋体" w:cs="宋体"/>
          <w:color w:val="000000"/>
          <w:sz w:val="24"/>
          <w:szCs w:val="24"/>
          <w:lang w:eastAsia="zh-CN"/>
        </w:rPr>
      </w:r>
      <w:r/>
    </w:p>
    <w:p>
      <w:pPr>
        <w:pStyle w:val="61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rPr>
          <w:rFonts w:hint="eastAsia" w:ascii="宋体" w:hAnsi="宋体" w:eastAsia="宋体" w:cs="宋体"/>
          <w:color w:val="000000"/>
          <w:sz w:val="24"/>
          <w:szCs w:val="24"/>
          <w:lang w:eastAsia="zh-CN"/>
        </w:rPr>
      </w:r>
      <w:r/>
    </w:p>
    <w:p>
      <w:pPr>
        <w:pStyle w:val="613"/>
        <w:jc w:val="center"/>
        <w:spacing w:after="0" w:line="71" w:lineRule="atLeast"/>
        <w:rPr>
          <w:b/>
          <w:bCs/>
          <w:lang w:eastAsia="zh-CN"/>
        </w:rPr>
        <w:pBdr>
          <w:top w:val="none" w:color="000000" w:sz="0" w:space="0"/>
          <w:left w:val="none" w:color="000000" w:sz="0" w:space="0"/>
          <w:bottom w:val="none" w:color="000000" w:sz="0" w:space="0"/>
          <w:right w:val="none" w:color="000000" w:sz="0" w:space="0"/>
        </w:pBdr>
      </w:pPr>
      <w:r/>
      <w:bookmarkEnd w:id="1"/>
      <w:r>
        <w:rPr>
          <w:rFonts w:ascii="宋体" w:hAnsi="宋体" w:eastAsia="宋体" w:cs="宋体"/>
          <w:b/>
          <w:bCs/>
          <w:color w:val="000000"/>
          <w:sz w:val="30"/>
          <w:lang w:eastAsia="zh-CN"/>
        </w:rPr>
        <w:t xml:space="preserve">第五章 合同条款</w:t>
      </w:r>
      <w:r>
        <w:rPr>
          <w:b/>
          <w:bCs/>
          <w:lang w:eastAsia="zh-CN"/>
        </w:rPr>
      </w:r>
      <w:r/>
    </w:p>
    <w:p>
      <w:pPr>
        <w:pStyle w:val="613"/>
        <w:ind w:firstLine="567"/>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jc w:val="both"/>
        <w:spacing w:after="0" w:line="400" w:lineRule="atLeast"/>
        <w:tabs>
          <w:tab w:val="left" w:pos="9360" w:leader="none"/>
        </w:tabs>
        <w:rPr>
          <w:lang w:eastAsia="zh-CN"/>
        </w:rPr>
        <w:pBdr>
          <w:top w:val="none" w:color="000000" w:sz="0" w:space="0"/>
          <w:left w:val="none" w:color="000000" w:sz="0" w:space="0"/>
          <w:bottom w:val="none" w:color="000000" w:sz="0" w:space="0"/>
          <w:right w:val="none" w:color="000000" w:sz="0" w:space="0"/>
        </w:pBdr>
      </w:pPr>
      <w:r/>
      <w:bookmarkStart w:id="2" w:name="OLE_LINK8"/>
      <w:r>
        <w:rPr>
          <w:rFonts w:ascii="宋体" w:hAnsi="宋体" w:eastAsia="宋体" w:cs="宋体"/>
          <w:color w:val="000000"/>
          <w:sz w:val="24"/>
          <w:lang w:eastAsia="zh-CN"/>
        </w:rPr>
        <w:t xml:space="preserve">甲方： (采购人); 乙方：(成交人);   </w:t>
      </w:r>
      <w:r>
        <w:rPr>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签订地点：; 签订时间：</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lang w:eastAsia="zh-CN"/>
        </w:rPr>
        <w:t xml:space="preserve">日。   </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甲乙双方根据《中华人民共和国政府采购法》、《中华人民共和国民法典》及政府采购文件(文件编号:)，按照平等、自愿的原则，协商签订政府采购供货合同。             </w:t>
      </w:r>
      <w:r>
        <w:rPr>
          <w:sz w:val="21"/>
          <w:szCs w:val="21"/>
          <w:lang w:eastAsia="zh-CN"/>
        </w:rPr>
      </w:r>
      <w:r/>
    </w:p>
    <w:p>
      <w:pPr>
        <w:pStyle w:val="613"/>
        <w:ind w:firstLine="472"/>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一、说明：</w:t>
      </w:r>
      <w:r>
        <w:rPr>
          <w:sz w:val="21"/>
          <w:szCs w:val="21"/>
          <w:lang w:eastAsia="zh-CN"/>
        </w:rPr>
      </w:r>
      <w:r/>
    </w:p>
    <w:p>
      <w:pPr>
        <w:pStyle w:val="613"/>
        <w:ind w:firstLine="460"/>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受甲方委托，</w:t>
      </w:r>
      <w:r>
        <w:rPr>
          <w:rFonts w:hint="eastAsia" w:ascii="宋体" w:hAnsi="宋体" w:eastAsia="宋体" w:cs="宋体"/>
          <w:color w:val="000000"/>
          <w:sz w:val="21"/>
          <w:szCs w:val="21"/>
          <w:lang w:eastAsia="zh-CN"/>
        </w:rPr>
        <w:t xml:space="preserve">苏州市群益工程顾问有限责任公司</w:t>
      </w:r>
      <w:r>
        <w:rPr>
          <w:rFonts w:ascii="宋体" w:hAnsi="宋体" w:eastAsia="宋体" w:cs="宋体"/>
          <w:color w:val="000000"/>
          <w:sz w:val="21"/>
          <w:szCs w:val="21"/>
          <w:lang w:eastAsia="zh-CN"/>
        </w:rPr>
        <w:t xml:space="preserve">于年月日组织了的公开招标，经招标小组认真严格的评审，确定由乙方成交。</w:t>
      </w:r>
      <w:r>
        <w:rPr>
          <w:sz w:val="21"/>
          <w:szCs w:val="21"/>
          <w:lang w:eastAsia="zh-CN"/>
        </w:rPr>
      </w:r>
      <w:r/>
    </w:p>
    <w:p>
      <w:pPr>
        <w:pStyle w:val="613"/>
        <w:numPr>
          <w:ilvl w:val="0"/>
          <w:numId w:val="8"/>
        </w:numPr>
        <w:ind w:left="18" w:firstLine="422"/>
        <w:jc w:val="both"/>
        <w:spacing w:after="0" w:line="400" w:lineRule="atLeast"/>
        <w:rPr>
          <w:rFonts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适用范围</w:t>
      </w:r>
      <w:r>
        <w:rPr>
          <w:rFonts w:ascii="宋体" w:hAnsi="宋体" w:eastAsia="宋体" w:cs="宋体"/>
          <w:b/>
          <w:color w:val="000000"/>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本合同条款适用与本次采购活动。项目实施范围详见附件（</w:t>
      </w:r>
      <w:r>
        <w:rPr>
          <w:rFonts w:hint="eastAsia" w:ascii="宋体" w:hAnsi="宋体" w:eastAsia="宋体" w:cs="宋体"/>
          <w:color w:val="000000"/>
          <w:sz w:val="21"/>
          <w:szCs w:val="21"/>
          <w:lang w:eastAsia="zh-CN"/>
        </w:rPr>
        <w:t xml:space="preserve">招标</w:t>
      </w:r>
      <w:r>
        <w:rPr>
          <w:rFonts w:ascii="宋体" w:hAnsi="宋体" w:eastAsia="宋体" w:cs="宋体"/>
          <w:color w:val="000000"/>
          <w:sz w:val="21"/>
          <w:szCs w:val="21"/>
          <w:lang w:eastAsia="zh-CN"/>
        </w:rPr>
        <w:t xml:space="preserve">文件和响应文件及补充文件、承诺书等）。</w:t>
      </w:r>
      <w:r>
        <w:rPr>
          <w:sz w:val="21"/>
          <w:szCs w:val="21"/>
          <w:lang w:eastAsia="zh-CN"/>
        </w:rPr>
      </w:r>
      <w:r/>
    </w:p>
    <w:p>
      <w:pPr>
        <w:pStyle w:val="613"/>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三</w:t>
      </w:r>
      <w:r>
        <w:rPr>
          <w:rFonts w:ascii="宋体" w:hAnsi="宋体" w:eastAsia="宋体" w:cs="宋体"/>
          <w:color w:val="000000"/>
          <w:sz w:val="21"/>
          <w:szCs w:val="21"/>
          <w:lang w:eastAsia="zh-CN"/>
        </w:rPr>
        <w:t xml:space="preserve">、</w:t>
      </w:r>
      <w:r>
        <w:rPr>
          <w:rFonts w:ascii="宋体" w:hAnsi="宋体" w:eastAsia="宋体" w:cs="宋体"/>
          <w:b/>
          <w:color w:val="000000"/>
          <w:sz w:val="21"/>
          <w:szCs w:val="21"/>
          <w:lang w:eastAsia="zh-CN"/>
        </w:rPr>
        <w:t xml:space="preserve">项目基本情况</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rPr>
          <w:sz w:val="21"/>
          <w:szCs w:val="21"/>
          <w:lang w:eastAsia="zh-CN"/>
        </w:rPr>
      </w:r>
      <w:r/>
    </w:p>
    <w:p>
      <w:pPr>
        <w:pStyle w:val="613"/>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四、委托服务事项</w:t>
      </w:r>
      <w:r>
        <w:rPr>
          <w:sz w:val="21"/>
          <w:szCs w:val="21"/>
          <w:lang w:eastAsia="zh-CN"/>
        </w:rPr>
      </w:r>
      <w:r/>
    </w:p>
    <w:p>
      <w:pPr>
        <w:pStyle w:val="613"/>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rPr>
          <w:sz w:val="21"/>
          <w:szCs w:val="21"/>
          <w:lang w:eastAsia="zh-CN"/>
        </w:rPr>
      </w:r>
      <w:r/>
    </w:p>
    <w:p>
      <w:pPr>
        <w:pStyle w:val="613"/>
        <w:ind w:firstLine="472"/>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五、合同期限</w:t>
      </w:r>
      <w:r>
        <w:rPr>
          <w:sz w:val="21"/>
          <w:szCs w:val="21"/>
        </w:rPr>
      </w:r>
      <w:r/>
    </w:p>
    <w:p>
      <w:pPr>
        <w:pStyle w:val="613"/>
        <w:ind w:firstLine="480"/>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本合同期限自年月</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日起至年月日止。</w:t>
      </w:r>
      <w:r>
        <w:rPr>
          <w:sz w:val="21"/>
          <w:szCs w:val="21"/>
        </w:rPr>
      </w:r>
      <w:r/>
    </w:p>
    <w:p>
      <w:pPr>
        <w:pStyle w:val="613"/>
        <w:ind w:firstLine="472"/>
        <w:spacing w:after="24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六、费用结算方式</w:t>
      </w:r>
      <w:r>
        <w:rPr>
          <w:sz w:val="21"/>
          <w:szCs w:val="21"/>
          <w:lang w:eastAsia="zh-CN"/>
        </w:rPr>
      </w:r>
      <w:r/>
    </w:p>
    <w:p>
      <w:pPr>
        <w:pStyle w:val="613"/>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七、履约保证金</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履约保证金为中标价的</w:t>
      </w:r>
      <w:r>
        <w:rPr>
          <w:rFonts w:ascii="宋体" w:hAnsi="宋体" w:eastAsia="宋体" w:cs="宋体"/>
          <w:color w:val="000000"/>
          <w:sz w:val="21"/>
          <w:szCs w:val="21"/>
          <w:u w:val="single"/>
          <w:lang w:eastAsia="zh-CN"/>
        </w:rPr>
        <w:t xml:space="preserve">     %</w:t>
      </w:r>
      <w:r>
        <w:rPr>
          <w:rFonts w:ascii="宋体" w:hAnsi="宋体" w:eastAsia="宋体" w:cs="宋体"/>
          <w:color w:val="000000"/>
          <w:sz w:val="21"/>
          <w:szCs w:val="21"/>
          <w:lang w:eastAsia="zh-CN"/>
        </w:rPr>
        <w:t xml:space="preserve">，以保证乙方遵守本合同的一切条款、条件和承诺。</w:t>
      </w:r>
      <w:r>
        <w:rPr>
          <w:sz w:val="21"/>
          <w:szCs w:val="21"/>
          <w:lang w:eastAsia="zh-CN"/>
        </w:rPr>
      </w:r>
      <w:r/>
    </w:p>
    <w:p>
      <w:pPr>
        <w:pStyle w:val="613"/>
        <w:ind w:firstLine="48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八、项目工作要求</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rPr>
          <w:sz w:val="21"/>
          <w:szCs w:val="21"/>
          <w:lang w:eastAsia="zh-CN"/>
        </w:rPr>
      </w:r>
      <w:r/>
    </w:p>
    <w:p>
      <w:pPr>
        <w:pStyle w:val="613"/>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九、合同生效和终止</w:t>
      </w:r>
      <w:r>
        <w:rPr>
          <w:rFonts w:ascii="宋体" w:hAnsi="宋体" w:eastAsia="宋体" w:cs="宋体"/>
          <w:color w:val="000000"/>
          <w:sz w:val="21"/>
          <w:szCs w:val="21"/>
          <w:lang w:eastAsia="zh-CN"/>
        </w:rPr>
        <w:t xml:space="preserve">：</w:t>
      </w:r>
      <w:r>
        <w:rPr>
          <w:sz w:val="21"/>
          <w:szCs w:val="21"/>
          <w:lang w:eastAsia="zh-CN"/>
        </w:rPr>
      </w:r>
      <w:r/>
    </w:p>
    <w:p>
      <w:pPr>
        <w:pStyle w:val="613"/>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rPr>
          <w:sz w:val="21"/>
          <w:szCs w:val="21"/>
          <w:lang w:eastAsia="zh-CN"/>
        </w:rPr>
      </w:r>
      <w:r/>
    </w:p>
    <w:p>
      <w:pPr>
        <w:pStyle w:val="613"/>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十、双方权利义务：</w:t>
      </w:r>
      <w:r>
        <w:rPr>
          <w:sz w:val="21"/>
          <w:szCs w:val="21"/>
          <w:lang w:eastAsia="zh-CN"/>
        </w:rPr>
      </w:r>
      <w:r/>
    </w:p>
    <w:p>
      <w:pPr>
        <w:pStyle w:val="613"/>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rPr>
          <w:sz w:val="21"/>
          <w:szCs w:val="21"/>
          <w:lang w:eastAsia="zh-CN"/>
        </w:rPr>
      </w:r>
      <w:r/>
    </w:p>
    <w:p>
      <w:pPr>
        <w:pStyle w:val="613"/>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十一、争议处理</w:t>
      </w:r>
      <w:r>
        <w:rPr>
          <w:sz w:val="21"/>
          <w:szCs w:val="21"/>
          <w:lang w:eastAsia="zh-CN"/>
        </w:rPr>
      </w:r>
      <w:r/>
    </w:p>
    <w:p>
      <w:pPr>
        <w:pStyle w:val="613"/>
        <w:ind w:firstLine="352"/>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合同在履行过程中发生争议时，甲方与乙方及时协商解决。协商不成时，提请泰州仲裁委员会仲裁。</w:t>
      </w:r>
      <w:r>
        <w:rPr>
          <w:sz w:val="21"/>
          <w:szCs w:val="21"/>
          <w:lang w:eastAsia="zh-CN"/>
        </w:rPr>
      </w:r>
      <w:r/>
    </w:p>
    <w:p>
      <w:pPr>
        <w:pStyle w:val="613"/>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十二、其他</w:t>
      </w:r>
      <w:r>
        <w:rPr>
          <w:sz w:val="21"/>
          <w:szCs w:val="21"/>
          <w:lang w:eastAsia="zh-CN"/>
        </w:rPr>
      </w:r>
      <w:r/>
    </w:p>
    <w:p>
      <w:pPr>
        <w:pStyle w:val="613"/>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1．未经过甲方的书面同意，乙方不得转让其应履行的合同项下的义务，和将部分合同项下的义务分包给其他单位完成。</w:t>
      </w:r>
      <w:r>
        <w:rPr>
          <w:sz w:val="21"/>
          <w:szCs w:val="21"/>
          <w:lang w:eastAsia="zh-CN"/>
        </w:rPr>
      </w:r>
      <w:r/>
    </w:p>
    <w:p>
      <w:pPr>
        <w:pStyle w:val="613"/>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2．合同履行期内甲乙双方均不得随意变更或解除合同。合同若有未尽事宜，需经双方共同协商，订立补充协议，补充协议与本合同有同等法律效力。</w:t>
      </w:r>
      <w:r>
        <w:rPr>
          <w:sz w:val="21"/>
          <w:szCs w:val="21"/>
          <w:lang w:eastAsia="zh-CN"/>
        </w:rPr>
      </w:r>
      <w:r/>
    </w:p>
    <w:p>
      <w:pPr>
        <w:pStyle w:val="613"/>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3．采购文件（编号：     ）、响应文件及评标过程中形成的文字资料、询标纪要均作为本合同的组成部分，具有同等效力。</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4、本合同一式肆份，自签订之日起生效。</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5、本合同未尽事宜，遵照《民法典》有关条文执行。</w:t>
      </w:r>
      <w:r>
        <w:rPr>
          <w:sz w:val="21"/>
          <w:szCs w:val="21"/>
          <w:lang w:eastAsia="zh-CN"/>
        </w:rPr>
      </w:r>
      <w:r/>
    </w:p>
    <w:p>
      <w:pPr>
        <w:pStyle w:val="613"/>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rPr>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甲方（盖章）：                             乙方（盖章）：        </w:t>
      </w:r>
      <w:r>
        <w:rPr>
          <w:rFonts w:ascii="宋体" w:hAnsi="宋体"/>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            法定代表人或受委托人（签字）：                   </w:t>
      </w:r>
      <w:r>
        <w:rPr>
          <w:rFonts w:ascii="宋体" w:hAnsi="宋体"/>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联系人：                                  联系人：</w:t>
      </w:r>
      <w:r>
        <w:rPr>
          <w:rFonts w:ascii="宋体" w:hAnsi="宋体"/>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地址：                                    地址： </w:t>
      </w:r>
      <w:r>
        <w:rPr>
          <w:rFonts w:ascii="宋体" w:hAnsi="宋体"/>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电话和传真：                              电话传真：</w:t>
      </w:r>
      <w:r>
        <w:rPr>
          <w:rFonts w:ascii="宋体" w:hAnsi="宋体"/>
          <w:sz w:val="21"/>
          <w:szCs w:val="21"/>
          <w:lang w:eastAsia="zh-CN"/>
        </w:rPr>
      </w:r>
      <w:r/>
    </w:p>
    <w:p>
      <w:pPr>
        <w:pStyle w:val="613"/>
        <w:spacing w:line="460" w:lineRule="exact"/>
        <w:rPr>
          <w:rFonts w:ascii="宋体" w:hAnsi="宋体"/>
          <w:sz w:val="21"/>
          <w:szCs w:val="21"/>
          <w:lang w:eastAsia="zh-CN"/>
        </w:rPr>
      </w:pPr>
      <w:r>
        <w:rPr>
          <w:rFonts w:hint="eastAsia" w:ascii="宋体" w:hAnsi="宋体"/>
          <w:sz w:val="21"/>
          <w:szCs w:val="21"/>
          <w:lang w:eastAsia="zh-CN"/>
        </w:rPr>
        <w:t xml:space="preserve">开户银行：                                开户银行： </w:t>
      </w:r>
      <w:r>
        <w:rPr>
          <w:rFonts w:ascii="宋体" w:hAnsi="宋体"/>
          <w:sz w:val="21"/>
          <w:szCs w:val="21"/>
          <w:lang w:eastAsia="zh-CN"/>
        </w:rPr>
      </w:r>
      <w:r/>
    </w:p>
    <w:p>
      <w:pPr>
        <w:pStyle w:val="613"/>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lang w:eastAsia="zh-CN"/>
        </w:rPr>
        <w:t xml:space="preserve">帐号：                                    帐号：</w:t>
      </w:r>
      <w:r>
        <w:rPr>
          <w:rFonts w:hint="eastAsia" w:ascii="宋体"/>
          <w:sz w:val="21"/>
          <w:szCs w:val="21"/>
          <w:lang w:eastAsia="zh-CN"/>
        </w:rPr>
        <w:t xml:space="preserve">    </w:t>
      </w:r>
      <w:r>
        <w:rPr>
          <w:rFonts w:hint="eastAsia" w:eastAsia="仿宋_GB2312"/>
          <w:sz w:val="21"/>
          <w:szCs w:val="21"/>
          <w:lang w:eastAsia="zh-CN"/>
        </w:rPr>
        <w:t xml:space="preserve">  </w:t>
      </w:r>
      <w:r>
        <w:rPr>
          <w:rFonts w:ascii="宋体" w:hAnsi="宋体" w:eastAsia="宋体" w:cs="宋体"/>
          <w:b/>
          <w:color w:val="000000"/>
          <w:sz w:val="21"/>
          <w:szCs w:val="21"/>
          <w:lang w:eastAsia="zh-CN"/>
        </w:rPr>
        <w:t xml:space="preserve"> </w:t>
      </w:r>
      <w:r>
        <w:rPr>
          <w:sz w:val="21"/>
          <w:szCs w:val="21"/>
          <w:lang w:eastAsia="zh-CN"/>
        </w:rPr>
      </w:r>
      <w:r/>
    </w:p>
    <w:p>
      <w:pPr>
        <w:pStyle w:val="613"/>
        <w:ind w:firstLine="200"/>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rPr>
          <w:sz w:val="21"/>
          <w:szCs w:val="21"/>
          <w:lang w:eastAsia="zh-CN"/>
        </w:rPr>
      </w:r>
      <w:r/>
    </w:p>
    <w:p>
      <w:pPr>
        <w:pStyle w:val="613"/>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rPr>
          <w:sz w:val="21"/>
          <w:szCs w:val="21"/>
          <w:lang w:eastAsia="zh-CN"/>
        </w:rPr>
      </w:r>
      <w:r/>
    </w:p>
    <w:p>
      <w:pPr>
        <w:pStyle w:val="613"/>
        <w:ind w:firstLine="420"/>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pStyle w:val="613"/>
        <w:ind w:firstLine="420"/>
        <w:jc w:val="center"/>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pStyle w:val="613"/>
        <w:rPr>
          <w:sz w:val="21"/>
          <w:szCs w:val="21"/>
          <w:lang w:eastAsia="zh-CN"/>
        </w:rPr>
      </w:pPr>
      <w:r>
        <w:rPr>
          <w:sz w:val="21"/>
          <w:szCs w:val="21"/>
          <w:lang w:eastAsia="zh-CN"/>
        </w:rPr>
      </w:r>
      <w:r/>
    </w:p>
    <w:p>
      <w:pPr>
        <w:pStyle w:val="671"/>
        <w:ind w:firstLine="400"/>
        <w:rPr>
          <w:lang w:eastAsia="zh-CN"/>
        </w:rPr>
      </w:pPr>
      <w:r>
        <w:rPr>
          <w:lang w:eastAsia="zh-CN"/>
        </w:rPr>
      </w:r>
      <w:r/>
    </w:p>
    <w:p>
      <w:pPr>
        <w:pStyle w:val="613"/>
        <w:rPr>
          <w:lang w:eastAsia="zh-CN"/>
        </w:rPr>
      </w:pPr>
      <w:r>
        <w:rPr>
          <w:lang w:eastAsia="zh-CN"/>
        </w:rPr>
      </w:r>
      <w:r/>
    </w:p>
    <w:p>
      <w:pPr>
        <w:pStyle w:val="671"/>
        <w:rPr>
          <w:lang w:eastAsia="zh-CN"/>
        </w:rPr>
      </w:pPr>
      <w:r>
        <w:rPr>
          <w:lang w:eastAsia="zh-CN"/>
        </w:rPr>
      </w:r>
      <w:r/>
    </w:p>
    <w:p>
      <w:pPr>
        <w:pStyle w:val="613"/>
        <w:rPr>
          <w:lang w:eastAsia="zh-CN"/>
        </w:rPr>
      </w:pPr>
      <w:r>
        <w:rPr>
          <w:lang w:eastAsia="zh-CN"/>
        </w:rPr>
      </w:r>
      <w:r/>
    </w:p>
    <w:p>
      <w:pPr>
        <w:pStyle w:val="671"/>
        <w:rPr>
          <w:lang w:eastAsia="zh-CN"/>
        </w:rPr>
      </w:pPr>
      <w:r>
        <w:rPr>
          <w:lang w:eastAsia="zh-CN"/>
        </w:rPr>
      </w:r>
      <w:r/>
    </w:p>
    <w:p>
      <w:pPr>
        <w:pStyle w:val="613"/>
        <w:rPr>
          <w:lang w:eastAsia="zh-CN"/>
        </w:rPr>
      </w:pPr>
      <w:r>
        <w:rPr>
          <w:lang w:eastAsia="zh-CN"/>
        </w:rPr>
      </w:r>
      <w:r/>
    </w:p>
    <w:p>
      <w:pPr>
        <w:pStyle w:val="671"/>
        <w:rPr>
          <w:lang w:eastAsia="zh-CN"/>
        </w:rPr>
      </w:pPr>
      <w:r>
        <w:rPr>
          <w:lang w:eastAsia="zh-CN"/>
        </w:rPr>
      </w:r>
      <w:r/>
    </w:p>
    <w:p>
      <w:pPr>
        <w:pStyle w:val="671"/>
        <w:rPr>
          <w:lang w:eastAsia="zh-CN"/>
        </w:rPr>
      </w:pPr>
      <w:r>
        <w:rPr>
          <w:lang w:eastAsia="zh-CN"/>
        </w:rPr>
      </w:r>
      <w:r/>
    </w:p>
    <w:p>
      <w:pPr>
        <w:pStyle w:val="613"/>
        <w:spacing w:line="360" w:lineRule="auto"/>
        <w:rPr>
          <w:rFonts w:hint="eastAsia" w:ascii="宋体" w:hAnsi="宋体" w:eastAsia="宋体" w:cs="宋体"/>
          <w:bCs/>
          <w:sz w:val="21"/>
          <w:szCs w:val="21"/>
          <w:lang w:eastAsia="zh-CN"/>
        </w:rPr>
      </w:pPr>
      <w:r/>
      <w:bookmarkEnd w:id="2"/>
      <w:r>
        <w:rPr>
          <w:rFonts w:hint="eastAsia" w:ascii="宋体" w:hAnsi="宋体" w:eastAsia="宋体" w:cs="宋体"/>
          <w:bCs/>
          <w:sz w:val="21"/>
          <w:szCs w:val="21"/>
          <w:lang w:eastAsia="zh-CN"/>
        </w:rPr>
      </w:r>
      <w:r/>
    </w:p>
    <w:p>
      <w:pPr>
        <w:pStyle w:val="61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613"/>
        <w:spacing w:after="0"/>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rPr>
          <w:b/>
          <w:bCs/>
          <w:lang w:eastAsia="zh-CN"/>
        </w:rPr>
      </w:r>
      <w:r/>
    </w:p>
    <w:p>
      <w:pPr>
        <w:pStyle w:val="613"/>
        <w:jc w:val="center"/>
        <w:spacing w:after="0" w:line="85"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第六章 投标文件格式</w:t>
      </w:r>
      <w:r>
        <w:rPr>
          <w:b/>
          <w:bCs/>
          <w:lang w:eastAsia="zh-CN"/>
        </w:rPr>
      </w:r>
      <w:r/>
    </w:p>
    <w:p>
      <w:pPr>
        <w:pStyle w:val="613"/>
        <w:ind w:firstLine="24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1、说明：对本章所有的投标书格式 ，除开标一览表外，投标方可根据自身情况进行补充和修改，但补充和修改不得造成与本格式内容有实质性的违背。</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2、投标人应按标段准备投标文件并清楚注明标段名称,否则造成的一切后果由投标人自行承担。</w:t>
      </w:r>
      <w:r>
        <w:rPr>
          <w:rFonts w:ascii="宋体" w:hAnsi="宋体" w:eastAsia="宋体" w:cs="宋体"/>
          <w:color w:val="000000"/>
          <w:sz w:val="24"/>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lang w:eastAsia="zh-CN"/>
        </w:rPr>
      </w:r>
      <w:r/>
    </w:p>
    <w:p>
      <w:pPr>
        <w:pStyle w:val="613"/>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开标一览表</w:t>
      </w:r>
      <w:r>
        <w:rPr>
          <w:lang w:eastAsia="zh-CN"/>
        </w:rPr>
      </w:r>
      <w:r/>
    </w:p>
    <w:p>
      <w:pPr>
        <w:pStyle w:val="61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项目编号：</w:t>
      </w:r>
      <w:r>
        <w:rPr>
          <w:lang w:eastAsia="zh-CN"/>
        </w:rPr>
      </w:r>
      <w:r/>
    </w:p>
    <w:p>
      <w:pPr>
        <w:pStyle w:val="61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货币单位：人民币元</w:t>
      </w:r>
      <w:r>
        <w:rPr>
          <w:lang w:eastAsia="zh-CN"/>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Mar>
              <w:left w:w="15" w:type="dxa"/>
              <w:top w:w="15" w:type="dxa"/>
              <w:right w:w="15" w:type="dxa"/>
              <w:bottom w:w="15" w:type="dxa"/>
            </w:tcMar>
            <w:tcW w:w="2567" w:type="dxa"/>
            <w:vAlign w:val="center"/>
            <w:textDirection w:val="lrTb"/>
            <w:noWrap/>
          </w:tcPr>
          <w:p>
            <w:pPr>
              <w:pStyle w:val="613"/>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pStyle w:val="613"/>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Mar>
              <w:left w:w="15" w:type="dxa"/>
              <w:top w:w="15" w:type="dxa"/>
              <w:right w:w="15" w:type="dxa"/>
              <w:bottom w:w="15" w:type="dxa"/>
            </w:tcMar>
            <w:tcW w:w="3779" w:type="dxa"/>
            <w:vAlign w:val="center"/>
            <w:textDirection w:val="lrTb"/>
            <w:noWrap/>
          </w:tcPr>
          <w:p>
            <w:pPr>
              <w:pStyle w:val="613"/>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总价（小写）</w:t>
            </w:r>
            <w:r/>
          </w:p>
        </w:tc>
      </w:tr>
      <w:tr>
        <w:trPr>
          <w:trHeight w:val="1091"/>
        </w:trPr>
        <w:tc>
          <w:tcPr>
            <w:tcMar>
              <w:left w:w="15" w:type="dxa"/>
              <w:top w:w="15" w:type="dxa"/>
              <w:right w:w="15" w:type="dxa"/>
              <w:bottom w:w="15" w:type="dxa"/>
            </w:tcMar>
            <w:tcW w:w="2567" w:type="dxa"/>
            <w:vAlign w:val="center"/>
            <w:textDirection w:val="lrTb"/>
            <w:noWrap/>
          </w:tcPr>
          <w:p>
            <w:pPr>
              <w:pStyle w:val="613"/>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pStyle w:val="613"/>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详见投标文件</w:t>
            </w:r>
            <w:r/>
          </w:p>
        </w:tc>
        <w:tc>
          <w:tcPr>
            <w:tcMar>
              <w:left w:w="15" w:type="dxa"/>
              <w:top w:w="15" w:type="dxa"/>
              <w:right w:w="15" w:type="dxa"/>
              <w:bottom w:w="15" w:type="dxa"/>
            </w:tcMar>
            <w:tcW w:w="3779" w:type="dxa"/>
            <w:vAlign w:val="center"/>
            <w:textDirection w:val="lrTb"/>
            <w:noWrap/>
          </w:tcPr>
          <w:p>
            <w:pPr>
              <w:pStyle w:val="613"/>
              <w:spacing w:before="240" w:after="240" w:line="240" w:lineRule="auto"/>
              <w:rPr>
                <w:rFonts w:eastAsia="宋体"/>
                <w:lang w:eastAsia="zh-CN"/>
              </w:rPr>
              <w:pBdr>
                <w:top w:val="none" w:color="000000" w:sz="0" w:space="0"/>
                <w:left w:val="none" w:color="000000" w:sz="0" w:space="0"/>
                <w:bottom w:val="none" w:color="000000" w:sz="0" w:space="0"/>
                <w:right w:val="none" w:color="000000" w:sz="0" w:space="0"/>
              </w:pBdr>
            </w:pPr>
            <w:r/>
            <w:r>
              <w:rPr>
                <w:rFonts w:ascii="宋体" w:hAnsi="宋体" w:eastAsia="宋体" w:cs="宋体"/>
                <w:color w:val="000000"/>
                <w:sz w:val="27"/>
              </w:rPr>
              <w:t xml:space="preserve"> </w:t>
            </w:r>
            <w:r>
              <w:rPr>
                <w:rFonts w:hint="eastAsia" w:ascii="宋体" w:hAnsi="宋体" w:eastAsia="宋体" w:cs="宋体"/>
                <w:color w:val="000000"/>
                <w:sz w:val="27"/>
                <w:lang w:eastAsia="zh-CN"/>
              </w:rPr>
              <w:t xml:space="preserve"> </w:t>
            </w:r>
            <w:r>
              <w:rPr>
                <w:rFonts w:ascii="宋体" w:hAnsi="宋体" w:eastAsia="宋体" w:cs="宋体"/>
                <w:color w:val="000000"/>
                <w:sz w:val="27"/>
              </w:rPr>
              <w:t xml:space="preserve">元</w:t>
            </w:r>
            <w:r>
              <w:rPr>
                <w:rFonts w:eastAsia="宋体"/>
                <w:lang w:eastAsia="zh-CN"/>
              </w:rPr>
            </w:r>
            <w:r/>
          </w:p>
        </w:tc>
      </w:tr>
      <w:tr>
        <w:trPr/>
        <w:tc>
          <w:tcPr>
            <w:tcMar>
              <w:left w:w="15" w:type="dxa"/>
              <w:top w:w="15" w:type="dxa"/>
              <w:right w:w="15" w:type="dxa"/>
              <w:bottom w:w="15" w:type="dxa"/>
            </w:tcMar>
            <w:tcW w:w="2567" w:type="dxa"/>
            <w:vAlign w:val="center"/>
            <w:textDirection w:val="lrTb"/>
            <w:noWrap/>
          </w:tcPr>
          <w:p>
            <w:pPr>
              <w:pStyle w:val="613"/>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Mar>
              <w:left w:w="15" w:type="dxa"/>
              <w:top w:w="15" w:type="dxa"/>
              <w:right w:w="15" w:type="dxa"/>
              <w:bottom w:w="15" w:type="dxa"/>
            </w:tcMar>
            <w:tcW w:w="6330" w:type="dxa"/>
            <w:vAlign w:val="center"/>
            <w:textDirection w:val="lrTb"/>
            <w:noWrap/>
          </w:tcPr>
          <w:p>
            <w:pPr>
              <w:pStyle w:val="613"/>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pStyle w:val="61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1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1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13"/>
        <w:ind w:firstLine="54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投标人公章： （电子签章）</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rPr>
          <w:lang w:eastAsia="zh-CN"/>
        </w:rPr>
      </w:r>
      <w:r/>
    </w:p>
    <w:p>
      <w:pPr>
        <w:pStyle w:val="613"/>
        <w:jc w:val="center"/>
        <w:spacing w:after="0" w:line="400"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rPr>
          <w:rFonts w:eastAsia="宋体"/>
          <w:lang w:eastAsia="zh-CN"/>
        </w:rPr>
      </w:r>
      <w:r/>
    </w:p>
    <w:p>
      <w:pPr>
        <w:pStyle w:val="613"/>
        <w:jc w:val="center"/>
        <w:spacing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rPr>
          <w:rFonts w:hint="eastAsia" w:ascii="宋体" w:hAnsi="宋体" w:eastAsia="宋体" w:cs="宋体"/>
        </w:rPr>
      </w:r>
      <w:r/>
    </w:p>
    <w:tbl>
      <w:tblPr>
        <w:tblW w:w="4550" w:type="pct"/>
        <w:tblInd w:w="-108" w:type="dxa"/>
        <w:tblLayout w:type="fixed"/>
        <w:tblCellMar>
          <w:left w:w="108" w:type="dxa"/>
          <w:top w:w="0" w:type="dxa"/>
          <w:right w:w="108" w:type="dxa"/>
          <w:bottom w:w="0" w:type="dxa"/>
        </w:tblCellMar>
        <w:tblLook w:val="04A0" w:firstRow="1" w:lastRow="0" w:firstColumn="1" w:lastColumn="0" w:noHBand="0" w:noVBand="1"/>
      </w:tblPr>
      <w:tblGrid>
        <w:gridCol w:w="2166"/>
        <w:gridCol w:w="1078"/>
        <w:gridCol w:w="1467"/>
        <w:gridCol w:w="1705"/>
        <w:gridCol w:w="2294"/>
      </w:tblGrid>
      <w:tr>
        <w:trPr>
          <w:trHeight w:val="454"/>
        </w:trPr>
        <w:tc>
          <w:tcPr>
            <w:shd w:val="clear" w:color="auto" w:fill="c0c0c0"/>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名称</w:t>
            </w:r>
            <w:r>
              <w:rPr>
                <w:rFonts w:hint="eastAsia" w:ascii="宋体" w:hAnsi="宋体" w:eastAsia="宋体" w:cs="宋体"/>
                <w:b/>
                <w:bCs/>
                <w:color w:val="000000"/>
              </w:rPr>
            </w:r>
            <w:r/>
          </w:p>
        </w:tc>
        <w:tc>
          <w:tcPr>
            <w:shd w:val="clear" w:color="auto" w:fill="c0c0c0"/>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数量</w:t>
            </w:r>
            <w:r>
              <w:rPr>
                <w:rFonts w:hint="eastAsia" w:ascii="宋体" w:hAnsi="宋体" w:eastAsia="宋体" w:cs="宋体"/>
                <w:b/>
                <w:bCs/>
                <w:color w:val="000000"/>
              </w:rPr>
            </w:r>
            <w:r/>
          </w:p>
        </w:tc>
        <w:tc>
          <w:tcPr>
            <w:shd w:val="clear" w:color="auto" w:fill="c0c0c0"/>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b/>
                <w:lang w:eastAsia="zh-CN"/>
              </w:rPr>
            </w:pPr>
            <w:r>
              <w:rPr>
                <w:rFonts w:hint="eastAsia" w:ascii="宋体" w:hAnsi="宋体" w:eastAsia="宋体" w:cs="宋体"/>
                <w:b/>
                <w:lang w:eastAsia="zh-CN"/>
              </w:rPr>
              <w:t xml:space="preserve">单价</w:t>
            </w:r>
            <w:r>
              <w:rPr>
                <w:rStyle w:val="827"/>
                <w:rFonts w:hint="eastAsia" w:ascii="宋体" w:hAnsi="宋体" w:eastAsia="宋体" w:cs="宋体"/>
                <w:sz w:val="22"/>
                <w:szCs w:val="22"/>
                <w:lang w:eastAsia="zh-CN" w:bidi="ar"/>
              </w:rPr>
              <w:t xml:space="preserve">(</w:t>
            </w:r>
            <w:r>
              <w:rPr>
                <w:rStyle w:val="828"/>
                <w:b/>
                <w:bCs/>
                <w:sz w:val="22"/>
                <w:szCs w:val="22"/>
                <w:lang w:eastAsia="zh-CN" w:bidi="ar"/>
              </w:rPr>
              <w:t xml:space="preserve">元</w:t>
            </w:r>
            <w:r>
              <w:rPr>
                <w:rStyle w:val="827"/>
                <w:rFonts w:hint="eastAsia" w:ascii="宋体" w:hAnsi="宋体" w:eastAsia="宋体" w:cs="宋体"/>
                <w:sz w:val="22"/>
                <w:szCs w:val="22"/>
                <w:lang w:eastAsia="zh-CN" w:bidi="ar"/>
              </w:rPr>
              <w:t xml:space="preserve">)</w:t>
            </w:r>
            <w:r>
              <w:rPr>
                <w:rFonts w:hint="eastAsia" w:ascii="宋体" w:hAnsi="宋体" w:eastAsia="宋体" w:cs="宋体"/>
                <w:b/>
                <w:lang w:eastAsia="zh-CN"/>
              </w:rPr>
            </w:r>
            <w:r/>
          </w:p>
        </w:tc>
        <w:tc>
          <w:tcPr>
            <w:shd w:val="clear" w:color="auto" w:fill="c0c0c0"/>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13"/>
              <w:jc w:val="center"/>
              <w:rPr>
                <w:rFonts w:hint="eastAsia" w:ascii="宋体" w:hAnsi="宋体" w:eastAsia="宋体" w:cs="宋体"/>
                <w:b/>
                <w:bCs/>
                <w:color w:val="000000"/>
                <w:lang w:eastAsia="zh-CN" w:bidi="ar"/>
              </w:rPr>
            </w:pPr>
            <w:r>
              <w:rPr>
                <w:rFonts w:hint="eastAsia" w:ascii="宋体" w:hAnsi="宋体" w:eastAsia="宋体" w:cs="宋体"/>
                <w:b/>
                <w:bCs/>
                <w:color w:val="000000"/>
                <w:lang w:eastAsia="zh-CN" w:bidi="ar"/>
              </w:rPr>
              <w:t xml:space="preserve">分项总价（元）</w:t>
            </w:r>
            <w:r>
              <w:rPr>
                <w:rFonts w:hint="eastAsia" w:ascii="宋体" w:hAnsi="宋体" w:eastAsia="宋体" w:cs="宋体"/>
                <w:b/>
                <w:bCs/>
                <w:color w:val="000000"/>
                <w:lang w:eastAsia="zh-CN" w:bidi="ar"/>
              </w:rPr>
            </w:r>
            <w:r/>
          </w:p>
        </w:tc>
        <w:tc>
          <w:tcPr>
            <w:shd w:val="clear" w:color="auto" w:fill="c0c0c0"/>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pStyle w:val="613"/>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备注</w:t>
            </w:r>
            <w:r>
              <w:rPr>
                <w:rFonts w:hint="eastAsia" w:ascii="宋体" w:hAnsi="宋体" w:eastAsia="宋体" w:cs="宋体"/>
                <w:b/>
                <w:bCs/>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top"/>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top"/>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none" w:color="000000" w:sz="0"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0"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both"/>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b/>
                <w:lang w:eastAsia="zh-CN"/>
              </w:rPr>
              <w:t xml:space="preserve">总报价（元）</w:t>
            </w:r>
            <w:r>
              <w:rPr>
                <w:rFonts w:hint="eastAsia" w:ascii="宋体" w:hAnsi="宋体" w:eastAsia="宋体" w:cs="宋体"/>
                <w:color w:val="000000"/>
                <w:lang w:eastAsia="zh-CN" w:bidi="ar"/>
              </w:rPr>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pStyle w:val="613"/>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bl>
    <w:p>
      <w:pPr>
        <w:pStyle w:val="613"/>
        <w:jc w:val="both"/>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rPr>
      </w:r>
      <w:r/>
    </w:p>
    <w:p>
      <w:pPr>
        <w:pStyle w:val="613"/>
        <w:ind w:firstLine="440"/>
        <w:jc w:val="both"/>
        <w:spacing w:after="0" w:line="85" w:lineRule="atLeast"/>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注：1.表中总报价应与投标响应报价表中总报价一致，如不一致，必须详细说明具体原因。</w:t>
      </w:r>
      <w:r>
        <w:rPr>
          <w:rFonts w:hint="eastAsia" w:ascii="宋体" w:hAnsi="宋体" w:eastAsia="宋体" w:cs="宋体"/>
          <w:color w:val="000000"/>
          <w:lang w:eastAsia="zh-CN"/>
        </w:rPr>
      </w:r>
      <w:r/>
    </w:p>
    <w:p>
      <w:pPr>
        <w:pStyle w:val="613"/>
        <w:ind w:firstLine="880"/>
        <w:jc w:val="both"/>
        <w:spacing w:after="0" w:line="85" w:lineRule="atLeast"/>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rPr>
          <w:rFonts w:hint="eastAsia" w:ascii="宋体" w:hAnsi="宋体" w:eastAsia="宋体" w:cs="宋体"/>
          <w:lang w:eastAsia="zh-CN"/>
        </w:rPr>
      </w:r>
      <w:r/>
    </w:p>
    <w:p>
      <w:pPr>
        <w:pStyle w:val="613"/>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rPr>
          <w:rFonts w:hint="eastAsia" w:ascii="宋体" w:hAnsi="宋体" w:eastAsia="宋体" w:cs="宋体"/>
          <w:lang w:eastAsia="zh-CN"/>
        </w:rPr>
      </w:r>
      <w:r/>
    </w:p>
    <w:p>
      <w:pPr>
        <w:pStyle w:val="613"/>
        <w:jc w:val="right"/>
        <w:spacing w:after="0" w:line="51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投标人名称：（盖单位章）</w:t>
      </w:r>
      <w:r>
        <w:rPr>
          <w:rFonts w:hint="eastAsia" w:ascii="宋体" w:hAnsi="宋体" w:eastAsia="宋体" w:cs="宋体"/>
          <w:lang w:eastAsia="zh-CN"/>
        </w:rPr>
      </w:r>
      <w:r/>
    </w:p>
    <w:p>
      <w:pPr>
        <w:pStyle w:val="613"/>
        <w:jc w:val="right"/>
        <w:spacing w:line="312" w:lineRule="auto"/>
        <w:tabs>
          <w:tab w:val="left" w:pos="1800" w:leader="none"/>
          <w:tab w:val="left" w:pos="5580" w:leader="none"/>
        </w:tabs>
        <w:rPr>
          <w:rFonts w:hint="eastAsia" w:ascii="宋体" w:hAnsi="宋体" w:eastAsia="宋体" w:cs="宋体"/>
          <w:lang w:eastAsia="zh-CN"/>
        </w:rPr>
      </w:pPr>
      <w:r>
        <w:rPr>
          <w:rFonts w:hint="eastAsia" w:ascii="宋体" w:hAnsi="宋体" w:eastAsia="宋体" w:cs="宋体"/>
          <w:color w:val="000000"/>
          <w:lang w:eastAsia="zh-CN"/>
        </w:rPr>
        <w:t xml:space="preserve">法定代表人或授权委托人：（签字或盖章）</w:t>
      </w:r>
      <w:r>
        <w:rPr>
          <w:rFonts w:hint="eastAsia" w:ascii="宋体" w:hAnsi="宋体" w:eastAsia="宋体" w:cs="宋体"/>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投 标 函</w:t>
      </w:r>
      <w:r>
        <w:rPr>
          <w:lang w:eastAsia="zh-CN"/>
        </w:rPr>
      </w:r>
      <w:r/>
    </w:p>
    <w:p>
      <w:pPr>
        <w:pStyle w:val="613"/>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我方全面研究了 项目招标文件，决定参加贵单位组织的本项目投标。</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1、我方自愿按照招标文件规定的各项要求向采购人提供所需货物及服务。</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2、一旦我方中标，我们将严格履行招标文件中规定的每一项要求，按期、按质、按量履行合同的义务。</w:t>
      </w:r>
      <w:r>
        <w:rPr>
          <w:lang w:eastAsia="zh-CN"/>
        </w:rPr>
      </w:r>
      <w:r/>
    </w:p>
    <w:p>
      <w:pPr>
        <w:pStyle w:val="613"/>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3、我们已详细审查全部招标文件，包括更正文件(如有)，对招标文件及更正公告(如有)无任何异议。我们完全理解并同意放弃对这方面有不明及误解的权力。</w:t>
      </w:r>
      <w:r>
        <w:rPr>
          <w:lang w:eastAsia="zh-CN"/>
        </w:rPr>
      </w:r>
      <w:r/>
    </w:p>
    <w:p>
      <w:pPr>
        <w:pStyle w:val="613"/>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4、我们同意按招标文件中的规定，本投标书的有效期限为自投标截止之日起60 天。</w:t>
      </w:r>
      <w:r>
        <w:rPr>
          <w:lang w:eastAsia="zh-CN"/>
        </w:rPr>
      </w:r>
      <w:r/>
    </w:p>
    <w:p>
      <w:pPr>
        <w:pStyle w:val="613"/>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5、我们愿意提供招标采购单位在招标文件中要求的所有资料。</w:t>
      </w:r>
      <w:r>
        <w:rPr>
          <w:lang w:eastAsia="zh-CN"/>
        </w:rPr>
      </w:r>
      <w:r/>
    </w:p>
    <w:p>
      <w:pPr>
        <w:pStyle w:val="613"/>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6、我们愿意遵守招标文件中所列的收费标准。</w:t>
      </w:r>
      <w:r>
        <w:rPr>
          <w:lang w:eastAsia="zh-CN"/>
        </w:rPr>
      </w:r>
      <w:r/>
    </w:p>
    <w:p>
      <w:pPr>
        <w:pStyle w:val="613"/>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7、我们承诺该项投标在开标后的全过程中保持有效，不作任何更改和变动。</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8、我方愿意提供贵单位可能另外要求的，与投标有关的文件资料，并保证我方已提供和将要提供的文件资料是真实、准确的。</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        （盖章）</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邮政编码：</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rPr>
          <w:lang w:eastAsia="zh-CN"/>
        </w:rPr>
      </w:r>
      <w:r/>
    </w:p>
    <w:p>
      <w:pPr>
        <w:pStyle w:val="613"/>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关于参加政府采购活动前3年内在经营活动中没有重大违法记录的书面声明</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lang w:eastAsia="zh-CN"/>
        </w:rPr>
      </w:r>
      <w:r/>
    </w:p>
    <w:p>
      <w:pPr>
        <w:pStyle w:val="613"/>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rPr>
          <w:lang w:eastAsia="zh-CN"/>
        </w:rPr>
      </w:r>
      <w:r/>
    </w:p>
    <w:p>
      <w:pPr>
        <w:pStyle w:val="613"/>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lang w:eastAsia="zh-CN"/>
        </w:rPr>
        <w:t xml:space="preserve">公司（单位）</w:t>
      </w:r>
      <w:r>
        <w:rPr>
          <w:rFonts w:ascii="宋体" w:hAnsi="宋体" w:eastAsia="宋体" w:cs="宋体"/>
          <w:color w:val="000000"/>
          <w:sz w:val="24"/>
          <w:lang w:eastAsia="zh-CN"/>
        </w:rPr>
        <w:t xml:space="preserve">愿意承担由此而产生的一切后果。</w:t>
      </w:r>
      <w:r>
        <w:rPr>
          <w:lang w:eastAsia="zh-CN"/>
        </w:rPr>
      </w:r>
      <w:r/>
    </w:p>
    <w:p>
      <w:pPr>
        <w:pStyle w:val="613"/>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rPr>
          <w:lang w:eastAsia="zh-CN"/>
        </w:rPr>
      </w:r>
      <w:r/>
    </w:p>
    <w:p>
      <w:pPr>
        <w:pStyle w:val="613"/>
        <w:ind w:firstLine="56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rPr>
          <w:lang w:eastAsia="zh-CN"/>
        </w:rPr>
      </w:r>
      <w:r/>
    </w:p>
    <w:p>
      <w:pPr>
        <w:pStyle w:val="613"/>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法定代表人或法定代表人授权代表（签字或盖章）：</w:t>
      </w:r>
      <w:r>
        <w:rPr>
          <w:lang w:eastAsia="zh-CN"/>
        </w:rPr>
      </w:r>
      <w:r/>
    </w:p>
    <w:p>
      <w:pPr>
        <w:pStyle w:val="613"/>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hint="eastAsia" w:ascii="宋体" w:hAnsi="宋体" w:eastAsia="宋体" w:cs="宋体"/>
          <w:color w:val="000000"/>
          <w:sz w:val="24"/>
          <w:lang w:eastAsia="zh-CN"/>
        </w:rPr>
      </w:r>
      <w:r/>
    </w:p>
    <w:p>
      <w:pPr>
        <w:pStyle w:val="671"/>
        <w:jc w:val="center"/>
        <w:rPr>
          <w:lang w:eastAsia="zh-CN"/>
        </w:rPr>
      </w:pP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法定代表人授权委托书</w:t>
      </w:r>
      <w:r>
        <w:rPr>
          <w:lang w:eastAsia="zh-CN"/>
        </w:rPr>
      </w:r>
      <w:r/>
    </w:p>
    <w:p>
      <w:pPr>
        <w:pStyle w:val="61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rPr>
          <w:lang w:eastAsia="zh-CN"/>
        </w:rPr>
      </w:r>
      <w:r/>
    </w:p>
    <w:p>
      <w:pPr>
        <w:pStyle w:val="613"/>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系中华人民共和国合法公司（单位），特授权 代表我公司（单位）全权办理针对本项目（）的投标、参与开标、评标、签约等具体工作，并签署全部有关的文件、协议及合同。</w:t>
      </w:r>
      <w:r>
        <w:rPr>
          <w:lang w:eastAsia="zh-CN"/>
        </w:rPr>
      </w:r>
      <w:r/>
    </w:p>
    <w:p>
      <w:pPr>
        <w:pStyle w:val="613"/>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我公司（单位）对被授权代表的签名负全部责任。</w:t>
      </w:r>
      <w:r>
        <w:rPr>
          <w:lang w:eastAsia="zh-CN"/>
        </w:rPr>
      </w:r>
      <w:r/>
    </w:p>
    <w:p>
      <w:pPr>
        <w:pStyle w:val="613"/>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在撤销授权的书面通知送达你处以前，本授权书一直有效，被授权代表签署的所有文件（在授权书有效期内签署的）不因授权的撤销而失效。</w:t>
      </w:r>
      <w:r>
        <w:rPr>
          <w:lang w:eastAsia="zh-CN"/>
        </w:rPr>
      </w:r>
      <w:r/>
    </w:p>
    <w:p>
      <w:pPr>
        <w:pStyle w:val="613"/>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被授权代表情况：</w:t>
      </w:r>
      <w:r>
        <w:rPr>
          <w:lang w:eastAsia="zh-CN"/>
        </w:rPr>
      </w:r>
      <w:r/>
    </w:p>
    <w:p>
      <w:pPr>
        <w:pStyle w:val="613"/>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姓名：         性别：       电话：</w:t>
      </w:r>
      <w:r>
        <w:rPr>
          <w:lang w:eastAsia="zh-CN"/>
        </w:rPr>
      </w:r>
      <w:r/>
    </w:p>
    <w:p>
      <w:pPr>
        <w:pStyle w:val="613"/>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rPr>
          <w:lang w:eastAsia="zh-CN"/>
        </w:rPr>
      </w:r>
      <w:r/>
    </w:p>
    <w:p>
      <w:pPr>
        <w:pStyle w:val="613"/>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年  月   日</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rPr>
          <w:lang w:eastAsia="zh-CN"/>
        </w:rPr>
      </w:r>
      <w:r/>
    </w:p>
    <w:p>
      <w:pPr>
        <w:pStyle w:val="61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rPr>
          <w:lang w:eastAsia="zh-CN"/>
        </w:rPr>
      </w:r>
      <w:r/>
    </w:p>
    <w:p>
      <w:pPr>
        <w:pStyle w:val="613"/>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lang w:eastAsia="zh-CN"/>
        </w:rPr>
        <w:t xml:space="preserve">承诺书</w:t>
      </w:r>
      <w:r>
        <w:rPr>
          <w:lang w:eastAsia="zh-CN"/>
        </w:rPr>
      </w:r>
      <w:r/>
    </w:p>
    <w:p>
      <w:pPr>
        <w:pStyle w:val="613"/>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（招标人名称）：</w:t>
      </w:r>
      <w:r>
        <w:rPr>
          <w:lang w:eastAsia="zh-CN"/>
        </w:rPr>
      </w:r>
      <w:r/>
    </w:p>
    <w:p>
      <w:pPr>
        <w:pStyle w:val="613"/>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我单位郑重承诺以下事项：</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1.本公司（单位）对本项目</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所提供的服务不低于采购文件要求的标准；</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2.本公司（单位）具备履行合同所必需的专业技术能力；</w:t>
      </w:r>
      <w:r>
        <w:rPr>
          <w:lang w:eastAsia="zh-CN"/>
        </w:rPr>
      </w:r>
      <w:r/>
    </w:p>
    <w:p>
      <w:pPr>
        <w:pStyle w:val="613"/>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4、我单位承诺响应招标文件所有内容；</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5、我单位提供的货物及服务不低于招标文件要求的标准；</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6、我单位承诺如果服务过程中未按上述要求履行，我单位承担违约责任，双倍赔偿招标人损失，招标人可直接解除合同，并没收履约保证金。</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7.如违背上述承诺，本公司（单位）将承担一切法律责任。</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jc w:val="right"/>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投标人：（盖单位章）</w:t>
      </w:r>
      <w:r>
        <w:rPr>
          <w:lang w:eastAsia="zh-CN"/>
        </w:rPr>
      </w:r>
      <w:r/>
    </w:p>
    <w:p>
      <w:pPr>
        <w:pStyle w:val="613"/>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jc w:val="right"/>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年月日</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rPr>
          <w:lang w:eastAsia="zh-CN"/>
        </w:rPr>
      </w:r>
      <w:r/>
    </w:p>
    <w:p>
      <w:pPr>
        <w:pStyle w:val="613"/>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rFonts w:ascii="宋体" w:hAnsi="宋体" w:eastAsia="宋体" w:cs="宋体"/>
          <w:b/>
          <w:color w:val="000000"/>
          <w:sz w:val="30"/>
        </w:rPr>
        <w:t xml:space="preserve">商务偏离表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Mar>
              <w:left w:w="108" w:type="dxa"/>
              <w:top w:w="0" w:type="dxa"/>
              <w:right w:w="108" w:type="dxa"/>
              <w:bottom w:w="0" w:type="dxa"/>
            </w:tcMar>
            <w:tcW w:w="99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354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Mar>
              <w:left w:w="108" w:type="dxa"/>
              <w:top w:w="0" w:type="dxa"/>
              <w:right w:w="108" w:type="dxa"/>
              <w:bottom w:w="0" w:type="dxa"/>
            </w:tcMar>
            <w:tcW w:w="1322"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97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Mar>
              <w:left w:w="108" w:type="dxa"/>
              <w:top w:w="0" w:type="dxa"/>
              <w:right w:w="108" w:type="dxa"/>
              <w:bottom w:w="0" w:type="dxa"/>
            </w:tcMar>
            <w:tcW w:w="99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354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354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354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354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13"/>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13"/>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pStyle w:val="613"/>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rPr>
          <w:lang w:eastAsia="zh-CN"/>
        </w:rPr>
      </w:r>
      <w:r/>
    </w:p>
    <w:p>
      <w:pPr>
        <w:pStyle w:val="613"/>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pStyle w:val="61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613"/>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rFonts w:ascii="宋体" w:hAnsi="宋体" w:eastAsia="宋体" w:cs="宋体"/>
          <w:b/>
          <w:color w:val="000000"/>
          <w:sz w:val="30"/>
        </w:rPr>
        <w:t xml:space="preserve">技术偏离表</w:t>
      </w:r>
      <w:r/>
    </w:p>
    <w:p>
      <w:pPr>
        <w:pStyle w:val="613"/>
        <w:jc w:val="center"/>
        <w:spacing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Mar>
              <w:left w:w="108" w:type="dxa"/>
              <w:top w:w="0" w:type="dxa"/>
              <w:right w:w="108" w:type="dxa"/>
              <w:bottom w:w="0" w:type="dxa"/>
            </w:tcMar>
            <w:tcW w:w="76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260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Mar>
              <w:left w:w="108" w:type="dxa"/>
              <w:top w:w="0" w:type="dxa"/>
              <w:right w:w="108" w:type="dxa"/>
              <w:bottom w:w="0" w:type="dxa"/>
            </w:tcMar>
            <w:tcW w:w="2905"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970"/>
        </w:trPr>
        <w:tc>
          <w:tcPr>
            <w:tcMar>
              <w:left w:w="108" w:type="dxa"/>
              <w:top w:w="0" w:type="dxa"/>
              <w:right w:w="108" w:type="dxa"/>
              <w:bottom w:w="0" w:type="dxa"/>
            </w:tcMar>
            <w:tcW w:w="764" w:type="dxa"/>
            <w:vAlign w:val="center"/>
            <w:textDirection w:val="lrTb"/>
            <w:noWrap/>
          </w:tcPr>
          <w:p>
            <w:pPr>
              <w:pStyle w:val="613"/>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pStyle w:val="613"/>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pStyle w:val="613"/>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pStyle w:val="613"/>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pStyle w:val="613"/>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pStyle w:val="613"/>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pStyle w:val="613"/>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pStyle w:val="613"/>
              <w:ind w:firstLine="5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pStyle w:val="613"/>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pStyle w:val="613"/>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pStyle w:val="613"/>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pStyle w:val="613"/>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pStyle w:val="613"/>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pStyle w:val="613"/>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pStyle w:val="613"/>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13"/>
        <w:ind w:firstLine="480"/>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pStyle w:val="613"/>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rPr>
          <w:lang w:eastAsia="zh-CN"/>
        </w:rPr>
      </w:r>
      <w:r/>
    </w:p>
    <w:p>
      <w:pPr>
        <w:pStyle w:val="613"/>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lang w:eastAsia="zh-CN"/>
        </w:rPr>
      </w:r>
      <w:r/>
    </w:p>
    <w:p>
      <w:pPr>
        <w:pStyle w:val="613"/>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lang w:eastAsia="zh-CN"/>
        </w:rPr>
      </w:r>
      <w:r/>
    </w:p>
    <w:p>
      <w:pPr>
        <w:pStyle w:val="613"/>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lang w:eastAsia="zh-CN"/>
        </w:rPr>
      </w:r>
      <w:r/>
    </w:p>
    <w:p>
      <w:pPr>
        <w:pStyle w:val="613"/>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rPr>
          <w:lang w:eastAsia="zh-CN"/>
        </w:rPr>
      </w:r>
      <w:r/>
    </w:p>
    <w:p>
      <w:pPr>
        <w:pStyle w:val="613"/>
        <w:ind w:firstLine="50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lang w:eastAsia="zh-CN"/>
        </w:rPr>
        <w:t xml:space="preserve"> </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投标人（盖章）：</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rPr>
          <w:lang w:eastAsia="zh-CN"/>
        </w:rPr>
      </w:r>
      <w:r/>
    </w:p>
    <w:p>
      <w:pPr>
        <w:pStyle w:val="613"/>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rPr>
          <w:lang w:eastAsia="zh-CN"/>
        </w:rPr>
      </w:r>
      <w:r/>
    </w:p>
    <w:p>
      <w:pPr>
        <w:pStyle w:val="613"/>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lang w:eastAsia="zh-CN"/>
        </w:rPr>
        <w:t xml:space="preserve"> </w:t>
      </w:r>
      <w:r>
        <w:rPr>
          <w:lang w:eastAsia="zh-CN"/>
        </w:rPr>
      </w:r>
      <w:r/>
    </w:p>
    <w:p>
      <w:pPr>
        <w:pStyle w:val="613"/>
        <w:jc w:val="center"/>
        <w:spacing w:after="0" w:line="499" w:lineRule="atLeast"/>
        <w:rPr>
          <w:rFonts w:hint="eastAsia" w:ascii="宋体" w:hAnsi="宋体" w:eastAsia="宋体" w:cs="宋体"/>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rPr>
          <w:rFonts w:hint="eastAsia" w:ascii="宋体" w:hAnsi="宋体" w:eastAsia="宋体" w:cs="宋体"/>
          <w:color w:val="000000"/>
          <w:sz w:val="26"/>
          <w:lang w:eastAsia="zh-CN"/>
        </w:rPr>
      </w:r>
      <w:r/>
    </w:p>
    <w:p>
      <w:pPr>
        <w:pStyle w:val="671"/>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61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671"/>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613"/>
        <w:rPr>
          <w:lang w:eastAsia="zh-CN"/>
        </w:rPr>
      </w:pPr>
      <w:r>
        <w:rPr>
          <w:lang w:eastAsia="zh-CN"/>
        </w:rPr>
      </w:r>
      <w:r/>
    </w:p>
    <w:p>
      <w:pPr>
        <w:pStyle w:val="613"/>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具备履行合同所必需的设备和专业技术能力的声明</w:t>
      </w:r>
      <w:r>
        <w:rPr>
          <w:lang w:eastAsia="zh-CN"/>
        </w:rPr>
      </w:r>
      <w:r/>
    </w:p>
    <w:p>
      <w:pPr>
        <w:pStyle w:val="613"/>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（采购单位名称）：</w:t>
      </w:r>
      <w:r>
        <w:rPr>
          <w:lang w:eastAsia="zh-CN"/>
        </w:rPr>
      </w:r>
      <w:r/>
    </w:p>
    <w:p>
      <w:pPr>
        <w:pStyle w:val="613"/>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我单位（供应商名称）郑重声明：我公司具备履行本项采购合同所必需的设备和专业技术能力，为履行本项采购合同我单位具备如下主要设备和主要专业技术能力：</w:t>
      </w:r>
      <w:r>
        <w:rPr>
          <w:lang w:eastAsia="zh-CN"/>
        </w:rPr>
      </w:r>
      <w:r/>
    </w:p>
    <w:p>
      <w:pPr>
        <w:pStyle w:val="613"/>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主要设备有：                         。( 若有 )</w:t>
      </w:r>
      <w:r>
        <w:rPr>
          <w:lang w:eastAsia="zh-CN"/>
        </w:rPr>
      </w:r>
      <w:r/>
    </w:p>
    <w:p>
      <w:pPr>
        <w:pStyle w:val="613"/>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主要专业技术能力有：                 。( 若有 )</w:t>
      </w:r>
      <w:r>
        <w:rPr>
          <w:lang w:eastAsia="zh-CN"/>
        </w:rPr>
      </w:r>
      <w:r/>
    </w:p>
    <w:p>
      <w:pPr>
        <w:pStyle w:val="613"/>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声明人：（公章）</w:t>
      </w:r>
      <w:r>
        <w:rPr>
          <w:lang w:eastAsia="zh-CN"/>
        </w:rPr>
      </w:r>
      <w:r/>
    </w:p>
    <w:p>
      <w:pPr>
        <w:pStyle w:val="613"/>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日期：______年    月    日</w:t>
      </w:r>
      <w:r>
        <w:rPr>
          <w:lang w:eastAsia="zh-CN"/>
        </w:rPr>
      </w:r>
      <w:r/>
    </w:p>
    <w:p>
      <w:pPr>
        <w:pStyle w:val="613"/>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其他证明材料及文件：（如果投标人认为需要提供的话）</w:t>
      </w:r>
      <w:r>
        <w:rPr>
          <w:lang w:eastAsia="zh-CN"/>
        </w:rPr>
      </w:r>
      <w:r/>
    </w:p>
    <w:p>
      <w:pPr>
        <w:pStyle w:val="613"/>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rFonts w:hint="eastAsia" w:ascii="宋体" w:hAnsi="宋体" w:eastAsia="宋体" w:cs="宋体"/>
          <w:b/>
          <w:color w:val="000000"/>
          <w:sz w:val="32"/>
          <w:lang w:eastAsia="zh-CN"/>
        </w:rPr>
      </w:r>
      <w:r/>
    </w:p>
    <w:p>
      <w:pPr>
        <w:pStyle w:val="671"/>
        <w:rPr>
          <w:lang w:eastAsia="zh-CN"/>
        </w:rPr>
      </w:pP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lang w:eastAsia="zh-CN"/>
        </w:rPr>
      </w:r>
      <w:r/>
    </w:p>
    <w:p>
      <w:pPr>
        <w:pStyle w:val="613"/>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rPr>
          <w:rFonts w:hint="eastAsia" w:ascii="宋体" w:hAnsi="宋体" w:eastAsia="宋体" w:cs="宋体"/>
          <w:b/>
          <w:color w:val="000000"/>
          <w:sz w:val="32"/>
          <w:lang w:eastAsia="zh-CN"/>
        </w:rPr>
      </w:r>
      <w:r/>
    </w:p>
    <w:p>
      <w:pPr>
        <w:pStyle w:val="641"/>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r>
      <w:r/>
    </w:p>
    <w:p>
      <w:pPr>
        <w:pStyle w:val="635"/>
        <w:ind w:firstLine="0"/>
        <w:jc w:val="center"/>
        <w:keepLines/>
        <w:keepNext/>
        <w:spacing w:line="360" w:lineRule="auto"/>
        <w:rPr>
          <w:rFonts w:ascii="Times New Roman" w:hAnsi="Times New Roman" w:eastAsia="宋体"/>
          <w:b/>
          <w:bCs/>
          <w:color w:val="000000"/>
          <w:sz w:val="32"/>
          <w:szCs w:val="32"/>
          <w:lang w:eastAsia="zh-CN"/>
        </w:rPr>
      </w:pPr>
      <w:r/>
      <w:bookmarkStart w:id="3" w:name="_Hlk159839462"/>
      <w:r>
        <w:rPr>
          <w:rFonts w:hint="eastAsia" w:ascii="Times New Roman" w:hAnsi="Times New Roman" w:eastAsia="宋体"/>
          <w:b/>
          <w:bCs/>
          <w:color w:val="000000"/>
          <w:sz w:val="32"/>
          <w:szCs w:val="32"/>
          <w:lang w:eastAsia="zh-CN"/>
        </w:rPr>
        <w:t xml:space="preserve">中小企业声明函(如</w:t>
      </w:r>
      <w:r>
        <w:rPr>
          <w:rFonts w:hint="eastAsia"/>
          <w:b/>
          <w:bCs/>
          <w:color w:val="000000"/>
          <w:sz w:val="32"/>
          <w:szCs w:val="32"/>
          <w:lang w:eastAsia="zh-CN"/>
        </w:rPr>
        <w:t xml:space="preserve">有</w:t>
      </w:r>
      <w:r>
        <w:rPr>
          <w:rFonts w:hint="eastAsia" w:ascii="Times New Roman" w:hAnsi="Times New Roman" w:eastAsia="宋体"/>
          <w:b/>
          <w:bCs/>
          <w:color w:val="000000"/>
          <w:sz w:val="32"/>
          <w:szCs w:val="32"/>
          <w:lang w:eastAsia="zh-CN"/>
        </w:rPr>
        <w:t xml:space="preserve">，非</w:t>
      </w:r>
      <w:r>
        <w:rPr>
          <w:rFonts w:hint="eastAsia"/>
          <w:b/>
          <w:bCs/>
          <w:color w:val="000000"/>
          <w:sz w:val="32"/>
          <w:szCs w:val="32"/>
          <w:lang w:eastAsia="zh-CN"/>
        </w:rPr>
        <w:t xml:space="preserve">中小企业</w:t>
      </w:r>
      <w:r>
        <w:rPr>
          <w:rFonts w:hint="eastAsia" w:ascii="Times New Roman" w:hAnsi="Times New Roman" w:eastAsia="宋体"/>
          <w:b/>
          <w:bCs/>
          <w:color w:val="000000"/>
          <w:sz w:val="32"/>
          <w:szCs w:val="32"/>
          <w:lang w:eastAsia="zh-CN"/>
        </w:rPr>
        <w:t xml:space="preserve">单位不需提供）</w:t>
      </w:r>
      <w:r>
        <w:rPr>
          <w:rFonts w:ascii="Times New Roman" w:hAnsi="Times New Roman" w:eastAsia="宋体"/>
          <w:b/>
          <w:bCs/>
          <w:color w:val="000000"/>
          <w:sz w:val="32"/>
          <w:szCs w:val="32"/>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本公司（联合体）郑重声明，根据《政府采购促进中小企业发展管理办法》（财库﹝2020﹞46号）的规定，本公司（联合体）参加</w:t>
      </w:r>
      <w:r>
        <w:rPr>
          <w:rFonts w:hint="eastAsia" w:ascii="Times New Roman" w:hAnsi="Times New Roman" w:eastAsia="宋体"/>
          <w:color w:val="000000"/>
          <w:sz w:val="21"/>
          <w:szCs w:val="21"/>
          <w:u w:val="single"/>
          <w:lang w:eastAsia="zh-CN"/>
        </w:rPr>
        <w:t xml:space="preserve"> （单位名称） </w:t>
      </w:r>
      <w:r>
        <w:rPr>
          <w:rFonts w:hint="eastAsia" w:ascii="Times New Roman" w:hAnsi="Times New Roman" w:eastAsia="宋体"/>
          <w:color w:val="000000"/>
          <w:sz w:val="21"/>
          <w:szCs w:val="21"/>
          <w:lang w:eastAsia="zh-CN"/>
        </w:rPr>
        <w:t xml:space="preserve">的</w:t>
      </w:r>
      <w:r>
        <w:rPr>
          <w:rFonts w:hint="eastAsia" w:ascii="Times New Roman" w:hAnsi="Times New Roman" w:eastAsia="宋体"/>
          <w:color w:val="000000"/>
          <w:sz w:val="21"/>
          <w:szCs w:val="21"/>
          <w:u w:val="single"/>
          <w:lang w:eastAsia="zh-CN"/>
        </w:rPr>
        <w:t xml:space="preserve">（项目名称）</w:t>
      </w:r>
      <w:r>
        <w:rPr>
          <w:rFonts w:hint="eastAsia" w:ascii="Times New Roman" w:hAnsi="Times New Roman" w:eastAsia="宋体"/>
          <w:color w:val="000000"/>
          <w:sz w:val="21"/>
          <w:szCs w:val="21"/>
          <w:lang w:eastAsia="zh-CN"/>
        </w:rPr>
        <w:t xml:space="preserve">采购活动，提供的货物全部由符合政策要求的中小企业制造。相关企业（含联合体中的中小企业、签订分包意向协议的中小企业）的具体情况如下：</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1.</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lang w:eastAsia="zh-CN"/>
        </w:rPr>
        <w:t xml:space="preserve">；</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2.</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 </w:t>
      </w:r>
      <w:r>
        <w:rPr>
          <w:rFonts w:hint="eastAsia" w:ascii="Times New Roman" w:hAnsi="Times New Roman" w:eastAsia="宋体"/>
          <w:color w:val="000000"/>
          <w:sz w:val="21"/>
          <w:szCs w:val="21"/>
          <w:lang w:eastAsia="zh-CN"/>
        </w:rPr>
        <w:t xml:space="preserve">；</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 </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以上企业，不属于大企业的分支机构，不存在控股股东为大企业的情形，也不存在与大企业的负责人为同一人的情形。</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本企业对上述声明内容的真实性负责。如有虚假，将依法承担相应责任。 </w:t>
      </w: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pStyle w:val="6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pStyle w:val="613"/>
        <w:ind w:firstLine="480"/>
        <w:jc w:val="center"/>
        <w:spacing w:line="480" w:lineRule="exact"/>
        <w:rPr>
          <w:rFonts w:ascii="宋体" w:hAnsi="宋体"/>
          <w:sz w:val="24"/>
          <w:szCs w:val="24"/>
          <w:lang w:eastAsia="zh-CN"/>
        </w:rPr>
      </w:pPr>
      <w:r>
        <w:rPr>
          <w:rFonts w:hint="eastAsia" w:ascii="宋体" w:hAnsi="宋体"/>
          <w:sz w:val="24"/>
          <w:szCs w:val="24"/>
          <w:lang w:eastAsia="zh-CN"/>
        </w:rPr>
        <w:t xml:space="preserve">  企业名称</w:t>
      </w:r>
      <w:r>
        <w:rPr>
          <w:rFonts w:hint="eastAsia" w:ascii="宋体" w:hAnsi="宋体" w:cs="宋体"/>
          <w:sz w:val="24"/>
          <w:szCs w:val="24"/>
          <w:lang w:eastAsia="zh-CN"/>
        </w:rPr>
        <w:t xml:space="preserve">（</w:t>
      </w:r>
      <w:r>
        <w:rPr>
          <w:rFonts w:hint="eastAsia" w:ascii="Times New Roman" w:hAnsi="Times New Roman"/>
          <w:sz w:val="24"/>
          <w:szCs w:val="24"/>
          <w:u w:val="single"/>
          <w:lang w:eastAsia="zh-CN"/>
        </w:rPr>
        <w:t xml:space="preserve">加盖</w:t>
      </w:r>
      <w:r>
        <w:rPr>
          <w:rFonts w:ascii="Times New Roman" w:hAnsi="Times New Roman"/>
          <w:sz w:val="24"/>
          <w:szCs w:val="24"/>
          <w:u w:val="single"/>
          <w:lang w:eastAsia="zh-CN"/>
        </w:rPr>
        <w:t xml:space="preserve">CA</w:t>
      </w:r>
      <w:r>
        <w:rPr>
          <w:rFonts w:hint="eastAsia" w:ascii="Times New Roman" w:hAnsi="Times New Roman"/>
          <w:sz w:val="24"/>
          <w:szCs w:val="24"/>
          <w:u w:val="single"/>
          <w:lang w:eastAsia="zh-CN"/>
        </w:rPr>
        <w:t xml:space="preserve">电子公章</w:t>
      </w:r>
      <w:r>
        <w:rPr>
          <w:rFonts w:hint="eastAsia" w:ascii="宋体" w:hAnsi="宋体" w:cs="宋体"/>
          <w:sz w:val="24"/>
          <w:szCs w:val="24"/>
          <w:lang w:eastAsia="zh-CN"/>
        </w:rPr>
        <w:t xml:space="preserve">）</w:t>
      </w:r>
      <w:r>
        <w:rPr>
          <w:rFonts w:hint="eastAsia" w:ascii="宋体" w:hAnsi="宋体"/>
          <w:sz w:val="24"/>
          <w:szCs w:val="24"/>
          <w:lang w:eastAsia="zh-CN"/>
        </w:rPr>
        <w:t xml:space="preserve">：</w:t>
      </w:r>
      <w:r>
        <w:rPr>
          <w:rFonts w:ascii="宋体" w:hAnsi="宋体"/>
          <w:sz w:val="24"/>
          <w:szCs w:val="24"/>
          <w:lang w:eastAsia="zh-CN"/>
        </w:rPr>
      </w:r>
      <w:r/>
    </w:p>
    <w:p>
      <w:pPr>
        <w:pStyle w:val="613"/>
        <w:jc w:val="center"/>
        <w:spacing w:line="480" w:lineRule="exact"/>
        <w:rPr>
          <w:rFonts w:ascii="宋体" w:hAnsi="宋体"/>
          <w:sz w:val="24"/>
          <w:szCs w:val="24"/>
          <w:lang w:eastAsia="zh-CN"/>
        </w:rPr>
      </w:pPr>
      <w:r>
        <w:rPr>
          <w:rFonts w:hint="eastAsia" w:ascii="宋体" w:hAnsi="宋体"/>
          <w:sz w:val="24"/>
          <w:szCs w:val="24"/>
          <w:lang w:eastAsia="zh-CN"/>
        </w:rPr>
        <w:t xml:space="preserve">     日 期：</w:t>
      </w:r>
      <w:r>
        <w:rPr>
          <w:rFonts w:ascii="宋体" w:hAnsi="宋体"/>
          <w:sz w:val="24"/>
          <w:szCs w:val="24"/>
          <w:lang w:eastAsia="zh-CN"/>
        </w:rPr>
      </w:r>
      <w:r/>
    </w:p>
    <w:p>
      <w:pPr>
        <w:pStyle w:val="635"/>
        <w:ind w:firstLine="0"/>
        <w:jc w:val="right"/>
        <w:keepLines/>
        <w:keepNext/>
        <w:spacing w:line="360" w:lineRule="auto"/>
        <w:rPr>
          <w:rFonts w:ascii="Times New Roman" w:hAnsi="Times New Roman" w:eastAsia="宋体"/>
          <w:color w:val="000000"/>
          <w:sz w:val="24"/>
          <w:szCs w:val="24"/>
          <w:u w:val="single"/>
          <w:lang w:eastAsia="zh-CN"/>
        </w:rPr>
      </w:pPr>
      <w:r>
        <w:rPr>
          <w:rFonts w:hint="eastAsia"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u w:val="single"/>
          <w:lang w:eastAsia="zh-CN"/>
        </w:rPr>
        <w:t xml:space="preserve">                  </w:t>
      </w:r>
      <w:r>
        <w:rPr>
          <w:rFonts w:ascii="Times New Roman" w:hAnsi="Times New Roman" w:eastAsia="宋体"/>
          <w:color w:val="000000"/>
          <w:sz w:val="24"/>
          <w:szCs w:val="24"/>
          <w:u w:val="single"/>
          <w:lang w:eastAsia="zh-CN"/>
        </w:rPr>
      </w:r>
      <w:r/>
    </w:p>
    <w:p>
      <w:pPr>
        <w:pStyle w:val="635"/>
        <w:ind w:firstLine="0"/>
        <w:jc w:val="both"/>
        <w:keepLines/>
        <w:keepNext/>
        <w:spacing w:line="360" w:lineRule="auto"/>
        <w:rPr>
          <w:rFonts w:ascii="Times New Roman" w:hAnsi="Times New Roman" w:eastAsia="宋体"/>
          <w:color w:val="000000"/>
          <w:sz w:val="24"/>
          <w:szCs w:val="24"/>
          <w:u w:val="single"/>
          <w:lang w:eastAsia="zh-CN"/>
        </w:rPr>
      </w:pPr>
      <w:r>
        <w:rPr>
          <w:rFonts w:ascii="Times New Roman" w:hAnsi="Times New Roman" w:eastAsia="宋体"/>
          <w:color w:val="000000"/>
          <w:sz w:val="24"/>
          <w:szCs w:val="24"/>
          <w:u w:val="single"/>
          <w:lang w:eastAsia="zh-CN"/>
        </w:rPr>
      </w:r>
      <w:r/>
    </w:p>
    <w:p>
      <w:pPr>
        <w:pStyle w:val="613"/>
        <w:ind w:firstLine="472"/>
        <w:keepLines/>
        <w:keepNext/>
        <w:spacing w:line="360" w:lineRule="auto"/>
        <w:rPr>
          <w:rFonts w:ascii="Times New Roman" w:hAnsi="Times New Roman" w:eastAsia="宋体"/>
          <w:b/>
          <w:color w:val="000000"/>
          <w:sz w:val="24"/>
          <w:lang w:eastAsia="zh-CN"/>
        </w:rPr>
      </w:pPr>
      <w:r>
        <w:rPr>
          <w:rFonts w:ascii="Times New Roman" w:hAnsi="Times New Roman" w:eastAsia="宋体"/>
          <w:b/>
          <w:color w:val="000000"/>
          <w:sz w:val="24"/>
          <w:lang w:eastAsia="zh-CN"/>
        </w:rPr>
      </w:r>
      <w:r/>
    </w:p>
    <w:p>
      <w:pPr>
        <w:pStyle w:val="6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注：</w:t>
      </w:r>
      <w:r>
        <w:rPr>
          <w:rFonts w:ascii="Times New Roman" w:hAnsi="Times New Roman" w:eastAsia="宋体"/>
          <w:b/>
          <w:color w:val="000000"/>
          <w:sz w:val="21"/>
          <w:szCs w:val="21"/>
          <w:lang w:eastAsia="zh-CN"/>
        </w:rPr>
      </w:r>
      <w:r/>
    </w:p>
    <w:p>
      <w:pPr>
        <w:pStyle w:val="613"/>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1.从业人员、营业收入、资产总额填报上一年度数据，无上一年度数据的新成立企业可不填报。</w:t>
      </w:r>
      <w:r>
        <w:rPr>
          <w:rFonts w:ascii="Times New Roman" w:hAnsi="Times New Roman" w:eastAsia="宋体"/>
          <w:b/>
          <w:color w:val="000000"/>
          <w:sz w:val="21"/>
          <w:szCs w:val="21"/>
          <w:lang w:eastAsia="zh-CN"/>
        </w:rPr>
      </w:r>
      <w:r/>
    </w:p>
    <w:p>
      <w:pPr>
        <w:pStyle w:val="613"/>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2.中标人的中小企业声明函将在结果公告中对外公示，请按照《政府采购促进中小企业发展管理办法》（财库﹝2020﹞46号）的规定填写。</w:t>
      </w:r>
      <w:r>
        <w:rPr>
          <w:rFonts w:ascii="Times New Roman" w:hAnsi="Times New Roman" w:eastAsia="宋体"/>
          <w:b/>
          <w:color w:val="000000"/>
          <w:sz w:val="21"/>
          <w:szCs w:val="21"/>
          <w:lang w:eastAsia="zh-CN"/>
        </w:rPr>
      </w:r>
      <w:r/>
    </w:p>
    <w:p>
      <w:pPr>
        <w:pStyle w:val="613"/>
        <w:ind w:firstLine="480"/>
        <w:spacing w:line="480" w:lineRule="exact"/>
        <w:rPr>
          <w:rFonts w:ascii="宋体" w:hAnsi="宋体"/>
          <w:sz w:val="24"/>
          <w:szCs w:val="24"/>
          <w:lang w:eastAsia="zh-CN"/>
        </w:rPr>
      </w:pPr>
      <w:r>
        <w:rPr>
          <w:rFonts w:ascii="宋体" w:hAnsi="宋体"/>
          <w:sz w:val="24"/>
          <w:szCs w:val="24"/>
          <w:lang w:eastAsia="zh-CN"/>
        </w:rPr>
      </w:r>
      <w:r/>
    </w:p>
    <w:p>
      <w:pPr>
        <w:pStyle w:val="613"/>
        <w:jc w:val="center"/>
        <w:spacing w:line="480" w:lineRule="exact"/>
        <w:rPr>
          <w:spacing w:val="6"/>
          <w:lang w:eastAsia="zh-CN"/>
        </w:rPr>
      </w:pPr>
      <w:r>
        <w:rPr>
          <w:rFonts w:hint="eastAsia" w:ascii="宋体" w:hAnsi="宋体"/>
          <w:sz w:val="24"/>
          <w:szCs w:val="24"/>
          <w:lang w:eastAsia="zh-CN"/>
        </w:rPr>
        <w:t xml:space="preserve">      </w:t>
      </w:r>
      <w:r>
        <w:rPr>
          <w:rFonts w:hint="eastAsia" w:ascii="Times New Roman" w:hAnsi="Times New Roman" w:eastAsia="宋体"/>
          <w:b/>
          <w:bCs/>
          <w:color w:val="000000"/>
          <w:sz w:val="32"/>
          <w:szCs w:val="32"/>
          <w:lang w:eastAsia="zh-CN"/>
        </w:rPr>
        <w:t xml:space="preserve">   </w:t>
      </w:r>
      <w:bookmarkEnd w:id="3"/>
      <w:r>
        <w:rPr>
          <w:rFonts w:hint="eastAsia" w:ascii="Times New Roman" w:hAnsi="Times New Roman" w:eastAsia="宋体"/>
          <w:b/>
          <w:bCs/>
          <w:color w:val="000000"/>
          <w:sz w:val="32"/>
          <w:szCs w:val="32"/>
          <w:lang w:eastAsia="zh-CN"/>
        </w:rPr>
        <w:t xml:space="preserve">残疾人福利性单位声明函</w:t>
      </w:r>
      <w:r>
        <w:rPr>
          <w:spacing w:val="6"/>
          <w:lang w:eastAsia="zh-CN"/>
        </w:rPr>
      </w:r>
      <w:r/>
    </w:p>
    <w:p>
      <w:pPr>
        <w:pStyle w:val="613"/>
        <w:ind w:firstLine="480"/>
        <w:spacing w:line="588" w:lineRule="exact"/>
        <w:rPr>
          <w:rFonts w:hint="eastAsia" w:ascii="宋体" w:hAnsi="宋体" w:eastAsia="宋体" w:cs="宋体"/>
          <w:sz w:val="21"/>
          <w:szCs w:val="16"/>
          <w:lang w:eastAsia="zh-CN"/>
        </w:rPr>
      </w:pPr>
      <w:r>
        <w:rPr>
          <w:rFonts w:hint="eastAsia" w:ascii="宋体" w:hAnsi="宋体" w:eastAsia="宋体" w:cs="宋体"/>
          <w:sz w:val="21"/>
          <w:szCs w:val="16"/>
          <w:lang w:eastAsia="zh-CN"/>
        </w:rPr>
      </w:r>
      <w:r/>
    </w:p>
    <w:p>
      <w:pPr>
        <w:pStyle w:val="613"/>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lang w:eastAsia="zh-CN"/>
        </w:rPr>
      </w:r>
      <w:r/>
    </w:p>
    <w:p>
      <w:pPr>
        <w:pStyle w:val="613"/>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rPr>
          <w:rFonts w:hint="eastAsia" w:ascii="宋体" w:hAnsi="宋体" w:eastAsia="宋体" w:cs="宋体"/>
          <w:sz w:val="24"/>
          <w:lang w:eastAsia="zh-CN"/>
        </w:rPr>
      </w:r>
      <w:r/>
    </w:p>
    <w:p>
      <w:pPr>
        <w:pStyle w:val="613"/>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r>
      <w:r/>
    </w:p>
    <w:p>
      <w:pPr>
        <w:pStyle w:val="613"/>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sz w:val="24"/>
          <w:lang w:eastAsia="zh-CN"/>
        </w:rPr>
      </w:r>
      <w:r/>
    </w:p>
    <w:p>
      <w:pPr>
        <w:pStyle w:val="613"/>
        <w:ind w:firstLine="624"/>
        <w:spacing w:line="588" w:lineRule="exact"/>
        <w:rPr>
          <w:rFonts w:hint="eastAsia" w:ascii="宋体" w:hAnsi="宋体" w:eastAsia="宋体" w:cs="宋体"/>
          <w:spacing w:val="6"/>
          <w:sz w:val="30"/>
          <w:szCs w:val="30"/>
          <w:lang w:eastAsia="zh-CN"/>
        </w:rPr>
      </w:pPr>
      <w:r>
        <w:rPr>
          <w:rFonts w:hint="eastAsia" w:ascii="宋体" w:hAnsi="宋体" w:eastAsia="宋体" w:cs="宋体"/>
          <w:spacing w:val="6"/>
          <w:sz w:val="30"/>
          <w:szCs w:val="30"/>
          <w:lang w:eastAsia="zh-CN"/>
        </w:rPr>
      </w:r>
      <w:r/>
    </w:p>
    <w:p>
      <w:pPr>
        <w:pStyle w:val="613"/>
        <w:ind w:right="1560" w:firstLine="624"/>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pacing w:val="6"/>
          <w:sz w:val="30"/>
          <w:szCs w:val="30"/>
          <w:lang w:eastAsia="zh-CN"/>
        </w:rPr>
        <w:t xml:space="preserve">             </w:t>
      </w:r>
      <w:r>
        <w:rPr>
          <w:rFonts w:hint="eastAsia" w:ascii="宋体" w:hAnsi="宋体" w:eastAsia="宋体" w:cs="宋体"/>
          <w:sz w:val="24"/>
          <w:lang w:eastAsia="zh-CN"/>
        </w:rPr>
        <w:t xml:space="preserve">             供应商全称（盖章）：</w:t>
      </w:r>
      <w:r>
        <w:rPr>
          <w:rFonts w:hint="eastAsia" w:ascii="宋体" w:hAnsi="宋体" w:eastAsia="宋体" w:cs="宋体"/>
          <w:sz w:val="24"/>
          <w:lang w:eastAsia="zh-CN"/>
        </w:rPr>
      </w:r>
      <w:r/>
    </w:p>
    <w:p>
      <w:pPr>
        <w:pStyle w:val="613"/>
        <w:ind w:right="1560" w:firstLine="480"/>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z w:val="24"/>
          <w:lang w:eastAsia="zh-CN"/>
        </w:rPr>
        <w:t xml:space="preserve">                           日  期：</w:t>
      </w:r>
      <w:r>
        <w:rPr>
          <w:rFonts w:hint="eastAsia" w:ascii="宋体" w:hAnsi="宋体" w:eastAsia="宋体" w:cs="宋体"/>
          <w:sz w:val="24"/>
          <w:lang w:eastAsia="zh-CN"/>
        </w:rPr>
      </w:r>
      <w:r/>
    </w:p>
    <w:p>
      <w:pPr>
        <w:pStyle w:val="613"/>
        <w:rPr>
          <w:lang w:eastAsia="zh-CN"/>
        </w:rPr>
      </w:pPr>
      <w:r>
        <w:rPr>
          <w:lang w:eastAsia="zh-CN"/>
        </w:rPr>
      </w:r>
      <w:r/>
    </w:p>
    <w:p>
      <w:pPr>
        <w:pStyle w:val="613"/>
        <w:rPr>
          <w:lang w:eastAsia="zh-CN"/>
        </w:rPr>
      </w:pPr>
      <w:r>
        <w:rPr>
          <w:lang w:eastAsia="zh-CN"/>
        </w:rPr>
      </w:r>
      <w:r/>
    </w:p>
    <w:p>
      <w:pPr>
        <w:pStyle w:val="671"/>
        <w:rPr>
          <w:lang w:eastAsia="zh-CN"/>
        </w:rPr>
      </w:pPr>
      <w:r>
        <w:rPr>
          <w:lang w:eastAsia="zh-CN"/>
        </w:rPr>
      </w:r>
      <w:r/>
    </w:p>
    <w:p>
      <w:pPr>
        <w:pStyle w:val="613"/>
        <w:rPr>
          <w:lang w:eastAsia="zh-CN"/>
        </w:rPr>
      </w:pPr>
      <w:r>
        <w:rPr>
          <w:lang w:eastAsia="zh-CN"/>
        </w:rPr>
      </w:r>
      <w:r/>
    </w:p>
    <w:p>
      <w:pPr>
        <w:pStyle w:val="613"/>
        <w:rPr>
          <w:lang w:eastAsia="zh-CN"/>
        </w:rPr>
      </w:pPr>
      <w:r>
        <w:rPr>
          <w:lang w:eastAsia="zh-CN"/>
        </w:rPr>
      </w:r>
      <w:r/>
    </w:p>
    <w:p>
      <w:pPr>
        <w:pStyle w:val="613"/>
        <w:rPr>
          <w:lang w:eastAsia="zh-CN"/>
        </w:rPr>
      </w:pPr>
      <w:r>
        <w:rPr>
          <w:lang w:eastAsia="zh-CN"/>
        </w:rPr>
      </w:r>
      <w:r/>
    </w:p>
    <w:p>
      <w:pPr>
        <w:pStyle w:val="613"/>
        <w:rPr>
          <w:lang w:eastAsia="zh-CN"/>
        </w:rPr>
      </w:pPr>
      <w:r>
        <w:rPr>
          <w:lang w:eastAsia="zh-CN"/>
        </w:rPr>
      </w:r>
      <w:r/>
    </w:p>
    <w:p>
      <w:pPr>
        <w:pStyle w:val="615"/>
        <w:jc w:val="center"/>
        <w:rPr>
          <w:lang w:eastAsia="zh-CN"/>
        </w:rPr>
      </w:pPr>
      <w:r>
        <w:rPr>
          <w:rFonts w:hint="eastAsia"/>
          <w:lang w:eastAsia="zh-CN"/>
        </w:rPr>
        <w:t xml:space="preserve">属于监狱企业的证明文件</w:t>
      </w:r>
      <w:r>
        <w:rPr>
          <w:lang w:eastAsia="zh-CN"/>
        </w:rPr>
      </w:r>
      <w:r/>
    </w:p>
    <w:p>
      <w:pPr>
        <w:pStyle w:val="613"/>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rPr>
          <w:rFonts w:hint="eastAsia" w:ascii="宋体" w:hAnsi="宋体" w:eastAsia="宋体" w:cs="宋体"/>
          <w:sz w:val="24"/>
          <w:lang w:eastAsia="zh-CN"/>
        </w:rPr>
      </w:r>
      <w:r/>
    </w:p>
    <w:p>
      <w:pPr>
        <w:pStyle w:val="613"/>
        <w:jc w:val="center"/>
        <w:spacing w:after="0" w:line="85" w:lineRule="atLeast"/>
        <w:rPr>
          <w:rFonts w:hint="eastAsia"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000000"/>
          <w:sz w:val="30"/>
          <w:lang w:eastAsia="zh-CN"/>
        </w:rPr>
      </w:r>
      <w:r/>
    </w:p>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p>
    <w:p>
      <w:pPr>
        <w:pStyle w:val="613"/>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56"/>
      </w:tblGrid>
      <w:tr>
        <w:trPr>
          <w:trHeight w:val="405"/>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8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pStyle w:val="613"/>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13"/>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注：1、请供应商提供上述表格中业绩的合同（合同首页、签字盖章页不可缺）复印件。</w:t>
      </w:r>
      <w:r>
        <w:rPr>
          <w:lang w:eastAsia="zh-CN"/>
        </w:rPr>
      </w:r>
      <w:r/>
    </w:p>
    <w:p>
      <w:pPr>
        <w:pStyle w:val="613"/>
        <w:ind w:firstLine="9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2、如有需要说明的事项，请在备注中列明。</w:t>
      </w:r>
      <w:r>
        <w:rPr>
          <w:lang w:eastAsia="zh-CN"/>
        </w:rPr>
      </w:r>
      <w:r/>
    </w:p>
    <w:p>
      <w:pPr>
        <w:pStyle w:val="613"/>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lang w:eastAsia="zh-CN"/>
        </w:rPr>
      </w:r>
      <w:r/>
    </w:p>
    <w:p>
      <w:pPr>
        <w:pStyle w:val="613"/>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供应商公章：</w:t>
      </w:r>
      <w:r>
        <w:rPr>
          <w:lang w:eastAsia="zh-CN"/>
        </w:rPr>
      </w:r>
      <w:r/>
    </w:p>
    <w:p>
      <w:pPr>
        <w:pStyle w:val="613"/>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法定代表人或授权代表（签字或盖章）：</w:t>
      </w:r>
      <w:r>
        <w:rPr>
          <w:lang w:eastAsia="zh-CN"/>
        </w:rPr>
      </w:r>
      <w:r/>
    </w:p>
    <w:p>
      <w:pPr>
        <w:pStyle w:val="613"/>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pStyle w:val="613"/>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pStyle w:val="613"/>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pStyle w:val="613"/>
        <w:jc w:val="center"/>
        <w:spacing w:after="0"/>
        <w:rPr>
          <w:rFonts w:ascii="宋体" w:hAnsi="宋体" w:eastAsia="宋体" w:cs="宋体"/>
          <w:b/>
          <w:color w:val="000000"/>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_GB2312">
    <w:panose1 w:val="02010609060101010101"/>
  </w:font>
  <w:font w:name="幼圆">
    <w:panose1 w:val="02010509060101010101"/>
  </w:font>
  <w:font w:name="Verdana">
    <w:panose1 w:val="020B0604030504040204"/>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613"/>
      </w:pPr>
      <w:rPr>
        <w:rFonts w:hint="eastAsia"/>
      </w:rPr>
    </w:lvl>
    <w:lvl w:ilvl="1">
      <w:start w:val="1"/>
      <w:numFmt w:val="bullet"/>
      <w:isLgl w:val="false"/>
      <w:suff w:val="tab"/>
      <w:lvlText w:val="o"/>
      <w:lvlJc w:val="left"/>
      <w:pPr>
        <w:pStyle w:val="613"/>
        <w:ind w:left="1440" w:hanging="360"/>
      </w:pPr>
      <w:rPr>
        <w:rFonts w:ascii="Courier New" w:hAnsi="Courier New" w:eastAsia="Courier New" w:cs="Courier New"/>
      </w:rPr>
    </w:lvl>
    <w:lvl w:ilvl="2">
      <w:start w:val="1"/>
      <w:numFmt w:val="bullet"/>
      <w:isLgl w:val="false"/>
      <w:suff w:val="tab"/>
      <w:lvlText w:val="§"/>
      <w:lvlJc w:val="left"/>
      <w:pPr>
        <w:pStyle w:val="613"/>
        <w:ind w:left="2160" w:hanging="360"/>
      </w:pPr>
      <w:rPr>
        <w:rFonts w:ascii="Wingdings" w:hAnsi="Wingdings" w:eastAsia="Wingdings" w:cs="Wingdings"/>
      </w:rPr>
    </w:lvl>
    <w:lvl w:ilvl="3">
      <w:start w:val="1"/>
      <w:numFmt w:val="bullet"/>
      <w:isLgl w:val="false"/>
      <w:suff w:val="tab"/>
      <w:lvlText w:val="·"/>
      <w:lvlJc w:val="left"/>
      <w:pPr>
        <w:pStyle w:val="613"/>
        <w:ind w:left="2880" w:hanging="360"/>
      </w:pPr>
      <w:rPr>
        <w:rFonts w:ascii="Symbol" w:hAnsi="Symbol" w:eastAsia="Symbol" w:cs="Symbol"/>
      </w:rPr>
    </w:lvl>
    <w:lvl w:ilvl="4">
      <w:start w:val="1"/>
      <w:numFmt w:val="bullet"/>
      <w:isLgl w:val="false"/>
      <w:suff w:val="tab"/>
      <w:lvlText w:val="o"/>
      <w:lvlJc w:val="left"/>
      <w:pPr>
        <w:pStyle w:val="613"/>
        <w:ind w:left="3600" w:hanging="360"/>
      </w:pPr>
      <w:rPr>
        <w:rFonts w:ascii="Courier New" w:hAnsi="Courier New" w:eastAsia="Courier New" w:cs="Courier New"/>
      </w:rPr>
    </w:lvl>
    <w:lvl w:ilvl="5">
      <w:start w:val="1"/>
      <w:numFmt w:val="bullet"/>
      <w:isLgl w:val="false"/>
      <w:suff w:val="tab"/>
      <w:lvlText w:val="§"/>
      <w:lvlJc w:val="left"/>
      <w:pPr>
        <w:pStyle w:val="613"/>
        <w:ind w:left="4320" w:hanging="360"/>
      </w:pPr>
      <w:rPr>
        <w:rFonts w:ascii="Wingdings" w:hAnsi="Wingdings" w:eastAsia="Wingdings" w:cs="Wingdings"/>
      </w:rPr>
    </w:lvl>
    <w:lvl w:ilvl="6">
      <w:start w:val="1"/>
      <w:numFmt w:val="bullet"/>
      <w:isLgl w:val="false"/>
      <w:suff w:val="tab"/>
      <w:lvlText w:val="·"/>
      <w:lvlJc w:val="left"/>
      <w:pPr>
        <w:pStyle w:val="613"/>
        <w:ind w:left="5040" w:hanging="360"/>
      </w:pPr>
      <w:rPr>
        <w:rFonts w:ascii="Symbol" w:hAnsi="Symbol" w:eastAsia="Symbol" w:cs="Symbol"/>
      </w:rPr>
    </w:lvl>
    <w:lvl w:ilvl="7">
      <w:start w:val="1"/>
      <w:numFmt w:val="bullet"/>
      <w:isLgl w:val="false"/>
      <w:suff w:val="tab"/>
      <w:lvlText w:val="o"/>
      <w:lvlJc w:val="left"/>
      <w:pPr>
        <w:pStyle w:val="613"/>
        <w:ind w:left="5760" w:hanging="360"/>
      </w:pPr>
      <w:rPr>
        <w:rFonts w:ascii="Courier New" w:hAnsi="Courier New" w:eastAsia="Courier New" w:cs="Courier New"/>
      </w:rPr>
    </w:lvl>
    <w:lvl w:ilvl="8">
      <w:start w:val="1"/>
      <w:numFmt w:val="bullet"/>
      <w:isLgl w:val="false"/>
      <w:suff w:val="tab"/>
      <w:lvlText w:val="§"/>
      <w:lvlJc w:val="left"/>
      <w:pPr>
        <w:pStyle w:val="613"/>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13"/>
        <w:ind w:left="18"/>
      </w:pPr>
      <w:rPr>
        <w:rFonts w:hint="eastAsia"/>
      </w:rPr>
    </w:lvl>
    <w:lvl w:ilvl="1">
      <w:start w:val="1"/>
      <w:numFmt w:val="bullet"/>
      <w:isLgl w:val="false"/>
      <w:suff w:val="tab"/>
      <w:lvlText w:val="o"/>
      <w:lvlJc w:val="left"/>
      <w:pPr>
        <w:pStyle w:val="613"/>
        <w:ind w:left="1440" w:hanging="360"/>
      </w:pPr>
      <w:rPr>
        <w:rFonts w:ascii="Courier New" w:hAnsi="Courier New" w:eastAsia="Courier New" w:cs="Courier New"/>
      </w:rPr>
    </w:lvl>
    <w:lvl w:ilvl="2">
      <w:start w:val="1"/>
      <w:numFmt w:val="bullet"/>
      <w:isLgl w:val="false"/>
      <w:suff w:val="tab"/>
      <w:lvlText w:val="§"/>
      <w:lvlJc w:val="left"/>
      <w:pPr>
        <w:pStyle w:val="613"/>
        <w:ind w:left="2160" w:hanging="360"/>
      </w:pPr>
      <w:rPr>
        <w:rFonts w:ascii="Wingdings" w:hAnsi="Wingdings" w:eastAsia="Wingdings" w:cs="Wingdings"/>
      </w:rPr>
    </w:lvl>
    <w:lvl w:ilvl="3">
      <w:start w:val="1"/>
      <w:numFmt w:val="bullet"/>
      <w:isLgl w:val="false"/>
      <w:suff w:val="tab"/>
      <w:lvlText w:val="·"/>
      <w:lvlJc w:val="left"/>
      <w:pPr>
        <w:pStyle w:val="613"/>
        <w:ind w:left="2880" w:hanging="360"/>
      </w:pPr>
      <w:rPr>
        <w:rFonts w:ascii="Symbol" w:hAnsi="Symbol" w:eastAsia="Symbol" w:cs="Symbol"/>
      </w:rPr>
    </w:lvl>
    <w:lvl w:ilvl="4">
      <w:start w:val="1"/>
      <w:numFmt w:val="bullet"/>
      <w:isLgl w:val="false"/>
      <w:suff w:val="tab"/>
      <w:lvlText w:val="o"/>
      <w:lvlJc w:val="left"/>
      <w:pPr>
        <w:pStyle w:val="613"/>
        <w:ind w:left="3600" w:hanging="360"/>
      </w:pPr>
      <w:rPr>
        <w:rFonts w:ascii="Courier New" w:hAnsi="Courier New" w:eastAsia="Courier New" w:cs="Courier New"/>
      </w:rPr>
    </w:lvl>
    <w:lvl w:ilvl="5">
      <w:start w:val="1"/>
      <w:numFmt w:val="bullet"/>
      <w:isLgl w:val="false"/>
      <w:suff w:val="tab"/>
      <w:lvlText w:val="§"/>
      <w:lvlJc w:val="left"/>
      <w:pPr>
        <w:pStyle w:val="613"/>
        <w:ind w:left="4320" w:hanging="360"/>
      </w:pPr>
      <w:rPr>
        <w:rFonts w:ascii="Wingdings" w:hAnsi="Wingdings" w:eastAsia="Wingdings" w:cs="Wingdings"/>
      </w:rPr>
    </w:lvl>
    <w:lvl w:ilvl="6">
      <w:start w:val="1"/>
      <w:numFmt w:val="bullet"/>
      <w:isLgl w:val="false"/>
      <w:suff w:val="tab"/>
      <w:lvlText w:val="·"/>
      <w:lvlJc w:val="left"/>
      <w:pPr>
        <w:pStyle w:val="613"/>
        <w:ind w:left="5040" w:hanging="360"/>
      </w:pPr>
      <w:rPr>
        <w:rFonts w:ascii="Symbol" w:hAnsi="Symbol" w:eastAsia="Symbol" w:cs="Symbol"/>
      </w:rPr>
    </w:lvl>
    <w:lvl w:ilvl="7">
      <w:start w:val="1"/>
      <w:numFmt w:val="bullet"/>
      <w:isLgl w:val="false"/>
      <w:suff w:val="tab"/>
      <w:lvlText w:val="o"/>
      <w:lvlJc w:val="left"/>
      <w:pPr>
        <w:pStyle w:val="613"/>
        <w:ind w:left="5760" w:hanging="360"/>
      </w:pPr>
      <w:rPr>
        <w:rFonts w:ascii="Courier New" w:hAnsi="Courier New" w:eastAsia="Courier New" w:cs="Courier New"/>
      </w:rPr>
    </w:lvl>
    <w:lvl w:ilvl="8">
      <w:start w:val="1"/>
      <w:numFmt w:val="bullet"/>
      <w:isLgl w:val="false"/>
      <w:suff w:val="tab"/>
      <w:lvlText w:val="§"/>
      <w:lvlJc w:val="left"/>
      <w:pPr>
        <w:pStyle w:val="613"/>
        <w:ind w:left="6480" w:hanging="360"/>
      </w:pPr>
      <w:rPr>
        <w:rFonts w:ascii="Wingdings" w:hAnsi="Wingdings" w:eastAsia="Wingdings" w:cs="Wingdings"/>
      </w:rPr>
    </w:lvl>
  </w:abstractNum>
  <w:abstractNum w:abstractNumId="2">
    <w:multiLevelType w:val="hybridMultilevel"/>
    <w:lvl w:ilvl="0">
      <w:start w:val="16"/>
      <w:numFmt w:val="decimal"/>
      <w:isLgl w:val="false"/>
      <w:suff w:val="tab"/>
      <w:lvlText w:val="%1."/>
      <w:lvlJc w:val="left"/>
      <w:pPr>
        <w:pStyle w:val="613"/>
        <w:ind w:left="0" w:firstLine="0"/>
      </w:pPr>
    </w:lvl>
    <w:lvl w:ilvl="1">
      <w:start w:val="1"/>
      <w:numFmt w:val="bullet"/>
      <w:isLgl w:val="false"/>
      <w:suff w:val="tab"/>
      <w:lvlText w:val="o"/>
      <w:lvlJc w:val="left"/>
      <w:pPr>
        <w:pStyle w:val="613"/>
        <w:ind w:left="1440" w:hanging="360"/>
      </w:pPr>
      <w:rPr>
        <w:rFonts w:ascii="Courier New" w:hAnsi="Courier New" w:eastAsia="Courier New" w:cs="Courier New"/>
      </w:rPr>
    </w:lvl>
    <w:lvl w:ilvl="2">
      <w:start w:val="1"/>
      <w:numFmt w:val="bullet"/>
      <w:isLgl w:val="false"/>
      <w:suff w:val="tab"/>
      <w:lvlText w:val="§"/>
      <w:lvlJc w:val="left"/>
      <w:pPr>
        <w:pStyle w:val="613"/>
        <w:ind w:left="2160" w:hanging="360"/>
      </w:pPr>
      <w:rPr>
        <w:rFonts w:ascii="Wingdings" w:hAnsi="Wingdings" w:eastAsia="Wingdings" w:cs="Wingdings"/>
      </w:rPr>
    </w:lvl>
    <w:lvl w:ilvl="3">
      <w:start w:val="1"/>
      <w:numFmt w:val="bullet"/>
      <w:isLgl w:val="false"/>
      <w:suff w:val="tab"/>
      <w:lvlText w:val="·"/>
      <w:lvlJc w:val="left"/>
      <w:pPr>
        <w:pStyle w:val="613"/>
        <w:ind w:left="2880" w:hanging="360"/>
      </w:pPr>
      <w:rPr>
        <w:rFonts w:ascii="Symbol" w:hAnsi="Symbol" w:eastAsia="Symbol" w:cs="Symbol"/>
      </w:rPr>
    </w:lvl>
    <w:lvl w:ilvl="4">
      <w:start w:val="1"/>
      <w:numFmt w:val="bullet"/>
      <w:isLgl w:val="false"/>
      <w:suff w:val="tab"/>
      <w:lvlText w:val="o"/>
      <w:lvlJc w:val="left"/>
      <w:pPr>
        <w:pStyle w:val="613"/>
        <w:ind w:left="3600" w:hanging="360"/>
      </w:pPr>
      <w:rPr>
        <w:rFonts w:ascii="Courier New" w:hAnsi="Courier New" w:eastAsia="Courier New" w:cs="Courier New"/>
      </w:rPr>
    </w:lvl>
    <w:lvl w:ilvl="5">
      <w:start w:val="1"/>
      <w:numFmt w:val="bullet"/>
      <w:isLgl w:val="false"/>
      <w:suff w:val="tab"/>
      <w:lvlText w:val="§"/>
      <w:lvlJc w:val="left"/>
      <w:pPr>
        <w:pStyle w:val="613"/>
        <w:ind w:left="4320" w:hanging="360"/>
      </w:pPr>
      <w:rPr>
        <w:rFonts w:ascii="Wingdings" w:hAnsi="Wingdings" w:eastAsia="Wingdings" w:cs="Wingdings"/>
      </w:rPr>
    </w:lvl>
    <w:lvl w:ilvl="6">
      <w:start w:val="1"/>
      <w:numFmt w:val="bullet"/>
      <w:isLgl w:val="false"/>
      <w:suff w:val="tab"/>
      <w:lvlText w:val="·"/>
      <w:lvlJc w:val="left"/>
      <w:pPr>
        <w:pStyle w:val="613"/>
        <w:ind w:left="5040" w:hanging="360"/>
      </w:pPr>
      <w:rPr>
        <w:rFonts w:ascii="Symbol" w:hAnsi="Symbol" w:eastAsia="Symbol" w:cs="Symbol"/>
      </w:rPr>
    </w:lvl>
    <w:lvl w:ilvl="7">
      <w:start w:val="1"/>
      <w:numFmt w:val="bullet"/>
      <w:isLgl w:val="false"/>
      <w:suff w:val="tab"/>
      <w:lvlText w:val="o"/>
      <w:lvlJc w:val="left"/>
      <w:pPr>
        <w:pStyle w:val="613"/>
        <w:ind w:left="5760" w:hanging="360"/>
      </w:pPr>
      <w:rPr>
        <w:rFonts w:ascii="Courier New" w:hAnsi="Courier New" w:eastAsia="Courier New" w:cs="Courier New"/>
      </w:rPr>
    </w:lvl>
    <w:lvl w:ilvl="8">
      <w:start w:val="1"/>
      <w:numFmt w:val="bullet"/>
      <w:isLgl w:val="false"/>
      <w:suff w:val="tab"/>
      <w:lvlText w:val="§"/>
      <w:lvlJc w:val="left"/>
      <w:pPr>
        <w:pStyle w:val="613"/>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6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pStyle w:val="613"/>
        <w:ind w:left="0" w:firstLine="0"/>
      </w:pPr>
    </w:lvl>
    <w:lvl w:ilvl="1">
      <w:start w:val="1"/>
      <w:numFmt w:val="bullet"/>
      <w:isLgl w:val="false"/>
      <w:suff w:val="tab"/>
      <w:lvlText w:val="o"/>
      <w:lvlJc w:val="left"/>
      <w:pPr>
        <w:pStyle w:val="613"/>
        <w:ind w:left="1440" w:hanging="360"/>
      </w:pPr>
      <w:rPr>
        <w:rFonts w:ascii="Courier New" w:hAnsi="Courier New" w:eastAsia="Courier New" w:cs="Courier New"/>
      </w:rPr>
    </w:lvl>
    <w:lvl w:ilvl="2">
      <w:start w:val="1"/>
      <w:numFmt w:val="bullet"/>
      <w:isLgl w:val="false"/>
      <w:suff w:val="tab"/>
      <w:lvlText w:val="§"/>
      <w:lvlJc w:val="left"/>
      <w:pPr>
        <w:pStyle w:val="613"/>
        <w:ind w:left="2160" w:hanging="360"/>
      </w:pPr>
      <w:rPr>
        <w:rFonts w:ascii="Wingdings" w:hAnsi="Wingdings" w:eastAsia="Wingdings" w:cs="Wingdings"/>
      </w:rPr>
    </w:lvl>
    <w:lvl w:ilvl="3">
      <w:start w:val="1"/>
      <w:numFmt w:val="bullet"/>
      <w:isLgl w:val="false"/>
      <w:suff w:val="tab"/>
      <w:lvlText w:val="·"/>
      <w:lvlJc w:val="left"/>
      <w:pPr>
        <w:pStyle w:val="613"/>
        <w:ind w:left="2880" w:hanging="360"/>
      </w:pPr>
      <w:rPr>
        <w:rFonts w:ascii="Symbol" w:hAnsi="Symbol" w:eastAsia="Symbol" w:cs="Symbol"/>
      </w:rPr>
    </w:lvl>
    <w:lvl w:ilvl="4">
      <w:start w:val="1"/>
      <w:numFmt w:val="bullet"/>
      <w:isLgl w:val="false"/>
      <w:suff w:val="tab"/>
      <w:lvlText w:val="o"/>
      <w:lvlJc w:val="left"/>
      <w:pPr>
        <w:pStyle w:val="613"/>
        <w:ind w:left="3600" w:hanging="360"/>
      </w:pPr>
      <w:rPr>
        <w:rFonts w:ascii="Courier New" w:hAnsi="Courier New" w:eastAsia="Courier New" w:cs="Courier New"/>
      </w:rPr>
    </w:lvl>
    <w:lvl w:ilvl="5">
      <w:start w:val="1"/>
      <w:numFmt w:val="bullet"/>
      <w:isLgl w:val="false"/>
      <w:suff w:val="tab"/>
      <w:lvlText w:val="§"/>
      <w:lvlJc w:val="left"/>
      <w:pPr>
        <w:pStyle w:val="613"/>
        <w:ind w:left="4320" w:hanging="360"/>
      </w:pPr>
      <w:rPr>
        <w:rFonts w:ascii="Wingdings" w:hAnsi="Wingdings" w:eastAsia="Wingdings" w:cs="Wingdings"/>
      </w:rPr>
    </w:lvl>
    <w:lvl w:ilvl="6">
      <w:start w:val="1"/>
      <w:numFmt w:val="bullet"/>
      <w:isLgl w:val="false"/>
      <w:suff w:val="tab"/>
      <w:lvlText w:val="·"/>
      <w:lvlJc w:val="left"/>
      <w:pPr>
        <w:pStyle w:val="613"/>
        <w:ind w:left="5040" w:hanging="360"/>
      </w:pPr>
      <w:rPr>
        <w:rFonts w:ascii="Symbol" w:hAnsi="Symbol" w:eastAsia="Symbol" w:cs="Symbol"/>
      </w:rPr>
    </w:lvl>
    <w:lvl w:ilvl="7">
      <w:start w:val="1"/>
      <w:numFmt w:val="bullet"/>
      <w:isLgl w:val="false"/>
      <w:suff w:val="tab"/>
      <w:lvlText w:val="o"/>
      <w:lvlJc w:val="left"/>
      <w:pPr>
        <w:pStyle w:val="613"/>
        <w:ind w:left="5760" w:hanging="360"/>
      </w:pPr>
      <w:rPr>
        <w:rFonts w:ascii="Courier New" w:hAnsi="Courier New" w:eastAsia="Courier New" w:cs="Courier New"/>
      </w:rPr>
    </w:lvl>
    <w:lvl w:ilvl="8">
      <w:start w:val="1"/>
      <w:numFmt w:val="bullet"/>
      <w:isLgl w:val="false"/>
      <w:suff w:val="tab"/>
      <w:lvlText w:val="§"/>
      <w:lvlJc w:val="left"/>
      <w:pPr>
        <w:pStyle w:val="613"/>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pStyle w:val="613"/>
        <w:ind w:left="360" w:hanging="360"/>
      </w:pPr>
    </w:lvl>
    <w:lvl w:ilvl="1">
      <w:start w:val="1"/>
      <w:numFmt w:val="lowerLetter"/>
      <w:isLgl w:val="false"/>
      <w:suff w:val="tab"/>
      <w:lvlText w:val="%2)"/>
      <w:lvlJc w:val="left"/>
      <w:pPr>
        <w:pStyle w:val="613"/>
        <w:ind w:left="840" w:hanging="420"/>
      </w:pPr>
    </w:lvl>
    <w:lvl w:ilvl="2">
      <w:start w:val="1"/>
      <w:numFmt w:val="lowerRoman"/>
      <w:isLgl w:val="false"/>
      <w:suff w:val="tab"/>
      <w:lvlText w:val="%3."/>
      <w:lvlJc w:val="right"/>
      <w:pPr>
        <w:pStyle w:val="613"/>
        <w:ind w:left="1260" w:hanging="420"/>
      </w:pPr>
    </w:lvl>
    <w:lvl w:ilvl="3">
      <w:start w:val="1"/>
      <w:numFmt w:val="decimal"/>
      <w:isLgl w:val="false"/>
      <w:suff w:val="tab"/>
      <w:lvlText w:val="%4."/>
      <w:lvlJc w:val="left"/>
      <w:pPr>
        <w:pStyle w:val="613"/>
        <w:ind w:left="1680" w:hanging="420"/>
      </w:pPr>
    </w:lvl>
    <w:lvl w:ilvl="4">
      <w:start w:val="1"/>
      <w:numFmt w:val="lowerLetter"/>
      <w:isLgl w:val="false"/>
      <w:suff w:val="tab"/>
      <w:lvlText w:val="%5)"/>
      <w:lvlJc w:val="left"/>
      <w:pPr>
        <w:pStyle w:val="613"/>
        <w:ind w:left="2100" w:hanging="420"/>
      </w:pPr>
    </w:lvl>
    <w:lvl w:ilvl="5">
      <w:start w:val="1"/>
      <w:numFmt w:val="lowerRoman"/>
      <w:isLgl w:val="false"/>
      <w:suff w:val="tab"/>
      <w:lvlText w:val="%6."/>
      <w:lvlJc w:val="right"/>
      <w:pPr>
        <w:pStyle w:val="613"/>
        <w:ind w:left="2520" w:hanging="420"/>
      </w:pPr>
    </w:lvl>
    <w:lvl w:ilvl="6">
      <w:start w:val="1"/>
      <w:numFmt w:val="decimal"/>
      <w:isLgl w:val="false"/>
      <w:suff w:val="tab"/>
      <w:lvlText w:val="%7."/>
      <w:lvlJc w:val="left"/>
      <w:pPr>
        <w:pStyle w:val="613"/>
        <w:ind w:left="2940" w:hanging="420"/>
      </w:pPr>
    </w:lvl>
    <w:lvl w:ilvl="7">
      <w:start w:val="1"/>
      <w:numFmt w:val="lowerLetter"/>
      <w:isLgl w:val="false"/>
      <w:suff w:val="tab"/>
      <w:lvlText w:val="%8)"/>
      <w:lvlJc w:val="left"/>
      <w:pPr>
        <w:pStyle w:val="613"/>
        <w:ind w:left="3360" w:hanging="420"/>
      </w:pPr>
    </w:lvl>
    <w:lvl w:ilvl="8">
      <w:start w:val="1"/>
      <w:numFmt w:val="lowerRoman"/>
      <w:isLgl w:val="false"/>
      <w:suff w:val="tab"/>
      <w:lvlText w:val="%9."/>
      <w:lvlJc w:val="right"/>
      <w:pPr>
        <w:pStyle w:val="613"/>
        <w:ind w:left="3780" w:hanging="420"/>
      </w:pPr>
    </w:lvl>
  </w:abstractNum>
  <w:abstractNum w:abstractNumId="6">
    <w:multiLevelType w:val="hybridMultilevel"/>
    <w:lvl w:ilvl="0">
      <w:start w:val="2"/>
      <w:numFmt w:val="chineseCounting"/>
      <w:isLgl w:val="false"/>
      <w:suff w:val="nothing"/>
      <w:lvlText w:val="%1、"/>
      <w:lvlJc w:val="left"/>
      <w:pPr>
        <w:pStyle w:val="613"/>
        <w:ind w:left="18"/>
      </w:pPr>
      <w:rPr>
        <w:rFonts w:hint="eastAsia"/>
      </w:rPr>
    </w:lvl>
    <w:lvl w:ilvl="1">
      <w:start w:val="1"/>
      <w:numFmt w:val="bullet"/>
      <w:isLgl w:val="false"/>
      <w:suff w:val="tab"/>
      <w:lvlText w:val="o"/>
      <w:lvlJc w:val="left"/>
      <w:pPr>
        <w:pStyle w:val="613"/>
        <w:ind w:left="1440" w:hanging="360"/>
      </w:pPr>
      <w:rPr>
        <w:rFonts w:ascii="Courier New" w:hAnsi="Courier New" w:eastAsia="Courier New" w:cs="Courier New"/>
      </w:rPr>
    </w:lvl>
    <w:lvl w:ilvl="2">
      <w:start w:val="1"/>
      <w:numFmt w:val="bullet"/>
      <w:isLgl w:val="false"/>
      <w:suff w:val="tab"/>
      <w:lvlText w:val="§"/>
      <w:lvlJc w:val="left"/>
      <w:pPr>
        <w:pStyle w:val="613"/>
        <w:ind w:left="2160" w:hanging="360"/>
      </w:pPr>
      <w:rPr>
        <w:rFonts w:ascii="Wingdings" w:hAnsi="Wingdings" w:eastAsia="Wingdings" w:cs="Wingdings"/>
      </w:rPr>
    </w:lvl>
    <w:lvl w:ilvl="3">
      <w:start w:val="1"/>
      <w:numFmt w:val="bullet"/>
      <w:isLgl w:val="false"/>
      <w:suff w:val="tab"/>
      <w:lvlText w:val="·"/>
      <w:lvlJc w:val="left"/>
      <w:pPr>
        <w:pStyle w:val="613"/>
        <w:ind w:left="2880" w:hanging="360"/>
      </w:pPr>
      <w:rPr>
        <w:rFonts w:ascii="Symbol" w:hAnsi="Symbol" w:eastAsia="Symbol" w:cs="Symbol"/>
      </w:rPr>
    </w:lvl>
    <w:lvl w:ilvl="4">
      <w:start w:val="1"/>
      <w:numFmt w:val="bullet"/>
      <w:isLgl w:val="false"/>
      <w:suff w:val="tab"/>
      <w:lvlText w:val="o"/>
      <w:lvlJc w:val="left"/>
      <w:pPr>
        <w:pStyle w:val="613"/>
        <w:ind w:left="3600" w:hanging="360"/>
      </w:pPr>
      <w:rPr>
        <w:rFonts w:ascii="Courier New" w:hAnsi="Courier New" w:eastAsia="Courier New" w:cs="Courier New"/>
      </w:rPr>
    </w:lvl>
    <w:lvl w:ilvl="5">
      <w:start w:val="1"/>
      <w:numFmt w:val="bullet"/>
      <w:isLgl w:val="false"/>
      <w:suff w:val="tab"/>
      <w:lvlText w:val="§"/>
      <w:lvlJc w:val="left"/>
      <w:pPr>
        <w:pStyle w:val="613"/>
        <w:ind w:left="4320" w:hanging="360"/>
      </w:pPr>
      <w:rPr>
        <w:rFonts w:ascii="Wingdings" w:hAnsi="Wingdings" w:eastAsia="Wingdings" w:cs="Wingdings"/>
      </w:rPr>
    </w:lvl>
    <w:lvl w:ilvl="6">
      <w:start w:val="1"/>
      <w:numFmt w:val="bullet"/>
      <w:isLgl w:val="false"/>
      <w:suff w:val="tab"/>
      <w:lvlText w:val="·"/>
      <w:lvlJc w:val="left"/>
      <w:pPr>
        <w:pStyle w:val="613"/>
        <w:ind w:left="5040" w:hanging="360"/>
      </w:pPr>
      <w:rPr>
        <w:rFonts w:ascii="Symbol" w:hAnsi="Symbol" w:eastAsia="Symbol" w:cs="Symbol"/>
      </w:rPr>
    </w:lvl>
    <w:lvl w:ilvl="7">
      <w:start w:val="1"/>
      <w:numFmt w:val="bullet"/>
      <w:isLgl w:val="false"/>
      <w:suff w:val="tab"/>
      <w:lvlText w:val="o"/>
      <w:lvlJc w:val="left"/>
      <w:pPr>
        <w:pStyle w:val="613"/>
        <w:ind w:left="5760" w:hanging="360"/>
      </w:pPr>
      <w:rPr>
        <w:rFonts w:ascii="Courier New" w:hAnsi="Courier New" w:eastAsia="Courier New" w:cs="Courier New"/>
      </w:rPr>
    </w:lvl>
    <w:lvl w:ilvl="8">
      <w:start w:val="1"/>
      <w:numFmt w:val="bullet"/>
      <w:isLgl w:val="false"/>
      <w:suff w:val="tab"/>
      <w:lvlText w:val="§"/>
      <w:lvlJc w:val="left"/>
      <w:pPr>
        <w:pStyle w:val="613"/>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613"/>
        <w:ind w:left="630" w:hanging="420"/>
      </w:pPr>
    </w:lvl>
    <w:lvl w:ilvl="1">
      <w:start w:val="1"/>
      <w:numFmt w:val="decimal"/>
      <w:isLgl w:val="false"/>
      <w:suff w:val="tab"/>
      <w:lvlText w:val="（%2）"/>
      <w:lvlJc w:val="left"/>
      <w:pPr>
        <w:pStyle w:val="613"/>
        <w:ind w:left="1020" w:hanging="360"/>
      </w:pPr>
      <w:rPr>
        <w:color w:val="000000"/>
      </w:rPr>
    </w:lvl>
    <w:lvl w:ilvl="2">
      <w:start w:val="1"/>
      <w:numFmt w:val="lowerRoman"/>
      <w:isLgl w:val="false"/>
      <w:suff w:val="tab"/>
      <w:lvlText w:val="%3."/>
      <w:lvlJc w:val="right"/>
      <w:pPr>
        <w:pStyle w:val="613"/>
        <w:ind w:left="1470" w:hanging="420"/>
      </w:pPr>
    </w:lvl>
    <w:lvl w:ilvl="3">
      <w:start w:val="1"/>
      <w:numFmt w:val="decimal"/>
      <w:isLgl w:val="false"/>
      <w:suff w:val="tab"/>
      <w:lvlText w:val="%4."/>
      <w:lvlJc w:val="left"/>
      <w:pPr>
        <w:pStyle w:val="613"/>
        <w:ind w:left="1890" w:hanging="420"/>
      </w:pPr>
    </w:lvl>
    <w:lvl w:ilvl="4">
      <w:start w:val="1"/>
      <w:numFmt w:val="lowerLetter"/>
      <w:isLgl w:val="false"/>
      <w:suff w:val="tab"/>
      <w:lvlText w:val="%5)"/>
      <w:lvlJc w:val="left"/>
      <w:pPr>
        <w:pStyle w:val="613"/>
        <w:ind w:left="2310" w:hanging="420"/>
      </w:pPr>
    </w:lvl>
    <w:lvl w:ilvl="5">
      <w:start w:val="1"/>
      <w:numFmt w:val="lowerRoman"/>
      <w:isLgl w:val="false"/>
      <w:suff w:val="tab"/>
      <w:lvlText w:val="%6."/>
      <w:lvlJc w:val="right"/>
      <w:pPr>
        <w:pStyle w:val="613"/>
        <w:ind w:left="2730" w:hanging="420"/>
      </w:pPr>
    </w:lvl>
    <w:lvl w:ilvl="6">
      <w:start w:val="1"/>
      <w:numFmt w:val="decimal"/>
      <w:isLgl w:val="false"/>
      <w:suff w:val="tab"/>
      <w:lvlText w:val="%7."/>
      <w:lvlJc w:val="left"/>
      <w:pPr>
        <w:pStyle w:val="613"/>
        <w:ind w:left="3150" w:hanging="420"/>
      </w:pPr>
    </w:lvl>
    <w:lvl w:ilvl="7">
      <w:start w:val="1"/>
      <w:numFmt w:val="lowerLetter"/>
      <w:isLgl w:val="false"/>
      <w:suff w:val="tab"/>
      <w:lvlText w:val="%8)"/>
      <w:lvlJc w:val="left"/>
      <w:pPr>
        <w:pStyle w:val="613"/>
        <w:ind w:left="3570" w:hanging="420"/>
      </w:pPr>
    </w:lvl>
    <w:lvl w:ilvl="8">
      <w:start w:val="1"/>
      <w:numFmt w:val="lowerRoman"/>
      <w:isLgl w:val="false"/>
      <w:suff w:val="tab"/>
      <w:lvlText w:val="%9."/>
      <w:lvlJc w:val="right"/>
      <w:pPr>
        <w:pStyle w:val="613"/>
        <w:ind w:left="3990" w:hanging="420"/>
      </w:pPr>
    </w:lvl>
  </w:abstractNum>
  <w:num w:numId="1">
    <w:abstractNumId w:val="5"/>
  </w:num>
  <w:num w:numId="2">
    <w:abstractNumId w:val="4"/>
  </w:num>
  <w:num w:numId="3">
    <w:abstractNumId w:val="7"/>
  </w:num>
  <w:num w:numId="4">
    <w:abstractNumId w:val="2"/>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3"/>
    <w:next w:val="6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3"/>
    <w:next w:val="6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3"/>
    <w:next w:val="6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13"/>
    <w:next w:val="6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13"/>
    <w:next w:val="6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3"/>
    <w:next w:val="6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3"/>
    <w:next w:val="6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3"/>
    <w:next w:val="6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3"/>
    <w:next w:val="6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3"/>
    <w:next w:val="6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3"/>
    <w:next w:val="6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3"/>
    <w:next w:val="613"/>
    <w:link w:val="38"/>
    <w:uiPriority w:val="29"/>
    <w:qFormat/>
    <w:pPr>
      <w:ind w:left="720" w:right="720"/>
    </w:pPr>
    <w:rPr>
      <w:i/>
    </w:rPr>
  </w:style>
  <w:style w:type="character" w:styleId="38">
    <w:name w:val="Quote Char"/>
    <w:link w:val="37"/>
    <w:uiPriority w:val="29"/>
    <w:rPr>
      <w:i/>
    </w:rPr>
  </w:style>
  <w:style w:type="paragraph" w:styleId="39">
    <w:name w:val="Intense Quote"/>
    <w:basedOn w:val="613"/>
    <w:next w:val="6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3"/>
    <w:link w:val="46"/>
    <w:uiPriority w:val="99"/>
    <w:unhideWhenUsed/>
    <w:pPr>
      <w:spacing w:after="0" w:line="240" w:lineRule="auto"/>
      <w:tabs>
        <w:tab w:val="center" w:pos="7143" w:leader="none"/>
        <w:tab w:val="right" w:pos="14287" w:leader="none"/>
      </w:tabs>
    </w:pPr>
  </w:style>
  <w:style w:type="paragraph" w:styleId="45">
    <w:name w:val="Caption"/>
    <w:basedOn w:val="613"/>
    <w:next w:val="6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3"/>
    <w:next w:val="613"/>
    <w:uiPriority w:val="39"/>
    <w:unhideWhenUsed/>
    <w:pPr>
      <w:ind w:left="0" w:right="0" w:firstLine="0"/>
      <w:spacing w:after="57"/>
    </w:pPr>
  </w:style>
  <w:style w:type="paragraph" w:styleId="181">
    <w:name w:val="toc 2"/>
    <w:basedOn w:val="613"/>
    <w:next w:val="613"/>
    <w:uiPriority w:val="39"/>
    <w:unhideWhenUsed/>
    <w:pPr>
      <w:ind w:left="283" w:right="0" w:firstLine="0"/>
      <w:spacing w:after="57"/>
    </w:pPr>
  </w:style>
  <w:style w:type="paragraph" w:styleId="182">
    <w:name w:val="toc 3"/>
    <w:basedOn w:val="613"/>
    <w:next w:val="613"/>
    <w:uiPriority w:val="39"/>
    <w:unhideWhenUsed/>
    <w:pPr>
      <w:ind w:left="567" w:right="0" w:firstLine="0"/>
      <w:spacing w:after="57"/>
    </w:pPr>
  </w:style>
  <w:style w:type="paragraph" w:styleId="183">
    <w:name w:val="toc 4"/>
    <w:basedOn w:val="613"/>
    <w:next w:val="613"/>
    <w:uiPriority w:val="39"/>
    <w:unhideWhenUsed/>
    <w:pPr>
      <w:ind w:left="850" w:right="0" w:firstLine="0"/>
      <w:spacing w:after="57"/>
    </w:pPr>
  </w:style>
  <w:style w:type="paragraph" w:styleId="184">
    <w:name w:val="toc 5"/>
    <w:basedOn w:val="613"/>
    <w:next w:val="613"/>
    <w:uiPriority w:val="39"/>
    <w:unhideWhenUsed/>
    <w:pPr>
      <w:ind w:left="1134" w:right="0" w:firstLine="0"/>
      <w:spacing w:after="57"/>
    </w:pPr>
  </w:style>
  <w:style w:type="paragraph" w:styleId="185">
    <w:name w:val="toc 6"/>
    <w:basedOn w:val="613"/>
    <w:next w:val="613"/>
    <w:uiPriority w:val="39"/>
    <w:unhideWhenUsed/>
    <w:pPr>
      <w:ind w:left="1417" w:right="0" w:firstLine="0"/>
      <w:spacing w:after="57"/>
    </w:pPr>
  </w:style>
  <w:style w:type="paragraph" w:styleId="186">
    <w:name w:val="toc 7"/>
    <w:basedOn w:val="613"/>
    <w:next w:val="613"/>
    <w:uiPriority w:val="39"/>
    <w:unhideWhenUsed/>
    <w:pPr>
      <w:ind w:left="1701" w:right="0" w:firstLine="0"/>
      <w:spacing w:after="57"/>
    </w:pPr>
  </w:style>
  <w:style w:type="paragraph" w:styleId="187">
    <w:name w:val="toc 8"/>
    <w:basedOn w:val="613"/>
    <w:next w:val="613"/>
    <w:uiPriority w:val="39"/>
    <w:unhideWhenUsed/>
    <w:pPr>
      <w:ind w:left="1984" w:right="0" w:firstLine="0"/>
      <w:spacing w:after="57"/>
    </w:pPr>
  </w:style>
  <w:style w:type="paragraph" w:styleId="188">
    <w:name w:val="toc 9"/>
    <w:basedOn w:val="613"/>
    <w:next w:val="6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3"/>
    <w:next w:val="613"/>
    <w:uiPriority w:val="99"/>
    <w:unhideWhenUsed/>
    <w:pPr>
      <w:spacing w:after="0" w:afterAutospacing="0"/>
    </w:pPr>
  </w:style>
  <w:style w:type="paragraph" w:styleId="613" w:default="1">
    <w:name w:val="Normal"/>
    <w:next w:val="613"/>
    <w:link w:val="613"/>
    <w:qFormat/>
    <w:pPr>
      <w:spacing w:after="200" w:line="276" w:lineRule="auto"/>
    </w:pPr>
    <w:rPr>
      <w:rFonts w:ascii="Arial" w:hAnsi="Arial" w:eastAsia="Arial"/>
      <w:sz w:val="22"/>
      <w:szCs w:val="22"/>
      <w:lang w:val="en-US" w:eastAsia="en-US" w:bidi="ar-SA"/>
    </w:rPr>
  </w:style>
  <w:style w:type="paragraph" w:styleId="614">
    <w:name w:val="标题 1"/>
    <w:basedOn w:val="613"/>
    <w:next w:val="613"/>
    <w:link w:val="625"/>
    <w:uiPriority w:val="9"/>
    <w:qFormat/>
    <w:pPr>
      <w:keepLines/>
      <w:keepNext/>
      <w:spacing w:before="480"/>
      <w:outlineLvl w:val="0"/>
    </w:pPr>
    <w:rPr>
      <w:rFonts w:ascii="Arial" w:hAnsi="Arial" w:eastAsia="Arial" w:cs="Arial"/>
      <w:sz w:val="40"/>
      <w:szCs w:val="40"/>
    </w:rPr>
  </w:style>
  <w:style w:type="paragraph" w:styleId="615">
    <w:name w:val="标题 2"/>
    <w:basedOn w:val="613"/>
    <w:next w:val="613"/>
    <w:link w:val="626"/>
    <w:uiPriority w:val="9"/>
    <w:qFormat/>
    <w:pPr>
      <w:keepLines/>
      <w:keepNext/>
      <w:spacing w:before="360"/>
      <w:outlineLvl w:val="1"/>
    </w:pPr>
    <w:rPr>
      <w:rFonts w:ascii="Arial" w:hAnsi="Arial" w:eastAsia="Arial" w:cs="Arial"/>
      <w:sz w:val="34"/>
    </w:rPr>
  </w:style>
  <w:style w:type="paragraph" w:styleId="616">
    <w:name w:val="标题 3"/>
    <w:basedOn w:val="613"/>
    <w:next w:val="613"/>
    <w:link w:val="627"/>
    <w:uiPriority w:val="9"/>
    <w:qFormat/>
    <w:pPr>
      <w:keepLines/>
      <w:keepNext/>
      <w:spacing w:before="320"/>
      <w:outlineLvl w:val="2"/>
    </w:pPr>
    <w:rPr>
      <w:rFonts w:ascii="Arial" w:hAnsi="Arial" w:eastAsia="Arial" w:cs="Arial"/>
      <w:sz w:val="30"/>
      <w:szCs w:val="30"/>
    </w:rPr>
  </w:style>
  <w:style w:type="paragraph" w:styleId="617">
    <w:name w:val="标题 4"/>
    <w:basedOn w:val="613"/>
    <w:next w:val="613"/>
    <w:link w:val="628"/>
    <w:uiPriority w:val="9"/>
    <w:qFormat/>
    <w:pPr>
      <w:keepLines/>
      <w:keepNext/>
      <w:spacing w:before="320"/>
      <w:outlineLvl w:val="3"/>
    </w:pPr>
    <w:rPr>
      <w:rFonts w:ascii="Arial" w:hAnsi="Arial" w:eastAsia="Arial" w:cs="Arial"/>
      <w:b/>
      <w:bCs/>
      <w:sz w:val="26"/>
      <w:szCs w:val="26"/>
    </w:rPr>
  </w:style>
  <w:style w:type="paragraph" w:styleId="618">
    <w:name w:val="标题 5"/>
    <w:basedOn w:val="613"/>
    <w:next w:val="613"/>
    <w:link w:val="629"/>
    <w:uiPriority w:val="9"/>
    <w:qFormat/>
    <w:pPr>
      <w:keepLines/>
      <w:keepNext/>
      <w:spacing w:before="320"/>
      <w:outlineLvl w:val="4"/>
    </w:pPr>
    <w:rPr>
      <w:rFonts w:ascii="Arial" w:hAnsi="Arial" w:eastAsia="Arial" w:cs="Arial"/>
      <w:b/>
      <w:bCs/>
      <w:sz w:val="24"/>
      <w:szCs w:val="24"/>
    </w:rPr>
  </w:style>
  <w:style w:type="paragraph" w:styleId="619">
    <w:name w:val="标题 6"/>
    <w:basedOn w:val="613"/>
    <w:next w:val="613"/>
    <w:link w:val="630"/>
    <w:uiPriority w:val="9"/>
    <w:qFormat/>
    <w:pPr>
      <w:keepLines/>
      <w:keepNext/>
      <w:spacing w:before="320"/>
      <w:outlineLvl w:val="5"/>
    </w:pPr>
    <w:rPr>
      <w:rFonts w:ascii="Arial" w:hAnsi="Arial" w:eastAsia="Arial" w:cs="Arial"/>
      <w:b/>
      <w:bCs/>
    </w:rPr>
  </w:style>
  <w:style w:type="paragraph" w:styleId="620">
    <w:name w:val="标题 7"/>
    <w:basedOn w:val="613"/>
    <w:next w:val="613"/>
    <w:link w:val="631"/>
    <w:uiPriority w:val="9"/>
    <w:qFormat/>
    <w:pPr>
      <w:keepLines/>
      <w:keepNext/>
      <w:spacing w:before="320"/>
      <w:outlineLvl w:val="6"/>
    </w:pPr>
    <w:rPr>
      <w:rFonts w:ascii="Arial" w:hAnsi="Arial" w:eastAsia="Arial" w:cs="Arial"/>
      <w:b/>
      <w:bCs/>
      <w:i/>
      <w:iCs/>
    </w:rPr>
  </w:style>
  <w:style w:type="paragraph" w:styleId="621">
    <w:name w:val="标题 8"/>
    <w:basedOn w:val="613"/>
    <w:next w:val="613"/>
    <w:link w:val="632"/>
    <w:uiPriority w:val="9"/>
    <w:qFormat/>
    <w:pPr>
      <w:keepLines/>
      <w:keepNext/>
      <w:spacing w:before="320"/>
      <w:outlineLvl w:val="7"/>
    </w:pPr>
    <w:rPr>
      <w:rFonts w:ascii="Arial" w:hAnsi="Arial" w:eastAsia="Arial" w:cs="Arial"/>
      <w:i/>
      <w:iCs/>
    </w:rPr>
  </w:style>
  <w:style w:type="paragraph" w:styleId="622">
    <w:name w:val="标题 9"/>
    <w:basedOn w:val="613"/>
    <w:next w:val="613"/>
    <w:link w:val="633"/>
    <w:uiPriority w:val="9"/>
    <w:qFormat/>
    <w:pPr>
      <w:keepLines/>
      <w:keepNext/>
      <w:spacing w:before="320"/>
      <w:outlineLvl w:val="8"/>
    </w:pPr>
    <w:rPr>
      <w:rFonts w:ascii="Arial" w:hAnsi="Arial" w:eastAsia="Arial" w:cs="Arial"/>
      <w:i/>
      <w:iCs/>
      <w:sz w:val="21"/>
      <w:szCs w:val="21"/>
    </w:rPr>
  </w:style>
  <w:style w:type="character" w:styleId="623">
    <w:name w:val="默认段落字体"/>
    <w:next w:val="623"/>
    <w:link w:val="613"/>
    <w:uiPriority w:val="1"/>
    <w:unhideWhenUsed/>
    <w:qFormat/>
  </w:style>
  <w:style w:type="table" w:styleId="624">
    <w:name w:val="普通表格"/>
    <w:next w:val="624"/>
    <w:link w:val="613"/>
    <w:uiPriority w:val="99"/>
    <w:unhideWhenUsed/>
    <w:qFormat/>
    <w:tblPr/>
  </w:style>
  <w:style w:type="character" w:styleId="625">
    <w:name w:val="标题 1 字符"/>
    <w:next w:val="625"/>
    <w:link w:val="614"/>
    <w:uiPriority w:val="9"/>
    <w:qFormat/>
    <w:rPr>
      <w:rFonts w:ascii="Arial" w:hAnsi="Arial" w:eastAsia="Arial" w:cs="Arial"/>
      <w:sz w:val="40"/>
      <w:szCs w:val="40"/>
    </w:rPr>
  </w:style>
  <w:style w:type="character" w:styleId="626">
    <w:name w:val="标题 2 字符"/>
    <w:next w:val="626"/>
    <w:link w:val="615"/>
    <w:uiPriority w:val="9"/>
    <w:qFormat/>
    <w:rPr>
      <w:rFonts w:ascii="Arial" w:hAnsi="Arial" w:eastAsia="Arial" w:cs="Arial"/>
      <w:sz w:val="34"/>
    </w:rPr>
  </w:style>
  <w:style w:type="character" w:styleId="627">
    <w:name w:val="标题 3 字符"/>
    <w:next w:val="627"/>
    <w:link w:val="616"/>
    <w:uiPriority w:val="9"/>
    <w:qFormat/>
    <w:rPr>
      <w:rFonts w:ascii="Arial" w:hAnsi="Arial" w:eastAsia="Arial" w:cs="Arial"/>
      <w:sz w:val="30"/>
      <w:szCs w:val="30"/>
    </w:rPr>
  </w:style>
  <w:style w:type="character" w:styleId="628">
    <w:name w:val="标题 4 字符"/>
    <w:next w:val="628"/>
    <w:link w:val="617"/>
    <w:uiPriority w:val="9"/>
    <w:qFormat/>
    <w:rPr>
      <w:rFonts w:ascii="Arial" w:hAnsi="Arial" w:eastAsia="Arial" w:cs="Arial"/>
      <w:b/>
      <w:bCs/>
      <w:sz w:val="26"/>
      <w:szCs w:val="26"/>
    </w:rPr>
  </w:style>
  <w:style w:type="character" w:styleId="629">
    <w:name w:val="标题 5 字符"/>
    <w:next w:val="629"/>
    <w:link w:val="618"/>
    <w:uiPriority w:val="9"/>
    <w:qFormat/>
    <w:rPr>
      <w:rFonts w:ascii="Arial" w:hAnsi="Arial" w:eastAsia="Arial" w:cs="Arial"/>
      <w:b/>
      <w:bCs/>
      <w:sz w:val="24"/>
      <w:szCs w:val="24"/>
    </w:rPr>
  </w:style>
  <w:style w:type="character" w:styleId="630">
    <w:name w:val="标题 6 字符"/>
    <w:next w:val="630"/>
    <w:link w:val="619"/>
    <w:uiPriority w:val="9"/>
    <w:qFormat/>
    <w:rPr>
      <w:rFonts w:ascii="Arial" w:hAnsi="Arial" w:eastAsia="Arial" w:cs="Arial"/>
      <w:b/>
      <w:bCs/>
      <w:sz w:val="22"/>
      <w:szCs w:val="22"/>
    </w:rPr>
  </w:style>
  <w:style w:type="character" w:styleId="631">
    <w:name w:val="标题 7 字符"/>
    <w:next w:val="631"/>
    <w:link w:val="620"/>
    <w:uiPriority w:val="9"/>
    <w:qFormat/>
    <w:rPr>
      <w:rFonts w:ascii="Arial" w:hAnsi="Arial" w:eastAsia="Arial" w:cs="Arial"/>
      <w:b/>
      <w:bCs/>
      <w:i/>
      <w:iCs/>
      <w:sz w:val="22"/>
      <w:szCs w:val="22"/>
    </w:rPr>
  </w:style>
  <w:style w:type="character" w:styleId="632">
    <w:name w:val="标题 8 字符"/>
    <w:next w:val="632"/>
    <w:link w:val="621"/>
    <w:uiPriority w:val="9"/>
    <w:qFormat/>
    <w:rPr>
      <w:rFonts w:ascii="Arial" w:hAnsi="Arial" w:eastAsia="Arial" w:cs="Arial"/>
      <w:i/>
      <w:iCs/>
      <w:sz w:val="22"/>
      <w:szCs w:val="22"/>
    </w:rPr>
  </w:style>
  <w:style w:type="character" w:styleId="633">
    <w:name w:val="标题 9 字符"/>
    <w:next w:val="633"/>
    <w:link w:val="622"/>
    <w:uiPriority w:val="9"/>
    <w:qFormat/>
    <w:rPr>
      <w:rFonts w:ascii="Arial" w:hAnsi="Arial" w:eastAsia="Arial" w:cs="Arial"/>
      <w:i/>
      <w:iCs/>
      <w:sz w:val="21"/>
      <w:szCs w:val="21"/>
    </w:rPr>
  </w:style>
  <w:style w:type="paragraph" w:styleId="634">
    <w:name w:val="目录 7"/>
    <w:basedOn w:val="614"/>
    <w:next w:val="613"/>
    <w:link w:val="613"/>
    <w:uiPriority w:val="39"/>
    <w:unhideWhenUsed/>
    <w:qFormat/>
    <w:pPr>
      <w:ind w:left="1701"/>
      <w:spacing w:after="57"/>
    </w:pPr>
  </w:style>
  <w:style w:type="paragraph" w:styleId="635">
    <w:name w:val="正文缩进"/>
    <w:basedOn w:val="613"/>
    <w:next w:val="635"/>
    <w:link w:val="613"/>
    <w:qFormat/>
    <w:pPr>
      <w:ind w:firstLine="420"/>
    </w:pPr>
    <w:rPr>
      <w:szCs w:val="20"/>
    </w:rPr>
  </w:style>
  <w:style w:type="paragraph" w:styleId="636">
    <w:name w:val="题注"/>
    <w:basedOn w:val="613"/>
    <w:next w:val="613"/>
    <w:link w:val="613"/>
    <w:uiPriority w:val="35"/>
    <w:qFormat/>
    <w:rPr>
      <w:b/>
      <w:bCs/>
      <w:color w:val="5b9bd5"/>
      <w:sz w:val="18"/>
      <w:szCs w:val="18"/>
    </w:rPr>
  </w:style>
  <w:style w:type="paragraph" w:styleId="637">
    <w:name w:val="文档结构图"/>
    <w:basedOn w:val="613"/>
    <w:next w:val="637"/>
    <w:link w:val="613"/>
    <w:qFormat/>
    <w:pPr>
      <w:shd w:val="clear" w:color="auto" w:fill="000080"/>
    </w:pPr>
  </w:style>
  <w:style w:type="paragraph" w:styleId="638">
    <w:name w:val="正文文本"/>
    <w:basedOn w:val="613"/>
    <w:next w:val="638"/>
    <w:link w:val="613"/>
    <w:uiPriority w:val="99"/>
    <w:unhideWhenUsed/>
    <w:qFormat/>
    <w:pPr>
      <w:spacing w:after="120"/>
    </w:pPr>
  </w:style>
  <w:style w:type="paragraph" w:styleId="639">
    <w:name w:val="正文文本缩进"/>
    <w:basedOn w:val="613"/>
    <w:next w:val="639"/>
    <w:link w:val="613"/>
    <w:qFormat/>
    <w:pPr>
      <w:ind w:left="420"/>
      <w:spacing w:after="120"/>
    </w:pPr>
    <w:rPr>
      <w:sz w:val="24"/>
      <w:szCs w:val="20"/>
    </w:rPr>
  </w:style>
  <w:style w:type="paragraph" w:styleId="640">
    <w:name w:val="列表 2"/>
    <w:basedOn w:val="614"/>
    <w:next w:val="634"/>
    <w:link w:val="613"/>
    <w:uiPriority w:val="99"/>
    <w:unhideWhenUsed/>
    <w:qFormat/>
    <w:pPr>
      <w:ind w:left="100" w:firstLine="3640"/>
      <w:spacing w:before="0" w:after="0" w:line="240" w:lineRule="auto"/>
    </w:pPr>
    <w:rPr>
      <w:rFonts w:ascii="Times New Roman" w:hAnsi="Times New Roman" w:eastAsia="宋体" w:cs="Times New Roman"/>
    </w:rPr>
  </w:style>
  <w:style w:type="paragraph" w:styleId="641">
    <w:name w:val="文本块"/>
    <w:basedOn w:val="613"/>
    <w:next w:val="641"/>
    <w:link w:val="613"/>
    <w:qFormat/>
    <w:pPr>
      <w:ind w:left="525" w:right="-1" w:firstLine="525"/>
      <w:spacing w:line="312" w:lineRule="atLeast"/>
    </w:pPr>
    <w:rPr>
      <w:sz w:val="28"/>
      <w:szCs w:val="28"/>
    </w:rPr>
  </w:style>
  <w:style w:type="paragraph" w:styleId="642">
    <w:name w:val="目录 5"/>
    <w:basedOn w:val="613"/>
    <w:next w:val="613"/>
    <w:link w:val="613"/>
    <w:uiPriority w:val="39"/>
    <w:unhideWhenUsed/>
    <w:qFormat/>
    <w:pPr>
      <w:ind w:left="1134"/>
      <w:spacing w:after="57"/>
    </w:pPr>
  </w:style>
  <w:style w:type="paragraph" w:styleId="643">
    <w:name w:val="目录 3"/>
    <w:basedOn w:val="613"/>
    <w:next w:val="613"/>
    <w:link w:val="613"/>
    <w:uiPriority w:val="39"/>
    <w:unhideWhenUsed/>
    <w:qFormat/>
    <w:pPr>
      <w:ind w:left="567"/>
      <w:spacing w:after="57"/>
    </w:pPr>
  </w:style>
  <w:style w:type="paragraph" w:styleId="644">
    <w:name w:val="纯文本"/>
    <w:basedOn w:val="613"/>
    <w:next w:val="644"/>
    <w:link w:val="645"/>
    <w:qFormat/>
    <w:rPr>
      <w:rFonts w:ascii="宋体" w:hAnsi="Courier New"/>
      <w:sz w:val="20"/>
      <w:szCs w:val="20"/>
    </w:rPr>
  </w:style>
  <w:style w:type="character" w:styleId="645">
    <w:name w:val="纯文本 字符"/>
    <w:next w:val="645"/>
    <w:link w:val="644"/>
    <w:qFormat/>
    <w:rPr>
      <w:rFonts w:ascii="宋体" w:hAnsi="Courier New" w:eastAsia="Arial"/>
      <w:lang w:eastAsia="en-US"/>
    </w:rPr>
  </w:style>
  <w:style w:type="paragraph" w:styleId="646">
    <w:name w:val="目录 8"/>
    <w:basedOn w:val="613"/>
    <w:next w:val="613"/>
    <w:link w:val="613"/>
    <w:uiPriority w:val="39"/>
    <w:unhideWhenUsed/>
    <w:qFormat/>
    <w:pPr>
      <w:ind w:left="1984"/>
      <w:spacing w:after="57"/>
    </w:pPr>
  </w:style>
  <w:style w:type="paragraph" w:styleId="647">
    <w:name w:val="尾注文本"/>
    <w:basedOn w:val="613"/>
    <w:next w:val="647"/>
    <w:link w:val="648"/>
    <w:uiPriority w:val="99"/>
    <w:unhideWhenUsed/>
    <w:qFormat/>
    <w:pPr>
      <w:spacing w:after="0" w:line="240" w:lineRule="auto"/>
    </w:pPr>
    <w:rPr>
      <w:sz w:val="20"/>
    </w:rPr>
  </w:style>
  <w:style w:type="character" w:styleId="648">
    <w:name w:val="尾注文本 字符"/>
    <w:next w:val="648"/>
    <w:link w:val="647"/>
    <w:uiPriority w:val="99"/>
    <w:qFormat/>
    <w:rPr>
      <w:sz w:val="20"/>
    </w:rPr>
  </w:style>
  <w:style w:type="paragraph" w:styleId="649">
    <w:name w:val="页脚"/>
    <w:basedOn w:val="613"/>
    <w:next w:val="649"/>
    <w:link w:val="650"/>
    <w:uiPriority w:val="99"/>
    <w:unhideWhenUsed/>
    <w:qFormat/>
    <w:pPr>
      <w:spacing w:after="0" w:line="240" w:lineRule="auto"/>
      <w:tabs>
        <w:tab w:val="center" w:pos="7143" w:leader="none"/>
        <w:tab w:val="right" w:pos="14287" w:leader="none"/>
      </w:tabs>
    </w:pPr>
  </w:style>
  <w:style w:type="character" w:styleId="650">
    <w:name w:val="页脚 字符"/>
    <w:next w:val="650"/>
    <w:link w:val="649"/>
    <w:uiPriority w:val="99"/>
    <w:qFormat/>
  </w:style>
  <w:style w:type="paragraph" w:styleId="651">
    <w:name w:val="寄信人地址"/>
    <w:basedOn w:val="652"/>
    <w:next w:val="651"/>
    <w:link w:val="613"/>
    <w:uiPriority w:val="99"/>
    <w:unhideWhenUsed/>
    <w:qFormat/>
    <w:rPr>
      <w:rFonts w:ascii="Arial" w:hAnsi="Arial" w:cs="Arial"/>
    </w:rPr>
  </w:style>
  <w:style w:type="paragraph" w:styleId="652">
    <w:name w:val="Normal_19"/>
    <w:next w:val="653"/>
    <w:link w:val="613"/>
    <w:qFormat/>
    <w:pPr>
      <w:jc w:val="both"/>
      <w:widowControl w:val="off"/>
    </w:pPr>
    <w:rPr>
      <w:rFonts w:ascii="Calibri" w:hAnsi="Calibri"/>
      <w:sz w:val="21"/>
      <w:szCs w:val="24"/>
      <w:lang w:val="en-US" w:eastAsia="zh-CN" w:bidi="ar-SA"/>
    </w:rPr>
  </w:style>
  <w:style w:type="paragraph" w:styleId="653">
    <w:name w:val="正文文本缩进1"/>
    <w:basedOn w:val="613"/>
    <w:next w:val="651"/>
    <w:link w:val="613"/>
    <w:unhideWhenUsed/>
    <w:qFormat/>
    <w:pPr>
      <w:ind w:firstLine="570"/>
    </w:pPr>
    <w:rPr>
      <w:rFonts w:ascii="宋体" w:eastAsia="宋体"/>
      <w:sz w:val="28"/>
    </w:rPr>
  </w:style>
  <w:style w:type="paragraph" w:styleId="654">
    <w:name w:val="页眉"/>
    <w:basedOn w:val="613"/>
    <w:next w:val="654"/>
    <w:link w:val="655"/>
    <w:uiPriority w:val="99"/>
    <w:unhideWhenUsed/>
    <w:qFormat/>
    <w:pPr>
      <w:spacing w:after="0" w:line="240" w:lineRule="auto"/>
      <w:tabs>
        <w:tab w:val="center" w:pos="7143" w:leader="none"/>
        <w:tab w:val="right" w:pos="14287" w:leader="none"/>
      </w:tabs>
    </w:pPr>
  </w:style>
  <w:style w:type="character" w:styleId="655">
    <w:name w:val="页眉 字符"/>
    <w:next w:val="655"/>
    <w:link w:val="654"/>
    <w:uiPriority w:val="99"/>
    <w:qFormat/>
  </w:style>
  <w:style w:type="paragraph" w:styleId="656">
    <w:name w:val="目录 1"/>
    <w:basedOn w:val="613"/>
    <w:next w:val="613"/>
    <w:link w:val="613"/>
    <w:uiPriority w:val="39"/>
    <w:unhideWhenUsed/>
    <w:qFormat/>
    <w:pPr>
      <w:spacing w:after="57"/>
    </w:pPr>
  </w:style>
  <w:style w:type="paragraph" w:styleId="657">
    <w:name w:val="目录 4"/>
    <w:basedOn w:val="613"/>
    <w:next w:val="613"/>
    <w:link w:val="613"/>
    <w:uiPriority w:val="39"/>
    <w:unhideWhenUsed/>
    <w:qFormat/>
    <w:pPr>
      <w:ind w:left="850"/>
      <w:spacing w:after="57"/>
    </w:pPr>
  </w:style>
  <w:style w:type="paragraph" w:styleId="658">
    <w:name w:val="副标题"/>
    <w:basedOn w:val="613"/>
    <w:next w:val="613"/>
    <w:link w:val="659"/>
    <w:uiPriority w:val="11"/>
    <w:qFormat/>
    <w:pPr>
      <w:spacing w:before="200"/>
    </w:pPr>
    <w:rPr>
      <w:sz w:val="24"/>
      <w:szCs w:val="24"/>
    </w:rPr>
  </w:style>
  <w:style w:type="character" w:styleId="659">
    <w:name w:val="副标题 字符"/>
    <w:next w:val="659"/>
    <w:link w:val="658"/>
    <w:uiPriority w:val="11"/>
    <w:qFormat/>
    <w:rPr>
      <w:sz w:val="24"/>
      <w:szCs w:val="24"/>
    </w:rPr>
  </w:style>
  <w:style w:type="paragraph" w:styleId="660">
    <w:name w:val="脚注文本"/>
    <w:basedOn w:val="613"/>
    <w:next w:val="660"/>
    <w:link w:val="661"/>
    <w:uiPriority w:val="99"/>
    <w:unhideWhenUsed/>
    <w:qFormat/>
    <w:pPr>
      <w:spacing w:after="40" w:line="240" w:lineRule="auto"/>
    </w:pPr>
    <w:rPr>
      <w:sz w:val="18"/>
    </w:rPr>
  </w:style>
  <w:style w:type="character" w:styleId="661">
    <w:name w:val="脚注文本 字符"/>
    <w:next w:val="661"/>
    <w:link w:val="660"/>
    <w:uiPriority w:val="99"/>
    <w:qFormat/>
    <w:rPr>
      <w:sz w:val="18"/>
    </w:rPr>
  </w:style>
  <w:style w:type="paragraph" w:styleId="662">
    <w:name w:val="目录 6"/>
    <w:basedOn w:val="613"/>
    <w:next w:val="613"/>
    <w:link w:val="613"/>
    <w:uiPriority w:val="39"/>
    <w:unhideWhenUsed/>
    <w:qFormat/>
    <w:pPr>
      <w:ind w:left="1417"/>
      <w:spacing w:after="57"/>
    </w:pPr>
  </w:style>
  <w:style w:type="paragraph" w:styleId="663">
    <w:name w:val="图表目录"/>
    <w:basedOn w:val="613"/>
    <w:next w:val="613"/>
    <w:link w:val="613"/>
    <w:uiPriority w:val="99"/>
    <w:unhideWhenUsed/>
    <w:qFormat/>
    <w:pPr>
      <w:spacing w:after="0"/>
    </w:pPr>
  </w:style>
  <w:style w:type="paragraph" w:styleId="664">
    <w:name w:val="目录 2"/>
    <w:basedOn w:val="613"/>
    <w:next w:val="613"/>
    <w:link w:val="613"/>
    <w:uiPriority w:val="39"/>
    <w:unhideWhenUsed/>
    <w:qFormat/>
    <w:pPr>
      <w:ind w:left="283"/>
      <w:spacing w:after="57"/>
    </w:pPr>
  </w:style>
  <w:style w:type="paragraph" w:styleId="665">
    <w:name w:val="目录 9"/>
    <w:basedOn w:val="613"/>
    <w:next w:val="613"/>
    <w:link w:val="613"/>
    <w:uiPriority w:val="39"/>
    <w:unhideWhenUsed/>
    <w:qFormat/>
    <w:pPr>
      <w:ind w:left="2268"/>
      <w:spacing w:after="57"/>
    </w:pPr>
  </w:style>
  <w:style w:type="paragraph" w:styleId="666">
    <w:name w:val="普通(网站)"/>
    <w:basedOn w:val="613"/>
    <w:next w:val="666"/>
    <w:link w:val="613"/>
    <w:uiPriority w:val="99"/>
    <w:qFormat/>
    <w:pPr>
      <w:spacing w:beforeAutospacing="1" w:afterAutospacing="1"/>
    </w:pPr>
    <w:rPr>
      <w:rFonts w:cs="Times New Roman"/>
      <w:sz w:val="24"/>
    </w:rPr>
  </w:style>
  <w:style w:type="paragraph" w:styleId="667">
    <w:name w:val="索引 1"/>
    <w:basedOn w:val="613"/>
    <w:next w:val="613"/>
    <w:link w:val="613"/>
    <w:qFormat/>
  </w:style>
  <w:style w:type="paragraph" w:styleId="668">
    <w:name w:val="标题"/>
    <w:basedOn w:val="613"/>
    <w:next w:val="613"/>
    <w:link w:val="669"/>
    <w:uiPriority w:val="10"/>
    <w:qFormat/>
    <w:pPr>
      <w:contextualSpacing/>
      <w:spacing w:before="300"/>
    </w:pPr>
    <w:rPr>
      <w:sz w:val="48"/>
      <w:szCs w:val="48"/>
    </w:rPr>
  </w:style>
  <w:style w:type="character" w:styleId="669">
    <w:name w:val="标题 字符"/>
    <w:next w:val="669"/>
    <w:link w:val="668"/>
    <w:uiPriority w:val="10"/>
    <w:qFormat/>
    <w:rPr>
      <w:sz w:val="48"/>
      <w:szCs w:val="48"/>
    </w:rPr>
  </w:style>
  <w:style w:type="paragraph" w:styleId="670">
    <w:name w:val="正文首行缩进"/>
    <w:basedOn w:val="638"/>
    <w:next w:val="671"/>
    <w:link w:val="613"/>
    <w:qFormat/>
    <w:pPr>
      <w:ind w:firstLine="420"/>
    </w:pPr>
    <w:rPr>
      <w:rFonts w:eastAsia="宋体"/>
      <w:sz w:val="21"/>
    </w:rPr>
  </w:style>
  <w:style w:type="paragraph" w:styleId="671">
    <w:name w:val="正文首行缩进 2"/>
    <w:basedOn w:val="639"/>
    <w:next w:val="671"/>
    <w:link w:val="613"/>
    <w:unhideWhenUsed/>
    <w:qFormat/>
    <w:pPr>
      <w:ind w:firstLine="420"/>
    </w:pPr>
  </w:style>
  <w:style w:type="table" w:styleId="672">
    <w:name w:val="网格型"/>
    <w:basedOn w:val="624"/>
    <w:next w:val="672"/>
    <w:link w:val="613"/>
    <w:uiPriority w:val="59"/>
    <w:qFormat/>
    <w:tblPr/>
  </w:style>
  <w:style w:type="character" w:styleId="673">
    <w:name w:val="要点"/>
    <w:next w:val="673"/>
    <w:link w:val="613"/>
    <w:qFormat/>
    <w:rPr>
      <w:rFonts w:ascii="Calibri" w:hAnsi="Calibri" w:eastAsia="宋体" w:cs="Times New Roman"/>
      <w:b/>
    </w:rPr>
  </w:style>
  <w:style w:type="character" w:styleId="674">
    <w:name w:val="尾注引用"/>
    <w:next w:val="674"/>
    <w:link w:val="613"/>
    <w:uiPriority w:val="99"/>
    <w:unhideWhenUsed/>
    <w:qFormat/>
    <w:rPr>
      <w:vertAlign w:val="superscript"/>
    </w:rPr>
  </w:style>
  <w:style w:type="character" w:styleId="675">
    <w:name w:val="强调"/>
    <w:next w:val="675"/>
    <w:link w:val="613"/>
    <w:qFormat/>
    <w:rPr>
      <w:i/>
    </w:rPr>
  </w:style>
  <w:style w:type="character" w:styleId="676">
    <w:name w:val="超链接"/>
    <w:next w:val="676"/>
    <w:link w:val="613"/>
    <w:uiPriority w:val="99"/>
    <w:unhideWhenUsed/>
    <w:qFormat/>
    <w:rPr>
      <w:color w:val="0563c1"/>
      <w:u w:val="single"/>
    </w:rPr>
  </w:style>
  <w:style w:type="character" w:styleId="677">
    <w:name w:val="脚注引用"/>
    <w:next w:val="677"/>
    <w:link w:val="613"/>
    <w:uiPriority w:val="99"/>
    <w:unhideWhenUsed/>
    <w:qFormat/>
    <w:rPr>
      <w:vertAlign w:val="superscript"/>
    </w:rPr>
  </w:style>
  <w:style w:type="paragraph" w:styleId="678">
    <w:name w:val="Default"/>
    <w:next w:val="613"/>
    <w:link w:val="613"/>
    <w:qFormat/>
    <w:pPr>
      <w:ind w:firstLine="5120"/>
      <w:widowControl w:val="off"/>
    </w:pPr>
    <w:rPr>
      <w:rFonts w:ascii="Calibri" w:hAnsi="Calibri"/>
      <w:lang w:val="en-US" w:eastAsia="zh-CN" w:bidi="ar-SA"/>
    </w:rPr>
  </w:style>
  <w:style w:type="paragraph" w:styleId="679">
    <w:name w:val="首行缩进"/>
    <w:basedOn w:val="613"/>
    <w:next w:val="679"/>
    <w:link w:val="613"/>
    <w:qFormat/>
    <w:pPr>
      <w:ind w:firstLine="480"/>
    </w:pPr>
    <w:rPr>
      <w:szCs w:val="20"/>
      <w:lang w:val="zh-CN"/>
    </w:rPr>
  </w:style>
  <w:style w:type="paragraph" w:styleId="680">
    <w:name w:val="_Style 3"/>
    <w:next w:val="680"/>
    <w:link w:val="613"/>
    <w:qFormat/>
    <w:pPr>
      <w:jc w:val="both"/>
      <w:widowControl w:val="off"/>
    </w:pPr>
    <w:rPr>
      <w:rFonts w:ascii="Calibri" w:hAnsi="Calibri"/>
      <w:sz w:val="21"/>
      <w:szCs w:val="22"/>
      <w:lang w:val="en-US" w:eastAsia="zh-CN" w:bidi="ar-SA"/>
    </w:rPr>
  </w:style>
  <w:style w:type="paragraph" w:styleId="681">
    <w:name w:val="标题 21"/>
    <w:basedOn w:val="613"/>
    <w:next w:val="613"/>
    <w:link w:val="613"/>
    <w:qFormat/>
    <w:pPr>
      <w:keepLines/>
      <w:keepNext/>
      <w:spacing w:before="260" w:after="260" w:line="416" w:lineRule="auto"/>
      <w:outlineLvl w:val="1"/>
    </w:pPr>
    <w:rPr>
      <w:rFonts w:ascii="Cambria" w:hAnsi="Cambria" w:eastAsia="宋体"/>
      <w:b/>
      <w:bCs/>
      <w:sz w:val="32"/>
      <w:szCs w:val="32"/>
    </w:rPr>
  </w:style>
  <w:style w:type="paragraph" w:styleId="682">
    <w:name w:val="引用"/>
    <w:basedOn w:val="613"/>
    <w:next w:val="613"/>
    <w:link w:val="683"/>
    <w:uiPriority w:val="29"/>
    <w:qFormat/>
    <w:pPr>
      <w:ind w:left="720" w:right="720"/>
    </w:pPr>
    <w:rPr>
      <w:i/>
    </w:rPr>
  </w:style>
  <w:style w:type="character" w:styleId="683">
    <w:name w:val="引用 字符"/>
    <w:next w:val="683"/>
    <w:link w:val="682"/>
    <w:uiPriority w:val="29"/>
    <w:qFormat/>
    <w:rPr>
      <w:i/>
    </w:rPr>
  </w:style>
  <w:style w:type="paragraph" w:styleId="684">
    <w:name w:val="明显引用"/>
    <w:basedOn w:val="613"/>
    <w:next w:val="613"/>
    <w:link w:val="6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明显引用 字符"/>
    <w:next w:val="685"/>
    <w:link w:val="684"/>
    <w:uiPriority w:val="30"/>
    <w:qFormat/>
    <w:rPr>
      <w:i/>
    </w:rPr>
  </w:style>
  <w:style w:type="character" w:styleId="686">
    <w:name w:val="Footer Char"/>
    <w:next w:val="686"/>
    <w:link w:val="613"/>
    <w:uiPriority w:val="99"/>
    <w:qFormat/>
  </w:style>
  <w:style w:type="table" w:styleId="687">
    <w:name w:val="Table Grid Light"/>
    <w:basedOn w:val="624"/>
    <w:next w:val="687"/>
    <w:link w:val="613"/>
    <w:uiPriority w:val="59"/>
    <w:qFormat/>
    <w:tblPr/>
  </w:style>
  <w:style w:type="table" w:styleId="688">
    <w:name w:val="无格式表格 11"/>
    <w:basedOn w:val="624"/>
    <w:next w:val="688"/>
    <w:link w:val="613"/>
    <w:uiPriority w:val="59"/>
    <w:qFormat/>
    <w:tblPr/>
  </w:style>
  <w:style w:type="table" w:styleId="689">
    <w:name w:val="无格式表格 21"/>
    <w:basedOn w:val="624"/>
    <w:next w:val="689"/>
    <w:link w:val="613"/>
    <w:uiPriority w:val="59"/>
    <w:qFormat/>
    <w:tblPr/>
  </w:style>
  <w:style w:type="table" w:styleId="690">
    <w:name w:val="无格式表格 31"/>
    <w:basedOn w:val="624"/>
    <w:next w:val="690"/>
    <w:link w:val="613"/>
    <w:uiPriority w:val="99"/>
    <w:qFormat/>
    <w:tblPr/>
  </w:style>
  <w:style w:type="table" w:styleId="691">
    <w:name w:val="无格式表格 41"/>
    <w:basedOn w:val="624"/>
    <w:next w:val="691"/>
    <w:link w:val="613"/>
    <w:uiPriority w:val="99"/>
    <w:qFormat/>
    <w:tblPr/>
  </w:style>
  <w:style w:type="table" w:styleId="692">
    <w:name w:val="无格式表格 51"/>
    <w:basedOn w:val="624"/>
    <w:next w:val="692"/>
    <w:link w:val="613"/>
    <w:uiPriority w:val="99"/>
    <w:qFormat/>
    <w:tblPr/>
  </w:style>
  <w:style w:type="table" w:styleId="693">
    <w:name w:val="网格表 1 浅色1"/>
    <w:basedOn w:val="624"/>
    <w:next w:val="693"/>
    <w:link w:val="613"/>
    <w:uiPriority w:val="99"/>
    <w:qFormat/>
    <w:tblPr/>
  </w:style>
  <w:style w:type="table" w:styleId="694">
    <w:name w:val="Grid Table 1 Light - Accent 1"/>
    <w:basedOn w:val="624"/>
    <w:next w:val="694"/>
    <w:link w:val="613"/>
    <w:uiPriority w:val="99"/>
    <w:qFormat/>
    <w:tblPr/>
  </w:style>
  <w:style w:type="table" w:styleId="695">
    <w:name w:val="Grid Table 1 Light - Accent 2"/>
    <w:basedOn w:val="624"/>
    <w:next w:val="695"/>
    <w:link w:val="613"/>
    <w:uiPriority w:val="99"/>
    <w:qFormat/>
    <w:tblPr/>
  </w:style>
  <w:style w:type="table" w:styleId="696">
    <w:name w:val="Grid Table 1 Light - Accent 3"/>
    <w:basedOn w:val="624"/>
    <w:next w:val="696"/>
    <w:link w:val="613"/>
    <w:uiPriority w:val="99"/>
    <w:qFormat/>
    <w:tblPr/>
  </w:style>
  <w:style w:type="table" w:styleId="697">
    <w:name w:val="Grid Table 1 Light - Accent 4"/>
    <w:basedOn w:val="624"/>
    <w:next w:val="697"/>
    <w:link w:val="613"/>
    <w:uiPriority w:val="99"/>
    <w:qFormat/>
    <w:tblPr/>
  </w:style>
  <w:style w:type="table" w:styleId="698">
    <w:name w:val="Grid Table 1 Light - Accent 5"/>
    <w:basedOn w:val="624"/>
    <w:next w:val="698"/>
    <w:link w:val="613"/>
    <w:uiPriority w:val="99"/>
    <w:qFormat/>
    <w:tblPr/>
  </w:style>
  <w:style w:type="table" w:styleId="699">
    <w:name w:val="Grid Table 1 Light - Accent 6"/>
    <w:basedOn w:val="624"/>
    <w:next w:val="699"/>
    <w:link w:val="613"/>
    <w:uiPriority w:val="99"/>
    <w:qFormat/>
    <w:tblPr/>
  </w:style>
  <w:style w:type="table" w:styleId="700">
    <w:name w:val="网格表 21"/>
    <w:basedOn w:val="624"/>
    <w:next w:val="700"/>
    <w:link w:val="613"/>
    <w:uiPriority w:val="99"/>
    <w:qFormat/>
    <w:tblPr/>
  </w:style>
  <w:style w:type="table" w:styleId="701">
    <w:name w:val="Grid Table 2 - Accent 1"/>
    <w:basedOn w:val="624"/>
    <w:next w:val="701"/>
    <w:link w:val="613"/>
    <w:uiPriority w:val="99"/>
    <w:qFormat/>
    <w:tblPr/>
  </w:style>
  <w:style w:type="table" w:styleId="702">
    <w:name w:val="Grid Table 2 - Accent 2"/>
    <w:basedOn w:val="624"/>
    <w:next w:val="702"/>
    <w:link w:val="613"/>
    <w:uiPriority w:val="99"/>
    <w:qFormat/>
    <w:tblPr/>
  </w:style>
  <w:style w:type="table" w:styleId="703">
    <w:name w:val="Grid Table 2 - Accent 3"/>
    <w:basedOn w:val="624"/>
    <w:next w:val="703"/>
    <w:link w:val="613"/>
    <w:uiPriority w:val="99"/>
    <w:qFormat/>
    <w:tblPr/>
  </w:style>
  <w:style w:type="table" w:styleId="704">
    <w:name w:val="Grid Table 2 - Accent 4"/>
    <w:basedOn w:val="624"/>
    <w:next w:val="704"/>
    <w:link w:val="613"/>
    <w:uiPriority w:val="99"/>
    <w:qFormat/>
    <w:tblPr/>
  </w:style>
  <w:style w:type="table" w:styleId="705">
    <w:name w:val="Grid Table 2 - Accent 5"/>
    <w:basedOn w:val="624"/>
    <w:next w:val="705"/>
    <w:link w:val="613"/>
    <w:uiPriority w:val="99"/>
    <w:qFormat/>
    <w:tblPr/>
  </w:style>
  <w:style w:type="table" w:styleId="706">
    <w:name w:val="Grid Table 2 - Accent 6"/>
    <w:basedOn w:val="624"/>
    <w:next w:val="706"/>
    <w:link w:val="613"/>
    <w:uiPriority w:val="99"/>
    <w:qFormat/>
    <w:tblPr/>
  </w:style>
  <w:style w:type="table" w:styleId="707">
    <w:name w:val="网格表 31"/>
    <w:basedOn w:val="624"/>
    <w:next w:val="707"/>
    <w:link w:val="613"/>
    <w:uiPriority w:val="99"/>
    <w:qFormat/>
    <w:tblPr/>
  </w:style>
  <w:style w:type="table" w:styleId="708">
    <w:name w:val="Grid Table 3 - Accent 1"/>
    <w:basedOn w:val="624"/>
    <w:next w:val="708"/>
    <w:link w:val="613"/>
    <w:uiPriority w:val="99"/>
    <w:qFormat/>
    <w:tblPr/>
  </w:style>
  <w:style w:type="table" w:styleId="709">
    <w:name w:val="Grid Table 3 - Accent 2"/>
    <w:basedOn w:val="624"/>
    <w:next w:val="709"/>
    <w:link w:val="613"/>
    <w:uiPriority w:val="99"/>
    <w:qFormat/>
    <w:tblPr/>
  </w:style>
  <w:style w:type="table" w:styleId="710">
    <w:name w:val="Grid Table 3 - Accent 3"/>
    <w:basedOn w:val="624"/>
    <w:next w:val="710"/>
    <w:link w:val="613"/>
    <w:uiPriority w:val="99"/>
    <w:qFormat/>
    <w:tblPr/>
  </w:style>
  <w:style w:type="table" w:styleId="711">
    <w:name w:val="Grid Table 3 - Accent 4"/>
    <w:basedOn w:val="624"/>
    <w:next w:val="711"/>
    <w:link w:val="613"/>
    <w:uiPriority w:val="99"/>
    <w:qFormat/>
    <w:tblPr/>
  </w:style>
  <w:style w:type="table" w:styleId="712">
    <w:name w:val="Grid Table 3 - Accent 5"/>
    <w:basedOn w:val="624"/>
    <w:next w:val="712"/>
    <w:link w:val="613"/>
    <w:uiPriority w:val="99"/>
    <w:qFormat/>
    <w:tblPr/>
  </w:style>
  <w:style w:type="table" w:styleId="713">
    <w:name w:val="Grid Table 3 - Accent 6"/>
    <w:basedOn w:val="624"/>
    <w:next w:val="713"/>
    <w:link w:val="613"/>
    <w:uiPriority w:val="99"/>
    <w:qFormat/>
    <w:tblPr/>
  </w:style>
  <w:style w:type="table" w:styleId="714">
    <w:name w:val="网格表 41"/>
    <w:basedOn w:val="624"/>
    <w:next w:val="714"/>
    <w:link w:val="613"/>
    <w:uiPriority w:val="59"/>
    <w:qFormat/>
    <w:tblPr/>
  </w:style>
  <w:style w:type="table" w:styleId="715">
    <w:name w:val="Grid Table 4 - Accent 1"/>
    <w:basedOn w:val="624"/>
    <w:next w:val="715"/>
    <w:link w:val="613"/>
    <w:uiPriority w:val="59"/>
    <w:qFormat/>
    <w:tblPr/>
  </w:style>
  <w:style w:type="table" w:styleId="716">
    <w:name w:val="Grid Table 4 - Accent 2"/>
    <w:basedOn w:val="624"/>
    <w:next w:val="716"/>
    <w:link w:val="613"/>
    <w:uiPriority w:val="59"/>
    <w:qFormat/>
    <w:tblPr/>
  </w:style>
  <w:style w:type="table" w:styleId="717">
    <w:name w:val="Grid Table 4 - Accent 3"/>
    <w:basedOn w:val="624"/>
    <w:next w:val="717"/>
    <w:link w:val="613"/>
    <w:uiPriority w:val="59"/>
    <w:qFormat/>
    <w:tblPr/>
  </w:style>
  <w:style w:type="table" w:styleId="718">
    <w:name w:val="Grid Table 4 - Accent 4"/>
    <w:basedOn w:val="624"/>
    <w:next w:val="718"/>
    <w:link w:val="613"/>
    <w:uiPriority w:val="59"/>
    <w:qFormat/>
    <w:tblPr/>
  </w:style>
  <w:style w:type="table" w:styleId="719">
    <w:name w:val="Grid Table 4 - Accent 5"/>
    <w:basedOn w:val="624"/>
    <w:next w:val="719"/>
    <w:link w:val="613"/>
    <w:uiPriority w:val="59"/>
    <w:qFormat/>
    <w:tblPr/>
  </w:style>
  <w:style w:type="table" w:styleId="720">
    <w:name w:val="Grid Table 4 - Accent 6"/>
    <w:basedOn w:val="624"/>
    <w:next w:val="720"/>
    <w:link w:val="613"/>
    <w:uiPriority w:val="59"/>
    <w:qFormat/>
    <w:tblPr/>
  </w:style>
  <w:style w:type="table" w:styleId="721">
    <w:name w:val="网格表 5 深色1"/>
    <w:basedOn w:val="624"/>
    <w:next w:val="721"/>
    <w:link w:val="613"/>
    <w:uiPriority w:val="99"/>
    <w:qFormat/>
    <w:tblPr/>
  </w:style>
  <w:style w:type="table" w:styleId="722">
    <w:name w:val="Grid Table 5 Dark- Accent 1"/>
    <w:basedOn w:val="624"/>
    <w:next w:val="722"/>
    <w:link w:val="613"/>
    <w:uiPriority w:val="99"/>
    <w:qFormat/>
    <w:tblPr/>
  </w:style>
  <w:style w:type="table" w:styleId="723">
    <w:name w:val="Grid Table 5 Dark - Accent 2"/>
    <w:basedOn w:val="624"/>
    <w:next w:val="723"/>
    <w:link w:val="613"/>
    <w:uiPriority w:val="99"/>
    <w:qFormat/>
    <w:tblPr/>
  </w:style>
  <w:style w:type="table" w:styleId="724">
    <w:name w:val="Grid Table 5 Dark - Accent 3"/>
    <w:basedOn w:val="624"/>
    <w:next w:val="724"/>
    <w:link w:val="613"/>
    <w:uiPriority w:val="99"/>
    <w:qFormat/>
    <w:tblPr/>
  </w:style>
  <w:style w:type="table" w:styleId="725">
    <w:name w:val="Grid Table 5 Dark- Accent 4"/>
    <w:basedOn w:val="624"/>
    <w:next w:val="725"/>
    <w:link w:val="613"/>
    <w:uiPriority w:val="99"/>
    <w:qFormat/>
    <w:tblPr/>
  </w:style>
  <w:style w:type="table" w:styleId="726">
    <w:name w:val="Grid Table 5 Dark - Accent 5"/>
    <w:basedOn w:val="624"/>
    <w:next w:val="726"/>
    <w:link w:val="613"/>
    <w:uiPriority w:val="99"/>
    <w:qFormat/>
    <w:tblPr/>
  </w:style>
  <w:style w:type="table" w:styleId="727">
    <w:name w:val="Grid Table 5 Dark - Accent 6"/>
    <w:basedOn w:val="624"/>
    <w:next w:val="727"/>
    <w:link w:val="613"/>
    <w:uiPriority w:val="99"/>
    <w:qFormat/>
    <w:tblPr/>
  </w:style>
  <w:style w:type="table" w:styleId="728">
    <w:name w:val="网格表 6 彩色1"/>
    <w:basedOn w:val="624"/>
    <w:next w:val="728"/>
    <w:link w:val="613"/>
    <w:uiPriority w:val="99"/>
    <w:qFormat/>
    <w:tblPr/>
  </w:style>
  <w:style w:type="table" w:styleId="729">
    <w:name w:val="Grid Table 6 Colorful - Accent 1"/>
    <w:basedOn w:val="624"/>
    <w:next w:val="729"/>
    <w:link w:val="613"/>
    <w:uiPriority w:val="99"/>
    <w:qFormat/>
    <w:tblPr/>
  </w:style>
  <w:style w:type="table" w:styleId="730">
    <w:name w:val="Grid Table 6 Colorful - Accent 2"/>
    <w:basedOn w:val="624"/>
    <w:next w:val="730"/>
    <w:link w:val="613"/>
    <w:uiPriority w:val="99"/>
    <w:qFormat/>
    <w:tblPr/>
  </w:style>
  <w:style w:type="table" w:styleId="731">
    <w:name w:val="Grid Table 6 Colorful - Accent 3"/>
    <w:basedOn w:val="624"/>
    <w:next w:val="731"/>
    <w:link w:val="613"/>
    <w:uiPriority w:val="99"/>
    <w:qFormat/>
    <w:tblPr/>
  </w:style>
  <w:style w:type="table" w:styleId="732">
    <w:name w:val="Grid Table 6 Colorful - Accent 4"/>
    <w:basedOn w:val="624"/>
    <w:next w:val="732"/>
    <w:link w:val="613"/>
    <w:uiPriority w:val="99"/>
    <w:qFormat/>
    <w:tblPr/>
  </w:style>
  <w:style w:type="table" w:styleId="733">
    <w:name w:val="Grid Table 6 Colorful - Accent 5"/>
    <w:basedOn w:val="624"/>
    <w:next w:val="733"/>
    <w:link w:val="613"/>
    <w:uiPriority w:val="99"/>
    <w:qFormat/>
    <w:tblPr/>
  </w:style>
  <w:style w:type="table" w:styleId="734">
    <w:name w:val="Grid Table 6 Colorful - Accent 6"/>
    <w:basedOn w:val="624"/>
    <w:next w:val="734"/>
    <w:link w:val="613"/>
    <w:uiPriority w:val="99"/>
    <w:qFormat/>
    <w:tblPr/>
  </w:style>
  <w:style w:type="table" w:styleId="735">
    <w:name w:val="网格表 7 彩色1"/>
    <w:basedOn w:val="624"/>
    <w:next w:val="735"/>
    <w:link w:val="613"/>
    <w:uiPriority w:val="99"/>
    <w:qFormat/>
    <w:tblPr/>
  </w:style>
  <w:style w:type="table" w:styleId="736">
    <w:name w:val="Grid Table 7 Colorful - Accent 1"/>
    <w:basedOn w:val="624"/>
    <w:next w:val="736"/>
    <w:link w:val="613"/>
    <w:uiPriority w:val="99"/>
    <w:qFormat/>
    <w:tblPr/>
  </w:style>
  <w:style w:type="table" w:styleId="737">
    <w:name w:val="Grid Table 7 Colorful - Accent 2"/>
    <w:basedOn w:val="624"/>
    <w:next w:val="737"/>
    <w:link w:val="613"/>
    <w:uiPriority w:val="99"/>
    <w:qFormat/>
    <w:tblPr/>
  </w:style>
  <w:style w:type="table" w:styleId="738">
    <w:name w:val="Grid Table 7 Colorful - Accent 3"/>
    <w:basedOn w:val="624"/>
    <w:next w:val="738"/>
    <w:link w:val="613"/>
    <w:uiPriority w:val="99"/>
    <w:qFormat/>
    <w:tblPr/>
  </w:style>
  <w:style w:type="table" w:styleId="739">
    <w:name w:val="Grid Table 7 Colorful - Accent 4"/>
    <w:basedOn w:val="624"/>
    <w:next w:val="739"/>
    <w:link w:val="613"/>
    <w:uiPriority w:val="99"/>
    <w:qFormat/>
    <w:tblPr/>
  </w:style>
  <w:style w:type="table" w:styleId="740">
    <w:name w:val="Grid Table 7 Colorful - Accent 5"/>
    <w:basedOn w:val="624"/>
    <w:next w:val="740"/>
    <w:link w:val="613"/>
    <w:uiPriority w:val="99"/>
    <w:qFormat/>
    <w:tblPr/>
  </w:style>
  <w:style w:type="table" w:styleId="741">
    <w:name w:val="Grid Table 7 Colorful - Accent 6"/>
    <w:basedOn w:val="624"/>
    <w:next w:val="741"/>
    <w:link w:val="613"/>
    <w:uiPriority w:val="99"/>
    <w:qFormat/>
    <w:tblPr/>
  </w:style>
  <w:style w:type="table" w:styleId="742">
    <w:name w:val="清单表 1 浅色1"/>
    <w:basedOn w:val="624"/>
    <w:next w:val="742"/>
    <w:link w:val="613"/>
    <w:uiPriority w:val="99"/>
    <w:qFormat/>
    <w:tblPr/>
  </w:style>
  <w:style w:type="table" w:styleId="743">
    <w:name w:val="List Table 1 Light - Accent 1"/>
    <w:basedOn w:val="624"/>
    <w:next w:val="743"/>
    <w:link w:val="613"/>
    <w:uiPriority w:val="99"/>
    <w:qFormat/>
    <w:tblPr/>
  </w:style>
  <w:style w:type="table" w:styleId="744">
    <w:name w:val="List Table 1 Light - Accent 2"/>
    <w:basedOn w:val="624"/>
    <w:next w:val="744"/>
    <w:link w:val="613"/>
    <w:uiPriority w:val="99"/>
    <w:qFormat/>
    <w:tblPr/>
  </w:style>
  <w:style w:type="table" w:styleId="745">
    <w:name w:val="List Table 1 Light - Accent 3"/>
    <w:basedOn w:val="624"/>
    <w:next w:val="745"/>
    <w:link w:val="613"/>
    <w:uiPriority w:val="99"/>
    <w:qFormat/>
    <w:tblPr/>
  </w:style>
  <w:style w:type="table" w:styleId="746">
    <w:name w:val="List Table 1 Light - Accent 4"/>
    <w:basedOn w:val="624"/>
    <w:next w:val="746"/>
    <w:link w:val="613"/>
    <w:uiPriority w:val="99"/>
    <w:qFormat/>
    <w:tblPr/>
  </w:style>
  <w:style w:type="table" w:styleId="747">
    <w:name w:val="List Table 1 Light - Accent 5"/>
    <w:basedOn w:val="624"/>
    <w:next w:val="747"/>
    <w:link w:val="613"/>
    <w:uiPriority w:val="99"/>
    <w:qFormat/>
    <w:tblPr/>
  </w:style>
  <w:style w:type="table" w:styleId="748">
    <w:name w:val="List Table 1 Light - Accent 6"/>
    <w:basedOn w:val="624"/>
    <w:next w:val="748"/>
    <w:link w:val="613"/>
    <w:uiPriority w:val="99"/>
    <w:qFormat/>
    <w:tblPr/>
  </w:style>
  <w:style w:type="table" w:styleId="749">
    <w:name w:val="清单表 21"/>
    <w:basedOn w:val="624"/>
    <w:next w:val="749"/>
    <w:link w:val="613"/>
    <w:uiPriority w:val="99"/>
    <w:qFormat/>
    <w:tblPr/>
  </w:style>
  <w:style w:type="table" w:styleId="750">
    <w:name w:val="List Table 2 - Accent 1"/>
    <w:basedOn w:val="624"/>
    <w:next w:val="750"/>
    <w:link w:val="613"/>
    <w:uiPriority w:val="99"/>
    <w:qFormat/>
    <w:tblPr/>
  </w:style>
  <w:style w:type="table" w:styleId="751">
    <w:name w:val="List Table 2 - Accent 2"/>
    <w:basedOn w:val="624"/>
    <w:next w:val="751"/>
    <w:link w:val="613"/>
    <w:uiPriority w:val="99"/>
    <w:qFormat/>
    <w:tblPr/>
  </w:style>
  <w:style w:type="table" w:styleId="752">
    <w:name w:val="List Table 2 - Accent 3"/>
    <w:basedOn w:val="624"/>
    <w:next w:val="752"/>
    <w:link w:val="613"/>
    <w:uiPriority w:val="99"/>
    <w:qFormat/>
    <w:tblPr/>
  </w:style>
  <w:style w:type="table" w:styleId="753">
    <w:name w:val="List Table 2 - Accent 4"/>
    <w:basedOn w:val="624"/>
    <w:next w:val="753"/>
    <w:link w:val="613"/>
    <w:uiPriority w:val="99"/>
    <w:qFormat/>
    <w:tblPr/>
  </w:style>
  <w:style w:type="table" w:styleId="754">
    <w:name w:val="List Table 2 - Accent 5"/>
    <w:basedOn w:val="624"/>
    <w:next w:val="754"/>
    <w:link w:val="613"/>
    <w:uiPriority w:val="99"/>
    <w:qFormat/>
    <w:tblPr/>
  </w:style>
  <w:style w:type="table" w:styleId="755">
    <w:name w:val="List Table 2 - Accent 6"/>
    <w:basedOn w:val="624"/>
    <w:next w:val="755"/>
    <w:link w:val="613"/>
    <w:uiPriority w:val="99"/>
    <w:qFormat/>
    <w:tblPr/>
  </w:style>
  <w:style w:type="table" w:styleId="756">
    <w:name w:val="清单表 31"/>
    <w:basedOn w:val="624"/>
    <w:next w:val="756"/>
    <w:link w:val="613"/>
    <w:uiPriority w:val="99"/>
    <w:qFormat/>
    <w:tblPr/>
  </w:style>
  <w:style w:type="table" w:styleId="757">
    <w:name w:val="List Table 3 - Accent 1"/>
    <w:basedOn w:val="624"/>
    <w:next w:val="757"/>
    <w:link w:val="613"/>
    <w:uiPriority w:val="99"/>
    <w:qFormat/>
    <w:tblPr/>
  </w:style>
  <w:style w:type="table" w:styleId="758">
    <w:name w:val="List Table 3 - Accent 2"/>
    <w:basedOn w:val="624"/>
    <w:next w:val="758"/>
    <w:link w:val="613"/>
    <w:uiPriority w:val="99"/>
    <w:qFormat/>
    <w:tblPr/>
  </w:style>
  <w:style w:type="table" w:styleId="759">
    <w:name w:val="List Table 3 - Accent 3"/>
    <w:basedOn w:val="624"/>
    <w:next w:val="759"/>
    <w:link w:val="613"/>
    <w:uiPriority w:val="99"/>
    <w:qFormat/>
    <w:tblPr/>
  </w:style>
  <w:style w:type="table" w:styleId="760">
    <w:name w:val="List Table 3 - Accent 4"/>
    <w:basedOn w:val="624"/>
    <w:next w:val="760"/>
    <w:link w:val="613"/>
    <w:uiPriority w:val="99"/>
    <w:qFormat/>
    <w:tblPr/>
  </w:style>
  <w:style w:type="table" w:styleId="761">
    <w:name w:val="List Table 3 - Accent 5"/>
    <w:basedOn w:val="624"/>
    <w:next w:val="761"/>
    <w:link w:val="613"/>
    <w:uiPriority w:val="99"/>
    <w:qFormat/>
    <w:tblPr/>
  </w:style>
  <w:style w:type="table" w:styleId="762">
    <w:name w:val="List Table 3 - Accent 6"/>
    <w:basedOn w:val="624"/>
    <w:next w:val="762"/>
    <w:link w:val="613"/>
    <w:uiPriority w:val="99"/>
    <w:qFormat/>
    <w:tblPr/>
  </w:style>
  <w:style w:type="table" w:styleId="763">
    <w:name w:val="清单表 41"/>
    <w:basedOn w:val="624"/>
    <w:next w:val="763"/>
    <w:link w:val="613"/>
    <w:uiPriority w:val="99"/>
    <w:qFormat/>
    <w:tblPr/>
  </w:style>
  <w:style w:type="table" w:styleId="764">
    <w:name w:val="List Table 4 - Accent 1"/>
    <w:basedOn w:val="624"/>
    <w:next w:val="764"/>
    <w:link w:val="613"/>
    <w:uiPriority w:val="99"/>
    <w:qFormat/>
    <w:tblPr/>
  </w:style>
  <w:style w:type="table" w:styleId="765">
    <w:name w:val="List Table 4 - Accent 2"/>
    <w:basedOn w:val="624"/>
    <w:next w:val="765"/>
    <w:link w:val="613"/>
    <w:uiPriority w:val="99"/>
    <w:qFormat/>
    <w:tblPr/>
  </w:style>
  <w:style w:type="table" w:styleId="766">
    <w:name w:val="List Table 4 - Accent 3"/>
    <w:basedOn w:val="624"/>
    <w:next w:val="766"/>
    <w:link w:val="613"/>
    <w:uiPriority w:val="99"/>
    <w:qFormat/>
    <w:tblPr/>
  </w:style>
  <w:style w:type="table" w:styleId="767">
    <w:name w:val="List Table 4 - Accent 4"/>
    <w:basedOn w:val="624"/>
    <w:next w:val="767"/>
    <w:link w:val="613"/>
    <w:uiPriority w:val="99"/>
    <w:qFormat/>
    <w:tblPr/>
  </w:style>
  <w:style w:type="table" w:styleId="768">
    <w:name w:val="List Table 4 - Accent 5"/>
    <w:basedOn w:val="624"/>
    <w:next w:val="768"/>
    <w:link w:val="613"/>
    <w:uiPriority w:val="99"/>
    <w:qFormat/>
    <w:tblPr/>
  </w:style>
  <w:style w:type="table" w:styleId="769">
    <w:name w:val="List Table 4 - Accent 6"/>
    <w:basedOn w:val="624"/>
    <w:next w:val="769"/>
    <w:link w:val="613"/>
    <w:uiPriority w:val="99"/>
    <w:qFormat/>
    <w:tblPr/>
  </w:style>
  <w:style w:type="table" w:styleId="770">
    <w:name w:val="清单表 5 深色1"/>
    <w:basedOn w:val="624"/>
    <w:next w:val="770"/>
    <w:link w:val="613"/>
    <w:uiPriority w:val="99"/>
    <w:qFormat/>
    <w:tblPr/>
  </w:style>
  <w:style w:type="table" w:styleId="771">
    <w:name w:val="List Table 5 Dark - Accent 1"/>
    <w:basedOn w:val="624"/>
    <w:next w:val="771"/>
    <w:link w:val="613"/>
    <w:uiPriority w:val="99"/>
    <w:qFormat/>
    <w:tblPr/>
  </w:style>
  <w:style w:type="table" w:styleId="772">
    <w:name w:val="List Table 5 Dark - Accent 2"/>
    <w:basedOn w:val="624"/>
    <w:next w:val="772"/>
    <w:link w:val="613"/>
    <w:uiPriority w:val="99"/>
    <w:qFormat/>
    <w:tblPr/>
  </w:style>
  <w:style w:type="table" w:styleId="773">
    <w:name w:val="List Table 5 Dark - Accent 3"/>
    <w:basedOn w:val="624"/>
    <w:next w:val="773"/>
    <w:link w:val="613"/>
    <w:uiPriority w:val="99"/>
    <w:qFormat/>
    <w:tblPr/>
  </w:style>
  <w:style w:type="table" w:styleId="774">
    <w:name w:val="List Table 5 Dark - Accent 4"/>
    <w:basedOn w:val="624"/>
    <w:next w:val="774"/>
    <w:link w:val="613"/>
    <w:uiPriority w:val="99"/>
    <w:qFormat/>
    <w:tblPr/>
  </w:style>
  <w:style w:type="table" w:styleId="775">
    <w:name w:val="List Table 5 Dark - Accent 5"/>
    <w:basedOn w:val="624"/>
    <w:next w:val="775"/>
    <w:link w:val="613"/>
    <w:uiPriority w:val="99"/>
    <w:qFormat/>
    <w:tblPr/>
  </w:style>
  <w:style w:type="table" w:styleId="776">
    <w:name w:val="List Table 5 Dark - Accent 6"/>
    <w:basedOn w:val="624"/>
    <w:next w:val="776"/>
    <w:link w:val="613"/>
    <w:uiPriority w:val="99"/>
    <w:qFormat/>
    <w:tblPr/>
  </w:style>
  <w:style w:type="table" w:styleId="777">
    <w:name w:val="清单表 6 彩色1"/>
    <w:basedOn w:val="624"/>
    <w:next w:val="777"/>
    <w:link w:val="613"/>
    <w:uiPriority w:val="99"/>
    <w:qFormat/>
    <w:tblPr/>
  </w:style>
  <w:style w:type="table" w:styleId="778">
    <w:name w:val="List Table 6 Colorful - Accent 1"/>
    <w:basedOn w:val="624"/>
    <w:next w:val="778"/>
    <w:link w:val="613"/>
    <w:uiPriority w:val="99"/>
    <w:qFormat/>
    <w:tblPr/>
  </w:style>
  <w:style w:type="table" w:styleId="779">
    <w:name w:val="List Table 6 Colorful - Accent 2"/>
    <w:basedOn w:val="624"/>
    <w:next w:val="779"/>
    <w:link w:val="613"/>
    <w:uiPriority w:val="99"/>
    <w:qFormat/>
    <w:tblPr/>
  </w:style>
  <w:style w:type="table" w:styleId="780">
    <w:name w:val="List Table 6 Colorful - Accent 3"/>
    <w:basedOn w:val="624"/>
    <w:next w:val="780"/>
    <w:link w:val="613"/>
    <w:uiPriority w:val="99"/>
    <w:qFormat/>
    <w:tblPr/>
  </w:style>
  <w:style w:type="table" w:styleId="781">
    <w:name w:val="List Table 6 Colorful - Accent 4"/>
    <w:basedOn w:val="624"/>
    <w:next w:val="781"/>
    <w:link w:val="613"/>
    <w:uiPriority w:val="99"/>
    <w:qFormat/>
    <w:tblPr/>
  </w:style>
  <w:style w:type="table" w:styleId="782">
    <w:name w:val="List Table 6 Colorful - Accent 5"/>
    <w:basedOn w:val="624"/>
    <w:next w:val="782"/>
    <w:link w:val="613"/>
    <w:uiPriority w:val="99"/>
    <w:qFormat/>
    <w:tblPr/>
  </w:style>
  <w:style w:type="table" w:styleId="783">
    <w:name w:val="List Table 6 Colorful - Accent 6"/>
    <w:basedOn w:val="624"/>
    <w:next w:val="783"/>
    <w:link w:val="613"/>
    <w:uiPriority w:val="99"/>
    <w:qFormat/>
    <w:tblPr/>
  </w:style>
  <w:style w:type="table" w:styleId="784">
    <w:name w:val="清单表 7 彩色1"/>
    <w:basedOn w:val="624"/>
    <w:next w:val="784"/>
    <w:link w:val="613"/>
    <w:uiPriority w:val="99"/>
    <w:qFormat/>
    <w:tblPr/>
  </w:style>
  <w:style w:type="table" w:styleId="785">
    <w:name w:val="List Table 7 Colorful - Accent 1"/>
    <w:basedOn w:val="624"/>
    <w:next w:val="785"/>
    <w:link w:val="613"/>
    <w:uiPriority w:val="99"/>
    <w:qFormat/>
    <w:tblPr/>
  </w:style>
  <w:style w:type="table" w:styleId="786">
    <w:name w:val="List Table 7 Colorful - Accent 2"/>
    <w:basedOn w:val="624"/>
    <w:next w:val="786"/>
    <w:link w:val="613"/>
    <w:uiPriority w:val="99"/>
    <w:qFormat/>
    <w:tblPr/>
  </w:style>
  <w:style w:type="table" w:styleId="787">
    <w:name w:val="List Table 7 Colorful - Accent 3"/>
    <w:basedOn w:val="624"/>
    <w:next w:val="787"/>
    <w:link w:val="613"/>
    <w:uiPriority w:val="99"/>
    <w:qFormat/>
    <w:tblPr/>
  </w:style>
  <w:style w:type="table" w:styleId="788">
    <w:name w:val="List Table 7 Colorful - Accent 4"/>
    <w:basedOn w:val="624"/>
    <w:next w:val="788"/>
    <w:link w:val="613"/>
    <w:uiPriority w:val="99"/>
    <w:qFormat/>
    <w:tblPr/>
  </w:style>
  <w:style w:type="table" w:styleId="789">
    <w:name w:val="List Table 7 Colorful - Accent 5"/>
    <w:basedOn w:val="624"/>
    <w:next w:val="789"/>
    <w:link w:val="613"/>
    <w:uiPriority w:val="99"/>
    <w:qFormat/>
    <w:tblPr/>
  </w:style>
  <w:style w:type="table" w:styleId="790">
    <w:name w:val="List Table 7 Colorful - Accent 6"/>
    <w:basedOn w:val="624"/>
    <w:next w:val="790"/>
    <w:link w:val="613"/>
    <w:uiPriority w:val="99"/>
    <w:qFormat/>
    <w:tblPr/>
  </w:style>
  <w:style w:type="table" w:styleId="791">
    <w:name w:val="Lined - Accent"/>
    <w:basedOn w:val="624"/>
    <w:next w:val="791"/>
    <w:link w:val="613"/>
    <w:uiPriority w:val="99"/>
    <w:qFormat/>
    <w:rPr>
      <w:color w:val="404040"/>
    </w:rPr>
    <w:tblPr/>
  </w:style>
  <w:style w:type="table" w:styleId="792">
    <w:name w:val="Lined - Accent 1"/>
    <w:basedOn w:val="624"/>
    <w:next w:val="792"/>
    <w:link w:val="613"/>
    <w:uiPriority w:val="99"/>
    <w:qFormat/>
    <w:rPr>
      <w:color w:val="404040"/>
    </w:rPr>
    <w:tblPr/>
  </w:style>
  <w:style w:type="table" w:styleId="793">
    <w:name w:val="Lined - Accent 2"/>
    <w:basedOn w:val="624"/>
    <w:next w:val="793"/>
    <w:link w:val="613"/>
    <w:uiPriority w:val="99"/>
    <w:qFormat/>
    <w:rPr>
      <w:color w:val="404040"/>
    </w:rPr>
    <w:tblPr/>
  </w:style>
  <w:style w:type="table" w:styleId="794">
    <w:name w:val="Lined - Accent 3"/>
    <w:basedOn w:val="624"/>
    <w:next w:val="794"/>
    <w:link w:val="613"/>
    <w:uiPriority w:val="99"/>
    <w:qFormat/>
    <w:rPr>
      <w:color w:val="404040"/>
    </w:rPr>
    <w:tblPr/>
  </w:style>
  <w:style w:type="table" w:styleId="795">
    <w:name w:val="Lined - Accent 4"/>
    <w:basedOn w:val="624"/>
    <w:next w:val="795"/>
    <w:link w:val="613"/>
    <w:uiPriority w:val="99"/>
    <w:qFormat/>
    <w:rPr>
      <w:color w:val="404040"/>
    </w:rPr>
    <w:tblPr/>
  </w:style>
  <w:style w:type="table" w:styleId="796">
    <w:name w:val="Lined - Accent 5"/>
    <w:basedOn w:val="624"/>
    <w:next w:val="796"/>
    <w:link w:val="613"/>
    <w:uiPriority w:val="99"/>
    <w:qFormat/>
    <w:rPr>
      <w:color w:val="404040"/>
    </w:rPr>
    <w:tblPr/>
  </w:style>
  <w:style w:type="table" w:styleId="797">
    <w:name w:val="Lined - Accent 6"/>
    <w:basedOn w:val="624"/>
    <w:next w:val="797"/>
    <w:link w:val="613"/>
    <w:uiPriority w:val="99"/>
    <w:qFormat/>
    <w:rPr>
      <w:color w:val="404040"/>
    </w:rPr>
    <w:tblPr/>
  </w:style>
  <w:style w:type="table" w:styleId="798">
    <w:name w:val="Bordered &amp; Lined - Accent"/>
    <w:basedOn w:val="624"/>
    <w:next w:val="798"/>
    <w:link w:val="613"/>
    <w:uiPriority w:val="99"/>
    <w:qFormat/>
    <w:rPr>
      <w:color w:val="404040"/>
    </w:rPr>
    <w:tblPr/>
  </w:style>
  <w:style w:type="table" w:styleId="799">
    <w:name w:val="Bordered &amp; Lined - Accent 1"/>
    <w:basedOn w:val="624"/>
    <w:next w:val="799"/>
    <w:link w:val="613"/>
    <w:uiPriority w:val="99"/>
    <w:qFormat/>
    <w:rPr>
      <w:color w:val="404040"/>
    </w:rPr>
    <w:tblPr/>
  </w:style>
  <w:style w:type="table" w:styleId="800">
    <w:name w:val="Bordered &amp; Lined - Accent 2"/>
    <w:basedOn w:val="624"/>
    <w:next w:val="800"/>
    <w:link w:val="613"/>
    <w:uiPriority w:val="99"/>
    <w:qFormat/>
    <w:rPr>
      <w:color w:val="404040"/>
    </w:rPr>
    <w:tblPr/>
  </w:style>
  <w:style w:type="table" w:styleId="801">
    <w:name w:val="Bordered &amp; Lined - Accent 3"/>
    <w:basedOn w:val="624"/>
    <w:next w:val="801"/>
    <w:link w:val="613"/>
    <w:uiPriority w:val="99"/>
    <w:qFormat/>
    <w:rPr>
      <w:color w:val="404040"/>
    </w:rPr>
    <w:tblPr/>
  </w:style>
  <w:style w:type="table" w:styleId="802">
    <w:name w:val="Bordered &amp; Lined - Accent 4"/>
    <w:basedOn w:val="624"/>
    <w:next w:val="802"/>
    <w:link w:val="613"/>
    <w:uiPriority w:val="99"/>
    <w:qFormat/>
    <w:rPr>
      <w:color w:val="404040"/>
    </w:rPr>
    <w:tblPr/>
  </w:style>
  <w:style w:type="table" w:styleId="803">
    <w:name w:val="Bordered &amp; Lined - Accent 5"/>
    <w:basedOn w:val="624"/>
    <w:next w:val="803"/>
    <w:link w:val="613"/>
    <w:uiPriority w:val="99"/>
    <w:qFormat/>
    <w:rPr>
      <w:color w:val="404040"/>
    </w:rPr>
    <w:tblPr/>
  </w:style>
  <w:style w:type="table" w:styleId="804">
    <w:name w:val="Bordered &amp; Lined - Accent 6"/>
    <w:basedOn w:val="624"/>
    <w:next w:val="804"/>
    <w:link w:val="613"/>
    <w:uiPriority w:val="99"/>
    <w:qFormat/>
    <w:rPr>
      <w:color w:val="404040"/>
    </w:rPr>
    <w:tblPr/>
  </w:style>
  <w:style w:type="table" w:styleId="805">
    <w:name w:val="Bordered"/>
    <w:basedOn w:val="624"/>
    <w:next w:val="805"/>
    <w:link w:val="613"/>
    <w:uiPriority w:val="99"/>
    <w:qFormat/>
    <w:tblPr/>
  </w:style>
  <w:style w:type="table" w:styleId="806">
    <w:name w:val="Bordered - Accent 1"/>
    <w:basedOn w:val="624"/>
    <w:next w:val="806"/>
    <w:link w:val="613"/>
    <w:uiPriority w:val="99"/>
    <w:qFormat/>
    <w:tblPr/>
  </w:style>
  <w:style w:type="table" w:styleId="807">
    <w:name w:val="Bordered - Accent 2"/>
    <w:basedOn w:val="624"/>
    <w:next w:val="807"/>
    <w:link w:val="613"/>
    <w:uiPriority w:val="99"/>
    <w:qFormat/>
    <w:tblPr/>
  </w:style>
  <w:style w:type="table" w:styleId="808">
    <w:name w:val="Bordered - Accent 3"/>
    <w:basedOn w:val="624"/>
    <w:next w:val="808"/>
    <w:link w:val="613"/>
    <w:uiPriority w:val="99"/>
    <w:qFormat/>
    <w:tblPr/>
  </w:style>
  <w:style w:type="table" w:styleId="809">
    <w:name w:val="Bordered - Accent 4"/>
    <w:basedOn w:val="624"/>
    <w:next w:val="809"/>
    <w:link w:val="613"/>
    <w:uiPriority w:val="99"/>
    <w:qFormat/>
    <w:tblPr/>
  </w:style>
  <w:style w:type="table" w:styleId="810">
    <w:name w:val="Bordered - Accent 5"/>
    <w:basedOn w:val="624"/>
    <w:next w:val="810"/>
    <w:link w:val="613"/>
    <w:uiPriority w:val="99"/>
    <w:qFormat/>
    <w:tblPr/>
  </w:style>
  <w:style w:type="table" w:styleId="811">
    <w:name w:val="Bordered - Accent 6"/>
    <w:basedOn w:val="624"/>
    <w:next w:val="811"/>
    <w:link w:val="613"/>
    <w:uiPriority w:val="99"/>
    <w:qFormat/>
    <w:tblPr/>
  </w:style>
  <w:style w:type="paragraph" w:styleId="812">
    <w:name w:val="TOC 标题1"/>
    <w:next w:val="812"/>
    <w:link w:val="613"/>
    <w:uiPriority w:val="39"/>
    <w:unhideWhenUsed/>
    <w:qFormat/>
    <w:pPr>
      <w:spacing w:after="200" w:line="276" w:lineRule="auto"/>
    </w:pPr>
    <w:rPr>
      <w:rFonts w:ascii="Arial" w:hAnsi="Arial" w:eastAsia="Arial"/>
      <w:sz w:val="22"/>
      <w:szCs w:val="22"/>
      <w:lang w:val="en-US" w:eastAsia="en-US" w:bidi="ar-SA"/>
    </w:rPr>
  </w:style>
  <w:style w:type="paragraph" w:styleId="813">
    <w:name w:val="无间隔"/>
    <w:basedOn w:val="613"/>
    <w:next w:val="813"/>
    <w:link w:val="613"/>
    <w:uiPriority w:val="1"/>
    <w:qFormat/>
    <w:pPr>
      <w:spacing w:after="0" w:line="240" w:lineRule="auto"/>
    </w:pPr>
  </w:style>
  <w:style w:type="paragraph" w:styleId="814">
    <w:name w:val="列表段落"/>
    <w:basedOn w:val="613"/>
    <w:next w:val="814"/>
    <w:link w:val="613"/>
    <w:uiPriority w:val="34"/>
    <w:qFormat/>
    <w:pPr>
      <w:contextualSpacing/>
      <w:ind w:left="720"/>
    </w:pPr>
  </w:style>
  <w:style w:type="paragraph" w:styleId="815">
    <w:name w:val="正文1"/>
    <w:next w:val="816"/>
    <w:link w:val="613"/>
    <w:qFormat/>
    <w:pPr>
      <w:jc w:val="both"/>
      <w:widowControl w:val="off"/>
    </w:pPr>
    <w:rPr>
      <w:b/>
      <w:bCs/>
      <w:smallCaps/>
      <w:spacing w:val="5"/>
      <w:lang w:val="en-US" w:eastAsia="zh-CN" w:bidi="ar-SA"/>
    </w:rPr>
  </w:style>
  <w:style w:type="paragraph" w:styleId="816">
    <w:name w:val="注释标题1"/>
    <w:basedOn w:val="815"/>
    <w:next w:val="815"/>
    <w:link w:val="613"/>
    <w:qFormat/>
    <w:rPr>
      <w:rFonts w:ascii="Verdana" w:hAnsi="Verdana"/>
    </w:rPr>
  </w:style>
  <w:style w:type="paragraph" w:styleId="817">
    <w:name w:val="正文缩进1"/>
    <w:basedOn w:val="613"/>
    <w:next w:val="817"/>
    <w:link w:val="613"/>
    <w:unhideWhenUsed/>
    <w:qFormat/>
    <w:pPr>
      <w:ind w:firstLine="420"/>
    </w:pPr>
    <w:rPr>
      <w:sz w:val="24"/>
    </w:rPr>
  </w:style>
  <w:style w:type="paragraph" w:styleId="818">
    <w:name w:val="正文文本1"/>
    <w:basedOn w:val="613"/>
    <w:next w:val="818"/>
    <w:link w:val="613"/>
    <w:unhideWhenUsed/>
    <w:qFormat/>
    <w:rPr>
      <w:rFonts w:ascii="楷体_GB2312"/>
      <w:b/>
      <w:bCs/>
      <w:sz w:val="28"/>
    </w:rPr>
  </w:style>
  <w:style w:type="paragraph" w:styleId="819">
    <w:name w:val="正文首行缩进 21"/>
    <w:basedOn w:val="653"/>
    <w:next w:val="819"/>
    <w:link w:val="613"/>
    <w:uiPriority w:val="99"/>
    <w:unhideWhenUsed/>
    <w:qFormat/>
    <w:pPr>
      <w:ind w:firstLine="420"/>
    </w:pPr>
  </w:style>
  <w:style w:type="paragraph" w:styleId="820">
    <w:name w:val="纯文本1111"/>
    <w:basedOn w:val="613"/>
    <w:next w:val="817"/>
    <w:link w:val="613"/>
    <w:unhideWhenUsed/>
    <w:qFormat/>
    <w:rPr>
      <w:rFonts w:ascii="宋体" w:hAnsi="Courier New"/>
    </w:rPr>
  </w:style>
  <w:style w:type="paragraph" w:styleId="821">
    <w:name w:val="纯文本1"/>
    <w:basedOn w:val="613"/>
    <w:next w:val="817"/>
    <w:link w:val="613"/>
    <w:qFormat/>
    <w:rPr>
      <w:rFonts w:ascii="宋体" w:hAnsi="Courier New"/>
      <w:szCs w:val="20"/>
    </w:rPr>
  </w:style>
  <w:style w:type="paragraph" w:styleId="822">
    <w:name w:val="列表段落1"/>
    <w:basedOn w:val="613"/>
    <w:next w:val="822"/>
    <w:link w:val="613"/>
    <w:uiPriority w:val="99"/>
    <w:qFormat/>
    <w:pPr>
      <w:ind w:firstLine="420"/>
    </w:pPr>
  </w:style>
  <w:style w:type="paragraph" w:styleId="823">
    <w:name w:val="Char Char Char Char"/>
    <w:basedOn w:val="613"/>
    <w:next w:val="823"/>
    <w:link w:val="613"/>
    <w:qFormat/>
    <w:rPr>
      <w:rFonts w:ascii="Tahoma" w:hAnsi="Tahoma"/>
      <w:sz w:val="24"/>
      <w:szCs w:val="24"/>
    </w:rPr>
  </w:style>
  <w:style w:type="character" w:styleId="824">
    <w:name w:val="font12"/>
    <w:next w:val="824"/>
    <w:link w:val="613"/>
    <w:qFormat/>
    <w:rPr>
      <w:rFonts w:hint="eastAsia" w:ascii="幼圆" w:hAnsi="幼圆" w:eastAsia="幼圆" w:cs="幼圆"/>
      <w:color w:val="000000"/>
      <w:sz w:val="20"/>
      <w:szCs w:val="20"/>
      <w:u w:val="none"/>
    </w:rPr>
  </w:style>
  <w:style w:type="character" w:styleId="825">
    <w:name w:val="font111"/>
    <w:next w:val="825"/>
    <w:link w:val="613"/>
    <w:qFormat/>
    <w:rPr>
      <w:rFonts w:hint="eastAsia" w:ascii="宋体" w:hAnsi="宋体" w:eastAsia="宋体" w:cs="宋体"/>
      <w:color w:val="000000"/>
      <w:sz w:val="20"/>
      <w:szCs w:val="20"/>
      <w:u w:val="none"/>
    </w:rPr>
  </w:style>
  <w:style w:type="paragraph" w:styleId="826">
    <w:name w:val="Table Paragraph"/>
    <w:basedOn w:val="613"/>
    <w:next w:val="826"/>
    <w:link w:val="613"/>
    <w:qFormat/>
    <w:rPr>
      <w:rFonts w:ascii="宋体" w:hAnsi="宋体" w:cs="宋体"/>
      <w:lang w:val="zh-CN" w:bidi="zh-CN"/>
    </w:rPr>
  </w:style>
  <w:style w:type="character" w:styleId="827">
    <w:name w:val="font81"/>
    <w:next w:val="827"/>
    <w:link w:val="613"/>
    <w:qFormat/>
    <w:rPr>
      <w:rFonts w:ascii="Times New Roman" w:hAnsi="Times New Roman" w:cs="Times New Roman"/>
      <w:b/>
      <w:bCs/>
      <w:color w:val="000000"/>
      <w:sz w:val="20"/>
      <w:szCs w:val="20"/>
      <w:u w:val="none"/>
    </w:rPr>
  </w:style>
  <w:style w:type="character" w:styleId="828">
    <w:name w:val="font41"/>
    <w:next w:val="828"/>
    <w:link w:val="613"/>
    <w:qFormat/>
    <w:rPr>
      <w:rFonts w:hint="eastAsia" w:ascii="宋体" w:hAnsi="宋体" w:eastAsia="宋体" w:cs="宋体"/>
      <w:color w:val="000000"/>
      <w:sz w:val="20"/>
      <w:szCs w:val="20"/>
      <w:u w:val="none"/>
    </w:rPr>
  </w:style>
  <w:style w:type="character" w:styleId="9454" w:default="1">
    <w:name w:val="Default Paragraph Font"/>
    <w:uiPriority w:val="1"/>
    <w:semiHidden/>
    <w:unhideWhenUsed/>
  </w:style>
  <w:style w:type="numbering" w:styleId="9455" w:default="1">
    <w:name w:val="No List"/>
    <w:uiPriority w:val="99"/>
    <w:semiHidden/>
    <w:unhideWhenUsed/>
  </w:style>
  <w:style w:type="table" w:styleId="94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g"/><Relationship Id="rId15" Type="http://schemas.openxmlformats.org/officeDocument/2006/relationships/image" Target="media/image7.jp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g"/><Relationship Id="rId20" Type="http://schemas.openxmlformats.org/officeDocument/2006/relationships/image" Target="media/image12.png"/><Relationship Id="rId21"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dc:creator>
  <cp:lastModifiedBy>钱俞芹</cp:lastModifiedBy>
  <cp:revision>3</cp:revision>
  <dcterms:created xsi:type="dcterms:W3CDTF">2024-03-30T16:45:00Z</dcterms:created>
  <dcterms:modified xsi:type="dcterms:W3CDTF">2026-05-20T01:53:28Z</dcterms:modified>
</cp:coreProperties>
</file>