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742"/>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42"/>
        <w:ind w:firstLine="0"/>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南京机电职业技术学院医务室第三方托管服务项目</w:t>
      </w:r>
      <w:r/>
    </w:p>
    <w:p>
      <w:pPr>
        <w:pStyle w:val="742"/>
        <w:ind w:left="0" w:firstLine="0"/>
        <w:jc w:val="center"/>
        <w:widowControl w:val="off"/>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JSZC-320100-ZTZB-G2026-002</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1</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rPr>
          <w:rFonts w:hint="eastAsia" w:ascii="Times New Roman" w:hAnsi="Times New Roman" w:eastAsia="黑体" w:cs="Times New Roman"/>
          <w:color w:val="000000" w:themeColor="text1"/>
          <w:sz w:val="36"/>
          <w:szCs w:val="36"/>
          <w14:textFill>
            <w14:solidFill>
              <w14:schemeClr w14:val="tx1"/>
            </w14:solidFill>
          </w14:textFill>
        </w:rPr>
        <w:t xml:space="preserve">NIMT-</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ZB</w:t>
      </w:r>
      <w:r>
        <w:rPr>
          <w:rFonts w:hint="eastAsia" w:ascii="Times New Roman" w:hAnsi="Times New Roman" w:eastAsia="黑体" w:cs="Times New Roman"/>
          <w:color w:val="000000" w:themeColor="text1"/>
          <w:sz w:val="36"/>
          <w:szCs w:val="36"/>
          <w14:textFill>
            <w14:solidFill>
              <w14:schemeClr w14:val="tx1"/>
            </w14:solidFill>
          </w14:textFill>
        </w:rPr>
        <w:t xml:space="preserve">-2026001</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南京机电职业技术学院</w:t>
      </w:r>
      <w:r/>
    </w:p>
    <w:p>
      <w:pPr>
        <w:pStyle w:val="742"/>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742"/>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5</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第一章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招标</w:t>
          </w:r>
          <w:r>
            <w:rPr>
              <w:rStyle w:val="726"/>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第二章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投标人</w:t>
          </w:r>
          <w:r>
            <w:rPr>
              <w:rStyle w:val="726"/>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三</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四</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五</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六</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26"/>
              <w:rFonts w:eastAsia="黑体"/>
              <w:color w:val="000000" w:themeColor="text1"/>
              <w14:textFill>
                <w14:solidFill>
                  <w14:schemeClr w14:val="tx1"/>
                </w14:solidFill>
              </w14:textFill>
            </w:rPr>
            <w:t xml:space="preserve">6.1 </w:t>
          </w:r>
          <w:r>
            <w:rPr>
              <w:rStyle w:val="726"/>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26"/>
              <w:rFonts w:eastAsia="黑体"/>
              <w:color w:val="000000" w:themeColor="text1"/>
              <w14:textFill>
                <w14:solidFill>
                  <w14:schemeClr w14:val="tx1"/>
                </w14:solidFill>
              </w14:textFill>
            </w:rPr>
            <w:t xml:space="preserve">6.2 </w:t>
          </w:r>
          <w:r>
            <w:rPr>
              <w:rStyle w:val="726"/>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26"/>
              <w:rFonts w:eastAsia="黑体"/>
              <w:color w:val="000000" w:themeColor="text1"/>
              <w14:textFill>
                <w14:solidFill>
                  <w14:schemeClr w14:val="tx1"/>
                </w14:solidFill>
              </w14:textFill>
            </w:rPr>
            <w:t xml:space="preserve">6.3 </w:t>
          </w:r>
          <w:r>
            <w:rPr>
              <w:rStyle w:val="726"/>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26"/>
              <w:rFonts w:eastAsia="黑体"/>
              <w:color w:val="000000" w:themeColor="text1"/>
              <w14:textFill>
                <w14:solidFill>
                  <w14:schemeClr w14:val="tx1"/>
                </w14:solidFill>
              </w14:textFill>
            </w:rPr>
            <w:t xml:space="preserve">6.4 </w:t>
          </w:r>
          <w:r>
            <w:rPr>
              <w:rStyle w:val="726"/>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26"/>
              <w:rFonts w:eastAsia="黑体"/>
              <w:color w:val="000000" w:themeColor="text1"/>
              <w14:textFill>
                <w14:solidFill>
                  <w14:schemeClr w14:val="tx1"/>
                </w14:solidFill>
              </w14:textFill>
            </w:rPr>
            <w:t xml:space="preserve">6.5 </w:t>
          </w:r>
          <w:r>
            <w:rPr>
              <w:rStyle w:val="726"/>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26"/>
              <w:rFonts w:eastAsia="黑体"/>
              <w:color w:val="000000" w:themeColor="text1"/>
              <w14:textFill>
                <w14:solidFill>
                  <w14:schemeClr w14:val="tx1"/>
                </w14:solidFill>
              </w14:textFill>
            </w:rPr>
            <w:t xml:space="preserve">6.6 </w:t>
          </w:r>
          <w:r>
            <w:rPr>
              <w:rStyle w:val="726"/>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26"/>
              <w:rFonts w:eastAsia="黑体"/>
              <w:color w:val="000000" w:themeColor="text1"/>
              <w14:textFill>
                <w14:solidFill>
                  <w14:schemeClr w14:val="tx1"/>
                </w14:solidFill>
              </w14:textFill>
            </w:rPr>
            <w:t xml:space="preserve">6.7 </w:t>
          </w:r>
          <w:r>
            <w:rPr>
              <w:rStyle w:val="726"/>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26"/>
              <w:rFonts w:eastAsia="黑体"/>
              <w:color w:val="000000" w:themeColor="text1"/>
              <w14:textFill>
                <w14:solidFill>
                  <w14:schemeClr w14:val="tx1"/>
                </w14:solidFill>
              </w14:textFill>
            </w:rPr>
            <w:t xml:space="preserve">6.8 </w:t>
          </w:r>
          <w:r>
            <w:rPr>
              <w:rStyle w:val="726"/>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26"/>
              <w:rFonts w:eastAsia="黑体"/>
              <w:color w:val="000000" w:themeColor="text1"/>
              <w14:textFill>
                <w14:solidFill>
                  <w14:schemeClr w14:val="tx1"/>
                </w14:solidFill>
              </w14:textFill>
            </w:rPr>
            <w:t xml:space="preserve">6.9 </w:t>
          </w:r>
          <w:r>
            <w:rPr>
              <w:rStyle w:val="726"/>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
      <w:r/>
      <w:bookmarkStart w:id="2" w:name="_Toc448069940"/>
      <w:r/>
      <w:bookmarkStart w:id="3" w:name="_Toc11859485"/>
      <w:r/>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95"/>
        <w:spacing w:line="360" w:lineRule="exact"/>
        <w:rPr>
          <w:rFonts w:ascii="黑体" w:hAnsi="黑体" w:cs="宋体"/>
          <w:b w:val="0"/>
          <w:sz w:val="28"/>
          <w:szCs w:val="28"/>
        </w:rPr>
      </w:pPr>
      <w:r/>
      <w:bookmarkStart w:id="5" w:name="_Toc35393621"/>
      <w:r/>
      <w:bookmarkStart w:id="6" w:name="_Toc28359079"/>
      <w:r/>
      <w:bookmarkStart w:id="7" w:name="_Toc35393790"/>
      <w:r/>
      <w:bookmarkStart w:id="8" w:name="_Toc28359002"/>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lang w:val="en-US" w:eastAsia="zh-CN"/>
        </w:rPr>
      </w:pPr>
      <w:r>
        <w:rPr>
          <w:rFonts w:hint="eastAsia" w:ascii="仿宋" w:hAnsi="仿宋" w:eastAsia="仿宋"/>
          <w:sz w:val="28"/>
          <w:szCs w:val="28"/>
        </w:rPr>
        <w:t xml:space="preserve">项目编号：JSZC-320100-ZTZB-G2026-0021</w:t>
      </w:r>
      <w:r>
        <w:rPr>
          <w:rFonts w:hint="eastAsia" w:ascii="仿宋" w:hAnsi="仿宋" w:eastAsia="仿宋"/>
          <w:sz w:val="28"/>
          <w:szCs w:val="28"/>
          <w:lang w:eastAsia="zh-CN"/>
        </w:rPr>
        <w:t xml:space="preserve">（</w:t>
      </w:r>
      <w:r>
        <w:rPr>
          <w:rFonts w:hint="eastAsia" w:ascii="仿宋" w:hAnsi="仿宋" w:eastAsia="仿宋"/>
          <w:sz w:val="28"/>
          <w:szCs w:val="28"/>
        </w:rPr>
        <w:t xml:space="preserve">NIMT-ZB-2026001</w:t>
      </w:r>
      <w:r>
        <w:rPr>
          <w:rFonts w:hint="eastAsia" w:ascii="仿宋" w:hAnsi="仿宋" w:eastAsia="仿宋"/>
          <w:sz w:val="28"/>
          <w:szCs w:val="28"/>
          <w:lang w:eastAsia="zh-CN"/>
        </w:rPr>
        <w:t xml:space="preserve">）</w:t>
      </w:r>
      <w:bookmarkStart w:id="82" w:name="_GoBack"/>
      <w:r/>
      <w:bookmarkEnd w:id="82"/>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南京机电职业技术学院医务室第三方托管服务项目</w:t>
      </w:r>
      <w:r/>
    </w:p>
    <w:p>
      <w:pPr>
        <w:ind w:firstLine="560"/>
        <w:spacing w:line="400" w:lineRule="exact"/>
        <w:rPr>
          <w:rFonts w:hint="default" w:ascii="仿宋" w:hAnsi="仿宋" w:eastAsia="仿宋"/>
          <w:sz w:val="28"/>
          <w:szCs w:val="28"/>
          <w:lang w:val="en-US" w:eastAsia="zh-CN"/>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万元人民币</w:t>
      </w:r>
      <w:bookmarkEnd w:id="11"/>
      <w:r>
        <w:rPr>
          <w:rFonts w:hint="eastAsia" w:ascii="仿宋" w:hAnsi="仿宋" w:eastAsia="仿宋"/>
          <w:sz w:val="28"/>
          <w:szCs w:val="28"/>
          <w:lang w:val="en-US" w:eastAsia="zh-CN"/>
        </w:rPr>
        <w:t xml:space="preserve">/年</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万元人民币</w:t>
      </w:r>
      <w:r>
        <w:rPr>
          <w:rFonts w:hint="eastAsia" w:ascii="仿宋" w:hAnsi="仿宋" w:eastAsia="仿宋"/>
          <w:sz w:val="28"/>
          <w:szCs w:val="28"/>
          <w:lang w:val="en-US" w:eastAsia="zh-CN"/>
        </w:rPr>
        <w:t xml:space="preserve">/年</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设立在高淳校区，提供医疗机构执业许可证、办公需要的医疗用房、基本办公设备，详见项目需求。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所属行业：租赁和商务服务业。</w:t>
      </w:r>
      <w:r/>
    </w:p>
    <w:p>
      <w:pPr>
        <w:pStyle w:val="695"/>
        <w:spacing w:line="360" w:lineRule="exact"/>
        <w:rPr>
          <w:rFonts w:ascii="仿宋" w:hAnsi="仿宋" w:eastAsia="仿宋"/>
          <w:sz w:val="28"/>
          <w:szCs w:val="28"/>
        </w:rPr>
      </w:pPr>
      <w:r/>
      <w:bookmarkStart w:id="12" w:name="_Toc28359003"/>
      <w:r/>
      <w:bookmarkStart w:id="13" w:name="_Toc35393791"/>
      <w:r/>
      <w:bookmarkStart w:id="14" w:name="_Toc35393622"/>
      <w:r/>
      <w:bookmarkStart w:id="15" w:name="_Toc28359080"/>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1.2投标人需提供上一</w:t>
      </w:r>
      <w:r>
        <w:rPr>
          <w:rFonts w:hint="eastAsia" w:ascii="仿宋" w:hAnsi="仿宋" w:eastAsia="仿宋"/>
          <w:sz w:val="28"/>
          <w:szCs w:val="28"/>
        </w:rPr>
        <w:t xml:space="preserve">年度的财务状况报告（成立不满一年不需提供）</w:t>
      </w:r>
      <w:r/>
      <w:r>
        <w:rPr>
          <w:rFonts w:hint="eastAsia" w:ascii="仿宋" w:hAnsi="仿宋" w:eastAsia="仿宋"/>
          <w:sz w:val="28"/>
          <w:szCs w:val="28"/>
        </w:rPr>
        <w:t xml:space="preserve">；</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w:t>
      </w:r>
      <w:r>
        <w:rPr>
          <w:rFonts w:hint="eastAsia" w:ascii="仿宋" w:hAnsi="仿宋" w:eastAsia="仿宋"/>
          <w:sz w:val="28"/>
          <w:szCs w:val="28"/>
          <w:lang w:eastAsia="zh-CN"/>
        </w:rPr>
        <w:t xml:space="preserve">CA公章</w:t>
      </w:r>
      <w:r>
        <w:rPr>
          <w:rFonts w:hint="eastAsia" w:ascii="仿宋" w:hAnsi="仿宋" w:eastAsia="仿宋"/>
          <w:sz w:val="28"/>
          <w:szCs w:val="28"/>
        </w:rPr>
        <w:t xml:space="preserve">）；</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或政府采购代理机构作出信用承诺。投标人应尽早做好承诺工作，点击‘南京公共采购信息网’</w:t>
      </w:r>
      <w:r>
        <w:rPr>
          <w:rFonts w:hint="eastAsia" w:ascii="仿宋" w:hAnsi="仿宋" w:eastAsia="仿宋"/>
          <w:sz w:val="28"/>
          <w:szCs w:val="28"/>
        </w:rPr>
        <w:t xml:space="preserve">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w:t>
      </w:r>
      <w:r>
        <w:rPr>
          <w:rFonts w:hint="eastAsia" w:ascii="仿宋" w:hAnsi="仿宋" w:eastAsia="仿宋"/>
          <w:sz w:val="28"/>
          <w:szCs w:val="28"/>
          <w:lang w:eastAsia="zh-CN"/>
        </w:rPr>
        <w:t xml:space="preserve">CA公章</w:t>
      </w:r>
      <w:r>
        <w:rPr>
          <w:rFonts w:hint="eastAsia" w:ascii="仿宋" w:hAnsi="仿宋" w:eastAsia="仿宋"/>
          <w:sz w:val="28"/>
          <w:szCs w:val="28"/>
        </w:rPr>
        <w:t xml:space="preserve">，随投标文件一并递交。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或采购代理机构核验。经核验无误后。由</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81"/>
      <w:r/>
      <w:bookmarkStart w:id="17" w:name="_Toc28359004"/>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3.本项目的特定资格要求：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具有有效的医疗机构执业许可证</w:t>
      </w:r>
      <w:r>
        <w:rPr>
          <w:rFonts w:hint="eastAsia" w:ascii="仿宋" w:hAnsi="仿宋" w:eastAsia="仿宋"/>
          <w:sz w:val="28"/>
          <w:szCs w:val="28"/>
          <w:lang w:eastAsia="zh-CN"/>
        </w:rPr>
        <w:t xml:space="preserve">，诊疗科目含全科医疗科、预防保健科</w:t>
      </w:r>
      <w:r>
        <w:rPr>
          <w:rFonts w:hint="eastAsia" w:ascii="仿宋" w:hAnsi="仿宋" w:eastAsia="仿宋"/>
          <w:sz w:val="28"/>
          <w:szCs w:val="28"/>
          <w:lang w:val="en-US" w:eastAsia="zh-CN"/>
        </w:rPr>
        <w:t xml:space="preserve">等，提供证书复印件并加盖CA公章</w:t>
      </w:r>
      <w:r>
        <w:rPr>
          <w:rFonts w:hint="eastAsia" w:ascii="仿宋" w:hAnsi="仿宋" w:eastAsia="仿宋"/>
          <w:sz w:val="28"/>
          <w:szCs w:val="28"/>
        </w:rPr>
        <w:t xml:space="preserve">：</w:t>
      </w:r>
      <w:r/>
    </w:p>
    <w:p>
      <w:pPr>
        <w:ind w:firstLine="560"/>
        <w:spacing w:line="400" w:lineRule="exact"/>
        <w:rPr>
          <w:rFonts w:hint="default"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具有公立一级医院及以上资格</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提供营业执照及一级医院证明复印件并加盖CA公章。</w:t>
      </w:r>
      <w:r/>
    </w:p>
    <w:p>
      <w:pPr>
        <w:pStyle w:val="695"/>
        <w:spacing w:line="360" w:lineRule="exact"/>
        <w:rPr>
          <w:rFonts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方式：在“江苏政府采购网”免费下载。</w:t>
      </w:r>
      <w:r>
        <w:rPr>
          <w:rFonts w:hint="eastAsia" w:ascii="仿宋" w:hAnsi="仿宋" w:eastAsia="仿宋" w:cs="宋体"/>
          <w:sz w:val="28"/>
          <w:szCs w:val="28"/>
          <w:lang w:eastAsia="zh-CN"/>
        </w:rPr>
        <w:t xml:space="preserve">投标人</w:t>
      </w:r>
      <w:r>
        <w:rPr>
          <w:rFonts w:hint="eastAsia" w:ascii="仿宋" w:hAnsi="仿宋" w:eastAsia="仿宋" w:cs="宋体"/>
          <w:sz w:val="28"/>
          <w:szCs w:val="28"/>
        </w:rPr>
        <w:t xml:space="preserve">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695"/>
        <w:spacing w:line="360" w:lineRule="exact"/>
        <w:rPr>
          <w:rFonts w:ascii="黑体" w:hAnsi="黑体" w:cs="宋体"/>
          <w:b w:val="0"/>
          <w:sz w:val="28"/>
          <w:szCs w:val="28"/>
        </w:rPr>
      </w:pPr>
      <w:r/>
      <w:bookmarkStart w:id="20" w:name="_Toc28359082"/>
      <w:r/>
      <w:bookmarkStart w:id="21" w:name="_Toc28359005"/>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 xml:space="preserve">2</w:t>
      </w:r>
      <w:r>
        <w:rPr>
          <w:rFonts w:hint="eastAsia" w:ascii="仿宋" w:hAnsi="仿宋" w:eastAsia="仿宋"/>
          <w:bCs/>
          <w:sz w:val="28"/>
          <w:szCs w:val="28"/>
          <w:highlight w:val="none"/>
          <w:u w:val="single"/>
        </w:rPr>
        <w:t xml:space="preserve">6年</w:t>
      </w:r>
      <w:r>
        <w:rPr>
          <w:rFonts w:hint="eastAsia" w:ascii="仿宋" w:hAnsi="仿宋" w:eastAsia="仿宋"/>
          <w:bCs/>
          <w:sz w:val="28"/>
          <w:szCs w:val="28"/>
          <w:highlight w:val="none"/>
          <w:u w:val="single"/>
          <w:lang w:val="en-US" w:eastAsia="zh-CN"/>
        </w:rPr>
        <w:t xml:space="preserve">6</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2</w:t>
      </w:r>
      <w:r>
        <w:rPr>
          <w:rFonts w:hint="eastAsia" w:ascii="仿宋" w:hAnsi="仿宋" w:eastAsia="仿宋"/>
          <w:bCs/>
          <w:sz w:val="28"/>
          <w:szCs w:val="28"/>
          <w:highlight w:val="none"/>
          <w:u w:val="single"/>
        </w:rPr>
        <w:t xml:space="preserve">日</w:t>
      </w:r>
      <w:r>
        <w:rPr>
          <w:rFonts w:hint="eastAsia" w:ascii="仿宋" w:hAnsi="仿宋" w:eastAsia="仿宋"/>
          <w:bCs/>
          <w:sz w:val="28"/>
          <w:szCs w:val="28"/>
          <w:highlight w:val="none"/>
          <w:u w:val="single"/>
          <w:lang w:val="en-US" w:eastAsia="zh-CN"/>
        </w:rPr>
        <w:t xml:space="preserve">上</w:t>
      </w:r>
      <w:r>
        <w:rPr>
          <w:rFonts w:hint="eastAsia" w:ascii="仿宋" w:hAnsi="仿宋" w:eastAsia="仿宋"/>
          <w:bCs/>
          <w:sz w:val="28"/>
          <w:szCs w:val="28"/>
          <w:highlight w:val="none"/>
          <w:u w:val="single"/>
        </w:rPr>
        <w:t xml:space="preserve">午</w:t>
      </w:r>
      <w:r>
        <w:rPr>
          <w:rFonts w:hint="eastAsia" w:ascii="仿宋" w:hAnsi="仿宋" w:eastAsia="仿宋"/>
          <w:bCs/>
          <w:sz w:val="28"/>
          <w:szCs w:val="28"/>
          <w:highlight w:val="none"/>
          <w:u w:val="single"/>
          <w:lang w:val="en-US" w:eastAsia="zh-CN"/>
        </w:rPr>
        <w:t xml:space="preserve">9</w:t>
      </w:r>
      <w:r>
        <w:rPr>
          <w:rFonts w:hint="eastAsia" w:ascii="仿宋" w:hAnsi="仿宋" w:eastAsia="仿宋"/>
          <w:bCs/>
          <w:sz w:val="28"/>
          <w:szCs w:val="28"/>
          <w:highlight w:val="none"/>
          <w:u w:val="single"/>
        </w:rPr>
        <w:t xml:space="preserve">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695"/>
        <w:spacing w:line="360" w:lineRule="exact"/>
        <w:rPr>
          <w:rFonts w:ascii="黑体" w:hAnsi="黑体" w:cs="宋体"/>
          <w:b w:val="0"/>
          <w:sz w:val="28"/>
          <w:szCs w:val="28"/>
        </w:rPr>
      </w:pPr>
      <w:r/>
      <w:bookmarkStart w:id="24" w:name="_Toc35393625"/>
      <w:r/>
      <w:bookmarkStart w:id="25" w:name="_Toc28359007"/>
      <w:r/>
      <w:bookmarkStart w:id="26" w:name="_Toc28359084"/>
      <w:r/>
      <w:bookmarkStart w:id="27" w:name="_Toc3539379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695"/>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pStyle w:val="695"/>
        <w:ind w:firstLine="560"/>
        <w:spacing w:before="0" w:after="0" w:line="400" w:lineRule="exact"/>
        <w:rPr>
          <w:rFonts w:hint="eastAsia" w:ascii="仿宋" w:hAnsi="仿宋" w:eastAsia="仿宋" w:cs="宋体"/>
          <w:b w:val="0"/>
          <w:bCs w:val="0"/>
          <w:sz w:val="28"/>
          <w:szCs w:val="28"/>
        </w:rPr>
      </w:pPr>
      <w:r/>
      <w:bookmarkStart w:id="30" w:name="_Toc35393627"/>
      <w:r/>
      <w:bookmarkStart w:id="31" w:name="_Toc28359008"/>
      <w:r/>
      <w:bookmarkStart w:id="32" w:name="_Toc28359085"/>
      <w:r/>
      <w:bookmarkStart w:id="33" w:name="_Toc35393796"/>
      <w:r>
        <w:rPr>
          <w:rFonts w:hint="eastAsia" w:ascii="仿宋" w:hAnsi="仿宋" w:eastAsia="仿宋" w:cs="宋体"/>
          <w:b w:val="0"/>
          <w:bCs w:val="0"/>
          <w:sz w:val="28"/>
          <w:szCs w:val="28"/>
        </w:rPr>
        <w:t xml:space="preserve">1.有关本次采购的事项若存在变动或修改，敬请及时关注“江苏政府采购网”发布的信息。</w:t>
      </w:r>
      <w:r/>
    </w:p>
    <w:p>
      <w:pPr>
        <w:pStyle w:val="695"/>
        <w:ind w:firstLine="560"/>
        <w:spacing w:before="0" w:after="0"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2</w:t>
      </w:r>
      <w:r>
        <w:rPr>
          <w:rFonts w:hint="eastAsia" w:ascii="仿宋" w:hAnsi="仿宋" w:eastAsia="仿宋" w:cs="宋体"/>
          <w:b w:val="0"/>
          <w:bCs w:val="0"/>
          <w:sz w:val="28"/>
          <w:szCs w:val="28"/>
        </w:rPr>
        <w:t xml:space="preserve">.“苏采云”政府采购交易系统（以下简称苏采云系统）使用江苏省电子政务证书认证中心CA数字证书和方正国际软件（北京）有限公司电子签章。</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操作手册》（以下简称《操作手册》）。</w:t>
      </w:r>
      <w:r/>
    </w:p>
    <w:p>
      <w:pPr>
        <w:pStyle w:val="695"/>
        <w:ind w:firstLine="560"/>
        <w:spacing w:before="0" w:after="0" w:line="400" w:lineRule="exact"/>
        <w:rPr>
          <w:rFonts w:ascii="黑体" w:hAnsi="黑体" w:cs="宋体"/>
          <w:b w:val="0"/>
          <w:sz w:val="28"/>
          <w:szCs w:val="28"/>
        </w:rPr>
      </w:pP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按《苏采云系统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操作手册》要求进行注册，并制作上传电子投标文件（“苏采云”南京地区客服热线025-83633744、025-83633743）。江苏省政府采购管理交易系统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操作指南，下载地址：http://www.ccgp-jiangsu.gov.cn/jiangsu/zlxz/ee/ee3a4bc5a3454aa2b0d9312230633ce9.html</w:t>
      </w:r>
      <w:r/>
    </w:p>
    <w:p>
      <w:pPr>
        <w:pStyle w:val="695"/>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w:t>
      </w:r>
      <w:r>
        <w:rPr>
          <w:rFonts w:hint="eastAsia" w:ascii="仿宋" w:hAnsi="仿宋" w:eastAsia="仿宋" w:cs="宋体"/>
          <w:sz w:val="28"/>
          <w:szCs w:val="28"/>
          <w:lang w:eastAsia="zh-CN"/>
        </w:rPr>
        <w:t xml:space="preserve">招标人</w:t>
      </w:r>
      <w:r>
        <w:rPr>
          <w:rFonts w:hint="eastAsia" w:ascii="仿宋" w:hAnsi="仿宋" w:eastAsia="仿宋" w:cs="宋体"/>
          <w:sz w:val="28"/>
          <w:szCs w:val="28"/>
        </w:rPr>
        <w:t xml:space="preserve">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南京机电职业技术学院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南京市高淳区古柏街道鹿鸣大道33号  </w:t>
      </w:r>
      <w:r/>
    </w:p>
    <w:p>
      <w:pPr>
        <w:ind w:firstLine="560"/>
        <w:spacing w:line="400" w:lineRule="exact"/>
        <w:rPr>
          <w:rFonts w:ascii="仿宋" w:hAnsi="仿宋" w:eastAsia="仿宋"/>
          <w:sz w:val="28"/>
          <w:szCs w:val="28"/>
          <w:highlight w:val="yellow"/>
          <w:u w:val="singl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rPr>
        <w:t xml:space="preserve">　</w:t>
      </w:r>
      <w:bookmarkStart w:id="34" w:name="_Toc28359009"/>
      <w:r/>
      <w:bookmarkStart w:id="35" w:name="_Toc28359086"/>
      <w:r>
        <w:rPr>
          <w:rFonts w:hint="eastAsia" w:ascii="仿宋" w:hAnsi="仿宋" w:eastAsia="仿宋"/>
          <w:sz w:val="28"/>
          <w:szCs w:val="28"/>
          <w:highlight w:val="none"/>
          <w:u w:val="single"/>
        </w:rPr>
        <w:t xml:space="preserve">孙老师18061231119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35393788"/>
      <w:r/>
      <w:bookmarkStart w:id="39" w:name="_Toc28359000"/>
      <w:r/>
      <w:bookmarkStart w:id="40" w:name="_Toc35393619"/>
      <w:r/>
      <w:bookmarkStart w:id="41" w:name="_Toc28359077"/>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48069941"/>
      <w:r/>
      <w:bookmarkStart w:id="43" w:name="_Toc11859486"/>
      <w:r/>
      <w:bookmarkStart w:id="44" w:name="_Toc415494524"/>
      <w:r/>
      <w:bookmarkStart w:id="45" w:name="_Toc1"/>
      <w:r/>
      <w:r/>
    </w:p>
    <w:p>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3.1.1本次采购及由本次采购产生的合同受中华人民共和国有关法律法规制约和保护。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在任何情况下均无义务和责任承担这些费用。</w:t>
      </w:r>
      <w:r/>
    </w:p>
    <w:p>
      <w:pPr>
        <w:ind w:firstLine="480"/>
        <w:spacing w:line="360" w:lineRule="auto"/>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4.2</w:t>
      </w:r>
      <w:r>
        <w:rPr>
          <w:rFonts w:hint="eastAsia" w:ascii="Times New Roman" w:hAnsi="Times New Roman" w:cs="Times New Roman"/>
          <w:color w:val="000000" w:themeColor="text1"/>
          <w:sz w:val="24"/>
          <w:szCs w:val="24"/>
          <w:highlight w:val="none"/>
          <w14:textFill>
            <w14:solidFill>
              <w14:schemeClr w14:val="tx1"/>
            </w14:solidFill>
          </w14:textFill>
        </w:rPr>
        <w:t xml:space="preserve">本次采购，代理服务费由</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中标人</w:t>
      </w:r>
      <w:r>
        <w:rPr>
          <w:rFonts w:hint="eastAsia" w:ascii="Times New Roman" w:hAnsi="Times New Roman" w:cs="Times New Roman"/>
          <w:color w:val="000000" w:themeColor="text1"/>
          <w:sz w:val="24"/>
          <w:szCs w:val="24"/>
          <w:highlight w:val="none"/>
          <w14:textFill>
            <w14:solidFill>
              <w14:schemeClr w14:val="tx1"/>
            </w14:solidFill>
          </w14:textFill>
        </w:rPr>
        <w:t xml:space="preserve">支付，按照国家发展和改革委员会下发的《关于降低部分建设项目收费标准规范收费行为等有关问题的通知》（发改价格[2011]534号）所列招标代理服务费收费标准的55%（优惠率）收取</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评委费单独由招标人支付。</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w:t>
      </w:r>
      <w:r>
        <w:rPr>
          <w:rFonts w:hint="eastAsia" w:ascii="Times New Roman" w:hAnsi="Times New Roman" w:cs="Times New Roman"/>
          <w:b/>
          <w:i/>
          <w:color w:val="000000" w:themeColor="text1"/>
          <w:sz w:val="24"/>
          <w:szCs w:val="24"/>
          <w:lang w:eastAsia="zh-CN"/>
          <w14:textFill>
            <w14:solidFill>
              <w14:schemeClr w14:val="tx1"/>
            </w14:solidFill>
          </w14:textFill>
        </w:rPr>
        <w:t xml:space="preserve">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对误投或过早启封概不负责。对由此造成提前开封的投标文件，</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对投标文件中的资格证明文件进行审查。资格审查的结论，</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left="0" w:firstLine="480"/>
        <w:keepLines w:val="0"/>
        <w:keepNext w:val="0"/>
        <w:pageBreakBefore w:val="0"/>
        <w:spacing w:line="360" w:lineRule="auto"/>
        <w:widowControl w:val="off"/>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 xml:space="preserve">23.3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本次采购，有效递交投标文件或符合要求的供应商不足三家时，项目评审终止后重新开展采购活动。重新开展采购活动后，可根据相关法律法规要求，选择其他采购方式。</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推荐中标候选人。</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具体商谈签订合同，若因中标人延误签订合同并由此给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同意，中标人也不得采用分包的形式履行合同，否则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有权终止合同，中标人的履约保证金将不予退还。转包或分包造成</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w:t>
      </w:r>
      <w:bookmarkEnd w:id="46"/>
      <w:r/>
      <w:bookmarkStart w:id="47" w:name="_Toc11859488"/>
      <w:r/>
      <w:r/>
    </w:p>
    <w:p>
      <w:pPr>
        <w:jc w:val="cente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南京机电职业技术学院医务室托管服务合同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甲方：                         (以下简称甲方)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乙方：                         (以下简称乙 方)</w:t>
      </w:r>
      <w:r/>
    </w:p>
    <w:p>
      <w:pPr>
        <w:ind w:firstLine="524"/>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为进一步提高甲方校内医疗服务能力和水平，不断适应和满足广大师生的 健康需求，根据国家有关法律、法规，就甲方高淳新校区医务室托管服务事宜， 双方本着诚实守信、平等自愿的原则，经协商一致，订立本合同。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第一条 托管服务内容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1、南京机电职业技术学院高淳新校区医务室的注册年审(诊疗业务范围)等 事项。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2、全校师生的日常门诊诊疗服务。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、必要的校内出诊诊疗服务。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 、师生突发疾病、身体伤害的抢救、应急处理和转诊服务。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 、所有校区的新生入学体检、毕业生体检和预防接种服务。收费标淮以教育 厅下发的文件执行(每人86元)</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 、校园突发公共卫生事件、艾滋病、传染病等的预防和处理。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 、重大活动时(如军训、运动会、庆典活动)医疗保障工作</w:t>
      </w:r>
      <w:r>
        <w:rPr>
          <w:rFonts w:hint="eastAsia" w:ascii="方正仿宋_GB2312" w:hAnsi="方正仿宋_GB2312" w:eastAsia="方正仿宋_GB2312" w:cs="方正仿宋_GB2312"/>
          <w:spacing w:val="-9"/>
          <w:sz w:val="28"/>
          <w:szCs w:val="28"/>
          <w:lang w:eastAsia="zh-CN"/>
        </w:rPr>
        <w:t xml:space="preserve">，</w:t>
      </w:r>
      <w:r>
        <w:rPr>
          <w:rFonts w:hint="eastAsia" w:ascii="方正仿宋_GB2312" w:hAnsi="方正仿宋_GB2312" w:eastAsia="方正仿宋_GB2312" w:cs="方正仿宋_GB2312"/>
          <w:spacing w:val="-9"/>
          <w:sz w:val="28"/>
          <w:szCs w:val="28"/>
        </w:rPr>
        <w:t xml:space="preserve">每年免费提供3次大型活动所需急救车服务</w:t>
      </w:r>
      <w:r>
        <w:rPr>
          <w:rFonts w:hint="eastAsia" w:ascii="方正仿宋_GB2312" w:hAnsi="方正仿宋_GB2312" w:eastAsia="方正仿宋_GB2312" w:cs="方正仿宋_GB2312"/>
          <w:spacing w:val="-9"/>
          <w:sz w:val="28"/>
          <w:szCs w:val="28"/>
          <w:lang w:eastAsia="zh-CN"/>
        </w:rPr>
        <w:t xml:space="preserve">。</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 、预防保健、健康常识和突发性事件的医疗应急处理等工作宣传讲座，并提供疾病、保健、健康咨询等医疗服务。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第二条 人员配备数量及条件要求</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1、乙方负责人必须具备虫级以上相关专业职称，安排在医务室工作的医务人 员必须具有相应执业资格，具有3年以上从医经历和丰富的临床经验，乙方安排的医务人员的工资报酬及劳保、保险等一切福利待遇，由乙方负责承担。</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2、乙方提供24小时医疗服务，白天门诊保证3名医务人员在岗(至少1名执 业医师),夜间保证有2名医务人员值班(至少1名执业医师)。(学生全部放假离校后才可以安排不上班、不值班)。工作期间，不得擅自离岗。</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第三条 托管服务期限</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1、合同委托服务期限3年。</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lang w:val="en-US" w:eastAsia="zh-CN"/>
        </w:rPr>
        <w:t xml:space="preserve">2</w:t>
      </w:r>
      <w:r>
        <w:rPr>
          <w:rFonts w:hint="eastAsia" w:ascii="方正仿宋_GB2312" w:hAnsi="方正仿宋_GB2312" w:eastAsia="方正仿宋_GB2312" w:cs="方正仿宋_GB2312"/>
          <w:spacing w:val="-9"/>
          <w:sz w:val="28"/>
          <w:szCs w:val="28"/>
        </w:rPr>
        <w:t xml:space="preserve">、合作期届满或按本合同规定中止，甲方有权收回房屋。乙方应在合同终止日后的五个日历日内自行撤除乙方自有的设备、设施及一切物品。如超出约定期限，甲方有处置留存物品的权力， 由此造成的损失(费用)由乙方承担。</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第四条 托管服务费用和支付办法</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1、为不断提升医疗服务水平，为甲方师生提供优质高效的医疗保障和就诊环境 ，甲方愿意每年补贴给乙方</w:t>
      </w:r>
      <w:r>
        <w:rPr>
          <w:rFonts w:hint="eastAsia" w:ascii="方正仿宋_GB2312" w:hAnsi="方正仿宋_GB2312" w:eastAsia="方正仿宋_GB2312" w:cs="方正仿宋_GB2312"/>
          <w:spacing w:val="-9"/>
          <w:sz w:val="28"/>
          <w:szCs w:val="28"/>
          <w:u w:val="single"/>
          <w:lang w:val="en-US" w:eastAsia="zh-CN"/>
        </w:rPr>
        <w:t xml:space="preserve">          元</w:t>
      </w:r>
      <w:r>
        <w:rPr>
          <w:rFonts w:hint="eastAsia" w:ascii="方正仿宋_GB2312" w:hAnsi="方正仿宋_GB2312" w:eastAsia="方正仿宋_GB2312" w:cs="方正仿宋_GB2312"/>
          <w:spacing w:val="-9"/>
          <w:sz w:val="28"/>
          <w:szCs w:val="28"/>
          <w:lang w:val="en-US" w:eastAsia="zh-CN"/>
        </w:rPr>
        <w:t xml:space="preserve"> </w:t>
      </w:r>
      <w:r>
        <w:rPr>
          <w:rFonts w:hint="eastAsia" w:ascii="方正仿宋_GB2312" w:hAnsi="方正仿宋_GB2312" w:eastAsia="方正仿宋_GB2312" w:cs="方正仿宋_GB2312"/>
          <w:spacing w:val="-9"/>
          <w:sz w:val="28"/>
          <w:szCs w:val="28"/>
        </w:rPr>
        <w:t xml:space="preserve">作为托管服务综合管理费。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2、托管服务综合管理费每年分二次支付。每学期开学后二周内，在乙方前期服务无违约的条件下，甲方支付总费用的50%。</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第五条  托管场地、用途</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lang w:eastAsia="zh-CN"/>
        </w:rPr>
      </w:pPr>
      <w:r>
        <w:rPr>
          <w:rFonts w:hint="eastAsia" w:ascii="方正仿宋_GB2312" w:hAnsi="方正仿宋_GB2312" w:eastAsia="方正仿宋_GB2312" w:cs="方正仿宋_GB2312"/>
          <w:spacing w:val="-9"/>
          <w:sz w:val="28"/>
          <w:szCs w:val="28"/>
        </w:rPr>
        <w:t xml:space="preserve">1、甲方在</w:t>
      </w:r>
      <w:r>
        <w:rPr>
          <w:rFonts w:hint="eastAsia" w:ascii="方正仿宋_GB2312" w:hAnsi="方正仿宋_GB2312" w:eastAsia="方正仿宋_GB2312" w:cs="方正仿宋_GB2312"/>
          <w:spacing w:val="-9"/>
          <w:sz w:val="28"/>
          <w:szCs w:val="28"/>
          <w:lang w:val="en-US" w:eastAsia="zh-CN"/>
        </w:rPr>
        <w:t xml:space="preserve">星梦馆一层</w:t>
      </w:r>
      <w:r>
        <w:rPr>
          <w:rFonts w:hint="eastAsia" w:ascii="方正仿宋_GB2312" w:hAnsi="方正仿宋_GB2312" w:eastAsia="方正仿宋_GB2312" w:cs="方正仿宋_GB2312"/>
          <w:spacing w:val="-9"/>
          <w:sz w:val="28"/>
          <w:szCs w:val="28"/>
        </w:rPr>
        <w:t xml:space="preserve">提供不少于300 平方米的房屋设立医务室(包括医疗用房，值班用房),将校园医务室按双方拟定的科室功能、房间布局无偿提供给 乙方作为医疗服务场所(以下简称“医务室”)。室内房间布局按医务室要求</w:t>
      </w:r>
      <w:r>
        <w:rPr>
          <w:rFonts w:hint="eastAsia" w:ascii="方正仿宋_GB2312" w:hAnsi="方正仿宋_GB2312" w:eastAsia="方正仿宋_GB2312" w:cs="方正仿宋_GB2312"/>
          <w:spacing w:val="-9"/>
          <w:sz w:val="28"/>
          <w:szCs w:val="28"/>
          <w:lang w:eastAsia="zh-CN"/>
        </w:rPr>
        <w:t xml:space="preserve">，</w:t>
      </w:r>
      <w:r>
        <w:rPr>
          <w:rFonts w:hint="eastAsia" w:ascii="方正仿宋_GB2312" w:hAnsi="方正仿宋_GB2312" w:eastAsia="方正仿宋_GB2312" w:cs="方正仿宋_GB2312"/>
          <w:spacing w:val="-9"/>
          <w:sz w:val="28"/>
          <w:szCs w:val="28"/>
        </w:rPr>
        <w:t xml:space="preserve">装饰装修由乙方负责</w:t>
      </w:r>
      <w:r>
        <w:rPr>
          <w:rFonts w:hint="eastAsia" w:ascii="方正仿宋_GB2312" w:hAnsi="方正仿宋_GB2312" w:eastAsia="方正仿宋_GB2312" w:cs="方正仿宋_GB2312"/>
          <w:spacing w:val="-9"/>
          <w:sz w:val="28"/>
          <w:szCs w:val="28"/>
          <w:lang w:eastAsia="zh-CN"/>
        </w:rPr>
        <w:t xml:space="preserve">。</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2、所有场地只能从事与校内医务保障相关的事情，乙方不得将医务室作为其它用途或者从事医务活动外的其他行为，不得以任何名义转借、转让、分包给第三方。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第六条  设备、设施投入和医疗许可证的办理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 、 甲方向乙方提供医务室所需的《医疗机构执业许可证》。合同期内，乙方应根据《医疗机构条例》、《高等学校医疗保健机构工作流程》负责办理《医疗机构执业许可证》年审等相关手续，必要时甲方应给予协助出具相关证明资料。</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2、甲方负责医务室场所的基本装潢，安装空调、电话、电视、网络等生活设施。保证水电正常使用。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、乙方根据高校医疗保健工作需要，配备符合国家有关技术标准的医疗设备 (包括但不限于：血球计数仪、尿液分析仪、心电图机等检查设备)和其他基 本医疗、急救设施。保证常规诊断、治疗的正常开展。</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4、乙方投入的设施设备归乙方所有，合同期满后，乙方自行撤除投入的设备、设施。</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第七条 甲方的权利和义务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1、按照合同约定，及时提供符合要求的场地， 及时完成场所的基本装潢，及时提供必要办公、值班的设施设备，保证水电、网络等正常使用。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2、向乙方提供医务室所需的《医疗机构执业许可证》,协助乙方办理年审等相关事项。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3、为乙方办理人员和车辆出入证、人员就餐饭卡等必要的手续。</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4、协助解决乙方在诊疗期间与师生的争议和纠纷。</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5、按照合同约定和相关法律法规政策规定制定医务室管理考核规定，并按规定对乙方进行全方位的监管。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6、对乙方的医疗管理、医疗服务、医疗设备、药品质量、医疗收费等进行例行检查和日常考核，对违约违规行为进行追究。包括建议乙方任用领导和撤换不适合在校工作的医务人员。</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7、对乙方的服务进行师生满意度调查，根据调查结果提出整改意见。</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第八条 乙方的权利和义务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1、按照合同约定足额配备符合资质的医务人员。医生、护士等员工资料、信息应提供给甲方备案。按照劳动合同法等相关规定规范用工，所有用工费用或 劳动合同争议与甲方无关。</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2、按照合同约定和相关规定足额配备常规医疗设备和抢救设施(产权归乙方所有)。确保配备的上述医疗设备符合国家相关卫生标准、质量标准。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按照合同约定和国家对高等学校医疗保健的有关规定和卫生部门对医疗保健管理的相关要求，为甲方提供规范化的医疗卫生服务。主要负责常见病，多发病的诊断、治疗工作。开展常规治疗，对不能救治的急、重症病人应及时转诊，并通知甲方管理部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4、建立健全传染病的防控机制和突发共公卫生事件应急预案及时向学校通报传染病信息。负责学校传染病的初级预防、报告工作。适时开展相关疫苗接种。</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5、协助甲方做好饮食卫生、教学卫生、 环境卫生等工作实施业务指导和监督。</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乙方保证校医务室所售药品质量符合国家标准，免收挂号费，所售药品执行国家医保价格，诊疗费按国家规定收取。对常用药品和检查项目明码标价，挂墙公示，不得在医务室销售禁用药品、伪劣药品以及与医疗无关的产品。</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7、负责每月出一期健康专栏，指导师生自我保健。积极为师生提供健康保健及心理卫生咨询、健康教育等良好的医疗保健措施。</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 、医务室以乙方为独立责任人，不得以甲方名义与第三方签订任何合同(协议)。乙方应对医疗服务技术负责，自主经营与管理，自负盈亏。</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9、乙方不得以任何理由转包他人，并自觉遵守甲方的有关规定，接受甲方监管。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10、乙方应积极接受国家药检、卫生、物价等有关职能部门的监督指导。</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11、双方共同建立师生对医务室医疗水平、服务、 环境、收费等项目的满意度调查体系，乙方应根据师生意见和建议不断改进工作，同时将满意度纳入绩效考核方案。</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12、乙方应建立完整的医务室诊疗登记档案，所产生的记录、资料、数据属双  方所有，乙方应归档保管，乙方不得拒绝甲方管理人员对其查询、检查和影印。</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13、乙方应按卫生部门相关规范，负责对医疗垃圾、 医疗废弃物的收集与处理 工作。</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第九条 合同解除、终止和责任追究</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1、合同期满，双方无意向合作， 合同自然终止。</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2、因以下原因而终止合同，甲、乙双方应承担自己的损失，责任与对方无涉。 托管服务综合管理费按照实际服务时间计算，不足整月的按月计算。</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①因不可抗力原因致使本合同不能继续履行或造成的损失。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②因国家政策需要改造或拆除房屋，使甲、乙双方造成损失。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3、甲方有以下情形之一的，乙方有权解除合同，甲方应赔偿乙方相应经济损失。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①甲方因房屋权属瑕疵导致乙方无法开展正常工作与经营时。</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②因不可归责于乙方的原因致使房屋主体部分或全部毁损，严重影响使用的，甲方未尽房屋修缮义务。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③有第三人对租赁房屋主张权利，影响乙方房屋使用、经济收益的。</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④甲方未按合同要求提供的水、电、话、网络等基础设施，使乙方无法进行医疗活动。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4、乙方有下列行为之一的，甲方有权解除合同，收回医务室， 乙方应赔偿甲 方相应经济损失。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①未经甲方书面同意，转租(包括部分出租)、转借承租房屋。</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②未经甲方书面同意，改变房屋用途(包括超出经营项目范围)和结构。</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③利用承租房屋存放危险物品或进行违法活动。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④造成医疗事故。</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⑤未按合同相关要求，经甲方多次要求整改，而未达到预期效果。</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⑥以甲方名义与第三方签订经济、劳动以及各种社会活动合同(协议)。</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⑦由于乙方过失，对甲方造成经济损失或负面影响。</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5、合同履行期内，甲、乙任何一方如因其它原因需提前解除合同，须提前60 天书面向对方申请，得到对方同意后可以解除合同。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6、由于乙方管理不善、员工失职而造成的医疗纠纷、 医疗事故，由乙方承担 全部责任，与甲方无涉。</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7、由于乙方以及所聘员工原因对甲方造成负面影响的，乙方应承担法律责任或赔偿由此而造成的经济损失。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8、甲方应按时付给乙方服务费用，每拖延一个月，增加总费用的1%作为违约金。</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9、乙方服务未达协议要求，未按甲方要求整改到位的，每次追究服务总费用 1% 的违约金。</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第十条 补充材料、合同附件的效力：</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本合同未尽事宜，经双方协商，做作出补充规定；合同附件作为合同的有效组成部分。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与合同有关的补充规定和合同附件与本合同有同等法律效力。</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第十一条 合同纠纷的调解：</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本合同如发生纠纷，甲乙双方应友好协商，协商不成由争议方向签约地人民法院起诉。</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第十二条合同生效：</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本合同一式八份，双方各执四份，经双方签字盖章之日起生效，合约期满自然终止。乙方负责向医疗主管部门报备合同。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甲方：( 盖章)</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法定代表人：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委托代理人：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     </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联系电话：</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乙方：(盖章)</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法定代表人：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委托代理人：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w:t>
      </w:r>
      <w:r/>
    </w:p>
    <w:p>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联系电话：</w:t>
      </w:r>
      <w:r/>
    </w:p>
    <w:p>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br w:type="page" w:clear="all"/>
      </w:r>
      <w:r/>
    </w:p>
    <w:p>
      <w:pPr>
        <w:numPr>
          <w:ilvl w:val="0"/>
          <w:numId w:val="2"/>
        </w:numPr>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7"/>
      <w:r/>
      <w:bookmarkStart w:id="48" w:name="_Toc11859489"/>
      <w:r/>
      <w:r/>
    </w:p>
    <w:p>
      <w:pPr>
        <w:pStyle w:val="753"/>
        <w:numPr>
          <w:ilvl w:val="255"/>
          <w:numId w:val="0"/>
        </w:numPr>
        <w:jc w:val="both"/>
        <w:spacing w:before="0" w:after="0" w:line="360" w:lineRule="exact"/>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一、项目概况</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（一）项目名称：南京机电职业技术学院医务室第三方托管服务</w:t>
      </w:r>
      <w:r/>
    </w:p>
    <w:p>
      <w:pPr>
        <w:ind w:firstLine="480"/>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（二）服务期限：202</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月10日—202</w:t>
      </w: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年7月09日</w:t>
      </w:r>
      <w:r/>
    </w:p>
    <w:p>
      <w:pPr>
        <w:pStyle w:val="837"/>
        <w:keepLines w:val="0"/>
        <w:keepNext w:val="0"/>
        <w:pageBreakBefore w:val="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三</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项目</w:t>
      </w:r>
      <w:r>
        <w:rPr>
          <w:rFonts w:hint="eastAsia" w:ascii="宋体" w:hAnsi="宋体" w:eastAsia="宋体"/>
          <w:b w:val="0"/>
          <w:bCs w:val="0"/>
          <w:color w:val="000000"/>
          <w:sz w:val="24"/>
          <w:szCs w:val="24"/>
          <w:highlight w:val="none"/>
          <w:lang w:val="en-US" w:eastAsia="zh-CN"/>
        </w:rPr>
        <w:t xml:space="preserve">预算：50万元/年</w:t>
      </w:r>
      <w:r/>
    </w:p>
    <w:p>
      <w:pPr>
        <w:pStyle w:val="837"/>
        <w:keepLines w:val="0"/>
        <w:keepNext w:val="0"/>
        <w:pageBreakBefore w:val="0"/>
        <w:spacing w:line="360" w:lineRule="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二、投标人的医疗资格要求：</w:t>
      </w:r>
      <w:r/>
    </w:p>
    <w:p>
      <w:pPr>
        <w:pStyle w:val="837"/>
        <w:keepLines w:val="0"/>
        <w:keepNext w:val="0"/>
        <w:pageBreakBefore w:val="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rPr>
        <w:t xml:space="preserve">（一）</w:t>
      </w:r>
      <w:r>
        <w:rPr>
          <w:rFonts w:hint="eastAsia" w:ascii="宋体" w:hAnsi="宋体" w:eastAsia="宋体"/>
          <w:color w:val="000000"/>
          <w:sz w:val="24"/>
          <w:szCs w:val="24"/>
          <w:lang w:val="en-US" w:eastAsia="zh-CN"/>
        </w:rPr>
        <w:t xml:space="preserve">具有有效的医疗机构执业许可证：</w:t>
      </w:r>
      <w:r/>
    </w:p>
    <w:p>
      <w:pPr>
        <w:pStyle w:val="837"/>
        <w:keepLines w:val="0"/>
        <w:keepNext w:val="0"/>
        <w:pageBreakBefore w:val="0"/>
        <w:spacing w:line="360" w:lineRule="auto"/>
        <w:rPr>
          <w:rFonts w:hint="eastAsia" w:ascii="宋体" w:hAnsi="宋体" w:eastAsia="宋体"/>
          <w:color w:val="auto"/>
          <w:sz w:val="24"/>
          <w:szCs w:val="24"/>
          <w:lang w:val="en-US" w:eastAsia="zh-CN"/>
        </w:rPr>
      </w:pPr>
      <w:r>
        <w:rPr>
          <w:rFonts w:hint="eastAsia" w:ascii="宋体" w:hAnsi="宋体" w:eastAsia="宋体"/>
          <w:color w:val="000000"/>
          <w:sz w:val="24"/>
          <w:szCs w:val="24"/>
        </w:rPr>
        <w:t xml:space="preserve">（二）</w:t>
      </w:r>
      <w:r>
        <w:rPr>
          <w:rFonts w:hint="eastAsia" w:ascii="宋体" w:hAnsi="宋体" w:eastAsia="宋体"/>
          <w:color w:val="auto"/>
          <w:sz w:val="24"/>
          <w:szCs w:val="24"/>
          <w:lang w:val="en-US" w:eastAsia="zh-CN"/>
        </w:rPr>
        <w:t xml:space="preserve">具有公立一级医院及以上资格(提供营业执照及一级医院证明)</w:t>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三</w:t>
      </w:r>
      <w:r>
        <w:rPr>
          <w:rFonts w:hint="eastAsia" w:ascii="宋体" w:hAnsi="宋体" w:eastAsia="宋体"/>
          <w:b/>
          <w:bCs/>
          <w:color w:val="000000"/>
          <w:sz w:val="24"/>
          <w:szCs w:val="24"/>
        </w:rPr>
        <w:t xml:space="preserve">、服务项目需求</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（一）南京机电职业技术学院医务室设立在高淳校区，提供医疗机构执业许可证、办公需要的医疗用房、基本办公设备。</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（二）医疗卫生服务工作必须按照国家对高等学校医疗保健的有关规定和卫生部门对医疗保健管理的相关要求，遵守相关的法律法规，为学校提供规范化的医疗卫生服务。</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（三）安排在学校医务室工作的医务人员必须具有相应执业资格，安排的医务人员的工资报酬及劳保、保险等一切福利待遇，由中标方负责承担。</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（四）根据高校医疗保健工作需要，按国家有关规定给医务室配备常规医疗设备和抢救设施(所有权归中标方所有)。中标方必须确保配备的上述医疗设备符合国家相关卫生标准、质量标准。</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五）提供全年24小时医疗服务，保证白天有3名医务人员在岗（至少1名执业医师），晚上有2名医务人员在岗（至少1名执业医师），并根据学校教学作息时间具体安排服务时间。工作期间，医务人员不得擅自离岗。</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六）保证医务室（医保定点窗口）售药品质量符合国家标准，药品价格按要求实行零差价，免收挂号费。诊疗费按国家规定收取，各项医疗收费、药品价格及管理制度明示上墙。认真执行国家各种卫生法规，并自觉遵守</w:t>
      </w:r>
      <w:r>
        <w:rPr>
          <w:rFonts w:hint="eastAsia" w:ascii="宋体" w:hAnsi="宋体" w:eastAsia="宋体"/>
          <w:color w:val="000000"/>
          <w:sz w:val="24"/>
          <w:szCs w:val="24"/>
          <w:lang w:eastAsia="zh-CN"/>
        </w:rPr>
        <w:t xml:space="preserve">招标人</w:t>
      </w:r>
      <w:r>
        <w:rPr>
          <w:rFonts w:hint="eastAsia" w:ascii="宋体" w:hAnsi="宋体" w:eastAsia="宋体"/>
          <w:color w:val="000000"/>
          <w:sz w:val="24"/>
          <w:szCs w:val="24"/>
        </w:rPr>
        <w:t xml:space="preserve">各项规章制度。</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（七）在服务期内，不得以任何理由将本校的医疗卫生服务内容向第三方机构或个人进行转包或分包。</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（八）主要负责常见病，多发病的诊断、治疗工作。开展常规治疗，对不能救治的急、重症病人应及时转诊，并通知</w:t>
      </w:r>
      <w:r>
        <w:rPr>
          <w:rFonts w:hint="eastAsia" w:ascii="宋体" w:hAnsi="宋体" w:eastAsia="宋体"/>
          <w:color w:val="000000"/>
          <w:sz w:val="24"/>
          <w:szCs w:val="24"/>
          <w:lang w:eastAsia="zh-CN"/>
        </w:rPr>
        <w:t xml:space="preserve">招标人</w:t>
      </w:r>
      <w:r>
        <w:rPr>
          <w:rFonts w:hint="eastAsia" w:ascii="宋体" w:hAnsi="宋体" w:eastAsia="宋体"/>
          <w:color w:val="000000"/>
          <w:sz w:val="24"/>
          <w:szCs w:val="24"/>
        </w:rPr>
        <w:t xml:space="preserve">管理部门。负责大病就医绿色通道的建立，危急重病人由医护人员陪同就诊，先行治疗，确保安全第一。在医疗服务过程中发生的医疗纠纷、医疗事故等责任，由中标方完全承担法律和赔偿责任。</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九）建立健全传染病的防控机制和突发共公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（十）医务人员免费使用水电，必须严格遵守《南京机电职业技术学院水电管理办法》的规定，严禁使用大功率电器，</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承担超计划使用的水、电、通讯等费用。</w:t>
      </w:r>
      <w:r/>
    </w:p>
    <w:p>
      <w:pPr>
        <w:ind w:firstLine="480"/>
        <w:keepLines w:val="0"/>
        <w:keepNext w:val="0"/>
        <w:pageBreakBefore w:val="0"/>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（十一）为学校的各类大型活动（军训、运动会、省赛、国赛、各项考试等）提供医疗保障</w:t>
      </w:r>
      <w:r>
        <w:rPr>
          <w:rFonts w:hint="eastAsia" w:ascii="宋体" w:hAnsi="宋体" w:eastAsia="宋体"/>
          <w:color w:val="000000"/>
          <w:sz w:val="24"/>
          <w:szCs w:val="24"/>
          <w:lang w:eastAsia="zh-CN"/>
        </w:rPr>
        <w:t xml:space="preserve">，</w:t>
      </w:r>
      <w:r>
        <w:rPr>
          <w:rFonts w:ascii="宋体" w:hAnsi="宋体" w:eastAsia="宋体" w:cs="宋体"/>
          <w:color w:val="auto"/>
          <w:sz w:val="24"/>
          <w:szCs w:val="24"/>
        </w:rPr>
        <w:t xml:space="preserve">每年免费提供3次大型活动所需急救车服务</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（十二）新生体检费和体检项目按照《江苏省高等学校服务性收费和代收费管理暂行办法》执行。</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（十三）其他服务：</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能免费为师生提供生命安全教育（如：艾滋病宣传教育、急救知识培训等）能免费提供心电图设备，血、尿常规检查设备。</w:t>
      </w:r>
      <w:r/>
    </w:p>
    <w:p>
      <w:pPr>
        <w:numPr>
          <w:ilvl w:val="0"/>
          <w:numId w:val="3"/>
        </w:numPr>
        <w:ind w:firstLine="480"/>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南京机电职业技术学院高淳新校区医务室的注册年审（诊疗业务范围）等事项。</w:t>
      </w:r>
      <w:r/>
    </w:p>
    <w:p>
      <w:pPr>
        <w:numPr>
          <w:ilvl w:val="0"/>
          <w:numId w:val="0"/>
        </w:numPr>
        <w:ind w:firstLine="480"/>
        <w:keepLines w:val="0"/>
        <w:keepNext w:val="0"/>
        <w:pageBreakBefore w:val="0"/>
        <w:spacing w:line="360" w:lineRule="auto"/>
        <w:rPr>
          <w:rFonts w:eastAsia="宋体"/>
          <w:color w:val="000000"/>
        </w:rPr>
      </w:pPr>
      <w:r>
        <w:rPr>
          <w:rFonts w:hint="eastAsia" w:ascii="宋体" w:hAnsi="宋体" w:eastAsia="宋体"/>
          <w:color w:val="000000"/>
          <w:sz w:val="24"/>
          <w:szCs w:val="24"/>
        </w:rPr>
        <w:t xml:space="preserve">（十五）大学生医保参保工作需求。新生入学后对接市医保中心组织新生及复学学生参保续保工作、因医保卡未及时开通或异地就医等特殊情况导致的未刷卡就医学生的零星报销业务。</w:t>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四</w:t>
      </w:r>
      <w:r>
        <w:rPr>
          <w:rFonts w:hint="eastAsia" w:ascii="宋体" w:hAnsi="宋体" w:eastAsia="宋体"/>
          <w:b/>
          <w:bCs/>
          <w:color w:val="000000"/>
          <w:sz w:val="24"/>
          <w:szCs w:val="24"/>
        </w:rPr>
        <w:t xml:space="preserve">、招标预算及报价说明</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报价是根据招标文件所确定的管理服务范围内的全部工作人员和内容的价格体现，是为完成招标文件规定的服务管理工作所涉及到的一切费用。包括但不仅限于人员费用（12个月工资、全年福利、培训、体检、社会保险、加班费等）</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服务所用设备、工具购置及维护费用，服务所用材料消耗费用、管理费用、利润、税金等支出。招标文件未列明，而</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认为必需的费用也需列入报价。</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（二）报价是一年价格，本报价必须充分考虑所有可能影响到报价的价格因素，一旦投标结束最终成交，总价将包定，合同期内一般不予调整。如发生漏、缺、少项，都将被认为是</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的报价让利行为。</w:t>
      </w:r>
      <w:bookmarkStart w:id="49" w:name="_Hlk153806354"/>
      <w:r/>
      <w:bookmarkEnd w:id="49"/>
      <w:r/>
    </w:p>
    <w:p>
      <w:pPr>
        <w:ind w:firstLine="482"/>
        <w:keepLines w:val="0"/>
        <w:keepNext w:val="0"/>
        <w:pageBreakBefore w:val="0"/>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五</w:t>
      </w:r>
      <w:r>
        <w:rPr>
          <w:rFonts w:hint="eastAsia" w:ascii="宋体" w:hAnsi="宋体" w:eastAsia="宋体"/>
          <w:b/>
          <w:bCs/>
          <w:color w:val="000000"/>
          <w:sz w:val="24"/>
          <w:szCs w:val="24"/>
        </w:rPr>
        <w:t xml:space="preserve">、其他要求</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须遵守国家政策法规，自行承担引进服务中的所有法律、经济责任</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负责门前“三包”</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在服务过程中发生的一切债权和债务由</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负责。</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用工必须符合《劳动法》相关规定，负责管理用工并承担他们的一切费用（含工资、福利、及人身伤亡事故赔偿等）。 </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（四）</w:t>
      </w:r>
      <w:r>
        <w:rPr>
          <w:rFonts w:ascii="宋体" w:hAnsi="宋体" w:eastAsia="宋体"/>
          <w:bCs/>
          <w:color w:val="000000"/>
          <w:sz w:val="24"/>
          <w:szCs w:val="24"/>
          <w:lang w:val="en-US"/>
        </w:rPr>
        <w:t xml:space="preserve">须严格遵守学校的各项规章制度，必须无条件的接受</w:t>
      </w:r>
      <w:r>
        <w:rPr>
          <w:rFonts w:hint="eastAsia" w:ascii="宋体" w:hAnsi="宋体" w:eastAsia="宋体"/>
          <w:bCs/>
          <w:color w:val="000000"/>
          <w:sz w:val="24"/>
          <w:szCs w:val="24"/>
          <w:lang w:val="en-US" w:eastAsia="zh-CN"/>
        </w:rPr>
        <w:t xml:space="preserve">招标人</w:t>
      </w:r>
      <w:r>
        <w:rPr>
          <w:rFonts w:ascii="宋体" w:hAnsi="宋体" w:eastAsia="宋体"/>
          <w:bCs/>
          <w:color w:val="000000"/>
          <w:sz w:val="24"/>
          <w:szCs w:val="24"/>
          <w:lang w:val="en-US"/>
        </w:rPr>
        <w:t xml:space="preserve">对</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的综合考核及处罚。</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（五）</w:t>
      </w:r>
      <w:r>
        <w:rPr>
          <w:rFonts w:hint="eastAsia" w:ascii="宋体" w:hAnsi="宋体" w:eastAsia="宋体"/>
          <w:bCs/>
          <w:color w:val="000000"/>
          <w:sz w:val="24"/>
          <w:szCs w:val="24"/>
          <w:lang w:val="en-US" w:eastAsia="zh-CN"/>
        </w:rPr>
        <w:t xml:space="preserve">招标人</w:t>
      </w:r>
      <w:r>
        <w:rPr>
          <w:rFonts w:ascii="宋体" w:hAnsi="宋体" w:eastAsia="宋体"/>
          <w:bCs/>
          <w:color w:val="000000"/>
          <w:sz w:val="24"/>
          <w:szCs w:val="24"/>
          <w:lang w:val="en-US"/>
        </w:rPr>
        <w:t xml:space="preserve">有权监督</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的服务项目和服务活动。</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（六）协议期满前及协议期满后终止协议的处理方式：</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1、</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如不能提供正常医疗服务、违反相约的医疗收费规定或出现重大医疗责任事故（以医疗事故鉴定为准）</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eastAsia="zh-CN"/>
        </w:rPr>
        <w:t xml:space="preserve">投标人</w:t>
      </w:r>
      <w:r>
        <w:rPr>
          <w:rFonts w:hint="eastAsia" w:ascii="宋体" w:hAnsi="宋体" w:eastAsia="宋体" w:cs="Times New Roman"/>
          <w:bCs/>
          <w:color w:val="000000"/>
          <w:sz w:val="24"/>
          <w:szCs w:val="24"/>
        </w:rPr>
        <w:t xml:space="preserve">须给受害者提供相应的补偿，</w:t>
      </w:r>
      <w:r>
        <w:rPr>
          <w:rFonts w:hint="eastAsia" w:ascii="宋体" w:hAnsi="宋体" w:eastAsia="宋体" w:cs="Times New Roman"/>
          <w:bCs/>
          <w:color w:val="000000"/>
          <w:sz w:val="24"/>
          <w:szCs w:val="24"/>
          <w:lang w:eastAsia="zh-CN"/>
        </w:rPr>
        <w:t xml:space="preserve">招标人</w:t>
      </w:r>
      <w:r>
        <w:rPr>
          <w:rFonts w:hint="eastAsia" w:ascii="宋体" w:hAnsi="宋体" w:eastAsia="宋体" w:cs="Times New Roman"/>
          <w:bCs/>
          <w:color w:val="000000"/>
          <w:sz w:val="24"/>
          <w:szCs w:val="24"/>
        </w:rPr>
        <w:t xml:space="preserve">有权终止与</w:t>
      </w:r>
      <w:r>
        <w:rPr>
          <w:rFonts w:hint="eastAsia" w:ascii="宋体" w:hAnsi="宋体" w:eastAsia="宋体" w:cs="Times New Roman"/>
          <w:bCs/>
          <w:color w:val="000000"/>
          <w:sz w:val="24"/>
          <w:szCs w:val="24"/>
          <w:lang w:eastAsia="zh-CN"/>
        </w:rPr>
        <w:t xml:space="preserve">投标人</w:t>
      </w:r>
      <w:r>
        <w:rPr>
          <w:rFonts w:hint="eastAsia" w:ascii="宋体" w:hAnsi="宋体" w:eastAsia="宋体"/>
          <w:bCs/>
          <w:color w:val="000000"/>
          <w:sz w:val="24"/>
          <w:szCs w:val="24"/>
          <w:lang w:val="en-US"/>
        </w:rPr>
        <w:t xml:space="preserve">的合作。</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2、合作期满或按规定中止后，</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有权收回房屋。</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应在5日内自行撤除自有设备、设施及一切物品。如超出约定期限，</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有处置留存物品的权利，由此造成的损失（费用）由</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承担。</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3、</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与</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签订合作协议后，在协议履行过程中若一方提出解除协议，需提前三个月预先通知对方，并承担相应违约责任。</w:t>
      </w:r>
      <w:r/>
    </w:p>
    <w:p>
      <w:pPr>
        <w:ind w:firstLine="482"/>
        <w:keepLines w:val="0"/>
        <w:keepNext w:val="0"/>
        <w:pageBreakBefore w:val="0"/>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eastAsia="zh-CN"/>
        </w:rPr>
        <w:t xml:space="preserve">六</w:t>
      </w:r>
      <w:r>
        <w:rPr>
          <w:rFonts w:hint="eastAsia" w:ascii="宋体" w:hAnsi="宋体" w:eastAsia="宋体"/>
          <w:b/>
          <w:bCs/>
          <w:color w:val="000000"/>
          <w:sz w:val="24"/>
          <w:szCs w:val="24"/>
          <w:lang w:val="en-US"/>
        </w:rPr>
        <w:t xml:space="preserve">、付款方式</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年度</w:t>
      </w:r>
      <w:r>
        <w:rPr>
          <w:rFonts w:hint="eastAsia" w:ascii="宋体" w:hAnsi="宋体" w:eastAsia="宋体"/>
          <w:bCs/>
          <w:color w:val="000000"/>
          <w:sz w:val="24"/>
          <w:szCs w:val="24"/>
          <w:lang w:val="en-US"/>
        </w:rPr>
        <w:t xml:space="preserve">服务费分二次支付。每学期开学后一月内，</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支付年度总服务费用的50％。</w:t>
      </w:r>
      <w:r/>
    </w:p>
    <w:p>
      <w:pPr>
        <w:keepLines w:val="0"/>
        <w:keepNext w:val="0"/>
        <w:pageBreakBefore w:val="0"/>
        <w:spacing w:line="360" w:lineRule="auto"/>
        <w:shd w:val="clear" w:color="auto" w:fill="ffffff"/>
        <w:widowControl/>
        <w:rPr>
          <w:rFonts w:ascii="宋体" w:hAnsi="宋体" w:eastAsia="宋体"/>
          <w:b/>
          <w:bCs/>
          <w:color w:val="000000"/>
          <w:sz w:val="24"/>
          <w:szCs w:val="24"/>
          <w:lang w:val="en-US"/>
        </w:rPr>
      </w:pPr>
      <w:r>
        <w:rPr>
          <w:rFonts w:hint="eastAsia" w:ascii="宋体" w:hAnsi="宋体" w:eastAsia="宋体"/>
          <w:bCs/>
          <w:color w:val="000000"/>
          <w:sz w:val="24"/>
          <w:szCs w:val="24"/>
          <w:lang w:val="en-US"/>
        </w:rPr>
        <w:t xml:space="preserve">    </w:t>
      </w:r>
      <w:r>
        <w:rPr>
          <w:rFonts w:hint="eastAsia" w:ascii="宋体" w:hAnsi="宋体" w:eastAsia="宋体"/>
          <w:b/>
          <w:bCs/>
          <w:color w:val="000000"/>
          <w:sz w:val="24"/>
          <w:szCs w:val="24"/>
          <w:lang w:val="en-US" w:eastAsia="zh-CN"/>
        </w:rPr>
        <w:t xml:space="preserve">七</w:t>
      </w:r>
      <w:r>
        <w:rPr>
          <w:rFonts w:hint="eastAsia" w:ascii="宋体" w:hAnsi="宋体" w:eastAsia="宋体"/>
          <w:b/>
          <w:bCs/>
          <w:color w:val="000000"/>
          <w:sz w:val="24"/>
          <w:szCs w:val="24"/>
          <w:lang w:val="en-US"/>
        </w:rPr>
        <w:t xml:space="preserve">、特别说明</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必须接受</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的管理与监督检查，为</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的管理与监督检查提供便利条件，对</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提出的整改措施必须予以服从。</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应提供优质的服务及便利的措施，以便更好地服务于</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（三）由于政府及相关部门原因或其他不可抗力导致停电、停水等情况的，</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不承担任何责任。</w:t>
      </w:r>
      <w:r/>
    </w:p>
    <w:p>
      <w:pPr>
        <w:ind w:firstLine="480"/>
        <w:keepLines w:val="0"/>
        <w:keepNext w:val="0"/>
        <w:pageBreakBefore w:val="0"/>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（四）</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如有下列违约事项，</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可单方面终止合同，并承担给</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造成的相应的损失：</w:t>
      </w:r>
      <w:r/>
    </w:p>
    <w:p>
      <w:pPr>
        <w:ind w:firstLine="480"/>
        <w:keepLines w:val="0"/>
        <w:keepNext w:val="0"/>
        <w:pageBreakBefore w:val="0"/>
        <w:spacing w:line="360" w:lineRule="auto"/>
        <w:shd w:val="clear" w:color="auto" w:fill="ffffff"/>
        <w:rPr>
          <w:rFonts w:hint="default" w:ascii="宋体" w:hAnsi="宋体" w:eastAsia="宋体" w:cs="宋体"/>
          <w:b/>
          <w:bCs/>
          <w:color w:val="auto"/>
          <w:sz w:val="24"/>
          <w:szCs w:val="24"/>
          <w:lang w:eastAsia="zh-CN"/>
        </w:rPr>
      </w:pPr>
      <w:r>
        <w:rPr>
          <w:rFonts w:hint="eastAsia" w:ascii="宋体" w:hAnsi="宋体" w:eastAsia="宋体"/>
          <w:bCs/>
          <w:color w:val="000000"/>
          <w:sz w:val="24"/>
          <w:szCs w:val="24"/>
          <w:lang w:val="en-US"/>
        </w:rPr>
        <w:t xml:space="preserve">1、未经</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同意擅自停业；</w:t>
      </w:r>
      <w:r>
        <w:rPr>
          <w:rFonts w:hint="eastAsia" w:ascii="宋体" w:hAnsi="宋体" w:eastAsia="宋体"/>
          <w:bCs/>
          <w:color w:val="000000"/>
          <w:sz w:val="24"/>
          <w:szCs w:val="24"/>
          <w:lang w:val="en-US"/>
        </w:rPr>
        <w:br/>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 xml:space="preserve">2</w:t>
      </w:r>
      <w:r>
        <w:rPr>
          <w:rFonts w:hint="eastAsia" w:ascii="宋体" w:hAnsi="宋体" w:eastAsia="宋体"/>
          <w:bCs/>
          <w:color w:val="000000"/>
          <w:sz w:val="24"/>
          <w:szCs w:val="24"/>
          <w:lang w:val="en-US"/>
        </w:rPr>
        <w:t xml:space="preserve">、服务场所内发生重大医疗事故；</w:t>
      </w:r>
      <w:r>
        <w:rPr>
          <w:rFonts w:hint="eastAsia" w:ascii="宋体" w:hAnsi="宋体" w:eastAsia="宋体"/>
          <w:bCs/>
          <w:color w:val="000000"/>
          <w:sz w:val="24"/>
          <w:szCs w:val="24"/>
          <w:lang w:val="en-US"/>
        </w:rPr>
        <w:br/>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 xml:space="preserve">3</w:t>
      </w:r>
      <w:r>
        <w:rPr>
          <w:rFonts w:hint="eastAsia" w:ascii="宋体" w:hAnsi="宋体" w:eastAsia="宋体"/>
          <w:bCs/>
          <w:color w:val="000000"/>
          <w:sz w:val="24"/>
          <w:szCs w:val="24"/>
          <w:lang w:val="en-US"/>
        </w:rPr>
        <w:t xml:space="preserve">、中途转包、分包、转让、转租、分租。</w:t>
      </w:r>
      <w:r/>
    </w:p>
    <w:p>
      <w:r>
        <w:rPr>
          <w:rFonts w:hint="eastAsia"/>
        </w:rPr>
        <w:br w:type="page" w:clear="all"/>
      </w:r>
      <w:r/>
    </w:p>
    <w:p>
      <w:pPr>
        <w:pStyle w:val="718"/>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8"/>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120614281"/>
      <w:r/>
      <w:bookmarkStart w:id="51" w:name="_Toc49090575"/>
      <w:r/>
      <w:bookmarkStart w:id="52"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69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260"/>
        <w:gridCol w:w="6195"/>
        <w:gridCol w:w="706"/>
      </w:tblGrid>
      <w:tr>
        <w:trPr>
          <w:jc w:val="center"/>
          <w:trHeight w:val="589"/>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分值</w:t>
            </w:r>
            <w:r/>
          </w:p>
        </w:tc>
      </w:tr>
      <w:tr>
        <w:trPr>
          <w:jc w:val="center"/>
          <w:trHeight w:val="195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right w:val="single" w:color="auto" w:sz="4" w:space="0"/>
            </w:tcBorders>
            <w:tcW w:w="70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bCs/>
                <w:sz w:val="24"/>
                <w:szCs w:val="24"/>
              </w:rPr>
              <w:t xml:space="preserve">价格分采用低价优先法计算，即满足采购文件要求且投标价格最低的</w:t>
            </w:r>
            <w:r>
              <w:rPr>
                <w:rFonts w:hint="eastAsia" w:asciiTheme="minorEastAsia" w:hAnsi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投标报价为评标基准价，其价格分为满分</w:t>
            </w:r>
            <w:r>
              <w:rPr>
                <w:rFonts w:hint="eastAsia" w:asciiTheme="minorEastAsia" w:hAnsiTheme="minorEastAsia" w:cstheme="minorEastAsia"/>
                <w:bCs/>
                <w:sz w:val="24"/>
                <w:szCs w:val="24"/>
                <w:lang w:val="en-US" w:eastAsia="zh-CN"/>
              </w:rPr>
              <w:t xml:space="preserve">20</w:t>
            </w:r>
            <w:r>
              <w:rPr>
                <w:rFonts w:hint="eastAsia" w:asciiTheme="minorEastAsia" w:hAnsiTheme="minorEastAsia" w:eastAsiaTheme="minorEastAsia" w:cstheme="minorEastAsia"/>
                <w:bCs/>
                <w:sz w:val="24"/>
                <w:szCs w:val="24"/>
              </w:rPr>
              <w:t xml:space="preserve">分，其它投标人的价格分统一按照以下公式计算：</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投标报价得分=（评标基准价/该投标人的投标报价）×</w:t>
            </w:r>
            <w:r>
              <w:rPr>
                <w:rFonts w:hint="eastAsia" w:asciiTheme="minorEastAsia" w:hAnsiTheme="minorEastAsia" w:eastAsiaTheme="minorEastAsia" w:cstheme="minorEastAsia"/>
                <w:bCs/>
                <w:sz w:val="24"/>
                <w:szCs w:val="24"/>
                <w:lang w:val="en-US" w:eastAsia="zh-CN"/>
              </w:rPr>
              <w:t xml:space="preserve">20</w:t>
            </w:r>
            <w:r>
              <w:rPr>
                <w:rFonts w:hint="eastAsia" w:asciiTheme="minorEastAsia" w:hAnsiTheme="minorEastAsia" w:eastAsiaTheme="minorEastAsia" w:cstheme="minorEastAsia"/>
                <w:bCs/>
                <w:sz w:val="24"/>
                <w:szCs w:val="24"/>
              </w:rPr>
              <w:t xml:space="preserve">分。分值保留小数点后2位。</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政府采购评审中出现下列情形之一的，评审委员会应当启动异常低价响应审查程序：</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（1）响应报价低于全部通过符合性审查供应商响应报价平均值50%的，即响应报价&lt;全部通过符合性审查供应商响应报价平均值×50%；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（2）响应报价低于通过符合性审查的次低报价供应商响应报价50%的，即响应报价&lt;通过符合性审查的次低报价供应商响应报价×50%；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（3）响应报价低于采购项目最高限价45%的，即响应报价&lt;采购项目最高限价×45%；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（4）评审委员会基于专业判断，认为供应商报价过低，有可能影响产品质量或者不能诚信履约的其他情形。</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20</w:t>
            </w:r>
            <w:r/>
          </w:p>
        </w:tc>
      </w:tr>
      <w:tr>
        <w:trPr>
          <w:jc w:val="center"/>
          <w:trHeight w:val="2705"/>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服务方案</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48</w:t>
            </w:r>
            <w:r>
              <w:rPr>
                <w:rFonts w:hint="eastAsia" w:asciiTheme="minorEastAsia" w:hAnsiTheme="minorEastAsia" w:eastAsiaTheme="minorEastAsia" w:cstheme="minorEastAsia"/>
                <w:sz w:val="24"/>
                <w:szCs w:val="24"/>
              </w:rPr>
              <w:t xml:space="preserve">分）</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2.1总体实施方案</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投标人应根据招标文件要求提供具体详实的</w:t>
            </w:r>
            <w:r>
              <w:rPr>
                <w:rFonts w:hint="eastAsia" w:asciiTheme="minorEastAsia" w:hAnsiTheme="minorEastAsia" w:eastAsiaTheme="minorEastAsia" w:cstheme="minorEastAsia"/>
                <w:bCs/>
                <w:sz w:val="24"/>
                <w:szCs w:val="24"/>
              </w:rPr>
              <w:t xml:space="preserve">总体实施方案。</w:t>
            </w:r>
            <w:r>
              <w:rPr>
                <w:rFonts w:hint="eastAsia" w:asciiTheme="minorEastAsia" w:hAnsiTheme="minorEastAsia" w:eastAsiaTheme="minorEastAsia" w:cstheme="minorEastAsia"/>
                <w:sz w:val="24"/>
                <w:szCs w:val="24"/>
              </w:rPr>
              <w:t xml:space="preserve">包括不限于医务室管理工作安排、医务室卫生消毒管理、医用废弃物处理等工作的实施。</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2752"/>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2.2学生的入学体检工作方案</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投标人应制订</w:t>
            </w:r>
            <w:r>
              <w:rPr>
                <w:rFonts w:hint="eastAsia" w:asciiTheme="minorEastAsia" w:hAnsiTheme="minorEastAsia" w:eastAsiaTheme="minorEastAsia" w:cstheme="minorEastAsia"/>
                <w:iCs/>
                <w:sz w:val="24"/>
                <w:szCs w:val="24"/>
              </w:rPr>
              <w:t xml:space="preserve">学生的入学体检工作方案</w:t>
            </w:r>
            <w:r>
              <w:rPr>
                <w:rFonts w:hint="eastAsia" w:asciiTheme="minorEastAsia" w:hAnsiTheme="minorEastAsia" w:eastAsiaTheme="minorEastAsia" w:cstheme="minorEastAsia"/>
                <w:sz w:val="24"/>
                <w:szCs w:val="24"/>
              </w:rPr>
              <w:t xml:space="preserve">，包括不限于体检医务人员组织、医疗咨询、体检所需设备仪器、体检异常数据反馈、体检健康档案建立等。</w:t>
            </w:r>
            <w:r/>
          </w:p>
          <w:p>
            <w:pPr>
              <w:jc w:val="both"/>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bidi="ar"/>
              </w:rPr>
              <w:t xml:space="preserve">方案全面、组织安排合理、可行性强的，得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分；方案较为全面、较为组织合理、可行性较强的，得5分；方案略有欠缺，可行性还需完善的，得2分；不提供不得分。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4165"/>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2.3校内医疗应急服务方案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投标人应针对本项目特点，制订校内医疗应急服务方案，围绕项目实施全流程，涵盖风险预判、应急响应机制、标准化处置流程及善后保障措施等核心要素。包括不限于托管服务过程中出现的</w:t>
            </w:r>
            <w:r>
              <w:rPr>
                <w:rFonts w:hint="eastAsia" w:asciiTheme="minorEastAsia" w:hAnsiTheme="minorEastAsia" w:eastAsiaTheme="minorEastAsia" w:cstheme="minorEastAsia"/>
                <w:iCs/>
                <w:sz w:val="24"/>
                <w:szCs w:val="24"/>
              </w:rPr>
              <w:t xml:space="preserve">急、重症病人抢救与转诊、传染病突发、食物中毒、公共卫生突发事件对应措施</w:t>
            </w:r>
            <w:r>
              <w:rPr>
                <w:rFonts w:hint="eastAsia" w:asciiTheme="minorEastAsia" w:hAnsiTheme="minorEastAsia" w:eastAsiaTheme="minorEastAsia" w:cstheme="minorEastAsia"/>
                <w:bCs/>
                <w:sz w:val="24"/>
                <w:szCs w:val="24"/>
              </w:rPr>
              <w:t xml:space="preserve">、医疗事故处理、突发事件人员调动及响应时间、</w:t>
            </w:r>
            <w:r>
              <w:rPr>
                <w:rFonts w:hint="eastAsia" w:asciiTheme="minorEastAsia" w:hAnsiTheme="minorEastAsia" w:eastAsiaTheme="minorEastAsia" w:cstheme="minorEastAsia"/>
                <w:iCs/>
                <w:sz w:val="24"/>
                <w:szCs w:val="24"/>
              </w:rPr>
              <w:t xml:space="preserve">大病就医绿色通道建立</w:t>
            </w:r>
            <w:r>
              <w:rPr>
                <w:rFonts w:hint="eastAsia" w:asciiTheme="minorEastAsia" w:hAnsiTheme="minorEastAsia" w:eastAsiaTheme="minorEastAsia" w:cstheme="minorEastAsia"/>
                <w:bCs/>
                <w:sz w:val="24"/>
                <w:szCs w:val="24"/>
              </w:rPr>
              <w:t xml:space="preserve">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1408"/>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2.4</w:t>
            </w:r>
            <w:r>
              <w:rPr>
                <w:rFonts w:hint="eastAsia" w:asciiTheme="minorEastAsia" w:hAnsiTheme="minorEastAsia" w:eastAsiaTheme="minorEastAsia" w:cstheme="minorEastAsia"/>
                <w:b/>
                <w:bCs/>
                <w:sz w:val="24"/>
                <w:szCs w:val="24"/>
              </w:rPr>
              <w:t xml:space="preserve">内部管理制度</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Cs/>
                <w:sz w:val="24"/>
                <w:szCs w:val="24"/>
              </w:rPr>
              <w:t xml:space="preserve">投标人应根据招标文件要求及本项目特点，制订内部管理制度。包括不限于服务管理制度、岗位制度、人员考核及培训制度等。方</w:t>
            </w:r>
            <w:r>
              <w:rPr>
                <w:rFonts w:hint="eastAsia" w:asciiTheme="minorEastAsia" w:hAnsiTheme="minorEastAsia" w:eastAsiaTheme="minorEastAsia" w:cstheme="minorEastAsia"/>
                <w:sz w:val="24"/>
                <w:szCs w:val="24"/>
                <w:lang w:bidi="ar"/>
              </w:rPr>
              <w:t xml:space="preserve">案全面、科学合理、可行性强的，得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分；方案较为全面、较为科学合理、可行性较强的，得</w:t>
            </w:r>
            <w:r>
              <w:rPr>
                <w:rFonts w:hint="eastAsia" w:asciiTheme="minorEastAsia" w:hAnsiTheme="minorEastAsia" w:eastAsia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分；方案略有欠缺，可行性还需完善的，得</w:t>
            </w:r>
            <w:r>
              <w:rPr>
                <w:rFonts w:hint="eastAsia" w:asciiTheme="minorEastAsia" w:hAnsiTheme="minorEastAsia" w:eastAsia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775"/>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2.5药品与医疗设备保障方案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药品与医疗设备保障方案。包括不限于①常用药、急救药配备、药品进货渠道、药品保管制度、发药记录等②拟投入设备情况（如血压计、急救箱、氧气袋、AED等）、提供拟投入设备清单、品牌、型号、市场价格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方</w:t>
            </w:r>
            <w:r>
              <w:rPr>
                <w:rFonts w:hint="eastAsia" w:asciiTheme="minorEastAsia" w:hAnsiTheme="minorEastAsia" w:eastAsiaTheme="minorEastAsia" w:cstheme="minorEastAsia"/>
                <w:sz w:val="24"/>
                <w:szCs w:val="24"/>
                <w:lang w:bidi="ar"/>
              </w:rPr>
              <w:t xml:space="preserve">案全面、科学合理、</w:t>
            </w:r>
            <w:r>
              <w:rPr>
                <w:rFonts w:hint="eastAsia" w:asciiTheme="minorEastAsia" w:hAnsiTheme="minorEastAsia" w:eastAsiaTheme="minorEastAsia" w:cstheme="minorEastAsia"/>
                <w:sz w:val="24"/>
                <w:szCs w:val="24"/>
              </w:rPr>
              <w:t xml:space="preserve">管理规范、保障力强</w:t>
            </w:r>
            <w:r>
              <w:rPr>
                <w:rFonts w:hint="eastAsia" w:asciiTheme="minorEastAsia" w:hAnsiTheme="minorEastAsia" w:eastAsiaTheme="minorEastAsia" w:cstheme="minorEastAsia"/>
                <w:sz w:val="24"/>
                <w:szCs w:val="24"/>
                <w:lang w:bidi="ar"/>
              </w:rPr>
              <w:t xml:space="preserve">，得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w:t>
            </w:r>
            <w:r>
              <w:rPr>
                <w:rFonts w:hint="eastAsia" w:asciiTheme="minorEastAsia" w:hAnsiTheme="minorEastAsia" w:eastAsiaTheme="minorEastAsia" w:cstheme="minorEastAsia"/>
                <w:sz w:val="24"/>
                <w:szCs w:val="24"/>
              </w:rPr>
              <w:t xml:space="preserve">管理较规范、保障力</w:t>
            </w:r>
            <w:r>
              <w:rPr>
                <w:rFonts w:hint="eastAsia" w:asciiTheme="minorEastAsia" w:hAnsiTheme="minorEastAsia" w:eastAsiaTheme="minorEastAsia" w:cstheme="minorEastAsia"/>
                <w:sz w:val="24"/>
                <w:szCs w:val="24"/>
                <w:lang w:bidi="ar"/>
              </w:rPr>
              <w:t xml:space="preserve">较强的，得</w:t>
            </w:r>
            <w:r>
              <w:rPr>
                <w:rFonts w:hint="eastAsia" w:asciiTheme="minorEastAsia" w:hAnsiTheme="minorEastAsia" w:eastAsia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分；方案略有欠缺，</w:t>
            </w:r>
            <w:r>
              <w:rPr>
                <w:rFonts w:hint="eastAsia" w:asciiTheme="minorEastAsia" w:hAnsiTheme="minorEastAsia" w:eastAsiaTheme="minorEastAsia" w:cstheme="minorEastAsia"/>
                <w:sz w:val="24"/>
                <w:szCs w:val="24"/>
              </w:rPr>
              <w:t xml:space="preserve">管理及保障力</w:t>
            </w:r>
            <w:r>
              <w:rPr>
                <w:rFonts w:hint="eastAsia" w:asciiTheme="minorEastAsia" w:hAnsiTheme="minorEastAsia" w:eastAsiaTheme="minorEastAsia" w:cstheme="minorEastAsia"/>
                <w:sz w:val="24"/>
                <w:szCs w:val="24"/>
                <w:lang w:bidi="ar"/>
              </w:rPr>
              <w:t xml:space="preserve">还需完善的，得</w:t>
            </w:r>
            <w:r>
              <w:rPr>
                <w:rFonts w:hint="eastAsia" w:asciiTheme="minorEastAsia" w:hAnsiTheme="minorEastAsia" w:eastAsia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129"/>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sz w:val="24"/>
                <w:szCs w:val="24"/>
                <w:lang w:bidi="ar"/>
              </w:rPr>
              <w:t xml:space="preserve">2.6</w:t>
            </w:r>
            <w:r>
              <w:rPr>
                <w:rFonts w:hint="eastAsia" w:asciiTheme="minorEastAsia" w:hAnsiTheme="minorEastAsia" w:eastAsiaTheme="minorEastAsia" w:cstheme="minorEastAsia"/>
                <w:b/>
                <w:bCs/>
                <w:iCs/>
                <w:sz w:val="24"/>
                <w:szCs w:val="24"/>
              </w:rPr>
              <w:t xml:space="preserve">健康教育、知识培训</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投标人应根据招标文件要求及本项目特点，制订健康教育、知识培训方案。制定宣传及培训计划、组织方式等。每学期开展</w:t>
            </w:r>
            <w:r>
              <w:rPr>
                <w:rFonts w:hint="eastAsia" w:asciiTheme="minorEastAsia" w:hAnsiTheme="minorEastAsia" w:eastAsiaTheme="minorEastAsia" w:cstheme="minorEastAsia"/>
                <w:bCs/>
                <w:sz w:val="24"/>
                <w:szCs w:val="24"/>
                <w:lang w:val="en-US" w:eastAsia="zh-CN"/>
              </w:rPr>
              <w:t xml:space="preserve">相关</w:t>
            </w:r>
            <w:r>
              <w:rPr>
                <w:rFonts w:hint="eastAsia" w:asciiTheme="minorEastAsia" w:hAnsiTheme="minorEastAsia" w:eastAsiaTheme="minorEastAsia" w:cstheme="minorEastAsia"/>
                <w:bCs/>
                <w:sz w:val="24"/>
                <w:szCs w:val="24"/>
              </w:rPr>
              <w:t xml:space="preserve">医疗知识宣传活动，活动主题聚焦传染病防治、急救技能普及、健康减重指导等重点领域。</w:t>
            </w:r>
            <w:r/>
          </w:p>
          <w:p>
            <w:pPr>
              <w:jc w:val="both"/>
              <w:keepLines w:val="0"/>
              <w:keepNext w:val="0"/>
              <w:pageBreakBefore w:val="0"/>
              <w:spacing w:line="360" w:lineRule="exact"/>
              <w:widowControl w:val="off"/>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分；方案较为全面、较为科学合理、可行性较强的，得3分；方案略有欠缺，可行性还需完善的，得1分；不提供不得分。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191"/>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w:t>
            </w:r>
            <w:r>
              <w:rPr>
                <w:rFonts w:hint="eastAsia" w:asciiTheme="minorEastAsia" w:hAnsiTheme="minorEastAsia" w:eastAsiaTheme="minorEastAsia" w:cstheme="minorEastAsia"/>
                <w:b/>
                <w:bCs/>
                <w:sz w:val="24"/>
                <w:szCs w:val="24"/>
                <w:lang w:val="en-US" w:eastAsia="zh-CN"/>
              </w:rPr>
              <w:t xml:space="preserve">7</w:t>
            </w:r>
            <w:r>
              <w:rPr>
                <w:rFonts w:hint="eastAsia" w:asciiTheme="minorEastAsia" w:hAnsiTheme="minorEastAsia" w:eastAsiaTheme="minorEastAsia" w:cstheme="minorEastAsia"/>
                <w:b/>
                <w:bCs/>
                <w:sz w:val="24"/>
                <w:szCs w:val="24"/>
              </w:rPr>
              <w:t xml:space="preserve">服务承诺方案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w:t>
            </w:r>
            <w:r>
              <w:rPr>
                <w:rFonts w:hint="eastAsia" w:asciiTheme="minorEastAsia" w:hAnsiTheme="minorEastAsia" w:eastAsiaTheme="minorEastAsia" w:cstheme="minorEastAsia"/>
                <w:sz w:val="24"/>
                <w:szCs w:val="24"/>
              </w:rPr>
              <w:t xml:space="preserve">服务承诺方案</w:t>
            </w:r>
            <w:r>
              <w:rPr>
                <w:rFonts w:hint="eastAsia" w:asciiTheme="minorEastAsia" w:hAnsiTheme="minorEastAsia" w:eastAsiaTheme="minorEastAsia" w:cstheme="minorEastAsia"/>
                <w:bCs/>
                <w:sz w:val="24"/>
                <w:szCs w:val="24"/>
              </w:rPr>
              <w:t xml:space="preserve">。包含项目需求响应情况、服务质量承诺、增值服务等。</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bidi="ar"/>
              </w:rPr>
              <w:t xml:space="preserve">服务承诺全面、能完全满足项目需求、增值服务较好的，得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分；承诺较为全面、能满足全部项目需求、增值服务一般，得3分；承诺略有欠缺，不能全部满足项目需求、增值服务较差，得1分；不提供不得分。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032"/>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人员配置</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3.1人员配置方案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bookmarkStart w:id="53" w:name="OLE_LINK8"/>
            <w:r/>
            <w:bookmarkStart w:id="54" w:name="OLE_LINK7"/>
            <w:r>
              <w:rPr>
                <w:rFonts w:hint="eastAsia" w:asciiTheme="minorEastAsia" w:hAnsiTheme="minorEastAsia" w:eastAsiaTheme="minorEastAsia" w:cstheme="minorEastAsia"/>
                <w:bCs/>
                <w:sz w:val="24"/>
                <w:szCs w:val="24"/>
              </w:rPr>
              <w:t xml:space="preserve">投标人应根据招标文件要求</w:t>
            </w:r>
            <w:bookmarkEnd w:id="53"/>
            <w:r/>
            <w:bookmarkEnd w:id="54"/>
            <w:r>
              <w:rPr>
                <w:rFonts w:hint="eastAsia" w:asciiTheme="minorEastAsia" w:hAnsiTheme="minorEastAsia" w:eastAsiaTheme="minorEastAsia" w:cstheme="minorEastAsia"/>
                <w:bCs/>
                <w:sz w:val="24"/>
                <w:szCs w:val="24"/>
              </w:rPr>
              <w:t xml:space="preserve">及本项目特点，制订人员配置方案。医务人员应满足招标文件要求，并根据招标文件要求制定校区人员计划安排、日常24小时白天和夜间人员配置计划等。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方案全面、科学合理、可行性强的，得8分；方案较为全面、较为科学合理、可行性较强的，得5分；方案略有欠缺，可行性还需完善的，得2分；不提供不得分。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r>
      <w:tr>
        <w:trPr>
          <w:jc w:val="center"/>
          <w:trHeight w:val="1653"/>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3.2拟派校区医务室负责人</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拟派负责人</w:t>
            </w:r>
            <w:r>
              <w:rPr>
                <w:rFonts w:hint="eastAsia" w:asciiTheme="minorEastAsia" w:hAnsiTheme="minorEastAsia" w:eastAsiaTheme="minorEastAsia" w:cstheme="minorEastAsia"/>
                <w:sz w:val="24"/>
                <w:szCs w:val="24"/>
                <w:highlight w:val="none"/>
                <w:lang w:val="en-US" w:eastAsia="zh-CN"/>
              </w:rPr>
              <w:t xml:space="preserve">要求</w:t>
            </w:r>
            <w:r>
              <w:rPr>
                <w:rFonts w:hint="eastAsia" w:asciiTheme="minorEastAsia" w:hAnsiTheme="minorEastAsia" w:eastAsiaTheme="minorEastAsia" w:cstheme="minorEastAsia"/>
                <w:sz w:val="24"/>
                <w:szCs w:val="24"/>
                <w:highlight w:val="none"/>
              </w:rPr>
              <w:t xml:space="preserve">具有3年以上相关工作经验，</w:t>
            </w:r>
            <w:r>
              <w:rPr>
                <w:rFonts w:hint="eastAsia" w:asciiTheme="minorEastAsia" w:hAnsiTheme="minorEastAsia" w:eastAsiaTheme="minorEastAsia" w:cstheme="minorEastAsia"/>
                <w:sz w:val="24"/>
                <w:szCs w:val="24"/>
                <w:highlight w:val="none"/>
                <w:lang w:val="en-US" w:eastAsia="zh-CN"/>
              </w:rPr>
              <w:t xml:space="preserve">高级职称</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分，拟派负责人</w:t>
            </w:r>
            <w:r>
              <w:rPr>
                <w:rFonts w:hint="eastAsia" w:asciiTheme="minorEastAsia" w:hAnsiTheme="minorEastAsia" w:eastAsiaTheme="minorEastAsia" w:cstheme="minorEastAsia"/>
                <w:sz w:val="24"/>
                <w:szCs w:val="24"/>
                <w:highlight w:val="none"/>
                <w:lang w:val="en-US" w:eastAsia="zh-CN"/>
              </w:rPr>
              <w:t xml:space="preserve">具有</w:t>
            </w:r>
            <w:r>
              <w:rPr>
                <w:rFonts w:hint="eastAsia" w:asciiTheme="minorEastAsia" w:hAnsiTheme="minorEastAsia" w:eastAsiaTheme="minorEastAsia" w:cstheme="minorEastAsia"/>
                <w:sz w:val="24"/>
                <w:szCs w:val="24"/>
                <w:highlight w:val="none"/>
              </w:rPr>
              <w:t xml:space="preserve">中级职称得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cstheme="minorEastAsia"/>
                <w:sz w:val="24"/>
                <w:szCs w:val="24"/>
                <w:highlight w:val="none"/>
                <w:lang w:eastAsia="zh-CN"/>
              </w:rPr>
              <w:t xml:space="preserve">。</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（需</w:t>
            </w:r>
            <w:r>
              <w:rPr>
                <w:rFonts w:hint="eastAsia" w:asciiTheme="minorEastAsia" w:hAnsiTheme="minorEastAsia" w:eastAsiaTheme="minorEastAsia" w:cstheme="minorEastAsia"/>
                <w:sz w:val="24"/>
                <w:szCs w:val="24"/>
                <w:lang w:val="en-US" w:eastAsia="zh-CN"/>
              </w:rPr>
              <w:t xml:space="preserve">按要求</w:t>
            </w:r>
            <w:r>
              <w:rPr>
                <w:rFonts w:hint="eastAsia" w:asciiTheme="minorEastAsia" w:hAnsiTheme="minorEastAsia" w:eastAsiaTheme="minorEastAsia" w:cstheme="minorEastAsia"/>
                <w:sz w:val="24"/>
                <w:szCs w:val="24"/>
              </w:rPr>
              <w:t xml:space="preserve">提供有效证书复印件</w:t>
            </w:r>
            <w:r>
              <w:rPr>
                <w:rFonts w:hint="eastAsia" w:asciiTheme="minorEastAsia" w:hAnsiTheme="minorEastAsia" w:eastAsiaTheme="minorEastAsia" w:cstheme="minorEastAsia"/>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p>
        </w:tc>
      </w:tr>
      <w:tr>
        <w:trPr>
          <w:jc w:val="center"/>
          <w:trHeight w:val="2459"/>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3.3拟派医护团队成员状况（医务室负责人除外）</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（1）委派医生需持有有效执业医师证书，并具备中级（含）以上专业技术职务任职资格，每提供一人得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（2）委派护士应具有有效护士执业证书，且取得护师（含）以上护理专业技术职称,提供一人得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分。（需提供有效证书复印件</w:t>
            </w:r>
            <w:r>
              <w:rPr>
                <w:rFonts w:hint="eastAsia" w:asciiTheme="minorEastAsia" w:hAnsiTheme="minorEastAsia" w:cstheme="minorEastAsia"/>
                <w:sz w:val="24"/>
                <w:szCs w:val="24"/>
                <w:lang w:val="en-US" w:eastAsia="zh-CN"/>
              </w:rPr>
              <w:t xml:space="preserve">并加盖CA公章，不提供不得分。</w:t>
            </w:r>
            <w:r>
              <w:rPr>
                <w:rFonts w:hint="eastAsia" w:asciiTheme="minorEastAsia" w:hAnsiTheme="minorEastAsia" w:eastAsiaTheme="minorEastAsia" w:cs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p>
        </w:tc>
      </w:tr>
      <w:tr>
        <w:trPr>
          <w:jc w:val="center"/>
          <w:trHeight w:val="1678"/>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4.1自202</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年1月以来（合同签订时间为准）</w:t>
            </w:r>
            <w:r>
              <w:rPr>
                <w:rFonts w:hint="eastAsia" w:asciiTheme="minorEastAsia" w:hAnsiTheme="minorEastAsia" w:eastAsiaTheme="minorEastAsia" w:cstheme="minorEastAsia"/>
                <w:color w:val="auto"/>
                <w:sz w:val="24"/>
                <w:szCs w:val="24"/>
              </w:rPr>
              <w:t xml:space="preserve">有</w:t>
            </w:r>
            <w:r>
              <w:rPr>
                <w:rFonts w:hint="eastAsia" w:asciiTheme="minorEastAsia" w:hAnsiTheme="minorEastAsia" w:cstheme="minorEastAsia"/>
                <w:color w:val="auto"/>
                <w:sz w:val="24"/>
                <w:szCs w:val="24"/>
                <w:lang w:val="en-US" w:eastAsia="zh-CN"/>
              </w:rPr>
              <w:t xml:space="preserve">同类</w:t>
            </w:r>
            <w:r>
              <w:rPr>
                <w:rFonts w:hint="eastAsia" w:asciiTheme="minorEastAsia" w:hAnsiTheme="minorEastAsia" w:eastAsiaTheme="minorEastAsia" w:cstheme="minorEastAsia"/>
                <w:sz w:val="24"/>
                <w:szCs w:val="24"/>
                <w:lang w:val="en-US" w:eastAsia="zh-CN"/>
              </w:rPr>
              <w:t xml:space="preserve">医务室</w:t>
            </w:r>
            <w:r>
              <w:rPr>
                <w:rFonts w:hint="eastAsia" w:asciiTheme="minorEastAsia" w:hAnsiTheme="minorEastAsia" w:eastAsiaTheme="minorEastAsia" w:cstheme="minorEastAsia"/>
                <w:sz w:val="24"/>
                <w:szCs w:val="24"/>
              </w:rPr>
              <w:t xml:space="preserve">托管案例的，每提供一个案例得</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同一单位业绩不得重复得分，</w:t>
            </w:r>
            <w:r>
              <w:rPr>
                <w:rFonts w:hint="eastAsia" w:asciiTheme="minorEastAsia" w:hAnsiTheme="minorEastAsia" w:cstheme="minorEastAsia"/>
                <w:sz w:val="24"/>
                <w:szCs w:val="24"/>
                <w:lang w:val="en-US" w:eastAsia="zh-CN"/>
              </w:rPr>
              <w:t xml:space="preserve">并</w:t>
            </w:r>
            <w:r>
              <w:rPr>
                <w:rFonts w:hint="eastAsia" w:asciiTheme="minorEastAsia" w:hAnsiTheme="minorEastAsia" w:eastAsiaTheme="minorEastAsia" w:cstheme="minorEastAsia"/>
                <w:sz w:val="24"/>
                <w:szCs w:val="24"/>
              </w:rPr>
              <w:t xml:space="preserve">提供合同复印件和与之对应的中标通知书复印件，原件备查）。</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w:t>
            </w:r>
            <w:r/>
          </w:p>
        </w:tc>
      </w:tr>
      <w:tr>
        <w:trPr>
          <w:jc w:val="center"/>
          <w:trHeight w:val="1689"/>
        </w:trPr>
        <w:tc>
          <w:tcPr>
            <w:tcBorders>
              <w:left w:val="single" w:color="auto" w:sz="4" w:space="0"/>
              <w:right w:val="single" w:color="auto" w:sz="4" w:space="0"/>
            </w:tcBorders>
            <w:tcW w:w="465" w:type="pct"/>
            <w:vAlign w:val="center"/>
            <w:vMerge w:val="continue"/>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bookmarkStart w:id="55" w:name="OLE_LINK10"/>
            <w:r/>
            <w:bookmarkStart w:id="56" w:name="OLE_LINK9"/>
            <w:r>
              <w:rPr>
                <w:rFonts w:hint="eastAsia" w:asciiTheme="minorEastAsia" w:hAnsiTheme="minorEastAsia" w:eastAsiaTheme="minorEastAsia" w:cstheme="minorEastAsia"/>
                <w:bCs/>
                <w:sz w:val="24"/>
                <w:szCs w:val="24"/>
              </w:rPr>
              <w:t xml:space="preserve">4.2</w:t>
            </w:r>
            <w:bookmarkEnd w:id="55"/>
            <w:r/>
            <w:bookmarkEnd w:id="56"/>
            <w:r>
              <w:rPr>
                <w:rFonts w:hint="eastAsia" w:asciiTheme="minorEastAsia" w:hAnsiTheme="minorEastAsia" w:eastAsiaTheme="minorEastAsia" w:cstheme="minorEastAsia"/>
                <w:bCs/>
                <w:sz w:val="24"/>
                <w:szCs w:val="24"/>
              </w:rPr>
              <w:t xml:space="preserve">以上4.1业绩中，提供业主单位评价证明材料的，评价优秀或同等次描述的，每提供一个评价得1分。本项最高得3分。（</w:t>
            </w:r>
            <w:r>
              <w:rPr>
                <w:rFonts w:hint="eastAsia" w:asciiTheme="minorEastAsia" w:hAnsiTheme="minorEastAsia" w:eastAsiaTheme="minorEastAsia" w:cstheme="minorEastAsia"/>
                <w:bCs/>
                <w:sz w:val="24"/>
                <w:szCs w:val="24"/>
                <w:lang w:val="en-US" w:eastAsia="zh-CN"/>
              </w:rPr>
              <w:t xml:space="preserve">需提供中标通知书和合同复印件，</w:t>
            </w:r>
            <w:r>
              <w:rPr>
                <w:rFonts w:hint="eastAsia" w:asciiTheme="minorEastAsia" w:hAnsiTheme="minorEastAsia" w:eastAsiaTheme="minorEastAsia" w:cstheme="minorEastAsia"/>
                <w:bCs/>
                <w:sz w:val="24"/>
                <w:szCs w:val="24"/>
              </w:rPr>
              <w:t xml:space="preserve">需提供业主单位评价证明盖章材料）</w:t>
            </w:r>
            <w:r/>
          </w:p>
        </w:tc>
        <w:tc>
          <w:tcPr>
            <w:tcBorders>
              <w:top w:val="single" w:color="auto" w:sz="4" w:space="0"/>
              <w:left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为该采购项目或者采购包提供的符合本国产品标准的产品成本之和占该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提供的全部产品成本之和的比例达到80%以上时（</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需在“第六章 投标文件格式”的“附件2 投标分项报价表”中填写比例数值），依法对该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提供的全部产品给予价格评审优惠，即对该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提供的全部产品的总报价给予20%的价格扣除，用扣除后的价格参与评审。</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提供的相关产品视为不符合本国产品标准。</w:t>
      </w:r>
      <w:r/>
    </w:p>
    <w:p>
      <w:pPr>
        <w:jc w:val="left"/>
        <w:widowControl/>
        <w:rPr>
          <w:rFonts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42"/>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42"/>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南京机电职业技术学院医务室第三方托管服务项目</w:t>
      </w:r>
      <w:r/>
    </w:p>
    <w:p>
      <w:pPr>
        <w:pStyle w:val="742"/>
        <w:ind w:firstLine="1440"/>
        <w:widowControl w:val="off"/>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NIMT-ZB-2026001</w:t>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98"/>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50"/>
      <w:r/>
      <w:bookmarkStart w:id="59" w:name="_Toc448069988"/>
      <w:r/>
      <w:bookmarkStart w:id="60" w:name="_Toc415494574"/>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42"/>
        <w:ind w:firstLine="0"/>
        <w:spacing w:before="0" w:after="0" w:line="300" w:lineRule="auto"/>
        <w:widowControl w:val="off"/>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南京机电职业技术学院</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：NIMT-ZB-2026001）</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w:t>
      </w:r>
      <w:r>
        <w:rPr>
          <w:rFonts w:hint="eastAsia" w:ascii="Times New Roman" w:hAnsi="Times New Roman" w:cs="Times New Roman"/>
          <w:color w:val="000000" w:themeColor="text1"/>
          <w:szCs w:val="21"/>
          <w:lang w:eastAsia="zh-CN"/>
          <w14:textFill>
            <w14:solidFill>
              <w14:schemeClr w14:val="tx1"/>
            </w14:solidFill>
          </w14:textFill>
        </w:rPr>
        <w:t xml:space="preserve">CA公章</w:t>
      </w:r>
      <w:r>
        <w:rPr>
          <w:rFonts w:ascii="Times New Roman" w:hAnsi="Times New Roman" w:cs="Times New Roman"/>
          <w:color w:val="000000" w:themeColor="text1"/>
          <w:szCs w:val="21"/>
          <w14:textFill>
            <w14:solidFill>
              <w14:schemeClr w14:val="tx1"/>
            </w14:solidFill>
          </w14:textFill>
        </w:rPr>
        <w:t xml:space="preserve">）：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415494579"/>
      <w:r/>
      <w:bookmarkStart w:id="63" w:name="_Toc11859492"/>
      <w:r/>
      <w:bookmarkStart w:id="64" w:name="_Toc448069992"/>
      <w:r/>
      <w:bookmarkStart w:id="65" w:name="_Toc415494575"/>
      <w:r/>
      <w:bookmarkStart w:id="66" w:name="_Toc452541709"/>
      <w:r/>
      <w:bookmarkStart w:id="67" w:name="_Toc448069989"/>
      <w:r/>
      <w:bookmarkStart w:id="68" w:name="_Toc51"/>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南京机电职业技术学院医务室第三方托管服务项目</w:t>
      </w:r>
      <w:r/>
    </w:p>
    <w:p>
      <w:pPr>
        <w:ind w:firstLine="480"/>
        <w:spacing w:line="360" w:lineRule="auto"/>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NIMT-ZB-2026001</w:t>
      </w:r>
      <w:r/>
    </w:p>
    <w:tbl>
      <w:tblPr>
        <w:tblStyle w:val="698"/>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1127"/>
        </w:trPr>
        <w:tc>
          <w:tcPr>
            <w:tcW w:w="1394" w:type="pct"/>
            <w:vAlign w:val="center"/>
            <w:textDirection w:val="lrTb"/>
            <w:noWrap w:val="false"/>
          </w:tcPr>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705"/>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42"/>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361"/>
        </w:trPr>
        <w:tc>
          <w:tcPr>
            <w:tcW w:w="1394" w:type="pct"/>
            <w:vAlign w:val="center"/>
            <w:textDirection w:val="lrTb"/>
            <w:noWrap w:val="false"/>
          </w:tcPr>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705"/>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20"/>
        <w:spacing w:line="440" w:lineRule="exac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填写说明：</w:t>
      </w:r>
      <w:r/>
    </w:p>
    <w:p>
      <w:pPr>
        <w:ind w:firstLine="420"/>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1.投标一览表必须加盖投标单位投标人</w:t>
      </w:r>
      <w:r>
        <w:rPr>
          <w:rFonts w:hint="eastAsia" w:asciiTheme="minorEastAsia" w:hAnsiTheme="minorEastAsia" w:cstheme="minorEastAsia"/>
          <w:color w:val="000000" w:themeColor="text1"/>
          <w:szCs w:val="21"/>
          <w:lang w:eastAsia="zh-CN"/>
          <w14:textFill>
            <w14:solidFill>
              <w14:schemeClr w14:val="tx1"/>
            </w14:solidFill>
          </w14:textFill>
        </w:rPr>
        <w:t xml:space="preserve">CA公章</w:t>
      </w:r>
      <w:r>
        <w:rPr>
          <w:rFonts w:hint="eastAsia" w:asciiTheme="minorEastAsia" w:hAnsiTheme="minorEastAsia" w:cstheme="minorEastAsia"/>
          <w:color w:val="000000" w:themeColor="text1"/>
          <w:szCs w:val="21"/>
          <w14:textFill>
            <w14:solidFill>
              <w14:schemeClr w14:val="tx1"/>
            </w14:solidFill>
          </w14:textFill>
        </w:rPr>
        <w:t xml:space="preserve">，并单独装在小信封内于投标截止时间前与投标文件一起递交。</w:t>
      </w:r>
      <w:r/>
    </w:p>
    <w:p>
      <w:pPr>
        <w:ind w:firstLine="420"/>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lang w:val="en-US" w:eastAsia="zh-CN"/>
          <w14:textFill>
            <w14:solidFill>
              <w14:schemeClr w14:val="tx1"/>
            </w14:solidFill>
          </w14:textFill>
        </w:rPr>
        <w:t xml:space="preserve">自拟</w:t>
      </w:r>
      <w:r>
        <w:rPr>
          <w:rFonts w:hint="eastAsia" w:ascii="黑体" w:hAnsi="黑体" w:eastAsia="黑体" w:cs="Times New Roman"/>
          <w:color w:val="000000" w:themeColor="text1"/>
          <w:sz w:val="28"/>
          <w:szCs w:val="28"/>
          <w14:textFill>
            <w14:solidFill>
              <w14:schemeClr w14:val="tx1"/>
            </w14:solidFill>
          </w14:textFill>
        </w:rPr>
        <w:t xml:space="preserve">）</w:t>
      </w:r>
      <w:r/>
    </w:p>
    <w:p>
      <w:pPr>
        <w:rPr>
          <w:rFonts w:ascii="Times New Roman" w:hAnsi="Times New Roman" w:eastAsia="黑体" w:cs="Times New Roman"/>
          <w:color w:val="000000" w:themeColor="text1"/>
          <w:sz w:val="24"/>
          <w:szCs w:val="24"/>
          <w14:textFill>
            <w14:solidFill>
              <w14:schemeClr w14:val="tx1"/>
            </w14:solidFill>
          </w14:textFill>
        </w:rPr>
      </w:pPr>
      <w:r/>
      <w:bookmarkStart w:id="69" w:name="_Toc415494580"/>
      <w:r/>
      <w:bookmarkStart w:id="70" w:name="_Toc11859493"/>
      <w:r/>
      <w:bookmarkStart w:id="71" w:name="_Toc448069993"/>
      <w:r/>
      <w:bookmarkStart w:id="72" w:name="_Toc55"/>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69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69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4"/>
      <w:r/>
      <w:bookmarkStart w:id="74" w:name="_Toc56"/>
      <w:r/>
      <w:bookmarkStart w:id="75" w:name="_Toc448069994"/>
      <w:r/>
      <w:bookmarkStart w:id="76"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eastAsia="宋体" w:cs="Times New Roman"/>
          <w:color w:val="000000" w:themeColor="text1"/>
          <w:sz w:val="24"/>
          <w:szCs w:val="24"/>
          <w14:textFill>
            <w14:solidFill>
              <w14:schemeClr w14:val="tx1"/>
            </w14:solidFill>
          </w14:textFill>
        </w:rPr>
        <w:t xml:space="preserve">），证明未被列入失信被执行人、重大税收违法案件当事人名单、政府采购严重失信行为记录名单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非</w:t>
      </w:r>
      <w:r>
        <w:rPr>
          <w:rFonts w:hint="eastAsia" w:ascii="Times New Roman" w:hAnsi="Times New Roman" w:eastAsia="宋体" w:cs="Times New Roman"/>
          <w:color w:val="000000" w:themeColor="text1"/>
          <w:sz w:val="24"/>
          <w:szCs w:val="24"/>
          <w14:textFill>
            <w14:solidFill>
              <w14:schemeClr w14:val="tx1"/>
            </w14:solidFill>
          </w14:textFill>
        </w:rPr>
        <w:t xml:space="preserve">联合体投标声明</w:t>
      </w:r>
      <w:r/>
    </w:p>
    <w:p>
      <w:pPr>
        <w:ind w:firstLine="480"/>
        <w:spacing w:line="360" w:lineRule="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8"/>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44"/>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44"/>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44"/>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8" w:name="_Toc11859496"/>
      <w:r/>
      <w:r/>
    </w:p>
    <w:p>
      <w:pPr>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br w:type="page" w:clear="all"/>
      </w:r>
      <w:r/>
    </w:p>
    <w:p>
      <w:pPr>
        <w:pStyle w:val="744"/>
        <w:widowControl w:val="off"/>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8"/>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44"/>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44"/>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721"/>
        <w:numPr>
          <w:ilvl w:val="255"/>
          <w:numId w:val="0"/>
        </w:numPr>
        <w:rPr>
          <w:rFonts w:ascii="Times New Roman" w:eastAsia="宋体"/>
          <w:color w:val="000000" w:themeColor="text1"/>
          <w:sz w:val="24"/>
          <w:szCs w:val="24"/>
          <w14:textFill>
            <w14:solidFill>
              <w14:schemeClr w14:val="tx1"/>
            </w14:solidFill>
          </w14:textFill>
        </w:rPr>
      </w:pPr>
      <w:r>
        <w:rPr>
          <w:rFonts w:ascii="Times New Roman" w:eastAsia="宋体"/>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705"/>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705"/>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jc w:val="center"/>
        <w:rPr>
          <w:rFonts w:ascii="宋体" w:hAnsi="宋体" w:eastAsia="宋体" w:cs="方正小标宋简体"/>
          <w:sz w:val="32"/>
          <w:szCs w:val="32"/>
        </w:rPr>
      </w:pPr>
      <w:r>
        <w:rPr>
          <w:rFonts w:hint="eastAsia" w:ascii="宋体" w:hAnsi="宋体" w:eastAsia="宋体" w:cs="方正小标宋简体"/>
          <w:sz w:val="32"/>
          <w:szCs w:val="32"/>
        </w:rPr>
        <w:t xml:space="preserve">中小企业声明函（服务）</w:t>
      </w:r>
      <w:r/>
    </w:p>
    <w:p>
      <w:pPr>
        <w:ind w:firstLine="360"/>
        <w:spacing w:line="360" w:lineRule="auto"/>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w:t>
      </w:r>
      <w:r>
        <w:rPr>
          <w:rFonts w:hint="eastAsia" w:ascii="宋体" w:hAnsi="宋体"/>
          <w:sz w:val="24"/>
        </w:rPr>
        <w:t xml:space="preserve">（单位名称）采购编号为</w:t>
      </w:r>
      <w:r>
        <w:rPr>
          <w:rFonts w:hint="eastAsia" w:ascii="宋体" w:hAnsi="宋体"/>
          <w:sz w:val="24"/>
          <w:u w:val="single"/>
        </w:rPr>
        <w:t xml:space="preserve">JSZC-3201XX-JZCG-G202X-XXXX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p>
    <w:p>
      <w:pPr>
        <w:ind w:firstLine="360"/>
        <w:spacing w:line="360" w:lineRule="auto"/>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60" w:lineRule="auto"/>
        <w:rPr>
          <w:rFonts w:ascii="宋体" w:hAnsi="宋体"/>
          <w:i/>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60" w:lineRule="auto"/>
        <w:rPr>
          <w:rFonts w:ascii="宋体" w:hAnsi="宋体"/>
          <w:sz w:val="24"/>
        </w:rPr>
      </w:pPr>
      <w:r>
        <w:rPr>
          <w:rFonts w:hint="eastAsia" w:ascii="宋体" w:hAnsi="宋体"/>
          <w:sz w:val="24"/>
        </w:rPr>
        <w:t xml:space="preserve">……</w:t>
      </w:r>
      <w:r/>
    </w:p>
    <w:p>
      <w:pPr>
        <w:ind w:firstLine="36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p>
    <w:p>
      <w:pPr>
        <w:pStyle w:val="832"/>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rPr>
      </w:pPr>
      <w:r>
        <w:rPr>
          <w:rFonts w:hint="eastAsia" w:ascii="宋体" w:hAnsi="宋体"/>
          <w:sz w:val="24"/>
        </w:rPr>
        <w:t xml:space="preserve">                                           企业名称：（加盖</w:t>
      </w:r>
      <w:r>
        <w:rPr>
          <w:rFonts w:hint="eastAsia" w:ascii="宋体" w:hAnsi="宋体"/>
          <w:sz w:val="24"/>
          <w:lang w:eastAsia="zh-CN"/>
        </w:rPr>
        <w:t xml:space="preserve">CA公章</w:t>
      </w:r>
      <w:r>
        <w:rPr>
          <w:rFonts w:hint="eastAsia" w:ascii="宋体" w:hAnsi="宋体"/>
          <w:sz w:val="24"/>
        </w:rPr>
        <w:t xml:space="preserve">）</w:t>
      </w:r>
      <w:r/>
    </w:p>
    <w:p>
      <w:pPr>
        <w:ind w:firstLine="6000"/>
        <w:spacing w:line="560" w:lineRule="exact"/>
        <w:rPr>
          <w:rFonts w:ascii="宋体" w:hAnsi="宋体"/>
          <w:sz w:val="24"/>
        </w:rPr>
      </w:pPr>
      <w:r>
        <w:rPr>
          <w:rFonts w:hint="eastAsia"/>
          <w:color w:val="000000"/>
          <w:sz w:val="24"/>
        </w:rPr>
        <w:t xml:space="preserve">日    期：</w:t>
      </w:r>
      <w:r/>
    </w:p>
    <w:p>
      <w:pPr>
        <w:ind w:firstLine="480"/>
        <w:spacing w:line="588" w:lineRule="exact"/>
        <w:widowControl/>
        <w:rPr>
          <w:rFonts w:ascii="宋体" w:hAnsi="宋体"/>
          <w:sz w:val="24"/>
        </w:rPr>
      </w:pPr>
      <w:r>
        <w:rPr>
          <w:rFonts w:ascii="宋体" w:hAnsi="宋体"/>
          <w:sz w:val="24"/>
        </w:rPr>
      </w:r>
      <w:r/>
    </w:p>
    <w:p>
      <w:pPr>
        <w:pStyle w:val="705"/>
        <w:ind w:right="437"/>
        <w:spacing w:after="0" w:line="360" w:lineRule="auto"/>
        <w:rPr>
          <w:color w:val="000000" w:themeColor="text1"/>
          <w14:textFill>
            <w14:solidFill>
              <w14:schemeClr w14:val="tx1"/>
            </w14:solidFill>
          </w14:textFill>
        </w:rPr>
      </w:pPr>
      <w:r>
        <w:rPr>
          <w:rFonts w:hint="eastAsia" w:ascii="宋体" w:hAnsi="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705"/>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705"/>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705"/>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705"/>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705"/>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ascii="Times New Roman" w:hAnsi="Times New Roman" w:cs="Times New Roman"/>
          <w:color w:val="000000" w:themeColor="text1"/>
          <w14:textFill>
            <w14:solidFill>
              <w14:schemeClr w14:val="tx1"/>
            </w14:solidFill>
          </w14:textFill>
        </w:rPr>
      </w:pPr>
      <w:r>
        <w:rPr>
          <w:rFonts w:hint="eastAsia" w:ascii="方正魏碑_GBK" w:hAnsi="方正魏碑_GBK" w:eastAsia="方正魏碑_GBK" w:cs="方正魏碑_GBK"/>
          <w:b/>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1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18"/>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1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25"/>
          <w:rFonts w:hint="eastAsia" w:ascii="方正魏碑_GBK" w:hAnsi="方正魏碑_GBK" w:eastAsia="方正魏碑_GBK" w:cs="方正魏碑_GBK"/>
          <w:u w:val="single"/>
          <w:shd w:val="clear" w:color="auto" w:fill="ffffff"/>
        </w:rPr>
        <w:t xml:space="preserve">（产品名称1）</w:t>
      </w:r>
      <w:r>
        <w:rPr>
          <w:rStyle w:val="725"/>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25"/>
          <w:rFonts w:hint="eastAsia" w:ascii="方正魏碑_GBK" w:hAnsi="方正魏碑_GBK" w:eastAsia="方正魏碑_GBK" w:cs="方正魏碑_GBK"/>
          <w:u w:val="single"/>
          <w:shd w:val="clear" w:color="auto" w:fill="ffffff"/>
        </w:rPr>
        <w:t xml:space="preserve">（厂名）</w:t>
      </w:r>
      <w:r>
        <w:rPr>
          <w:rStyle w:val="725"/>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2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25"/>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25"/>
          <w:rFonts w:hint="eastAsia" w:ascii="方正魏碑_GBK" w:hAnsi="方正魏碑_GBK" w:eastAsia="方正魏碑_GBK" w:cs="方正魏碑_GBK"/>
          <w:u w:val="single"/>
          <w:shd w:val="clear" w:color="auto" w:fill="ffffff"/>
        </w:rPr>
        <w:t xml:space="preserve">（规定</w:t>
      </w:r>
      <w:r>
        <w:rPr>
          <w:rStyle w:val="725"/>
          <w:rFonts w:ascii="方正魏碑_GBK" w:hAnsi="方正魏碑_GBK" w:eastAsia="方正魏碑_GBK" w:cs="方正魏碑_GBK"/>
          <w:u w:val="single"/>
          <w:shd w:val="clear" w:color="auto" w:fill="ffffff"/>
        </w:rPr>
        <w:t xml:space="preserve">比例</w:t>
      </w:r>
      <w:r>
        <w:rPr>
          <w:rStyle w:val="725"/>
          <w:rFonts w:hint="eastAsia" w:ascii="方正魏碑_GBK" w:hAnsi="方正魏碑_GBK" w:eastAsia="方正魏碑_GBK" w:cs="方正魏碑_GBK"/>
          <w:u w:val="single"/>
          <w:shd w:val="clear" w:color="auto" w:fill="ffffff"/>
        </w:rPr>
        <w:t xml:space="preserve">）</w:t>
      </w:r>
      <w:r>
        <w:rPr>
          <w:rStyle w:val="725"/>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w:t>
      </w:r>
      <w:r>
        <w:rPr>
          <w:rStyle w:val="725"/>
          <w:rFonts w:ascii="方正魏碑_GBK" w:hAnsi="方正魏碑_GBK" w:eastAsia="方正魏碑_GBK" w:cs="方正魏碑_GBK"/>
          <w:u w:val="single"/>
          <w:shd w:val="clear" w:color="auto" w:fill="ffffff"/>
        </w:rPr>
        <w:t xml:space="preserve">组件</w:t>
      </w:r>
      <w:r>
        <w:rPr>
          <w:rStyle w:val="725"/>
          <w:rFonts w:hint="eastAsia" w:ascii="方正魏碑_GBK" w:hAnsi="方正魏碑_GBK" w:eastAsia="方正魏碑_GBK" w:cs="方正魏碑_GBK"/>
          <w:u w:val="single"/>
          <w:shd w:val="clear" w:color="auto" w:fill="ffffff"/>
        </w:rPr>
        <w:t xml:space="preserve">）</w:t>
      </w:r>
      <w:r>
        <w:rPr>
          <w:rStyle w:val="725"/>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（关键工序）</w:t>
      </w:r>
      <w:r>
        <w:rPr>
          <w:rStyle w:val="725"/>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25"/>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2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25"/>
          <w:rFonts w:hint="eastAsia" w:ascii="方正魏碑_GBK" w:hAnsi="方正魏碑_GBK" w:eastAsia="方正魏碑_GBK" w:cs="方正魏碑_GBK"/>
          <w:u w:val="single"/>
          <w:shd w:val="clear" w:color="auto" w:fill="ffffff"/>
        </w:rPr>
        <w:t xml:space="preserve">（规定</w:t>
      </w:r>
      <w:r>
        <w:rPr>
          <w:rStyle w:val="725"/>
          <w:rFonts w:ascii="方正魏碑_GBK" w:hAnsi="方正魏碑_GBK" w:eastAsia="方正魏碑_GBK" w:cs="方正魏碑_GBK"/>
          <w:u w:val="single"/>
          <w:shd w:val="clear" w:color="auto" w:fill="ffffff"/>
        </w:rPr>
        <w:t xml:space="preserve">比例</w:t>
      </w:r>
      <w:r>
        <w:rPr>
          <w:rStyle w:val="72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w:t>
      </w:r>
      <w:r>
        <w:rPr>
          <w:rStyle w:val="725"/>
          <w:rFonts w:ascii="方正魏碑_GBK" w:hAnsi="方正魏碑_GBK" w:eastAsia="方正魏碑_GBK" w:cs="方正魏碑_GBK"/>
          <w:u w:val="single"/>
          <w:shd w:val="clear" w:color="auto" w:fill="ffffff"/>
        </w:rPr>
        <w:t xml:space="preserve">组件</w:t>
      </w:r>
      <w:r>
        <w:rPr>
          <w:rStyle w:val="72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18"/>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18"/>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18"/>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18"/>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bookmarkEnd w:id="66"/>
      <w:bookmarkEnd w:id="67"/>
      <w:bookmarkEnd w:id="68"/>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PMingLiU">
    <w:panose1 w:val="02020500000000000000"/>
  </w:font>
  <w:font w:name="方正仿宋_GB2312">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55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pPr>
    <w:r>
      <w:rPr>
        <w:rFonts w:hint="eastAsia"/>
        <w:sz w:val="21"/>
        <w:szCs w:val="21"/>
      </w:rPr>
      <w:t xml:space="preserve">南京机电职业技术学院医务室第三方托管服务项目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firstLine="0"/>
      <w:jc w:val="right"/>
      <w:rPr>
        <w:rFonts w:hint="eastAsia" w:eastAsiaTheme="minorEastAsia"/>
        <w:lang w:val="en-US" w:eastAsia="zh-CN"/>
      </w:rPr>
      <w:pBdr>
        <w:bottom w:val="single" w:color="auto" w:sz="4" w:space="0"/>
      </w:pBdr>
    </w:pPr>
    <w:r>
      <w:rPr>
        <w:rFonts w:hint="eastAsia" w:asciiTheme="minorEastAsia" w:hAnsiTheme="minorEastAsia" w:eastAsiaTheme="minorEastAsia" w:cstheme="minorEastAsia"/>
        <w:sz w:val="21"/>
        <w:szCs w:val="21"/>
      </w:rPr>
      <w:t xml:space="preserve">南京机电职业技术学院医务室第三方托管服务项目</w:t>
    </w:r>
    <w:r>
      <w:rPr>
        <w:rFonts w:hint="eastAsia" w:asciiTheme="minorEastAsia" w:hAnsiTheme="minorEastAsia" w:eastAsiaTheme="minorEastAsia" w:cstheme="minorEastAsia"/>
        <w:sz w:val="21"/>
        <w:szCs w:val="21"/>
        <w:lang w:val="en-US" w:eastAsia="zh-CN"/>
      </w:rPr>
      <w:t xml:space="preserve"> </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96"/>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94"/>
    <w:uiPriority w:val="9"/>
    <w:rPr>
      <w:rFonts w:ascii="Arial" w:hAnsi="Arial" w:eastAsia="Arial" w:cs="Arial"/>
      <w:sz w:val="40"/>
      <w:szCs w:val="40"/>
    </w:rPr>
  </w:style>
  <w:style w:type="character" w:styleId="15">
    <w:name w:val="Heading 2 Char"/>
    <w:basedOn w:val="697"/>
    <w:link w:val="695"/>
    <w:uiPriority w:val="9"/>
    <w:rPr>
      <w:rFonts w:ascii="Arial" w:hAnsi="Arial" w:eastAsia="Arial" w:cs="Arial"/>
      <w:sz w:val="34"/>
    </w:rPr>
  </w:style>
  <w:style w:type="character" w:styleId="17">
    <w:name w:val="Heading 3 Char"/>
    <w:basedOn w:val="697"/>
    <w:link w:val="69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7"/>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7"/>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7"/>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7"/>
    <w:link w:val="719"/>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14"/>
    <w:uiPriority w:val="99"/>
  </w:style>
  <w:style w:type="character" w:styleId="44">
    <w:name w:val="Footer Char"/>
    <w:basedOn w:val="697"/>
    <w:link w:val="71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13"/>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4">
    <w:name w:val="Heading 1"/>
    <w:basedOn w:val="693"/>
    <w:next w:val="693"/>
    <w:link w:val="760"/>
    <w:uiPriority w:val="9"/>
    <w:qFormat/>
    <w:pPr>
      <w:keepLines/>
      <w:keepNext/>
      <w:spacing w:before="340" w:after="330" w:line="578" w:lineRule="auto"/>
      <w:outlineLvl w:val="0"/>
    </w:pPr>
    <w:rPr>
      <w:b/>
      <w:bCs/>
      <w:sz w:val="44"/>
      <w:szCs w:val="44"/>
    </w:rPr>
  </w:style>
  <w:style w:type="paragraph" w:styleId="695">
    <w:name w:val="Heading 2"/>
    <w:basedOn w:val="693"/>
    <w:next w:val="693"/>
    <w:link w:val="810"/>
    <w:uiPriority w:val="0"/>
    <w:qFormat/>
    <w:pPr>
      <w:keepLines/>
      <w:keepNext/>
      <w:spacing w:before="260" w:after="260" w:line="415" w:lineRule="auto"/>
      <w:outlineLvl w:val="1"/>
    </w:pPr>
    <w:rPr>
      <w:rFonts w:ascii="Arial" w:hAnsi="Arial" w:eastAsia="黑体" w:cs="Arial"/>
      <w:b/>
      <w:bCs/>
      <w:sz w:val="32"/>
      <w:szCs w:val="32"/>
    </w:rPr>
  </w:style>
  <w:style w:type="paragraph" w:styleId="696">
    <w:name w:val="Heading 3"/>
    <w:basedOn w:val="693"/>
    <w:next w:val="693"/>
    <w:link w:val="759"/>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List Number 2"/>
    <w:basedOn w:val="693"/>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700">
    <w:name w:val="Normal Indent"/>
    <w:basedOn w:val="693"/>
    <w:uiPriority w:val="0"/>
    <w:qFormat/>
    <w:pPr>
      <w:ind w:firstLine="420"/>
    </w:pPr>
    <w:rPr>
      <w:rFonts w:ascii="Times New Roman" w:hAnsi="Times New Roman" w:eastAsia="宋体" w:cs="Times New Roman"/>
      <w:szCs w:val="20"/>
    </w:rPr>
  </w:style>
  <w:style w:type="paragraph" w:styleId="701">
    <w:name w:val="Document Map"/>
    <w:basedOn w:val="693"/>
    <w:link w:val="796"/>
    <w:uiPriority w:val="99"/>
    <w:semiHidden/>
    <w:unhideWhenUsed/>
    <w:qFormat/>
    <w:pPr>
      <w:shd w:val="clear" w:color="auto" w:fill="000080"/>
    </w:pPr>
  </w:style>
  <w:style w:type="paragraph" w:styleId="702">
    <w:name w:val="annotation text"/>
    <w:basedOn w:val="693"/>
    <w:link w:val="763"/>
    <w:uiPriority w:val="99"/>
    <w:qFormat/>
    <w:pPr>
      <w:jc w:val="left"/>
    </w:pPr>
    <w:rPr>
      <w:rFonts w:ascii="Times New Roman" w:hAnsi="Times New Roman" w:eastAsia="宋体" w:cs="Times New Roman"/>
      <w:szCs w:val="20"/>
    </w:rPr>
  </w:style>
  <w:style w:type="paragraph" w:styleId="703">
    <w:name w:val="Body Text 3"/>
    <w:basedOn w:val="693"/>
    <w:link w:val="740"/>
    <w:uiPriority w:val="0"/>
    <w:qFormat/>
    <w:pPr>
      <w:spacing w:after="120"/>
    </w:pPr>
    <w:rPr>
      <w:rFonts w:ascii="Times New Roman" w:hAnsi="Times New Roman" w:eastAsia="宋体" w:cs="Times New Roman"/>
      <w:sz w:val="16"/>
      <w:szCs w:val="16"/>
    </w:rPr>
  </w:style>
  <w:style w:type="paragraph" w:styleId="704">
    <w:name w:val="List Bullet 3"/>
    <w:basedOn w:val="693"/>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705">
    <w:name w:val="Body Text"/>
    <w:basedOn w:val="693"/>
    <w:link w:val="743"/>
    <w:uiPriority w:val="99"/>
    <w:unhideWhenUsed/>
    <w:qFormat/>
    <w:pPr>
      <w:spacing w:after="120"/>
    </w:pPr>
  </w:style>
  <w:style w:type="paragraph" w:styleId="706">
    <w:name w:val="Body Text Indent"/>
    <w:basedOn w:val="693"/>
    <w:next w:val="707"/>
    <w:link w:val="733"/>
    <w:uiPriority w:val="0"/>
    <w:qFormat/>
    <w:pPr>
      <w:ind w:left="900"/>
      <w:spacing w:after="120" w:line="360" w:lineRule="atLeast"/>
    </w:pPr>
    <w:rPr>
      <w:rFonts w:ascii="楷体_GB2312" w:hAnsi="Times New Roman" w:eastAsia="楷体_GB2312" w:cs="Times New Roman"/>
      <w:sz w:val="28"/>
      <w:szCs w:val="20"/>
    </w:rPr>
  </w:style>
  <w:style w:type="paragraph" w:styleId="707">
    <w:name w:val="envelope return"/>
    <w:basedOn w:val="693"/>
    <w:uiPriority w:val="0"/>
    <w:qFormat/>
    <w:rPr>
      <w:rFonts w:ascii="Arial" w:hAnsi="Arial"/>
    </w:rPr>
  </w:style>
  <w:style w:type="paragraph" w:styleId="708">
    <w:name w:val="index 4"/>
    <w:basedOn w:val="693"/>
    <w:next w:val="693"/>
    <w:uiPriority w:val="99"/>
    <w:semiHidden/>
    <w:unhideWhenUsed/>
    <w:qFormat/>
    <w:pPr>
      <w:ind w:left="600"/>
    </w:pPr>
  </w:style>
  <w:style w:type="paragraph" w:styleId="709">
    <w:name w:val="toc 3"/>
    <w:basedOn w:val="693"/>
    <w:next w:val="693"/>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710">
    <w:name w:val="Plain Text"/>
    <w:basedOn w:val="693"/>
    <w:link w:val="736"/>
    <w:uiPriority w:val="99"/>
    <w:qFormat/>
    <w:rPr>
      <w:rFonts w:ascii="宋体" w:hAnsi="Courier New" w:eastAsia="宋体" w:cs="Times New Roman"/>
      <w:szCs w:val="20"/>
    </w:rPr>
  </w:style>
  <w:style w:type="paragraph" w:styleId="711">
    <w:name w:val="Date"/>
    <w:basedOn w:val="693"/>
    <w:next w:val="693"/>
    <w:link w:val="738"/>
    <w:uiPriority w:val="99"/>
    <w:unhideWhenUsed/>
    <w:qFormat/>
    <w:pPr>
      <w:ind w:left="100"/>
    </w:pPr>
  </w:style>
  <w:style w:type="paragraph" w:styleId="712">
    <w:name w:val="Balloon Text"/>
    <w:basedOn w:val="693"/>
    <w:link w:val="737"/>
    <w:uiPriority w:val="99"/>
    <w:unhideWhenUsed/>
    <w:qFormat/>
    <w:rPr>
      <w:sz w:val="18"/>
      <w:szCs w:val="18"/>
    </w:rPr>
  </w:style>
  <w:style w:type="paragraph" w:styleId="713">
    <w:name w:val="Footer"/>
    <w:basedOn w:val="693"/>
    <w:link w:val="729"/>
    <w:uiPriority w:val="99"/>
    <w:unhideWhenUsed/>
    <w:qFormat/>
    <w:pPr>
      <w:jc w:val="left"/>
      <w:tabs>
        <w:tab w:val="center" w:pos="4153" w:leader="none"/>
        <w:tab w:val="right" w:pos="8306" w:leader="none"/>
      </w:tabs>
    </w:pPr>
    <w:rPr>
      <w:sz w:val="18"/>
      <w:szCs w:val="18"/>
    </w:rPr>
  </w:style>
  <w:style w:type="paragraph" w:styleId="714">
    <w:name w:val="Header"/>
    <w:basedOn w:val="693"/>
    <w:link w:val="7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93"/>
    <w:next w:val="693"/>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16">
    <w:name w:val="toc 2"/>
    <w:basedOn w:val="693"/>
    <w:next w:val="693"/>
    <w:uiPriority w:val="39"/>
    <w:unhideWhenUsed/>
    <w:qFormat/>
    <w:pPr>
      <w:ind w:left="221"/>
      <w:jc w:val="left"/>
      <w:spacing w:line="360" w:lineRule="auto"/>
      <w:widowControl/>
    </w:pPr>
    <w:rPr>
      <w:rFonts w:ascii="Times New Roman" w:hAnsi="Times New Roman" w:eastAsia="宋体" w:cs="Times New Roman"/>
      <w:sz w:val="22"/>
    </w:rPr>
  </w:style>
  <w:style w:type="paragraph" w:styleId="717">
    <w:name w:val="HTML Preformatted"/>
    <w:basedOn w:val="693"/>
    <w:link w:val="769"/>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8">
    <w:name w:val="Normal (Web)"/>
    <w:basedOn w:val="69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9">
    <w:name w:val="Title"/>
    <w:basedOn w:val="693"/>
    <w:link w:val="797"/>
    <w:uiPriority w:val="10"/>
    <w:qFormat/>
    <w:pPr>
      <w:jc w:val="center"/>
      <w:spacing w:before="240" w:after="60"/>
      <w:outlineLvl w:val="0"/>
    </w:pPr>
    <w:rPr>
      <w:rFonts w:ascii="Arial" w:hAnsi="Arial"/>
      <w:b/>
      <w:sz w:val="32"/>
    </w:rPr>
  </w:style>
  <w:style w:type="paragraph" w:styleId="720">
    <w:name w:val="annotation subject"/>
    <w:basedOn w:val="702"/>
    <w:next w:val="702"/>
    <w:link w:val="747"/>
    <w:uiPriority w:val="99"/>
    <w:unhideWhenUsed/>
    <w:qFormat/>
    <w:rPr>
      <w:rFonts w:asciiTheme="minorHAnsi" w:hAnsiTheme="minorHAnsi" w:eastAsiaTheme="minorEastAsia" w:cstheme="minorBidi"/>
      <w:b/>
      <w:bCs/>
      <w:szCs w:val="22"/>
    </w:rPr>
  </w:style>
  <w:style w:type="paragraph" w:styleId="721">
    <w:name w:val="Body Text First Indent 2"/>
    <w:basedOn w:val="706"/>
    <w:next w:val="693"/>
    <w:uiPriority w:val="99"/>
    <w:qFormat/>
    <w:pPr>
      <w:ind w:firstLine="420"/>
    </w:pPr>
  </w:style>
  <w:style w:type="table" w:styleId="722">
    <w:name w:val="Table Grid"/>
    <w:basedOn w:val="69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723">
    <w:name w:val="Strong"/>
    <w:uiPriority w:val="22"/>
    <w:qFormat/>
    <w:rPr>
      <w:b/>
      <w:bCs/>
    </w:rPr>
  </w:style>
  <w:style w:type="character" w:styleId="724">
    <w:name w:val="FollowedHyperlink"/>
    <w:basedOn w:val="697"/>
    <w:uiPriority w:val="99"/>
    <w:unhideWhenUsed/>
    <w:qFormat/>
    <w:rPr>
      <w:color w:val="333333"/>
      <w:u w:val="none"/>
    </w:rPr>
  </w:style>
  <w:style w:type="character" w:styleId="725">
    <w:name w:val="Emphasis"/>
    <w:basedOn w:val="697"/>
    <w:uiPriority w:val="20"/>
    <w:qFormat/>
  </w:style>
  <w:style w:type="character" w:styleId="726">
    <w:name w:val="Hyperlink"/>
    <w:basedOn w:val="697"/>
    <w:uiPriority w:val="99"/>
    <w:unhideWhenUsed/>
    <w:qFormat/>
    <w:rPr>
      <w:color w:val="0563c1" w:themeColor="hyperlink"/>
      <w:u w:val="single"/>
      <w14:textFill>
        <w14:solidFill>
          <w14:schemeClr w14:val="hlink"/>
        </w14:solidFill>
      </w14:textFill>
    </w:rPr>
  </w:style>
  <w:style w:type="character" w:styleId="727">
    <w:name w:val="annotation reference"/>
    <w:basedOn w:val="697"/>
    <w:uiPriority w:val="99"/>
    <w:qFormat/>
    <w:rPr>
      <w:sz w:val="21"/>
      <w:szCs w:val="21"/>
    </w:rPr>
  </w:style>
  <w:style w:type="character" w:styleId="728" w:customStyle="1">
    <w:name w:val="页眉 Char"/>
    <w:basedOn w:val="697"/>
    <w:link w:val="714"/>
    <w:uiPriority w:val="99"/>
    <w:qFormat/>
    <w:rPr>
      <w:sz w:val="18"/>
      <w:szCs w:val="18"/>
    </w:rPr>
  </w:style>
  <w:style w:type="character" w:styleId="729" w:customStyle="1">
    <w:name w:val="页脚 Char"/>
    <w:basedOn w:val="697"/>
    <w:link w:val="713"/>
    <w:uiPriority w:val="99"/>
    <w:qFormat/>
    <w:rPr>
      <w:sz w:val="18"/>
      <w:szCs w:val="18"/>
    </w:rPr>
  </w:style>
  <w:style w:type="character" w:styleId="730" w:customStyle="1">
    <w:name w:val="标题 1 Char"/>
    <w:basedOn w:val="697"/>
    <w:uiPriority w:val="9"/>
    <w:qFormat/>
    <w:rPr>
      <w:b/>
      <w:bCs/>
      <w:sz w:val="44"/>
      <w:szCs w:val="44"/>
    </w:rPr>
  </w:style>
  <w:style w:type="paragraph" w:styleId="731" w:customStyle="1">
    <w:name w:val="TOC 标题1"/>
    <w:basedOn w:val="694"/>
    <w:next w:val="693"/>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32" w:customStyle="1">
    <w:name w:val="列出段落1"/>
    <w:basedOn w:val="693"/>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33" w:customStyle="1">
    <w:name w:val="正文文本缩进 Char"/>
    <w:basedOn w:val="697"/>
    <w:link w:val="706"/>
    <w:uiPriority w:val="0"/>
    <w:qFormat/>
    <w:rPr>
      <w:rFonts w:ascii="楷体_GB2312" w:hAnsi="Times New Roman" w:eastAsia="楷体_GB2312" w:cs="Times New Roman"/>
      <w:sz w:val="28"/>
      <w:szCs w:val="20"/>
    </w:rPr>
  </w:style>
  <w:style w:type="paragraph" w:styleId="734" w:customStyle="1">
    <w:name w:val="蓝色显示"/>
    <w:basedOn w:val="693"/>
    <w:link w:val="735"/>
    <w:uiPriority w:val="0"/>
    <w:qFormat/>
    <w:pPr>
      <w:spacing w:before="340" w:after="330" w:line="400" w:lineRule="exact"/>
    </w:pPr>
    <w:rPr>
      <w:rFonts w:ascii="Times New Roman" w:hAnsi="Times New Roman" w:eastAsia="宋体" w:cs="Times New Roman"/>
      <w:b/>
      <w:color w:val="0070c0"/>
      <w:szCs w:val="24"/>
    </w:rPr>
  </w:style>
  <w:style w:type="character" w:styleId="735" w:customStyle="1">
    <w:name w:val="蓝色显示 Char"/>
    <w:link w:val="734"/>
    <w:uiPriority w:val="0"/>
    <w:qFormat/>
    <w:rPr>
      <w:rFonts w:ascii="Times New Roman" w:hAnsi="Times New Roman" w:eastAsia="宋体" w:cs="Times New Roman"/>
      <w:b/>
      <w:color w:val="0070c0"/>
      <w:szCs w:val="24"/>
    </w:rPr>
  </w:style>
  <w:style w:type="character" w:styleId="736" w:customStyle="1">
    <w:name w:val="纯文本 Char"/>
    <w:basedOn w:val="697"/>
    <w:link w:val="710"/>
    <w:uiPriority w:val="0"/>
    <w:qFormat/>
    <w:rPr>
      <w:rFonts w:ascii="宋体" w:hAnsi="Courier New" w:eastAsia="宋体" w:cs="Times New Roman"/>
      <w:szCs w:val="20"/>
    </w:rPr>
  </w:style>
  <w:style w:type="character" w:styleId="737" w:customStyle="1">
    <w:name w:val="批注框文本 Char"/>
    <w:basedOn w:val="697"/>
    <w:link w:val="712"/>
    <w:uiPriority w:val="99"/>
    <w:semiHidden/>
    <w:qFormat/>
    <w:rPr>
      <w:sz w:val="18"/>
      <w:szCs w:val="18"/>
    </w:rPr>
  </w:style>
  <w:style w:type="character" w:styleId="738" w:customStyle="1">
    <w:name w:val="日期 Char"/>
    <w:basedOn w:val="697"/>
    <w:link w:val="711"/>
    <w:uiPriority w:val="99"/>
    <w:semiHidden/>
    <w:qFormat/>
  </w:style>
  <w:style w:type="character" w:styleId="739" w:customStyle="1">
    <w:name w:val="批注文字 Char"/>
    <w:basedOn w:val="697"/>
    <w:uiPriority w:val="99"/>
    <w:qFormat/>
    <w:rPr>
      <w:rFonts w:ascii="Times New Roman" w:hAnsi="Times New Roman" w:eastAsia="宋体" w:cs="Times New Roman"/>
      <w:szCs w:val="20"/>
    </w:rPr>
  </w:style>
  <w:style w:type="character" w:styleId="740" w:customStyle="1">
    <w:name w:val="正文文本 3 Char"/>
    <w:basedOn w:val="697"/>
    <w:link w:val="703"/>
    <w:uiPriority w:val="0"/>
    <w:qFormat/>
    <w:rPr>
      <w:rFonts w:ascii="Times New Roman" w:hAnsi="Times New Roman" w:eastAsia="宋体" w:cs="Times New Roman"/>
      <w:sz w:val="16"/>
      <w:szCs w:val="16"/>
    </w:rPr>
  </w:style>
  <w:style w:type="paragraph" w:styleId="741" w:customStyle="1">
    <w:name w:val="正文00"/>
    <w:basedOn w:val="693"/>
    <w:uiPriority w:val="0"/>
    <w:qFormat/>
    <w:pPr>
      <w:ind w:firstLine="200"/>
      <w:spacing w:line="360" w:lineRule="auto"/>
    </w:pPr>
    <w:rPr>
      <w:rFonts w:ascii="Times New Roman" w:hAnsi="Times New Roman" w:eastAsia="宋体" w:cs="Times New Roman"/>
      <w:sz w:val="24"/>
      <w:szCs w:val="21"/>
    </w:rPr>
  </w:style>
  <w:style w:type="paragraph" w:styleId="742" w:customStyle="1">
    <w:name w:val="普通正文"/>
    <w:basedOn w:val="693"/>
    <w:uiPriority w:val="0"/>
    <w:qFormat/>
    <w:pPr>
      <w:ind w:firstLine="480"/>
      <w:jc w:val="left"/>
      <w:spacing w:before="120" w:after="120" w:line="360" w:lineRule="auto"/>
      <w:widowControl/>
    </w:pPr>
    <w:rPr>
      <w:rFonts w:ascii="Arial" w:hAnsi="Arial" w:eastAsia="宋体" w:cs="宋体"/>
      <w:sz w:val="24"/>
      <w:szCs w:val="24"/>
    </w:rPr>
  </w:style>
  <w:style w:type="character" w:styleId="743" w:customStyle="1">
    <w:name w:val="正文文本 Char"/>
    <w:basedOn w:val="697"/>
    <w:link w:val="705"/>
    <w:uiPriority w:val="0"/>
    <w:qFormat/>
  </w:style>
  <w:style w:type="paragraph" w:styleId="744" w:customStyle="1">
    <w:name w:val="Default"/>
    <w:uiPriority w:val="0"/>
    <w:qFormat/>
    <w:rPr>
      <w:rFonts w:ascii="宋体" w:hAnsi="Times New Roman" w:eastAsia="宋体" w:cs="宋体"/>
      <w:color w:val="000000"/>
      <w:sz w:val="24"/>
      <w:szCs w:val="24"/>
      <w:lang w:val="en-US" w:eastAsia="zh-CN" w:bidi="ar-SA"/>
    </w:rPr>
  </w:style>
  <w:style w:type="paragraph" w:styleId="745" w:customStyle="1">
    <w:name w:val="Table Paragraph"/>
    <w:basedOn w:val="693"/>
    <w:uiPriority w:val="1"/>
    <w:qFormat/>
    <w:pPr>
      <w:jc w:val="left"/>
    </w:pPr>
    <w:rPr>
      <w:rFonts w:ascii="Times New Roman" w:hAnsi="Times New Roman" w:eastAsia="宋体" w:cs="Times New Roman"/>
      <w:sz w:val="24"/>
      <w:szCs w:val="24"/>
    </w:rPr>
  </w:style>
  <w:style w:type="paragraph" w:styleId="746" w:customStyle="1">
    <w:name w:val="_Style 20"/>
    <w:basedOn w:val="693"/>
    <w:next w:val="732"/>
    <w:uiPriority w:val="34"/>
    <w:qFormat/>
    <w:pPr>
      <w:ind w:firstLine="420"/>
    </w:pPr>
    <w:rPr>
      <w:rFonts w:ascii="Times New Roman" w:hAnsi="Times New Roman" w:eastAsia="宋体" w:cs="Times New Roman"/>
      <w:szCs w:val="21"/>
    </w:rPr>
  </w:style>
  <w:style w:type="character" w:styleId="747" w:customStyle="1">
    <w:name w:val="批注主题 Char"/>
    <w:basedOn w:val="739"/>
    <w:link w:val="720"/>
    <w:uiPriority w:val="99"/>
    <w:semiHidden/>
    <w:qFormat/>
    <w:rPr>
      <w:rFonts w:ascii="Times New Roman" w:hAnsi="Times New Roman" w:eastAsia="宋体" w:cs="Times New Roman"/>
      <w:b/>
      <w:bCs/>
      <w:sz w:val="21"/>
      <w:szCs w:val="22"/>
    </w:rPr>
  </w:style>
  <w:style w:type="paragraph" w:styleId="748" w:customStyle="1">
    <w:name w:val="_Style 6"/>
    <w:basedOn w:val="693"/>
    <w:uiPriority w:val="34"/>
    <w:qFormat/>
    <w:pPr>
      <w:ind w:firstLine="420"/>
      <w:widowControl/>
    </w:pPr>
    <w:rPr>
      <w:rFonts w:ascii="Calibri" w:hAnsi="Calibri"/>
      <w:sz w:val="34"/>
      <w:szCs w:val="21"/>
    </w:rPr>
  </w:style>
  <w:style w:type="paragraph" w:styleId="749" w:customStyle="1">
    <w:name w:val="列出段落11"/>
    <w:basedOn w:val="693"/>
    <w:uiPriority w:val="99"/>
    <w:qFormat/>
    <w:pPr>
      <w:contextualSpacing/>
      <w:ind w:left="720"/>
    </w:pPr>
    <w:rPr>
      <w:rFonts w:ascii="黑体" w:hAnsi="黑体" w:eastAsia="Arial" w:cs="黑体"/>
      <w:szCs w:val="21"/>
    </w:rPr>
  </w:style>
  <w:style w:type="character" w:styleId="750" w:customStyle="1">
    <w:name w:val="bsharetext"/>
    <w:basedOn w:val="697"/>
    <w:uiPriority w:val="0"/>
    <w:qFormat/>
  </w:style>
  <w:style w:type="character" w:styleId="751" w:customStyle="1">
    <w:name w:val="active2"/>
    <w:basedOn w:val="697"/>
    <w:uiPriority w:val="0"/>
    <w:qFormat/>
    <w:rPr>
      <w:shd w:val="clear" w:color="auto" w:fill="0162b1"/>
    </w:rPr>
  </w:style>
  <w:style w:type="character" w:styleId="752" w:customStyle="1">
    <w:name w:val="add3"/>
    <w:basedOn w:val="697"/>
    <w:uiPriority w:val="0"/>
    <w:qFormat/>
  </w:style>
  <w:style w:type="paragraph" w:styleId="753">
    <w:name w:val="List Paragraph"/>
    <w:basedOn w:val="693"/>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54" w:customStyle="1">
    <w:name w:val="fontstyle01"/>
    <w:uiPriority w:val="0"/>
    <w:qFormat/>
    <w:rPr>
      <w:rFonts w:hint="eastAsia" w:ascii="宋体" w:hAnsi="宋体" w:eastAsia="宋体"/>
      <w:color w:val="000000"/>
      <w:sz w:val="24"/>
      <w:szCs w:val="24"/>
    </w:rPr>
  </w:style>
  <w:style w:type="character" w:styleId="755" w:customStyle="1">
    <w:name w:val="fontstyle21"/>
    <w:uiPriority w:val="0"/>
    <w:qFormat/>
    <w:rPr>
      <w:rFonts w:hint="default" w:ascii="Times New Roman" w:hAnsi="Times New Roman" w:cs="Times New Roman"/>
      <w:color w:val="000000"/>
      <w:sz w:val="24"/>
      <w:szCs w:val="24"/>
    </w:rPr>
  </w:style>
  <w:style w:type="paragraph" w:styleId="756"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57" w:customStyle="1">
    <w:name w:val="表格中文字（dbapp）"/>
    <w:basedOn w:val="693"/>
    <w:uiPriority w:val="0"/>
    <w:qFormat/>
    <w:pPr>
      <w:jc w:val="left"/>
      <w:spacing w:before="20" w:after="20"/>
    </w:pPr>
    <w:rPr>
      <w:rFonts w:ascii="方正兰亭黑简体" w:hAnsi="方正兰亭黑简体" w:eastAsia="方正兰亭黑简体"/>
      <w:szCs w:val="21"/>
    </w:rPr>
  </w:style>
  <w:style w:type="paragraph" w:styleId="758" w:customStyle="1">
    <w:name w:val="msolistparagraph"/>
    <w:basedOn w:val="693"/>
    <w:uiPriority w:val="0"/>
    <w:qFormat/>
    <w:pPr>
      <w:ind w:firstLine="420"/>
    </w:pPr>
    <w:rPr>
      <w:rFonts w:ascii="Calibri" w:hAnsi="Calibri" w:eastAsia="宋体" w:cs="Times New Roman"/>
    </w:rPr>
  </w:style>
  <w:style w:type="character" w:styleId="759" w:customStyle="1">
    <w:name w:val="标题 3 Char"/>
    <w:basedOn w:val="697"/>
    <w:link w:val="696"/>
    <w:uiPriority w:val="0"/>
    <w:qFormat/>
    <w:rPr>
      <w:b/>
      <w:bCs/>
      <w:sz w:val="32"/>
      <w:szCs w:val="32"/>
    </w:rPr>
  </w:style>
  <w:style w:type="character" w:styleId="760" w:customStyle="1">
    <w:name w:val="标题 1 Char1"/>
    <w:basedOn w:val="697"/>
    <w:link w:val="694"/>
    <w:uiPriority w:val="0"/>
    <w:qFormat/>
    <w:rPr>
      <w:b/>
      <w:bCs/>
      <w:sz w:val="32"/>
      <w:szCs w:val="44"/>
    </w:rPr>
  </w:style>
  <w:style w:type="character" w:styleId="761" w:customStyle="1">
    <w:name w:val="标题 2 字符1"/>
    <w:basedOn w:val="697"/>
    <w:uiPriority w:val="0"/>
    <w:qFormat/>
    <w:rPr>
      <w:rFonts w:hint="default" w:ascii="Cambria" w:hAnsi="Cambria" w:eastAsia="Cambria" w:cs="Cambria"/>
      <w:b/>
      <w:bCs/>
      <w:sz w:val="32"/>
      <w:szCs w:val="32"/>
    </w:rPr>
  </w:style>
  <w:style w:type="character" w:styleId="762" w:customStyle="1">
    <w:name w:val="批注文字 字符1"/>
    <w:basedOn w:val="697"/>
    <w:uiPriority w:val="0"/>
    <w:qFormat/>
    <w:rPr>
      <w:sz w:val="21"/>
      <w:szCs w:val="24"/>
    </w:rPr>
  </w:style>
  <w:style w:type="character" w:styleId="763" w:customStyle="1">
    <w:name w:val="批注文字 Char1"/>
    <w:basedOn w:val="697"/>
    <w:link w:val="702"/>
    <w:uiPriority w:val="0"/>
    <w:qFormat/>
    <w:rPr>
      <w:sz w:val="21"/>
      <w:szCs w:val="24"/>
    </w:rPr>
  </w:style>
  <w:style w:type="paragraph" w:styleId="764"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65"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66"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6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68"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69" w:customStyle="1">
    <w:name w:val="HTML 预设格式 Char"/>
    <w:basedOn w:val="697"/>
    <w:link w:val="717"/>
    <w:uiPriority w:val="0"/>
    <w:qFormat/>
    <w:rPr>
      <w:rFonts w:hint="eastAsia" w:ascii="宋体" w:hAnsi="宋体" w:eastAsia="宋体" w:cs="宋体"/>
      <w:sz w:val="24"/>
      <w:szCs w:val="24"/>
    </w:rPr>
  </w:style>
  <w:style w:type="paragraph" w:styleId="770"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71"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72"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73"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74"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75"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76" w:customStyle="1">
    <w:name w:val="_正文段落 Char Char"/>
    <w:basedOn w:val="697"/>
    <w:uiPriority w:val="0"/>
    <w:qFormat/>
    <w:rPr>
      <w:sz w:val="24"/>
      <w:szCs w:val="24"/>
    </w:rPr>
  </w:style>
  <w:style w:type="paragraph" w:styleId="777" w:customStyle="1">
    <w:name w:val="正文段落样式"/>
    <w:basedOn w:val="693"/>
    <w:link w:val="779"/>
    <w:uiPriority w:val="0"/>
    <w:qFormat/>
    <w:pPr>
      <w:ind w:firstLine="420"/>
      <w:jc w:val="left"/>
      <w:spacing w:line="360" w:lineRule="auto"/>
    </w:pPr>
    <w:rPr>
      <w:rFonts w:hint="eastAsia" w:ascii="等线" w:hAnsi="等线" w:eastAsia="等线" w:cs="Times New Roman"/>
      <w:sz w:val="24"/>
      <w:szCs w:val="21"/>
    </w:rPr>
  </w:style>
  <w:style w:type="character" w:styleId="778" w:customStyle="1">
    <w:name w:val="列表段落 字符"/>
    <w:basedOn w:val="697"/>
    <w:uiPriority w:val="0"/>
    <w:qFormat/>
    <w:rPr>
      <w:rFonts w:hint="eastAsia" w:ascii="Arial Unicode MS" w:hAnsi="Arial Unicode MS" w:eastAsia="等线" w:cs="Arial Unicode MS"/>
      <w:color w:val="000000"/>
      <w:lang w:eastAsia="en-US"/>
    </w:rPr>
  </w:style>
  <w:style w:type="character" w:styleId="779" w:customStyle="1">
    <w:name w:val="正文段落样式 Char"/>
    <w:basedOn w:val="697"/>
    <w:link w:val="777"/>
    <w:uiPriority w:val="0"/>
    <w:qFormat/>
    <w:rPr>
      <w:rFonts w:hint="eastAsia" w:ascii="等线" w:hAnsi="等线" w:eastAsia="等线" w:cs="Times New Roman"/>
      <w:sz w:val="24"/>
      <w:szCs w:val="21"/>
    </w:rPr>
  </w:style>
  <w:style w:type="paragraph" w:styleId="780"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81"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82" w:customStyle="1">
    <w:name w:val="标题 6 字符"/>
    <w:basedOn w:val="697"/>
    <w:uiPriority w:val="0"/>
    <w:qFormat/>
    <w:rPr>
      <w:rFonts w:ascii="Arial" w:hAnsi="Arial" w:eastAsia="黑体" w:cs="Times New Roman"/>
      <w:sz w:val="22"/>
      <w:szCs w:val="20"/>
    </w:rPr>
  </w:style>
  <w:style w:type="character" w:styleId="783" w:customStyle="1">
    <w:name w:val="文档正文 Char"/>
    <w:basedOn w:val="697"/>
    <w:uiPriority w:val="0"/>
    <w:qFormat/>
    <w:rPr>
      <w:rFonts w:hint="default" w:ascii="Times New Roman" w:hAnsi="Times New Roman" w:eastAsia="宋体" w:cs="Times New Roman"/>
      <w:sz w:val="22"/>
      <w:szCs w:val="20"/>
    </w:rPr>
  </w:style>
  <w:style w:type="character" w:styleId="784" w:customStyle="1">
    <w:name w:val="标题 5 字符"/>
    <w:basedOn w:val="697"/>
    <w:uiPriority w:val="0"/>
    <w:qFormat/>
    <w:rPr>
      <w:rFonts w:hint="default" w:ascii="Times New Roman" w:hAnsi="Times New Roman" w:eastAsia="宋体" w:cs="Times New Roman"/>
      <w:sz w:val="28"/>
      <w:szCs w:val="20"/>
    </w:rPr>
  </w:style>
  <w:style w:type="character" w:styleId="785" w:customStyle="1">
    <w:name w:val="正文(首行缩进) Char"/>
    <w:basedOn w:val="697"/>
    <w:link w:val="786"/>
    <w:uiPriority w:val="0"/>
    <w:qFormat/>
    <w:rPr>
      <w:rFonts w:hint="default" w:ascii="Times New Roman" w:hAnsi="Times New Roman" w:eastAsia="宋体" w:cs="Times New Roman"/>
      <w:sz w:val="24"/>
      <w:szCs w:val="24"/>
    </w:rPr>
  </w:style>
  <w:style w:type="paragraph" w:styleId="786" w:customStyle="1">
    <w:name w:val="正文(首行缩进)"/>
    <w:basedOn w:val="693"/>
    <w:next w:val="693"/>
    <w:link w:val="785"/>
    <w:uiPriority w:val="0"/>
    <w:qFormat/>
    <w:pPr>
      <w:ind w:firstLine="480"/>
      <w:spacing w:line="360" w:lineRule="auto"/>
    </w:pPr>
    <w:rPr>
      <w:rFonts w:ascii="Times New Roman" w:hAnsi="Times New Roman" w:eastAsia="宋体" w:cs="Times New Roman"/>
      <w:sz w:val="24"/>
      <w:szCs w:val="24"/>
    </w:rPr>
  </w:style>
  <w:style w:type="character" w:styleId="787" w:customStyle="1">
    <w:name w:val="标题 4 字符"/>
    <w:basedOn w:val="697"/>
    <w:uiPriority w:val="0"/>
    <w:qFormat/>
    <w:rPr>
      <w:rFonts w:hint="eastAsia" w:ascii="宋体" w:hAnsi="宋体" w:eastAsia="宋体" w:cs="Times New Roman"/>
      <w:b/>
      <w:sz w:val="24"/>
      <w:szCs w:val="24"/>
    </w:rPr>
  </w:style>
  <w:style w:type="paragraph" w:styleId="788" w:customStyle="1">
    <w:name w:val="表格内容"/>
    <w:basedOn w:val="693"/>
    <w:uiPriority w:val="0"/>
    <w:qFormat/>
    <w:pPr>
      <w:ind w:left="420"/>
      <w:spacing w:before="156" w:after="156" w:line="300" w:lineRule="auto"/>
    </w:pPr>
    <w:rPr>
      <w:rFonts w:ascii="Times New Roman" w:hAnsi="Times New Roman" w:eastAsia="宋体" w:cs="Times New Roman"/>
      <w:sz w:val="18"/>
      <w:szCs w:val="24"/>
    </w:rPr>
  </w:style>
  <w:style w:type="character" w:styleId="789" w:customStyle="1">
    <w:name w:val="标题 3 字符"/>
    <w:basedOn w:val="697"/>
    <w:uiPriority w:val="0"/>
    <w:qFormat/>
    <w:rPr>
      <w:rFonts w:hint="eastAsia" w:ascii="宋体" w:hAnsi="宋体" w:eastAsia="宋体" w:cs="Times New Roman"/>
      <w:b/>
      <w:bCs/>
      <w:sz w:val="24"/>
      <w:szCs w:val="24"/>
    </w:rPr>
  </w:style>
  <w:style w:type="character" w:styleId="790" w:customStyle="1">
    <w:name w:val="标题 1 字符"/>
    <w:basedOn w:val="697"/>
    <w:uiPriority w:val="0"/>
    <w:qFormat/>
    <w:rPr>
      <w:rFonts w:hint="eastAsia" w:ascii="宋体" w:hAnsi="宋体" w:eastAsia="宋体" w:cs="Times New Roman"/>
      <w:b/>
      <w:bCs/>
      <w:sz w:val="36"/>
      <w:szCs w:val="36"/>
    </w:rPr>
  </w:style>
  <w:style w:type="character" w:styleId="791" w:customStyle="1">
    <w:name w:val="标题 9 字符"/>
    <w:basedOn w:val="697"/>
    <w:uiPriority w:val="0"/>
    <w:qFormat/>
    <w:rPr>
      <w:rFonts w:hint="default" w:ascii="Arial" w:hAnsi="Arial" w:eastAsia="黑体" w:cs="Times New Roman"/>
      <w:sz w:val="22"/>
      <w:szCs w:val="20"/>
    </w:rPr>
  </w:style>
  <w:style w:type="character" w:styleId="792" w:customStyle="1">
    <w:name w:val="标题 8 字符"/>
    <w:basedOn w:val="697"/>
    <w:uiPriority w:val="0"/>
    <w:qFormat/>
    <w:rPr>
      <w:rFonts w:hint="default" w:ascii="Arial" w:hAnsi="Arial" w:eastAsia="黑体" w:cs="Times New Roman"/>
      <w:sz w:val="22"/>
      <w:szCs w:val="20"/>
    </w:rPr>
  </w:style>
  <w:style w:type="character" w:styleId="793" w:customStyle="1">
    <w:name w:val="[正文行首缩进] Char"/>
    <w:basedOn w:val="697"/>
    <w:link w:val="794"/>
    <w:uiPriority w:val="0"/>
    <w:qFormat/>
    <w:rPr>
      <w:rFonts w:hint="eastAsia" w:ascii="宋体" w:hAnsi="宋体" w:eastAsia="宋体" w:cs="宋体"/>
      <w:color w:val="000000"/>
      <w:sz w:val="24"/>
      <w:szCs w:val="24"/>
    </w:rPr>
  </w:style>
  <w:style w:type="paragraph" w:styleId="794" w:customStyle="1">
    <w:name w:val="[正文行首缩进]"/>
    <w:basedOn w:val="693"/>
    <w:link w:val="793"/>
    <w:uiPriority w:val="0"/>
    <w:qFormat/>
    <w:pPr>
      <w:jc w:val="center"/>
      <w:spacing w:line="360" w:lineRule="auto"/>
    </w:pPr>
    <w:rPr>
      <w:rFonts w:hint="eastAsia" w:ascii="宋体" w:hAnsi="等线" w:eastAsia="等线" w:cs="Times New Roman"/>
      <w:color w:val="000000"/>
      <w:sz w:val="24"/>
      <w:szCs w:val="24"/>
    </w:rPr>
  </w:style>
  <w:style w:type="character" w:styleId="795" w:customStyle="1">
    <w:name w:val="正文缩进 字符"/>
    <w:basedOn w:val="697"/>
    <w:uiPriority w:val="0"/>
    <w:qFormat/>
    <w:rPr>
      <w:sz w:val="24"/>
    </w:rPr>
  </w:style>
  <w:style w:type="character" w:styleId="796" w:customStyle="1">
    <w:name w:val="文档结构图 Char"/>
    <w:basedOn w:val="697"/>
    <w:link w:val="701"/>
    <w:uiPriority w:val="0"/>
    <w:qFormat/>
    <w:rPr>
      <w:rFonts w:hint="eastAsia" w:ascii="Microsoft YaHei UI" w:hAnsi="Microsoft YaHei UI" w:eastAsia="Microsoft YaHei UI" w:cs="Microsoft YaHei UI"/>
      <w:sz w:val="18"/>
      <w:szCs w:val="18"/>
    </w:rPr>
  </w:style>
  <w:style w:type="character" w:styleId="797" w:customStyle="1">
    <w:name w:val="标题 Char"/>
    <w:basedOn w:val="697"/>
    <w:link w:val="719"/>
    <w:uiPriority w:val="0"/>
    <w:qFormat/>
    <w:rPr>
      <w:rFonts w:ascii="等线 Light" w:hAnsi="等线 Light" w:eastAsia="等线 Light" w:cs="Times New Roman"/>
      <w:b/>
      <w:bCs/>
      <w:sz w:val="32"/>
      <w:szCs w:val="32"/>
    </w:rPr>
  </w:style>
  <w:style w:type="character" w:styleId="798" w:customStyle="1">
    <w:name w:val="标题 2 字符"/>
    <w:basedOn w:val="697"/>
    <w:uiPriority w:val="0"/>
    <w:qFormat/>
    <w:rPr>
      <w:rFonts w:hint="eastAsia" w:ascii="宋体" w:hAnsi="宋体" w:eastAsia="宋体" w:cs="Times New Roman"/>
      <w:b/>
      <w:bCs/>
      <w:sz w:val="28"/>
      <w:szCs w:val="32"/>
    </w:rPr>
  </w:style>
  <w:style w:type="character" w:styleId="799" w:customStyle="1">
    <w:name w:val="标题 7 字符"/>
    <w:basedOn w:val="697"/>
    <w:uiPriority w:val="0"/>
    <w:qFormat/>
    <w:rPr>
      <w:rFonts w:hint="default" w:ascii="Times New Roman" w:hAnsi="Times New Roman" w:eastAsia="宋体" w:cs="Times New Roman"/>
      <w:b/>
      <w:sz w:val="22"/>
      <w:szCs w:val="20"/>
    </w:rPr>
  </w:style>
  <w:style w:type="paragraph" w:styleId="800" w:customStyle="1">
    <w:name w:val="表格标题"/>
    <w:basedOn w:val="693"/>
    <w:uiPriority w:val="0"/>
    <w:qFormat/>
    <w:pPr>
      <w:jc w:val="center"/>
      <w:spacing w:before="62" w:after="62" w:line="360" w:lineRule="auto"/>
    </w:pPr>
    <w:rPr>
      <w:rFonts w:hint="eastAsia" w:ascii="宋体" w:hAnsi="宋体" w:eastAsia="宋体" w:cs="Times New Roman"/>
      <w:b/>
      <w:bCs/>
      <w:szCs w:val="20"/>
    </w:rPr>
  </w:style>
  <w:style w:type="table" w:styleId="801" w:customStyle="1">
    <w:name w:val="Table Normal"/>
    <w:basedOn w:val="698"/>
    <w:uiPriority w:val="0"/>
    <w:semiHidden/>
    <w:qFormat/>
    <w:pPr>
      <w:widowControl w:val="off"/>
    </w:pPr>
    <w:rPr>
      <w:rFonts w:hint="eastAsia"/>
      <w:sz w:val="22"/>
      <w:szCs w:val="22"/>
      <w:lang w:eastAsia="en-US"/>
    </w:rPr>
    <w:tblPr>
      <w:tblCellMar>
        <w:left w:w="0" w:type="dxa"/>
        <w:top w:w="0" w:type="dxa"/>
        <w:right w:w="0" w:type="dxa"/>
        <w:bottom w:w="0" w:type="dxa"/>
      </w:tblCellMar>
    </w:tblPr>
  </w:style>
  <w:style w:type="paragraph" w:styleId="802"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803" w:customStyle="1">
    <w:name w:val="正文文本首行缩进 字符"/>
    <w:uiPriority w:val="0"/>
    <w:qFormat/>
    <w:rPr>
      <w:rFonts w:hint="default" w:ascii="Calibri" w:hAnsi="Calibri" w:eastAsia="宋体" w:cs="Times New Roman"/>
      <w:sz w:val="21"/>
      <w:szCs w:val="22"/>
    </w:rPr>
  </w:style>
  <w:style w:type="paragraph" w:styleId="804" w:customStyle="1">
    <w:name w:val="表正文"/>
    <w:basedOn w:val="693"/>
    <w:uiPriority w:val="0"/>
    <w:qFormat/>
    <w:rPr>
      <w:rFonts w:hint="eastAsia" w:ascii="等线" w:hAnsi="等线" w:eastAsia="宋体" w:cs="Times New Roman"/>
      <w:sz w:val="18"/>
    </w:rPr>
  </w:style>
  <w:style w:type="paragraph" w:styleId="805"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806" w:customStyle="1">
    <w:name w:val="列出段落 Char"/>
    <w:basedOn w:val="697"/>
    <w:uiPriority w:val="0"/>
    <w:qFormat/>
    <w:rPr>
      <w:rFonts w:hint="eastAsia" w:ascii="Arial Unicode MS" w:hAnsi="Arial Unicode MS" w:eastAsia="Arial Unicode MS" w:cs="Arial Unicode MS"/>
      <w:color w:val="000000"/>
      <w:sz w:val="20"/>
      <w:szCs w:val="20"/>
      <w:lang w:eastAsia="en-US"/>
    </w:rPr>
  </w:style>
  <w:style w:type="character" w:styleId="807" w:customStyle="1">
    <w:name w:val="标题 2 字符2"/>
    <w:basedOn w:val="697"/>
    <w:uiPriority w:val="0"/>
    <w:qFormat/>
    <w:rPr>
      <w:rFonts w:hint="default" w:ascii="Arial" w:hAnsi="Arial" w:eastAsia="黑体" w:cs="Arial"/>
      <w:b/>
      <w:bCs/>
      <w:sz w:val="32"/>
      <w:szCs w:val="32"/>
    </w:rPr>
  </w:style>
  <w:style w:type="paragraph" w:styleId="808"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809"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810" w:customStyle="1">
    <w:name w:val="标题 2 Char"/>
    <w:basedOn w:val="697"/>
    <w:link w:val="695"/>
    <w:uiPriority w:val="0"/>
    <w:qFormat/>
    <w:rPr>
      <w:rFonts w:hint="default" w:ascii="Arial" w:hAnsi="Arial" w:eastAsia="黑体" w:cs="Arial"/>
      <w:b/>
      <w:bCs/>
      <w:sz w:val="32"/>
      <w:szCs w:val="32"/>
    </w:rPr>
  </w:style>
  <w:style w:type="character" w:styleId="811" w:customStyle="1">
    <w:name w:val="列出段落 Char1"/>
    <w:basedOn w:val="697"/>
    <w:uiPriority w:val="0"/>
    <w:qFormat/>
    <w:rPr>
      <w:rFonts w:hint="eastAsia" w:ascii="Arial Unicode MS" w:hAnsi="Arial Unicode MS" w:eastAsia="Arial Unicode MS" w:cs="Arial Unicode MS"/>
      <w:color w:val="000000"/>
      <w:sz w:val="20"/>
      <w:szCs w:val="20"/>
      <w:lang w:eastAsia="en-US"/>
    </w:rPr>
  </w:style>
  <w:style w:type="paragraph" w:styleId="812"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813"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814" w:customStyle="1">
    <w:name w:val="Table Text"/>
    <w:basedOn w:val="693"/>
    <w:hidden/>
    <w:uiPriority w:val="0"/>
    <w:qFormat/>
    <w:pPr>
      <w:jc w:val="left"/>
      <w:widowControl/>
    </w:pPr>
    <w:rPr>
      <w:rFonts w:hint="eastAsia" w:ascii="宋体" w:hAnsi="宋体" w:eastAsia="宋体" w:cs="Times New Roman"/>
      <w:color w:val="000000"/>
      <w:szCs w:val="21"/>
    </w:rPr>
  </w:style>
  <w:style w:type="paragraph" w:styleId="815"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816"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817" w:customStyle="1">
    <w:name w:val="纯文本 字符1"/>
    <w:basedOn w:val="697"/>
    <w:uiPriority w:val="0"/>
    <w:qFormat/>
    <w:rPr>
      <w:rFonts w:hint="eastAsia" w:ascii="宋体" w:hAnsi="Courier New" w:eastAsia="宋体" w:cs="Courier New"/>
      <w:szCs w:val="24"/>
    </w:rPr>
  </w:style>
  <w:style w:type="paragraph" w:styleId="818"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19" w:customStyle="1">
    <w:name w:val="段"/>
    <w:basedOn w:val="693"/>
    <w:next w:val="693"/>
    <w:uiPriority w:val="0"/>
    <w:qFormat/>
    <w:pPr>
      <w:ind w:firstLine="200"/>
      <w:spacing w:line="360" w:lineRule="auto"/>
      <w:widowControl/>
    </w:pPr>
    <w:rPr>
      <w:rFonts w:hint="eastAsia" w:ascii="宋体" w:hAnsi="Times New Roman" w:eastAsia="宋体" w:cs="Times New Roman"/>
      <w:sz w:val="24"/>
    </w:rPr>
  </w:style>
  <w:style w:type="paragraph" w:styleId="820"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21"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22"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23"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24" w:customStyle="1">
    <w:name w:val="正文文本首行缩进 2 字符"/>
    <w:uiPriority w:val="0"/>
    <w:qFormat/>
    <w:rPr>
      <w:sz w:val="21"/>
      <w:szCs w:val="24"/>
    </w:rPr>
  </w:style>
  <w:style w:type="paragraph" w:styleId="825" w:customStyle="1">
    <w:name w:val="qq正文"/>
    <w:basedOn w:val="693"/>
    <w:uiPriority w:val="0"/>
    <w:qFormat/>
    <w:pPr>
      <w:ind w:firstLine="200"/>
      <w:spacing w:line="360" w:lineRule="auto"/>
    </w:pPr>
    <w:rPr>
      <w:rFonts w:ascii="Times New Roman" w:hAnsi="Times New Roman" w:eastAsia="宋体" w:cs="Times New Roman"/>
      <w:sz w:val="24"/>
      <w:szCs w:val="24"/>
    </w:rPr>
  </w:style>
  <w:style w:type="paragraph" w:styleId="826"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28"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29"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30" w:customStyle="1">
    <w:name w:val="修订31"/>
    <w:hidden/>
    <w:uiPriority w:val="99"/>
    <w:unhideWhenUsed/>
    <w:qFormat/>
    <w:rPr>
      <w:rFonts w:asciiTheme="minorHAnsi" w:hAnsiTheme="minorHAnsi" w:eastAsiaTheme="minorEastAsia" w:cstheme="minorBidi"/>
      <w:sz w:val="21"/>
      <w:szCs w:val="22"/>
      <w:lang w:val="en-US" w:eastAsia="zh-CN" w:bidi="ar-SA"/>
    </w:rPr>
  </w:style>
  <w:style w:type="paragraph" w:styleId="831" w:customStyle="1">
    <w:name w:val="p1"/>
    <w:basedOn w:val="693"/>
    <w:uiPriority w:val="0"/>
    <w:qFormat/>
    <w:pPr>
      <w:jc w:val="left"/>
    </w:pPr>
    <w:rPr>
      <w:rFonts w:ascii="Helvetica" w:hAnsi="Helvetica" w:eastAsia="Helvetica" w:cs="Times New Roman"/>
      <w:color w:val="000000"/>
      <w:sz w:val="24"/>
      <w:szCs w:val="24"/>
    </w:rPr>
  </w:style>
  <w:style w:type="paragraph" w:styleId="832" w:customStyle="1">
    <w:name w:val="索引 41"/>
    <w:basedOn w:val="693"/>
    <w:next w:val="693"/>
    <w:uiPriority w:val="0"/>
    <w:semiHidden/>
    <w:qFormat/>
    <w:pPr>
      <w:ind w:left="1260"/>
    </w:pPr>
    <w:rPr>
      <w:rFonts w:ascii="Calibri" w:hAnsi="Calibri" w:eastAsia="Calibri" w:cs="宋体"/>
      <w:sz w:val="20"/>
      <w:lang w:val="zh-CN"/>
    </w:rPr>
  </w:style>
  <w:style w:type="paragraph" w:styleId="833" w:customStyle="1">
    <w:name w:val="列表段落1"/>
    <w:basedOn w:val="693"/>
    <w:uiPriority w:val="99"/>
    <w:qFormat/>
    <w:pPr>
      <w:ind w:firstLine="420"/>
    </w:pPr>
    <w:rPr>
      <w:szCs w:val="20"/>
    </w:rPr>
  </w:style>
  <w:style w:type="paragraph" w:styleId="83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835" w:customStyle="1">
    <w:name w:val="修订33"/>
    <w:hidden/>
    <w:uiPriority w:val="99"/>
    <w:unhideWhenUsed/>
    <w:qFormat/>
    <w:rPr>
      <w:rFonts w:asciiTheme="minorHAnsi" w:hAnsiTheme="minorHAnsi" w:eastAsiaTheme="minorEastAsia" w:cstheme="minorBidi"/>
      <w:sz w:val="21"/>
      <w:szCs w:val="22"/>
      <w:lang w:val="en-US" w:eastAsia="zh-CN" w:bidi="ar-SA"/>
    </w:rPr>
  </w:style>
  <w:style w:type="paragraph" w:styleId="836"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837" w:customStyle="1">
    <w:name w:val="首行缩进"/>
    <w:basedOn w:val="693"/>
    <w:uiPriority w:val="0"/>
    <w:qFormat/>
    <w:pPr>
      <w:ind w:firstLine="480"/>
    </w:pPr>
  </w:style>
  <w:style w:type="numbering" w:styleId="7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36</cp:revision>
  <dcterms:created xsi:type="dcterms:W3CDTF">2025-08-21T01:15:00Z</dcterms:created>
  <dcterms:modified xsi:type="dcterms:W3CDTF">2026-05-12T03:30:12Z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9A92990CD40543759DAB6F1B233E1A9B_13</vt:lpwstr>
  </property>
  <property fmtid="{D5CDD505-2E9C-101B-9397-08002B2CF9AE}" pid="4" name="KSOTemplateDocerSaveRecord">
    <vt:lpwstr>eyJoZGlkIjoiNTE3ODBhODAwYWZlYmM2Zjk2MjA5ZjdiYTk1Y2U0OTQiLCJ1c2VySWQiOiI5NTc1NDY5NDYifQ==</vt:lpwstr>
  </property>
</Properties>
</file>