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spacing w:line="360" w:lineRule="auto"/>
        <w:rPr>
          <w:rFonts w:hint="eastAsia" w:ascii="宋体" w:hAnsi="宋体" w:eastAsia="宋体" w:cs="宋体"/>
          <w:bCs/>
          <w:color w:val="000000" w:themeColor="text1"/>
          <w:sz w:val="32"/>
          <w:szCs w:val="32"/>
          <w:lang w:eastAsia="zh-CN"/>
          <w14:textFill>
            <w14:solidFill>
              <w14:schemeClr w14:val="tx1"/>
            </w14:solidFill>
          </w14:textFill>
        </w:rPr>
      </w:pPr>
      <w:r/>
      <w:bookmarkStart w:id="0" w:name="_Hlk69393945"/>
      <w:r/>
      <w:bookmarkStart w:id="1" w:name="_Toc528771312"/>
      <w:r/>
      <w:bookmarkStart w:id="2" w:name="_Toc27744861"/>
      <w:r>
        <w:rPr>
          <w:rFonts w:hint="eastAsia" w:ascii="宋体" w:hAnsi="宋体" w:cs="宋体"/>
          <w:bCs/>
          <w:color w:val="000000" w:themeColor="text1"/>
          <w:sz w:val="32"/>
          <w:szCs w:val="32"/>
          <w14:textFill>
            <w14:solidFill>
              <w14:schemeClr w14:val="tx1"/>
            </w14:solidFill>
          </w14:textFill>
        </w:rPr>
        <w:t xml:space="preserve">编号：</w:t>
      </w:r>
      <w:r>
        <w:rPr>
          <w:rFonts w:hint="eastAsia" w:ascii="宋体" w:hAnsi="宋体" w:cs="宋体"/>
          <w:bCs/>
          <w:color w:val="000000" w:themeColor="text1"/>
          <w:sz w:val="32"/>
          <w:szCs w:val="32"/>
          <w:lang w:eastAsia="zh-CN"/>
          <w14:textFill>
            <w14:solidFill>
              <w14:schemeClr w14:val="tx1"/>
            </w14:solidFill>
          </w14:textFill>
        </w:rPr>
        <w:t xml:space="preserve">JSZC-321084-SYZX-C2026-0001</w:t>
      </w:r>
      <w:r/>
    </w:p>
    <w:p>
      <w:pPr>
        <w:jc w:val="right"/>
        <w:spacing w:line="360" w:lineRule="auto"/>
        <w:rPr>
          <w:rFonts w:ascii="宋体" w:hAnsi="宋体" w:cs="宋体"/>
          <w:bCs/>
          <w:color w:val="000000" w:themeColor="text1"/>
          <w:sz w:val="32"/>
          <w:szCs w:val="32"/>
          <w14:textFill>
            <w14:solidFill>
              <w14:schemeClr w14:val="tx1"/>
            </w14:solidFill>
          </w14:textFill>
        </w:rPr>
      </w:pPr>
      <w:r>
        <w:rPr>
          <w:rFonts w:ascii="宋体" w:hAnsi="宋体" w:cs="宋体"/>
          <w:bCs/>
          <w:color w:val="000000" w:themeColor="text1"/>
          <w:sz w:val="32"/>
          <w:szCs w:val="32"/>
          <w14:textFill>
            <w14:solidFill>
              <w14:schemeClr w14:val="tx1"/>
            </w14:solidFill>
          </w14:textFill>
        </w:rPr>
      </w:r>
      <w:r/>
    </w:p>
    <w:p>
      <w:pPr>
        <w:pStyle w:val="962"/>
        <w:jc w:val="center"/>
        <w:spacing w:line="360" w:lineRule="auto"/>
        <w:rPr>
          <w:rFonts w:ascii="宋体" w:hAnsi="宋体" w:cs="宋体"/>
          <w:color w:val="000000" w:themeColor="text1"/>
          <w:sz w:val="48"/>
          <w:szCs w:val="48"/>
          <w14:textFill>
            <w14:solidFill>
              <w14:schemeClr w14:val="tx1"/>
            </w14:solidFill>
          </w14:textFill>
        </w:rPr>
      </w:pPr>
      <w:r>
        <w:rPr>
          <w:rFonts w:hint="eastAsia" w:ascii="宋体" w:hAnsi="宋体" w:cs="宋体"/>
          <w:color w:val="000000" w:themeColor="text1"/>
          <w:sz w:val="48"/>
          <w:szCs w:val="48"/>
          <w14:textFill>
            <w14:solidFill>
              <w14:schemeClr w14:val="tx1"/>
            </w14:solidFill>
          </w14:textFill>
        </w:rPr>
        <w:t xml:space="preserve">高邮市高邮街道新民村巷道(原新民南片区)整治项目</w:t>
      </w:r>
      <w:r/>
    </w:p>
    <w:p>
      <w:pPr>
        <w:spacing w:line="360" w:lineRule="auto"/>
        <w:rPr>
          <w:rFonts w:ascii="宋体" w:hAnsi="宋体" w:cs="宋体"/>
          <w:b/>
          <w:color w:val="000000" w:themeColor="text1"/>
          <w:sz w:val="48"/>
          <w:szCs w:val="48"/>
          <w14:textFill>
            <w14:solidFill>
              <w14:schemeClr w14:val="tx1"/>
            </w14:solidFill>
          </w14:textFill>
        </w:rPr>
      </w:pPr>
      <w:r>
        <w:rPr>
          <w:rFonts w:ascii="宋体" w:hAnsi="宋体" w:cs="宋体"/>
          <w:b/>
          <w:color w:val="000000" w:themeColor="text1"/>
          <w:sz w:val="48"/>
          <w:szCs w:val="48"/>
          <w14:textFill>
            <w14:solidFill>
              <w14:schemeClr w14:val="tx1"/>
            </w14:solidFill>
          </w14:textFill>
        </w:rPr>
      </w:r>
      <w:r/>
    </w:p>
    <w:p>
      <w:pPr>
        <w:spacing w:line="360" w:lineRule="auto"/>
        <w:rPr>
          <w:rFonts w:ascii="宋体" w:hAnsi="宋体" w:cs="宋体"/>
          <w:b/>
          <w:color w:val="000000" w:themeColor="text1"/>
          <w:sz w:val="48"/>
          <w:szCs w:val="48"/>
          <w14:textFill>
            <w14:solidFill>
              <w14:schemeClr w14:val="tx1"/>
            </w14:solidFill>
          </w14:textFill>
        </w:rPr>
      </w:pPr>
      <w:r>
        <w:rPr>
          <w:rFonts w:ascii="宋体" w:hAnsi="宋体" w:cs="宋体"/>
          <w:b/>
          <w:color w:val="000000" w:themeColor="text1"/>
          <w:sz w:val="48"/>
          <w:szCs w:val="48"/>
          <w14:textFill>
            <w14:solidFill>
              <w14:schemeClr w14:val="tx1"/>
            </w14:solidFill>
          </w14:textFill>
        </w:rPr>
      </w:r>
      <w:r/>
    </w:p>
    <w:p>
      <w:pPr>
        <w:spacing w:line="360" w:lineRule="auto"/>
        <w:rPr>
          <w:rFonts w:ascii="宋体" w:hAnsi="宋体" w:cs="宋体"/>
          <w:b/>
          <w:color w:val="000000" w:themeColor="text1"/>
          <w14:textFill>
            <w14:solidFill>
              <w14:schemeClr w14:val="tx1"/>
            </w14:solidFill>
          </w14:textFill>
        </w:rPr>
      </w:pPr>
      <w:r>
        <w:rPr>
          <w:rFonts w:ascii="宋体" w:hAnsi="宋体" w:cs="宋体"/>
          <w:b/>
          <w:color w:val="000000" w:themeColor="text1"/>
          <w14:textFill>
            <w14:solidFill>
              <w14:schemeClr w14:val="tx1"/>
            </w14:solidFill>
          </w14:textFill>
        </w:rPr>
      </w:r>
      <w:r/>
    </w:p>
    <w:p>
      <w:pPr>
        <w:pStyle w:val="962"/>
        <w:spacing w:line="360" w:lineRule="auto"/>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jc w:val="center"/>
        <w:spacing w:line="360" w:lineRule="auto"/>
        <w:widowControl/>
        <w:rPr>
          <w:rFonts w:ascii="宋体" w:hAnsi="宋体" w:cs="宋体"/>
          <w:b/>
          <w:color w:val="000000" w:themeColor="text1"/>
          <w:sz w:val="84"/>
          <w:szCs w:val="84"/>
          <w14:textFill>
            <w14:solidFill>
              <w14:schemeClr w14:val="tx1"/>
            </w14:solidFill>
          </w14:textFill>
        </w:rPr>
      </w:pPr>
      <w:r>
        <w:rPr>
          <w:rFonts w:hint="eastAsia" w:ascii="宋体" w:hAnsi="宋体" w:cs="宋体"/>
          <w:b/>
          <w:color w:val="000000" w:themeColor="text1"/>
          <w:sz w:val="84"/>
          <w:szCs w:val="84"/>
          <w14:textFill>
            <w14:solidFill>
              <w14:schemeClr w14:val="tx1"/>
            </w14:solidFill>
          </w14:textFill>
        </w:rPr>
        <w:t xml:space="preserve">竞争性磋商文件</w:t>
      </w:r>
      <w:r/>
    </w:p>
    <w:p>
      <w:pPr>
        <w:jc w:val="center"/>
        <w:spacing w:line="360" w:lineRule="auto"/>
        <w:rPr>
          <w:rFonts w:ascii="宋体" w:hAnsi="宋体" w:cs="宋体"/>
          <w:b/>
          <w:color w:val="000000" w:themeColor="text1"/>
          <w:sz w:val="36"/>
          <w14:textFill>
            <w14:solidFill>
              <w14:schemeClr w14:val="tx1"/>
            </w14:solidFill>
          </w14:textFill>
        </w:rPr>
      </w:pPr>
      <w:r>
        <w:rPr>
          <w:rFonts w:ascii="宋体" w:hAnsi="宋体" w:cs="宋体"/>
          <w:b/>
          <w:color w:val="000000" w:themeColor="text1"/>
          <w:sz w:val="36"/>
          <w14:textFill>
            <w14:solidFill>
              <w14:schemeClr w14:val="tx1"/>
            </w14:solidFill>
          </w14:textFill>
        </w:rPr>
      </w:r>
      <w:r/>
    </w:p>
    <w:p>
      <w:pPr>
        <w:jc w:val="center"/>
        <w:spacing w:line="360" w:lineRule="auto"/>
        <w:rPr>
          <w:rFonts w:ascii="宋体" w:hAnsi="宋体" w:cs="宋体"/>
          <w:b/>
          <w:color w:val="000000" w:themeColor="text1"/>
          <w:sz w:val="36"/>
          <w14:textFill>
            <w14:solidFill>
              <w14:schemeClr w14:val="tx1"/>
            </w14:solidFill>
          </w14:textFill>
        </w:rPr>
      </w:pPr>
      <w:r>
        <w:rPr>
          <w:rFonts w:ascii="宋体" w:hAnsi="宋体" w:cs="宋体"/>
          <w:b/>
          <w:color w:val="000000" w:themeColor="text1"/>
          <w:sz w:val="36"/>
          <w14:textFill>
            <w14:solidFill>
              <w14:schemeClr w14:val="tx1"/>
            </w14:solidFill>
          </w14:textFill>
        </w:rPr>
      </w:r>
      <w:r/>
    </w:p>
    <w:p>
      <w:pPr>
        <w:pStyle w:val="962"/>
        <w:spacing w:line="360" w:lineRule="auto"/>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962"/>
        <w:spacing w:line="360" w:lineRule="auto"/>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spacing w:line="360" w:lineRule="auto"/>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jc w:val="center"/>
        <w:spacing w:line="360" w:lineRule="auto"/>
        <w:rPr>
          <w:rFonts w:ascii="宋体" w:hAnsi="宋体" w:cs="宋体"/>
          <w:b/>
          <w:color w:val="000000" w:themeColor="text1"/>
          <w:sz w:val="36"/>
          <w14:textFill>
            <w14:solidFill>
              <w14:schemeClr w14:val="tx1"/>
            </w14:solidFill>
          </w14:textFill>
        </w:rPr>
      </w:pPr>
      <w:r>
        <w:rPr>
          <w:rFonts w:ascii="宋体" w:hAnsi="宋体" w:cs="宋体"/>
          <w:b/>
          <w:color w:val="000000" w:themeColor="text1"/>
          <w:sz w:val="36"/>
          <w14:textFill>
            <w14:solidFill>
              <w14:schemeClr w14:val="tx1"/>
            </w14:solidFill>
          </w14:textFill>
        </w:rPr>
      </w:r>
      <w:r/>
    </w:p>
    <w:p>
      <w:pPr>
        <w:ind w:right="120" w:firstLine="1880"/>
        <w:spacing w:line="360" w:lineRule="auto"/>
        <w:rPr>
          <w:rFonts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t xml:space="preserve">采   购   人：高邮市人民政府高邮街道办事处</w:t>
      </w:r>
      <w:r/>
    </w:p>
    <w:p>
      <w:pPr>
        <w:ind w:firstLine="1845"/>
        <w:spacing w:line="360" w:lineRule="auto"/>
        <w:rPr>
          <w:rFonts w:hint="eastAsia" w:ascii="宋体" w:hAnsi="宋体" w:eastAsia="宋体" w:cs="宋体"/>
          <w:b/>
          <w:bCs/>
          <w:color w:val="000000" w:themeColor="text1"/>
          <w:sz w:val="32"/>
          <w:szCs w:val="32"/>
          <w:lang w:eastAsia="zh-CN"/>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t xml:space="preserve">采购代理机构：</w:t>
      </w:r>
      <w:r>
        <w:rPr>
          <w:rFonts w:hint="eastAsia" w:ascii="宋体" w:hAnsi="宋体" w:cs="宋体"/>
          <w:b/>
          <w:bCs/>
          <w:color w:val="000000" w:themeColor="text1"/>
          <w:sz w:val="32"/>
          <w:szCs w:val="32"/>
          <w:lang w:eastAsia="zh-CN"/>
          <w14:textFill>
            <w14:solidFill>
              <w14:schemeClr w14:val="tx1"/>
            </w14:solidFill>
          </w14:textFill>
        </w:rPr>
        <w:t xml:space="preserve">扬州市盛业工程咨询有限公司</w:t>
      </w:r>
      <w:r/>
    </w:p>
    <w:p>
      <w:pPr>
        <w:pStyle w:val="980"/>
        <w:ind w:left="-13" w:firstLine="1937"/>
        <w:spacing w:line="360" w:lineRule="auto"/>
        <w:tabs>
          <w:tab w:val="right" w:pos="8296" w:leader="dot"/>
        </w:tabs>
        <w:rPr>
          <w:rFonts w:ascii="宋体" w:hAnsi="宋体" w:cs="宋体"/>
          <w:b/>
          <w:color w:val="000000" w:themeColor="text1"/>
          <w:sz w:val="30"/>
          <w:szCs w:val="30"/>
          <w14:textFill>
            <w14:solidFill>
              <w14:schemeClr w14:val="tx1"/>
            </w14:solidFill>
          </w14:textFill>
        </w:rPr>
        <w:sectPr>
          <w:headerReference w:type="default" r:id="rId9"/>
          <w:footnotePr/>
          <w:endnotePr/>
          <w:type w:val="nextPage"/>
          <w:pgSz w:w="11906" w:h="16838" w:orient="portrait"/>
          <w:pgMar w:top="1440" w:right="1134" w:bottom="1440" w:left="1134" w:header="851" w:footer="992" w:gutter="0"/>
          <w:cols w:num="1" w:sep="0" w:space="720" w:equalWidth="1"/>
          <w:docGrid w:linePitch="360"/>
        </w:sectPr>
      </w:pPr>
      <w:r>
        <w:rPr>
          <w:rFonts w:hint="eastAsia" w:ascii="宋体" w:hAnsi="宋体" w:cs="宋体"/>
          <w:b/>
          <w:bCs/>
          <w:color w:val="000000" w:themeColor="text1"/>
          <w:spacing w:val="6"/>
          <w:sz w:val="32"/>
          <w:szCs w:val="32"/>
          <w14:textFill>
            <w14:solidFill>
              <w14:schemeClr w14:val="tx1"/>
            </w14:solidFill>
          </w14:textFill>
        </w:rPr>
        <w:t xml:space="preserve">发 放 日 期</w:t>
      </w:r>
      <w:r>
        <w:rPr>
          <w:rFonts w:hint="eastAsia" w:ascii="宋体" w:hAnsi="宋体" w:cs="宋体"/>
          <w:b/>
          <w:bCs/>
          <w:color w:val="000000" w:themeColor="text1"/>
          <w:sz w:val="32"/>
          <w:szCs w:val="32"/>
          <w14:textFill>
            <w14:solidFill>
              <w14:schemeClr w14:val="tx1"/>
            </w14:solidFill>
          </w14:textFill>
        </w:rPr>
        <w:t xml:space="preserve">：</w:t>
      </w:r>
      <w:bookmarkStart w:id="3" w:name="EB59c3faf64f2a4bd092a206fb1d0c3c03"/>
      <w:r>
        <w:rPr>
          <w:rFonts w:hint="eastAsia" w:ascii="宋体" w:hAnsi="宋体" w:cs="宋体"/>
          <w:b/>
          <w:bCs/>
          <w:color w:val="000000" w:themeColor="text1"/>
          <w:sz w:val="32"/>
          <w:szCs w:val="32"/>
          <w14:textFill>
            <w14:solidFill>
              <w14:schemeClr w14:val="tx1"/>
            </w14:solidFill>
          </w14:textFill>
        </w:rPr>
        <w:t xml:space="preserve">2026年</w:t>
      </w:r>
      <w:bookmarkEnd w:id="3"/>
      <w:r>
        <w:rPr>
          <w:rFonts w:hint="eastAsia" w:ascii="宋体" w:hAnsi="宋体" w:cs="宋体"/>
          <w:b/>
          <w:bCs/>
          <w:color w:val="000000" w:themeColor="text1"/>
          <w:sz w:val="32"/>
          <w:szCs w:val="32"/>
          <w14:textFill>
            <w14:solidFill>
              <w14:schemeClr w14:val="tx1"/>
            </w14:solidFill>
          </w14:textFill>
        </w:rPr>
        <w:t xml:space="preserve">04月</w:t>
      </w:r>
      <w:r/>
    </w:p>
    <w:p>
      <w:pPr>
        <w:jc w:val="center"/>
        <w:spacing w:line="360" w:lineRule="auto"/>
        <w:rPr>
          <w:rFonts w:ascii="宋体" w:hAnsi="宋体" w:cs="宋体"/>
          <w:b/>
          <w:color w:val="000000" w:themeColor="text1"/>
          <w:sz w:val="32"/>
          <w14:textFill>
            <w14:solidFill>
              <w14:schemeClr w14:val="tx1"/>
            </w14:solidFill>
          </w14:textFill>
        </w:rPr>
      </w:pPr>
      <w:r>
        <w:rPr>
          <w:rFonts w:hint="eastAsia" w:ascii="宋体" w:hAnsi="宋体" w:cs="宋体"/>
          <w:b/>
          <w:color w:val="000000" w:themeColor="text1"/>
          <w:sz w:val="32"/>
          <w14:textFill>
            <w14:solidFill>
              <w14:schemeClr w14:val="tx1"/>
            </w14:solidFill>
          </w14:textFill>
        </w:rPr>
        <w:t xml:space="preserve">目 录</w:t>
      </w:r>
      <w:r/>
    </w:p>
    <w:p>
      <w:pPr>
        <w:pStyle w:val="980"/>
        <w:spacing w:line="360" w:lineRule="auto"/>
        <w:tabs>
          <w:tab w:val="right" w:pos="8296" w:leader="dot"/>
        </w:tabs>
        <w:rPr>
          <w:rFonts w:ascii="宋体" w:hAnsi="宋体" w:cs="宋体"/>
          <w:color w:val="000000" w:themeColor="text1"/>
          <w14:textFill>
            <w14:solidFill>
              <w14:schemeClr w14:val="tx1"/>
            </w14:solidFill>
          </w14:textFill>
        </w:rPr>
      </w:pPr>
      <w:r>
        <w:rPr>
          <w:rFonts w:hint="eastAsia" w:ascii="宋体" w:hAnsi="宋体" w:cs="宋体"/>
          <w:color w:val="000000" w:themeColor="text1"/>
          <w:sz w:val="28"/>
          <w14:textFill>
            <w14:solidFill>
              <w14:schemeClr w14:val="tx1"/>
            </w14:solidFill>
          </w14:textFill>
        </w:rPr>
        <w:fldChar w:fldCharType="begin"/>
      </w:r>
      <w:r>
        <w:rPr>
          <w:rFonts w:hint="eastAsia" w:ascii="宋体" w:hAnsi="宋体" w:cs="宋体"/>
          <w:color w:val="000000" w:themeColor="text1"/>
          <w:sz w:val="28"/>
          <w14:textFill>
            <w14:solidFill>
              <w14:schemeClr w14:val="tx1"/>
            </w14:solidFill>
          </w14:textFill>
        </w:rPr>
        <w:instrText xml:space="preserve"> TOC \o "1-3" \f </w:instrText>
      </w:r>
      <w:r>
        <w:rPr>
          <w:rFonts w:hint="eastAsia" w:ascii="宋体" w:hAnsi="宋体" w:cs="宋体"/>
          <w:color w:val="000000" w:themeColor="text1"/>
          <w:sz w:val="28"/>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 xml:space="preserve">第一章  高邮市高邮街道新民村巷道(原新民南片区)整治项目的采购公告</w:t>
      </w:r>
      <w:r>
        <w:rPr>
          <w:rFonts w:hint="eastAsia" w:ascii="宋体" w:hAnsi="宋体" w:cs="宋体"/>
          <w:color w:val="000000" w:themeColor="text1"/>
          <w14:textFill>
            <w14:solidFill>
              <w14:schemeClr w14:val="tx1"/>
            </w14:solidFill>
          </w14:textFill>
        </w:rPr>
        <w:tab/>
      </w:r>
      <w:r>
        <w:rPr>
          <w:rFonts w:hint="eastAsia" w:ascii="宋体" w:hAnsi="宋体" w:cs="宋体"/>
          <w:color w:val="000000" w:themeColor="text1"/>
          <w14:textFill>
            <w14:solidFill>
              <w14:schemeClr w14:val="tx1"/>
            </w14:solidFill>
          </w14:textFill>
        </w:rPr>
        <w:t xml:space="preserve">1</w:t>
      </w:r>
      <w:r/>
    </w:p>
    <w:p>
      <w:pPr>
        <w:pStyle w:val="980"/>
        <w:spacing w:line="360" w:lineRule="auto"/>
        <w:tabs>
          <w:tab w:val="right" w:pos="8296" w:leader="dot"/>
        </w:tabs>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第二章  磋商须知</w:t>
      </w:r>
      <w:r>
        <w:rPr>
          <w:rFonts w:hint="eastAsia" w:ascii="宋体" w:hAnsi="宋体" w:cs="宋体"/>
          <w:color w:val="000000" w:themeColor="text1"/>
          <w14:textFill>
            <w14:solidFill>
              <w14:schemeClr w14:val="tx1"/>
            </w14:solidFill>
          </w14:textFill>
        </w:rPr>
        <w:tab/>
      </w:r>
      <w:r>
        <w:rPr>
          <w:rFonts w:hint="eastAsia" w:ascii="宋体" w:hAnsi="宋体" w:cs="宋体"/>
          <w:color w:val="000000" w:themeColor="text1"/>
          <w14:textFill>
            <w14:solidFill>
              <w14:schemeClr w14:val="tx1"/>
            </w14:solidFill>
          </w14:textFill>
        </w:rPr>
        <w:t xml:space="preserve">5</w:t>
      </w:r>
      <w:r/>
    </w:p>
    <w:p>
      <w:pPr>
        <w:pStyle w:val="980"/>
        <w:spacing w:line="360" w:lineRule="auto"/>
        <w:tabs>
          <w:tab w:val="right" w:pos="8296" w:leader="dot"/>
        </w:tabs>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第三章  合同条款及格式</w:t>
      </w:r>
      <w:r>
        <w:rPr>
          <w:rFonts w:hint="eastAsia" w:ascii="宋体" w:hAnsi="宋体" w:cs="宋体"/>
          <w:color w:val="000000" w:themeColor="text1"/>
          <w14:textFill>
            <w14:solidFill>
              <w14:schemeClr w14:val="tx1"/>
            </w14:solidFill>
          </w14:textFill>
        </w:rPr>
        <w:tab/>
      </w:r>
      <w:r>
        <w:rPr>
          <w:rFonts w:hint="eastAsia" w:ascii="宋体" w:hAnsi="宋体" w:cs="宋体"/>
          <w:color w:val="000000" w:themeColor="text1"/>
          <w14:textFill>
            <w14:solidFill>
              <w14:schemeClr w14:val="tx1"/>
            </w14:solidFill>
          </w14:textFill>
        </w:rPr>
        <w:t xml:space="preserve">16</w:t>
      </w:r>
      <w:r/>
    </w:p>
    <w:p>
      <w:pPr>
        <w:pStyle w:val="980"/>
        <w:spacing w:line="360" w:lineRule="auto"/>
        <w:tabs>
          <w:tab w:val="right" w:pos="8296" w:leader="dot"/>
        </w:tabs>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第四章  项目需求</w:t>
      </w:r>
      <w:r>
        <w:rPr>
          <w:rFonts w:hint="eastAsia" w:ascii="宋体" w:hAnsi="宋体" w:cs="宋体"/>
          <w:color w:val="000000" w:themeColor="text1"/>
          <w14:textFill>
            <w14:solidFill>
              <w14:schemeClr w14:val="tx1"/>
            </w14:solidFill>
          </w14:textFill>
        </w:rPr>
        <w:tab/>
      </w:r>
      <w:r>
        <w:rPr>
          <w:rFonts w:hint="eastAsia" w:ascii="宋体" w:hAnsi="宋体" w:cs="宋体"/>
          <w:color w:val="000000" w:themeColor="text1"/>
          <w14:textFill>
            <w14:solidFill>
              <w14:schemeClr w14:val="tx1"/>
            </w14:solidFill>
          </w14:textFill>
        </w:rPr>
        <w:fldChar w:fldCharType="begin"/>
      </w:r>
      <w:r>
        <w:rPr>
          <w:rFonts w:hint="eastAsia" w:ascii="宋体" w:hAnsi="宋体" w:cs="宋体"/>
          <w:color w:val="000000" w:themeColor="text1"/>
          <w14:textFill>
            <w14:solidFill>
              <w14:schemeClr w14:val="tx1"/>
            </w14:solidFill>
          </w14:textFill>
        </w:rPr>
        <w:instrText xml:space="preserve"> PAGEREF _Toc109304974 \h </w:instrText>
      </w:r>
      <w:r>
        <w:rPr>
          <w:rFonts w:hint="eastAsia" w:ascii="宋体" w:hAnsi="宋体" w:cs="宋体"/>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 xml:space="preserve">19</w:t>
      </w:r>
      <w:r>
        <w:rPr>
          <w:rFonts w:hint="eastAsia" w:ascii="宋体" w:hAnsi="宋体" w:cs="宋体"/>
          <w:color w:val="000000" w:themeColor="text1"/>
          <w14:textFill>
            <w14:solidFill>
              <w14:schemeClr w14:val="tx1"/>
            </w14:solidFill>
          </w14:textFill>
        </w:rPr>
        <w:fldChar w:fldCharType="end"/>
      </w:r>
      <w:r/>
    </w:p>
    <w:p>
      <w:pPr>
        <w:pStyle w:val="980"/>
        <w:spacing w:line="360" w:lineRule="auto"/>
        <w:tabs>
          <w:tab w:val="right" w:pos="8296" w:leader="dot"/>
        </w:tabs>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第五章  评审方法及评审标准</w:t>
      </w:r>
      <w:r>
        <w:rPr>
          <w:rFonts w:hint="eastAsia" w:ascii="宋体" w:hAnsi="宋体" w:cs="宋体"/>
          <w:color w:val="000000" w:themeColor="text1"/>
          <w14:textFill>
            <w14:solidFill>
              <w14:schemeClr w14:val="tx1"/>
            </w14:solidFill>
          </w14:textFill>
        </w:rPr>
        <w:tab/>
      </w:r>
      <w:r>
        <w:rPr>
          <w:rFonts w:hint="eastAsia" w:ascii="宋体" w:hAnsi="宋体" w:cs="宋体"/>
          <w:color w:val="000000" w:themeColor="text1"/>
          <w14:textFill>
            <w14:solidFill>
              <w14:schemeClr w14:val="tx1"/>
            </w14:solidFill>
          </w14:textFill>
        </w:rPr>
        <w:fldChar w:fldCharType="begin"/>
      </w:r>
      <w:r>
        <w:rPr>
          <w:rFonts w:hint="eastAsia" w:ascii="宋体" w:hAnsi="宋体" w:cs="宋体"/>
          <w:color w:val="000000" w:themeColor="text1"/>
          <w14:textFill>
            <w14:solidFill>
              <w14:schemeClr w14:val="tx1"/>
            </w14:solidFill>
          </w14:textFill>
        </w:rPr>
        <w:instrText xml:space="preserve"> PAGEREF _Toc109304975 \h </w:instrText>
      </w:r>
      <w:r>
        <w:rPr>
          <w:rFonts w:hint="eastAsia" w:ascii="宋体" w:hAnsi="宋体" w:cs="宋体"/>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 xml:space="preserve">22</w:t>
      </w:r>
      <w:r>
        <w:rPr>
          <w:rFonts w:hint="eastAsia" w:ascii="宋体" w:hAnsi="宋体" w:cs="宋体"/>
          <w:color w:val="000000" w:themeColor="text1"/>
          <w14:textFill>
            <w14:solidFill>
              <w14:schemeClr w14:val="tx1"/>
            </w14:solidFill>
          </w14:textFill>
        </w:rPr>
        <w:fldChar w:fldCharType="end"/>
      </w:r>
      <w:r/>
    </w:p>
    <w:p>
      <w:pPr>
        <w:pStyle w:val="980"/>
        <w:spacing w:line="360" w:lineRule="auto"/>
        <w:tabs>
          <w:tab w:val="right" w:pos="8296" w:leader="dot"/>
        </w:tabs>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第六章  竞争性磋商响应文件格式</w:t>
      </w:r>
      <w:r>
        <w:rPr>
          <w:rFonts w:hint="eastAsia" w:ascii="宋体" w:hAnsi="宋体" w:cs="宋体"/>
          <w:color w:val="000000" w:themeColor="text1"/>
          <w14:textFill>
            <w14:solidFill>
              <w14:schemeClr w14:val="tx1"/>
            </w14:solidFill>
          </w14:textFill>
        </w:rPr>
        <w:tab/>
      </w:r>
      <w:r>
        <w:rPr>
          <w:rFonts w:hint="eastAsia" w:ascii="宋体" w:hAnsi="宋体" w:cs="宋体"/>
          <w:color w:val="000000" w:themeColor="text1"/>
          <w14:textFill>
            <w14:solidFill>
              <w14:schemeClr w14:val="tx1"/>
            </w14:solidFill>
          </w14:textFill>
        </w:rPr>
        <w:fldChar w:fldCharType="begin"/>
      </w:r>
      <w:r>
        <w:rPr>
          <w:rFonts w:hint="eastAsia" w:ascii="宋体" w:hAnsi="宋体" w:cs="宋体"/>
          <w:color w:val="000000" w:themeColor="text1"/>
          <w14:textFill>
            <w14:solidFill>
              <w14:schemeClr w14:val="tx1"/>
            </w14:solidFill>
          </w14:textFill>
        </w:rPr>
        <w:instrText xml:space="preserve"> PAGEREF _Toc109304976 \h </w:instrText>
      </w:r>
      <w:r>
        <w:rPr>
          <w:rFonts w:hint="eastAsia" w:ascii="宋体" w:hAnsi="宋体" w:cs="宋体"/>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 xml:space="preserve">2</w:t>
      </w:r>
      <w:r>
        <w:rPr>
          <w:rFonts w:hint="eastAsia" w:ascii="宋体" w:hAnsi="宋体" w:cs="宋体"/>
          <w:color w:val="000000" w:themeColor="text1"/>
          <w:lang w:val="en-US" w:eastAsia="zh-CN"/>
          <w14:textFill>
            <w14:solidFill>
              <w14:schemeClr w14:val="tx1"/>
            </w14:solidFill>
          </w14:textFill>
        </w:rPr>
        <w:t xml:space="preserve">8</w:t>
      </w:r>
      <w:r>
        <w:rPr>
          <w:rFonts w:hint="eastAsia" w:ascii="宋体" w:hAnsi="宋体" w:cs="宋体"/>
          <w:color w:val="000000" w:themeColor="text1"/>
          <w14:textFill>
            <w14:solidFill>
              <w14:schemeClr w14:val="tx1"/>
            </w14:solidFill>
          </w14:textFill>
        </w:rPr>
        <w:fldChar w:fldCharType="end"/>
      </w:r>
      <w:r/>
    </w:p>
    <w:p>
      <w:pPr>
        <w:spacing w:line="360" w:lineRule="auto"/>
        <w:rPr>
          <w:rFonts w:ascii="宋体" w:hAnsi="宋体" w:cs="宋体"/>
          <w:color w:val="000000" w:themeColor="text1"/>
          <w:sz w:val="28"/>
          <w14:textFill>
            <w14:solidFill>
              <w14:schemeClr w14:val="tx1"/>
            </w14:solidFill>
          </w14:textFill>
        </w:rPr>
      </w:pPr>
      <w:r>
        <w:rPr>
          <w:rFonts w:hint="eastAsia" w:ascii="宋体" w:hAnsi="宋体" w:cs="宋体"/>
          <w:color w:val="000000" w:themeColor="text1"/>
          <w:sz w:val="28"/>
          <w14:textFill>
            <w14:solidFill>
              <w14:schemeClr w14:val="tx1"/>
            </w14:solidFill>
          </w14:textFill>
        </w:rPr>
        <w:fldChar w:fldCharType="end"/>
      </w:r>
      <w:r/>
    </w:p>
    <w:p>
      <w:pPr>
        <w:spacing w:line="360" w:lineRule="auto"/>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960"/>
        <w:numPr>
          <w:ilvl w:val="0"/>
          <w:numId w:val="1"/>
        </w:numPr>
        <w:jc w:val="center"/>
        <w:spacing w:line="360" w:lineRule="auto"/>
        <w:rPr>
          <w:rFonts w:ascii="宋体" w:hAnsi="宋体" w:cs="宋体"/>
          <w:color w:val="000000" w:themeColor="text1"/>
          <w:sz w:val="32"/>
          <w:szCs w:val="32"/>
          <w14:textFill>
            <w14:solidFill>
              <w14:schemeClr w14:val="tx1"/>
            </w14:solidFill>
          </w14:textFill>
        </w:rPr>
        <w:sectPr>
          <w:headerReference w:type="default" r:id="rId10"/>
          <w:footerReference w:type="default" r:id="rId12"/>
          <w:footerReference w:type="first" r:id="rId13"/>
          <w:footnotePr/>
          <w:endnotePr/>
          <w:type w:val="nextPage"/>
          <w:pgSz w:w="11906" w:h="16838" w:orient="portrait"/>
          <w:pgMar w:top="1417" w:right="1134" w:bottom="1417" w:left="1134" w:header="851" w:footer="992" w:gutter="0"/>
          <w:cols w:num="1" w:sep="0" w:space="720" w:equalWidth="1"/>
          <w:docGrid w:linePitch="360"/>
          <w:titlePg/>
        </w:sectPr>
      </w:pPr>
      <w:r/>
      <w:bookmarkStart w:id="4" w:name="_Toc109304962"/>
      <w:r/>
      <w:bookmarkStart w:id="5" w:name="_Toc109304965"/>
      <w:r/>
      <w:bookmarkStart w:id="48" w:name="_GoBack"/>
      <w:r/>
      <w:bookmarkEnd w:id="48"/>
      <w:r/>
      <w:r/>
    </w:p>
    <w:p>
      <w:pPr>
        <w:pStyle w:val="960"/>
        <w:ind w:left="1080" w:hanging="1080"/>
        <w:jc w:val="center"/>
        <w:spacing w:line="240" w:lineRule="auto"/>
        <w:rPr>
          <w:rFonts w:ascii="宋体" w:hAnsi="宋体" w:cs="宋体"/>
          <w:color w:val="000000" w:themeColor="text1"/>
          <w:sz w:val="32"/>
          <w:szCs w:val="32"/>
          <w14:textFill>
            <w14:solidFill>
              <w14:schemeClr w14:val="tx1"/>
            </w14:solidFill>
          </w14:textFill>
        </w:rPr>
      </w:pPr>
      <w:r>
        <w:rPr>
          <w:rFonts w:ascii="宋体" w:hAnsi="宋体" w:cs="宋体"/>
          <w:color w:val="000000" w:themeColor="text1"/>
          <w:sz w:val="32"/>
          <w:szCs w:val="32"/>
          <w14:textFill>
            <w14:solidFill>
              <w14:schemeClr w14:val="tx1"/>
            </w14:solidFill>
          </w14:textFill>
        </w:rPr>
        <w:t xml:space="preserve">第一章</w:t>
      </w:r>
      <w:r>
        <w:rPr>
          <w:rFonts w:hint="eastAsia" w:ascii="宋体" w:hAnsi="宋体" w:cs="宋体"/>
          <w:color w:val="000000" w:themeColor="text1"/>
          <w:sz w:val="32"/>
          <w:szCs w:val="32"/>
          <w14:textFill>
            <w14:solidFill>
              <w14:schemeClr w14:val="tx1"/>
            </w14:solidFill>
          </w14:textFill>
        </w:rPr>
        <w:t xml:space="preserve"> 高邮市高邮街道新民村巷道(原新民南片区)整治项目的采购公告</w:t>
      </w:r>
      <w:bookmarkEnd w:id="4"/>
      <w:r/>
      <w:r/>
    </w:p>
    <w:p>
      <w:pPr>
        <w:spacing w:line="360" w:lineRule="auto"/>
        <w:rPr>
          <w:rFonts w:ascii="宋体" w:hAnsi="宋体" w:cs="宋体"/>
          <w:b/>
          <w:color w:val="000000" w:themeColor="text1"/>
          <w:szCs w:val="21"/>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cs="宋体"/>
          <w:b/>
          <w:color w:val="000000" w:themeColor="text1"/>
          <w:szCs w:val="21"/>
          <w14:textFill>
            <w14:solidFill>
              <w14:schemeClr w14:val="tx1"/>
            </w14:solidFill>
          </w14:textFill>
        </w:rPr>
        <w:t xml:space="preserve">项目概况：</w:t>
      </w:r>
      <w:r/>
    </w:p>
    <w:p>
      <w:pPr>
        <w:ind w:firstLine="420"/>
        <w:spacing w:line="360" w:lineRule="auto"/>
        <w:rPr>
          <w:rFonts w:ascii="宋体" w:hAnsi="宋体" w:cs="宋体"/>
          <w:color w:val="000000" w:themeColor="text1"/>
          <w:szCs w:val="21"/>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cs="宋体"/>
          <w:color w:val="000000" w:themeColor="text1"/>
          <w:szCs w:val="21"/>
          <w:u w:val="single"/>
          <w14:textFill>
            <w14:solidFill>
              <w14:schemeClr w14:val="tx1"/>
            </w14:solidFill>
          </w14:textFill>
        </w:rPr>
        <w:t xml:space="preserve">高邮市高邮街道新民村巷道(原新民南片区)整治项目</w:t>
      </w:r>
      <w:r>
        <w:rPr>
          <w:rFonts w:hint="eastAsia" w:ascii="宋体" w:hAnsi="宋体" w:cs="宋体"/>
          <w:color w:val="000000" w:themeColor="text1"/>
          <w:szCs w:val="21"/>
          <w14:textFill>
            <w14:solidFill>
              <w14:schemeClr w14:val="tx1"/>
            </w14:solidFill>
          </w14:textFill>
        </w:rPr>
        <w:t xml:space="preserve">的潜在供应商可在苏采云系统内自行免费下载采购文件，并于</w:t>
      </w:r>
      <w:r>
        <w:rPr>
          <w:rFonts w:hint="eastAsia" w:ascii="宋体" w:hAnsi="宋体" w:cs="宋体"/>
          <w:color w:val="000000" w:themeColor="text1"/>
          <w:szCs w:val="21"/>
          <w:u w:val="single"/>
          <w:lang w:eastAsia="zh-CN"/>
          <w14:textFill>
            <w14:solidFill>
              <w14:schemeClr w14:val="tx1"/>
            </w14:solidFill>
          </w14:textFill>
        </w:rPr>
        <w:t xml:space="preserve">2026年05月15日</w:t>
      </w:r>
      <w:r>
        <w:rPr>
          <w:rFonts w:hint="eastAsia" w:ascii="宋体" w:hAnsi="宋体" w:cs="宋体"/>
          <w:color w:val="000000" w:themeColor="text1"/>
          <w:szCs w:val="21"/>
          <w:u w:val="single"/>
          <w14:textFill>
            <w14:solidFill>
              <w14:schemeClr w14:val="tx1"/>
            </w14:solidFill>
          </w14:textFill>
        </w:rPr>
        <w:t xml:space="preserve">  09时00分</w:t>
      </w:r>
      <w:r>
        <w:rPr>
          <w:rFonts w:hint="eastAsia" w:ascii="宋体" w:hAnsi="宋体" w:cs="宋体"/>
          <w:color w:val="000000" w:themeColor="text1"/>
          <w:szCs w:val="21"/>
          <w14:textFill>
            <w14:solidFill>
              <w14:schemeClr w14:val="tx1"/>
            </w14:solidFill>
          </w14:textFill>
        </w:rPr>
        <w:t xml:space="preserve">（北京时间）前提交响应文件。</w:t>
      </w:r>
      <w:r/>
    </w:p>
    <w:p>
      <w:pPr>
        <w:pStyle w:val="961"/>
        <w:spacing w:before="0" w:after="0" w:line="360" w:lineRule="auto"/>
        <w:rPr>
          <w:rFonts w:ascii="宋体" w:hAnsi="宋体" w:cs="宋体"/>
          <w:bCs w:val="0"/>
          <w:color w:val="000000" w:themeColor="text1"/>
          <w:sz w:val="21"/>
          <w:szCs w:val="21"/>
          <w14:textFill>
            <w14:solidFill>
              <w14:schemeClr w14:val="tx1"/>
            </w14:solidFill>
          </w14:textFill>
        </w:rPr>
      </w:pPr>
      <w:r/>
      <w:bookmarkStart w:id="6" w:name="_Toc109304963"/>
      <w:r>
        <w:rPr>
          <w:rFonts w:hint="eastAsia" w:ascii="宋体" w:hAnsi="宋体" w:cs="宋体"/>
          <w:bCs w:val="0"/>
          <w:color w:val="000000" w:themeColor="text1"/>
          <w:sz w:val="21"/>
          <w:szCs w:val="21"/>
          <w14:textFill>
            <w14:solidFill>
              <w14:schemeClr w14:val="tx1"/>
            </w14:solidFill>
          </w14:textFill>
        </w:rPr>
        <w:t xml:space="preserve">一、项目基本情况</w:t>
      </w:r>
      <w:bookmarkEnd w:id="6"/>
      <w:r/>
      <w:r/>
    </w:p>
    <w:p>
      <w:pPr>
        <w:ind w:firstLine="420"/>
        <w:spacing w:line="360" w:lineRule="auto"/>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1.项目编号：</w:t>
      </w:r>
      <w:r>
        <w:rPr>
          <w:rFonts w:hint="eastAsia" w:ascii="宋体" w:hAnsi="宋体" w:cs="宋体"/>
          <w:color w:val="000000" w:themeColor="text1"/>
          <w:szCs w:val="21"/>
          <w:lang w:eastAsia="zh-CN"/>
          <w14:textFill>
            <w14:solidFill>
              <w14:schemeClr w14:val="tx1"/>
            </w14:solidFill>
          </w14:textFill>
        </w:rPr>
        <w:t xml:space="preserve">JSZC-321084-SYZX-C2026-0001</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2.项目名称：高邮市高邮街道新民村巷道(原新民南片区)整治项目</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3.采购方式：□竞争性谈判 ☑竞争性磋商 □询价</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4.项目预算价：318.00万元</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5.最高限价：302.10万元</w:t>
      </w:r>
      <w:r>
        <w:rPr>
          <w:rFonts w:hint="eastAsia" w:ascii="宋体" w:hAnsi="宋体" w:cs="宋体"/>
          <w:color w:val="000000" w:themeColor="text1"/>
          <w:spacing w:val="-1"/>
          <w14:textFill>
            <w14:solidFill>
              <w14:schemeClr w14:val="tx1"/>
            </w14:solidFill>
          </w14:textFill>
        </w:rPr>
        <w:t xml:space="preserve">（报价高于最高限价的为无效投标）</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6.采购需求：</w:t>
      </w:r>
      <w:r>
        <w:rPr>
          <w:rFonts w:hint="eastAsia" w:ascii="宋体" w:hAnsi="宋体" w:cs="楷体"/>
          <w:color w:val="000000" w:themeColor="text1"/>
          <w:spacing w:val="-1"/>
          <w14:textFill>
            <w14:solidFill>
              <w14:schemeClr w14:val="tx1"/>
            </w14:solidFill>
          </w14:textFill>
        </w:rPr>
        <w:t xml:space="preserve">对高邮街道新民村巷道(新民片区）整治，内容包括：雨水管道、污水管道、化粪池、巷道硬化等施工。具体详见工程量清</w:t>
      </w:r>
      <w:r>
        <w:rPr>
          <w:rFonts w:hint="eastAsia" w:ascii="宋体" w:hAnsi="宋体" w:cs="楷体"/>
          <w:color w:val="000000" w:themeColor="text1"/>
          <w:spacing w:val="-1"/>
          <w14:textFill>
            <w14:solidFill>
              <w14:schemeClr w14:val="tx1"/>
            </w14:solidFill>
          </w14:textFill>
        </w:rPr>
        <w:t xml:space="preserve">单</w:t>
      </w:r>
      <w:r>
        <w:rPr>
          <w:rFonts w:hint="eastAsia" w:ascii="宋体" w:hAnsi="宋体" w:cs="宋体"/>
          <w:color w:val="000000" w:themeColor="text1"/>
          <w:szCs w:val="21"/>
          <w14:textFill>
            <w14:solidFill>
              <w14:schemeClr w14:val="tx1"/>
            </w14:solidFill>
          </w14:textFill>
        </w:rPr>
        <w:t xml:space="preserve">及采购文件第四章项目需求。</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7.合同履行期限：</w:t>
      </w:r>
      <w:r>
        <w:rPr>
          <w:rFonts w:hint="eastAsia" w:ascii="宋体" w:hAnsi="宋体" w:cs="宋体"/>
          <w:color w:val="000000" w:themeColor="text1"/>
          <w:szCs w:val="21"/>
          <w14:textFill>
            <w14:solidFill>
              <w14:schemeClr w14:val="tx1"/>
            </w14:solidFill>
          </w14:textFill>
        </w:rPr>
        <w:t xml:space="preserve">120日历天</w:t>
      </w:r>
      <w:r>
        <w:rPr>
          <w:rFonts w:hint="eastAsia" w:ascii="宋体" w:hAnsi="宋体" w:cs="宋体"/>
          <w:color w:val="000000" w:themeColor="text1"/>
          <w:szCs w:val="21"/>
          <w14:textFill>
            <w14:solidFill>
              <w14:schemeClr w14:val="tx1"/>
            </w14:solidFill>
          </w14:textFill>
        </w:rPr>
        <w:t xml:space="preserve"> (以实际开工日期为准)。</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8.本项目</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b/>
          <w:bCs/>
          <w:color w:val="000000" w:themeColor="text1"/>
          <w:szCs w:val="21"/>
          <w:u w:val="single"/>
          <w14:textFill>
            <w14:solidFill>
              <w14:schemeClr w14:val="tx1"/>
            </w14:solidFill>
          </w14:textFill>
        </w:rPr>
        <w:t xml:space="preserve">不接受</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联合体响应，中标后禁止转包和分包。</w:t>
      </w:r>
      <w:r/>
    </w:p>
    <w:p>
      <w:pPr>
        <w:pStyle w:val="961"/>
        <w:spacing w:before="0" w:after="0" w:line="360" w:lineRule="auto"/>
        <w:rPr>
          <w:rFonts w:ascii="宋体" w:hAnsi="宋体" w:cs="宋体"/>
          <w:bCs w:val="0"/>
          <w:color w:val="000000" w:themeColor="text1"/>
          <w:sz w:val="21"/>
          <w:szCs w:val="21"/>
          <w14:textFill>
            <w14:solidFill>
              <w14:schemeClr w14:val="tx1"/>
            </w14:solidFill>
          </w14:textFill>
        </w:rPr>
      </w:pPr>
      <w:r/>
      <w:bookmarkStart w:id="7" w:name="_Toc109304964"/>
      <w:r>
        <w:rPr>
          <w:rFonts w:hint="eastAsia" w:ascii="宋体" w:hAnsi="宋体" w:cs="宋体"/>
          <w:bCs w:val="0"/>
          <w:color w:val="000000" w:themeColor="text1"/>
          <w:sz w:val="21"/>
          <w:szCs w:val="21"/>
          <w14:textFill>
            <w14:solidFill>
              <w14:schemeClr w14:val="tx1"/>
            </w14:solidFill>
          </w14:textFill>
        </w:rPr>
        <w:t xml:space="preserve">二、申请人的资格要求：</w:t>
      </w:r>
      <w:bookmarkEnd w:id="7"/>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1.满足《中华人民共和国政府采购法》第二十二条规定，并提供下列材料：</w:t>
      </w:r>
      <w:r/>
    </w:p>
    <w:p>
      <w:pPr>
        <w:ind w:firstLine="420"/>
        <w:spacing w:line="360" w:lineRule="auto"/>
        <w:rPr>
          <w:rFonts w:ascii="宋体" w:hAnsi="宋体" w:cs="宋体"/>
          <w:i/>
          <w:iCs/>
          <w:color w:val="000000" w:themeColor="text1"/>
          <w:szCs w:val="21"/>
          <w:u w:val="single"/>
          <w14:textFill>
            <w14:solidFill>
              <w14:schemeClr w14:val="tx1"/>
            </w14:solidFill>
          </w14:textFill>
        </w:rPr>
      </w:pPr>
      <w:r>
        <w:rPr>
          <w:rFonts w:hint="eastAsia" w:ascii="宋体" w:hAnsi="宋体" w:cs="宋体"/>
          <w:i/>
          <w:iCs/>
          <w:color w:val="000000" w:themeColor="text1"/>
          <w:szCs w:val="21"/>
          <w:u w:val="single"/>
          <w14:textFill>
            <w14:solidFill>
              <w14:schemeClr w14:val="tx1"/>
            </w14:solidFill>
          </w14:textFill>
        </w:rPr>
        <w:t xml:space="preserve">1.1法人或者其他组织的营业执照等证明文件，自然人身份证明；</w:t>
      </w:r>
      <w:r/>
    </w:p>
    <w:p>
      <w:pPr>
        <w:ind w:firstLine="420"/>
        <w:spacing w:line="360" w:lineRule="auto"/>
        <w:rPr>
          <w:rFonts w:ascii="宋体" w:hAnsi="宋体" w:cs="宋体"/>
          <w:i/>
          <w:iCs/>
          <w:color w:val="000000" w:themeColor="text1"/>
          <w:szCs w:val="21"/>
          <w:u w:val="single"/>
          <w14:textFill>
            <w14:solidFill>
              <w14:schemeClr w14:val="tx1"/>
            </w14:solidFill>
          </w14:textFill>
        </w:rPr>
      </w:pPr>
      <w:r>
        <w:rPr>
          <w:rFonts w:hint="eastAsia" w:ascii="宋体" w:hAnsi="宋体" w:cs="宋体"/>
          <w:i/>
          <w:iCs/>
          <w:color w:val="000000" w:themeColor="text1"/>
          <w:szCs w:val="21"/>
          <w:u w:val="single"/>
          <w14:textFill>
            <w14:solidFill>
              <w14:schemeClr w14:val="tx1"/>
            </w14:solidFill>
          </w14:textFill>
        </w:rPr>
        <w:t xml:space="preserve">1.2依法缴纳职工社会保障资金的证明材料；</w:t>
      </w:r>
      <w:r>
        <w:rPr>
          <w:rFonts w:hint="eastAsia" w:ascii="宋体" w:hAnsi="宋体" w:cs="宋体"/>
          <w:b/>
          <w:bCs/>
          <w:i/>
          <w:iCs/>
          <w:color w:val="000000" w:themeColor="text1"/>
          <w:szCs w:val="21"/>
          <w:u w:val="single"/>
          <w14:textFill>
            <w14:solidFill>
              <w14:schemeClr w14:val="tx1"/>
            </w14:solidFill>
          </w14:textFill>
        </w:rPr>
        <w:t xml:space="preserve">(税务、银行或社会保险基金管理部门出具的近三个月内任意一个月缴纳职工社会保障资金的缴款凭证或缴款证明)（供应商依法享受缓缴、免缴的提供证明材料）</w:t>
      </w:r>
      <w:r/>
    </w:p>
    <w:p>
      <w:pPr>
        <w:ind w:firstLine="420"/>
        <w:spacing w:line="360" w:lineRule="auto"/>
        <w:rPr>
          <w:rFonts w:ascii="宋体" w:hAnsi="宋体" w:cs="宋体"/>
          <w:b/>
          <w:bCs/>
          <w:i/>
          <w:iCs/>
          <w:color w:val="000000" w:themeColor="text1"/>
          <w:u w:val="single"/>
          <w14:textFill>
            <w14:solidFill>
              <w14:schemeClr w14:val="tx1"/>
            </w14:solidFill>
          </w14:textFill>
        </w:rPr>
      </w:pPr>
      <w:r>
        <w:rPr>
          <w:rFonts w:hint="eastAsia" w:ascii="宋体" w:hAnsi="宋体" w:cs="宋体"/>
          <w:i/>
          <w:iCs/>
          <w:color w:val="000000" w:themeColor="text1"/>
          <w:szCs w:val="21"/>
          <w:u w:val="single"/>
          <w14:textFill>
            <w14:solidFill>
              <w14:schemeClr w14:val="tx1"/>
            </w14:solidFill>
          </w14:textFill>
        </w:rPr>
        <w:t xml:space="preserve">1.3供应商近三个月内任意一份依法纳税的缴款凭证；</w:t>
      </w:r>
      <w:r>
        <w:rPr>
          <w:rFonts w:hint="eastAsia" w:ascii="宋体" w:hAnsi="宋体" w:cs="宋体"/>
          <w:b/>
          <w:bCs/>
          <w:i/>
          <w:iCs/>
          <w:color w:val="000000" w:themeColor="text1"/>
          <w:szCs w:val="21"/>
          <w:u w:val="single"/>
          <w14:textFill>
            <w14:solidFill>
              <w14:schemeClr w14:val="tx1"/>
            </w14:solidFill>
          </w14:textFill>
        </w:rPr>
        <w:t xml:space="preserve">（供应商依法享受缓缴、免缴的提供证明材料）</w:t>
      </w:r>
      <w:r/>
    </w:p>
    <w:p>
      <w:pPr>
        <w:ind w:firstLine="420"/>
        <w:spacing w:line="360" w:lineRule="auto"/>
        <w:rPr>
          <w:rFonts w:ascii="宋体" w:hAnsi="宋体" w:cs="宋体"/>
          <w:b/>
          <w:bCs/>
          <w:i/>
          <w:iCs/>
          <w:color w:val="000000" w:themeColor="text1"/>
          <w:szCs w:val="21"/>
          <w:u w:val="single"/>
          <w14:textFill>
            <w14:solidFill>
              <w14:schemeClr w14:val="tx1"/>
            </w14:solidFill>
          </w14:textFill>
        </w:rPr>
      </w:pPr>
      <w:r>
        <w:rPr>
          <w:rFonts w:hint="eastAsia" w:ascii="宋体" w:hAnsi="宋体" w:cs="宋体"/>
          <w:i/>
          <w:iCs/>
          <w:color w:val="000000" w:themeColor="text1"/>
          <w:szCs w:val="21"/>
          <w:u w:val="single"/>
          <w14:textFill>
            <w14:solidFill>
              <w14:schemeClr w14:val="tx1"/>
            </w14:solidFill>
          </w14:textFill>
        </w:rPr>
        <w:t xml:space="preserve">1.4上一年度财务报告情况；</w:t>
      </w:r>
      <w:r>
        <w:rPr>
          <w:rFonts w:hint="eastAsia" w:ascii="宋体" w:hAnsi="宋体" w:cs="宋体"/>
          <w:b/>
          <w:bCs/>
          <w:i/>
          <w:iCs/>
          <w:color w:val="000000" w:themeColor="text1"/>
          <w:szCs w:val="21"/>
          <w:u w:val="single"/>
          <w14:textFill>
            <w14:solidFill>
              <w14:schemeClr w14:val="tx1"/>
            </w14:solidFill>
          </w14:textFill>
        </w:rPr>
        <w:t xml:space="preserve">（注册不满一年的无需提供）</w:t>
      </w:r>
      <w:r/>
    </w:p>
    <w:p>
      <w:pPr>
        <w:ind w:firstLine="420"/>
        <w:spacing w:line="360" w:lineRule="auto"/>
        <w:rPr>
          <w:rFonts w:ascii="宋体" w:hAnsi="宋体" w:cs="宋体"/>
          <w:i/>
          <w:iCs/>
          <w:color w:val="000000" w:themeColor="text1"/>
          <w:szCs w:val="21"/>
          <w:u w:val="single"/>
          <w14:textFill>
            <w14:solidFill>
              <w14:schemeClr w14:val="tx1"/>
            </w14:solidFill>
          </w14:textFill>
        </w:rPr>
      </w:pPr>
      <w:r>
        <w:rPr>
          <w:rFonts w:hint="eastAsia" w:ascii="宋体" w:hAnsi="宋体" w:cs="宋体"/>
          <w:i/>
          <w:iCs/>
          <w:color w:val="000000" w:themeColor="text1"/>
          <w:szCs w:val="21"/>
          <w:u w:val="single"/>
          <w14:textFill>
            <w14:solidFill>
              <w14:schemeClr w14:val="tx1"/>
            </w14:solidFill>
          </w14:textFill>
        </w:rPr>
        <w:t xml:space="preserve">1.5具备履行合同所必需的设备和专业技术能力的证明材料；</w:t>
      </w:r>
      <w:r/>
    </w:p>
    <w:p>
      <w:pPr>
        <w:ind w:firstLine="420"/>
        <w:spacing w:line="360" w:lineRule="auto"/>
        <w:rPr>
          <w:rFonts w:ascii="宋体" w:hAnsi="宋体" w:cs="宋体"/>
          <w:i/>
          <w:iCs/>
          <w:color w:val="000000" w:themeColor="text1"/>
          <w:szCs w:val="21"/>
          <w:u w:val="single"/>
          <w14:textFill>
            <w14:solidFill>
              <w14:schemeClr w14:val="tx1"/>
            </w14:solidFill>
          </w14:textFill>
        </w:rPr>
      </w:pPr>
      <w:r>
        <w:rPr>
          <w:rFonts w:hint="eastAsia" w:ascii="宋体" w:hAnsi="宋体" w:cs="宋体"/>
          <w:i/>
          <w:iCs/>
          <w:color w:val="000000" w:themeColor="text1"/>
          <w:szCs w:val="21"/>
          <w:u w:val="single"/>
          <w14:textFill>
            <w14:solidFill>
              <w14:schemeClr w14:val="tx1"/>
            </w14:solidFill>
          </w14:textFill>
        </w:rPr>
        <w:t xml:space="preserve">1.6参加本次政府采购活动前3年内在经营活动中没有重大违法记录的书面声明；</w:t>
      </w:r>
      <w:r/>
    </w:p>
    <w:p>
      <w:pPr>
        <w:ind w:firstLine="420"/>
        <w:spacing w:line="360" w:lineRule="auto"/>
        <w:rPr>
          <w:rFonts w:ascii="宋体" w:hAnsi="宋体" w:cs="宋体"/>
          <w:b/>
          <w:bCs/>
          <w:i/>
          <w:iCs/>
          <w:color w:val="000000" w:themeColor="text1"/>
          <w:szCs w:val="21"/>
          <w:u w:val="single"/>
          <w14:textFill>
            <w14:solidFill>
              <w14:schemeClr w14:val="tx1"/>
            </w14:solidFill>
          </w14:textFill>
        </w:rPr>
      </w:pPr>
      <w:r>
        <w:rPr>
          <w:rFonts w:hint="eastAsia" w:ascii="宋体" w:hAnsi="宋体" w:cs="宋体"/>
          <w:i/>
          <w:iCs/>
          <w:color w:val="000000" w:themeColor="text1"/>
          <w:szCs w:val="21"/>
          <w:u w:val="single"/>
          <w14:textFill>
            <w14:solidFill>
              <w14:schemeClr w14:val="tx1"/>
            </w14:solidFill>
          </w14:textFill>
        </w:rPr>
        <w:t xml:space="preserve">1.7未被“信用中国”网站（www.creditchina.gov.cn）、“中国政府采购网"(www.ccgp.gov.cn)列入失信被执行人、重大税收违法案件当事人名单、政府采购严重违法失信行为记录名单；</w:t>
      </w:r>
      <w:r/>
    </w:p>
    <w:p>
      <w:pPr>
        <w:ind w:firstLine="420"/>
        <w:spacing w:line="360" w:lineRule="auto"/>
        <w:rPr>
          <w:rFonts w:ascii="宋体" w:hAnsi="宋体" w:cs="宋体"/>
          <w:i/>
          <w:iCs/>
          <w:color w:val="000000" w:themeColor="text1"/>
          <w:szCs w:val="21"/>
          <w:u w:val="single"/>
          <w14:textFill>
            <w14:solidFill>
              <w14:schemeClr w14:val="tx1"/>
            </w14:solidFill>
          </w14:textFill>
        </w:rPr>
      </w:pPr>
      <w:r>
        <w:rPr>
          <w:rFonts w:hint="eastAsia" w:ascii="宋体" w:hAnsi="宋体" w:cs="宋体"/>
          <w:i/>
          <w:iCs/>
          <w:color w:val="000000" w:themeColor="text1"/>
          <w:szCs w:val="21"/>
          <w:u w:val="single"/>
          <w14:textFill>
            <w14:solidFill>
              <w14:schemeClr w14:val="tx1"/>
            </w14:solidFill>
          </w14:textFill>
        </w:rPr>
        <w:t xml:space="preserve">1.8供应商信用承诺函。</w:t>
      </w:r>
      <w:r/>
    </w:p>
    <w:p>
      <w:pPr>
        <w:ind w:firstLine="420"/>
        <w:spacing w:line="360" w:lineRule="auto"/>
        <w:rPr>
          <w:rFonts w:ascii="宋体" w:hAnsi="宋体" w:cs="宋体"/>
          <w:i/>
          <w:iCs/>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2.落实政府采购政策需满足的资格要求：</w:t>
      </w:r>
      <w:r>
        <w:rPr>
          <w:rFonts w:hint="eastAsia" w:ascii="宋体" w:hAnsi="宋体" w:cs="宋体"/>
          <w:i/>
          <w:iCs/>
          <w:color w:val="000000" w:themeColor="text1"/>
          <w:szCs w:val="21"/>
          <w:u w:val="single"/>
          <w14:textFill>
            <w14:solidFill>
              <w14:schemeClr w14:val="tx1"/>
            </w14:solidFill>
          </w14:textFill>
        </w:rPr>
        <w:t xml:space="preserve">根据《政府采购促进中小企业发展管理办法》（财库〔2020〕46 号）规定，本项目专门面向中小企业采购，供应商磋商响应时须提供《中小企业声明函》，《中小企业声明函》不符合要求或未提供的，响应文件无效。</w:t>
      </w:r>
      <w:r>
        <w:rPr>
          <w:rFonts w:hint="eastAsia" w:ascii="宋体" w:hAnsi="宋体" w:cs="宋体"/>
          <w:i/>
          <w:color w:val="000000" w:themeColor="text1"/>
          <w:szCs w:val="21"/>
          <w:u w:val="single"/>
          <w14:textFill>
            <w14:solidFill>
              <w14:schemeClr w14:val="tx1"/>
            </w14:solidFill>
          </w14:textFill>
        </w:rPr>
        <w:t xml:space="preserve">本项目采购标的按中小企业划分标准所属行业区分为建筑业。</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3.本项目的特定资格要求：</w:t>
      </w:r>
      <w:r/>
    </w:p>
    <w:p>
      <w:pPr>
        <w:ind w:firstLine="420"/>
        <w:spacing w:line="360" w:lineRule="auto"/>
        <w:rPr>
          <w:rFonts w:ascii="宋体" w:hAnsi="宋体" w:cs="宋体"/>
          <w:i/>
          <w:iCs/>
          <w:color w:val="000000" w:themeColor="text1"/>
          <w:szCs w:val="21"/>
          <w:u w:val="single"/>
          <w14:textFill>
            <w14:solidFill>
              <w14:schemeClr w14:val="tx1"/>
            </w14:solidFill>
          </w14:textFill>
        </w:rPr>
      </w:pPr>
      <w:r>
        <w:rPr>
          <w:rFonts w:hint="eastAsia" w:ascii="宋体" w:hAnsi="宋体" w:cs="宋体"/>
          <w:i/>
          <w:iCs/>
          <w:color w:val="000000" w:themeColor="text1"/>
          <w:szCs w:val="21"/>
          <w:u w:val="single"/>
          <w14:textFill>
            <w14:solidFill>
              <w14:schemeClr w14:val="tx1"/>
            </w14:solidFill>
          </w14:textFill>
        </w:rPr>
        <w:t xml:space="preserve">3.1供应商必须具备独立承担民事责任能力，具备市政公用工程施工总承包叁级及以上资质证书和</w:t>
      </w:r>
      <w:r>
        <w:rPr>
          <w:rFonts w:hint="eastAsia" w:ascii="宋体" w:hAnsi="宋体" w:cs="宋体"/>
          <w:i/>
          <w:iCs/>
          <w:color w:val="000000" w:themeColor="text1"/>
          <w:szCs w:val="21"/>
          <w:u w:val="single"/>
          <w:lang w:val="en"/>
          <w14:textFill>
            <w14:solidFill>
              <w14:schemeClr w14:val="tx1"/>
            </w14:solidFill>
          </w14:textFill>
        </w:rPr>
        <w:t xml:space="preserve">省级及以上建设行政主管部门核发的《安全生产许可证》</w:t>
      </w:r>
      <w:r>
        <w:rPr>
          <w:rFonts w:hint="eastAsia" w:ascii="宋体" w:hAnsi="宋体" w:cs="宋体"/>
          <w:i/>
          <w:iCs/>
          <w:color w:val="000000" w:themeColor="text1"/>
          <w:szCs w:val="21"/>
          <w:u w:val="single"/>
          <w14:textFill>
            <w14:solidFill>
              <w14:schemeClr w14:val="tx1"/>
            </w14:solidFill>
          </w14:textFill>
        </w:rPr>
        <w:t xml:space="preserve">；</w:t>
      </w:r>
      <w:r/>
    </w:p>
    <w:p>
      <w:pPr>
        <w:ind w:firstLine="420"/>
        <w:spacing w:line="360" w:lineRule="auto"/>
        <w:rPr>
          <w:rFonts w:ascii="宋体" w:hAnsi="宋体" w:cs="宋体"/>
          <w:i/>
          <w:iCs/>
          <w:color w:val="000000" w:themeColor="text1"/>
          <w:szCs w:val="21"/>
          <w:u w:val="single"/>
          <w14:textFill>
            <w14:solidFill>
              <w14:schemeClr w14:val="tx1"/>
            </w14:solidFill>
          </w14:textFill>
        </w:rPr>
      </w:pPr>
      <w:r>
        <w:rPr>
          <w:rFonts w:hint="eastAsia" w:ascii="宋体" w:hAnsi="宋体" w:cs="宋体"/>
          <w:i/>
          <w:iCs/>
          <w:color w:val="000000" w:themeColor="text1"/>
          <w:szCs w:val="21"/>
          <w:u w:val="single"/>
          <w14:textFill>
            <w14:solidFill>
              <w14:schemeClr w14:val="tx1"/>
            </w14:solidFill>
          </w14:textFill>
        </w:rPr>
        <w:t xml:space="preserve">3.2</w:t>
      </w:r>
      <w:r>
        <w:rPr>
          <w:rFonts w:hint="eastAsia" w:ascii="宋体" w:hAnsi="宋体" w:cs="宋体"/>
          <w:i/>
          <w:iCs/>
          <w:color w:val="000000" w:themeColor="text1"/>
          <w:szCs w:val="21"/>
          <w:u w:val="single"/>
          <w:lang w:val="en"/>
          <w14:textFill>
            <w14:solidFill>
              <w14:schemeClr w14:val="tx1"/>
            </w14:solidFill>
          </w14:textFill>
        </w:rPr>
        <w:t xml:space="preserve">拟投入本项目的项目负责人</w:t>
      </w:r>
      <w:r>
        <w:rPr>
          <w:rFonts w:hint="eastAsia" w:ascii="宋体" w:hAnsi="宋体" w:cs="宋体"/>
          <w:i/>
          <w:iCs/>
          <w:color w:val="000000" w:themeColor="text1"/>
          <w:szCs w:val="21"/>
          <w:u w:val="single"/>
          <w14:textFill>
            <w14:solidFill>
              <w14:schemeClr w14:val="tx1"/>
            </w14:solidFill>
          </w14:textFill>
        </w:rPr>
        <w:t xml:space="preserve">须</w:t>
      </w:r>
      <w:r>
        <w:rPr>
          <w:rFonts w:hint="eastAsia" w:ascii="宋体" w:hAnsi="宋体" w:cs="宋体"/>
          <w:i/>
          <w:iCs/>
          <w:color w:val="000000" w:themeColor="text1"/>
          <w:szCs w:val="21"/>
          <w:u w:val="single"/>
          <w:lang w:val="en"/>
          <w14:textFill>
            <w14:solidFill>
              <w14:schemeClr w14:val="tx1"/>
            </w14:solidFill>
          </w14:textFill>
        </w:rPr>
        <w:t xml:space="preserve">具备</w:t>
      </w:r>
      <w:r>
        <w:rPr>
          <w:rFonts w:hint="eastAsia" w:ascii="宋体" w:hAnsi="宋体" w:cs="宋体"/>
          <w:i/>
          <w:iCs/>
          <w:color w:val="000000" w:themeColor="text1"/>
          <w:szCs w:val="21"/>
          <w:u w:val="single"/>
          <w14:textFill>
            <w14:solidFill>
              <w14:schemeClr w14:val="tx1"/>
            </w14:solidFill>
          </w14:textFill>
        </w:rPr>
        <w:t xml:space="preserve">市政公用工程</w:t>
      </w:r>
      <w:r>
        <w:rPr>
          <w:rFonts w:hint="eastAsia" w:ascii="宋体" w:hAnsi="宋体" w:cs="宋体"/>
          <w:i/>
          <w:iCs/>
          <w:color w:val="000000" w:themeColor="text1"/>
          <w:szCs w:val="21"/>
          <w:u w:val="single"/>
          <w:lang w:val="en"/>
          <w14:textFill>
            <w14:solidFill>
              <w14:schemeClr w14:val="tx1"/>
            </w14:solidFill>
          </w14:textFill>
        </w:rPr>
        <w:t xml:space="preserve">二级（含）以上注册建造师执业资格</w:t>
      </w:r>
      <w:r>
        <w:rPr>
          <w:rFonts w:hint="eastAsia" w:ascii="宋体" w:hAnsi="宋体" w:cs="宋体"/>
          <w:i/>
          <w:iCs/>
          <w:color w:val="000000" w:themeColor="text1"/>
          <w:szCs w:val="21"/>
          <w:u w:val="single"/>
          <w14:textFill>
            <w14:solidFill>
              <w14:schemeClr w14:val="tx1"/>
            </w14:solidFill>
          </w14:textFill>
        </w:rPr>
        <w:t xml:space="preserve">和</w:t>
      </w:r>
      <w:r>
        <w:rPr>
          <w:rFonts w:hint="eastAsia" w:ascii="宋体" w:hAnsi="宋体" w:cs="宋体"/>
          <w:i/>
          <w:iCs/>
          <w:color w:val="000000" w:themeColor="text1"/>
          <w:szCs w:val="21"/>
          <w:u w:val="single"/>
          <w:lang w:val="en"/>
          <w14:textFill>
            <w14:solidFill>
              <w14:schemeClr w14:val="tx1"/>
            </w14:solidFill>
          </w14:textFill>
        </w:rPr>
        <w:t xml:space="preserve">有效的安全生产考核合格证书（</w:t>
      </w:r>
      <w:r>
        <w:rPr>
          <w:rFonts w:hint="eastAsia" w:ascii="宋体" w:hAnsi="宋体" w:cs="宋体"/>
          <w:i/>
          <w:iCs/>
          <w:color w:val="000000" w:themeColor="text1"/>
          <w:szCs w:val="21"/>
          <w:u w:val="single"/>
          <w14:textFill>
            <w14:solidFill>
              <w14:schemeClr w14:val="tx1"/>
            </w14:solidFill>
          </w14:textFill>
        </w:rPr>
        <w:t xml:space="preserve">B证</w:t>
      </w:r>
      <w:r>
        <w:rPr>
          <w:rFonts w:hint="eastAsia" w:ascii="宋体" w:hAnsi="宋体" w:cs="宋体"/>
          <w:i/>
          <w:iCs/>
          <w:color w:val="000000" w:themeColor="text1"/>
          <w:szCs w:val="21"/>
          <w:u w:val="single"/>
          <w:lang w:val="en"/>
          <w14:textFill>
            <w14:solidFill>
              <w14:schemeClr w14:val="tx1"/>
            </w14:solidFill>
          </w14:textFill>
        </w:rPr>
        <w:t xml:space="preserve">），</w:t>
      </w:r>
      <w:r>
        <w:rPr>
          <w:rFonts w:hint="eastAsia" w:ascii="宋体" w:hAnsi="宋体" w:cs="宋体"/>
          <w:i/>
          <w:iCs/>
          <w:color w:val="000000" w:themeColor="text1"/>
          <w:szCs w:val="21"/>
          <w:u w:val="single"/>
          <w14:textFill>
            <w14:solidFill>
              <w14:schemeClr w14:val="tx1"/>
            </w14:solidFill>
          </w14:textFill>
        </w:rPr>
        <w:t xml:space="preserve">并提供近三个月内任意一个月社保缴纳证明材料，</w:t>
      </w:r>
      <w:r>
        <w:rPr>
          <w:rFonts w:hint="eastAsia" w:ascii="宋体" w:hAnsi="宋体" w:cs="宋体"/>
          <w:i/>
          <w:iCs/>
          <w:color w:val="000000" w:themeColor="text1"/>
          <w:szCs w:val="21"/>
          <w:u w:val="single"/>
          <w:lang w:val="en"/>
          <w14:textFill>
            <w14:solidFill>
              <w14:schemeClr w14:val="tx1"/>
            </w14:solidFill>
          </w14:textFill>
        </w:rPr>
        <w:t xml:space="preserve">且无在</w:t>
      </w:r>
      <w:r>
        <w:rPr>
          <w:rFonts w:hint="eastAsia" w:ascii="宋体" w:hAnsi="宋体" w:cs="宋体"/>
          <w:i/>
          <w:iCs/>
          <w:color w:val="000000" w:themeColor="text1"/>
          <w:szCs w:val="21"/>
          <w:u w:val="single"/>
          <w14:textFill>
            <w14:solidFill>
              <w14:schemeClr w14:val="tx1"/>
            </w14:solidFill>
          </w14:textFill>
        </w:rPr>
        <w:t xml:space="preserve">建</w:t>
      </w:r>
      <w:r>
        <w:rPr>
          <w:rFonts w:hint="eastAsia" w:ascii="宋体" w:hAnsi="宋体" w:cs="宋体"/>
          <w:i/>
          <w:iCs/>
          <w:color w:val="000000" w:themeColor="text1"/>
          <w:szCs w:val="21"/>
          <w:u w:val="single"/>
          <w:lang w:val="en"/>
          <w14:textFill>
            <w14:solidFill>
              <w14:schemeClr w14:val="tx1"/>
            </w14:solidFill>
          </w14:textFill>
        </w:rPr>
        <w:t xml:space="preserve">工程（</w:t>
      </w:r>
      <w:r>
        <w:rPr>
          <w:rFonts w:hint="eastAsia" w:ascii="宋体" w:hAnsi="宋体" w:cs="宋体"/>
          <w:i/>
          <w:iCs/>
          <w:color w:val="000000" w:themeColor="text1"/>
          <w:szCs w:val="21"/>
          <w:u w:val="single"/>
          <w14:textFill>
            <w14:solidFill>
              <w14:schemeClr w14:val="tx1"/>
            </w14:solidFill>
          </w14:textFill>
        </w:rPr>
        <w:t xml:space="preserve">提供无在建工程承诺书</w:t>
      </w:r>
      <w:r>
        <w:rPr>
          <w:rFonts w:hint="eastAsia" w:ascii="宋体" w:hAnsi="宋体" w:cs="宋体"/>
          <w:i/>
          <w:iCs/>
          <w:color w:val="000000" w:themeColor="text1"/>
          <w:szCs w:val="21"/>
          <w:u w:val="single"/>
          <w:lang w:val="en"/>
          <w14:textFill>
            <w14:solidFill>
              <w14:schemeClr w14:val="tx1"/>
            </w14:solidFill>
          </w14:textFill>
        </w:rPr>
        <w:t xml:space="preserve">）</w:t>
      </w:r>
      <w:r>
        <w:rPr>
          <w:rFonts w:hint="eastAsia" w:ascii="宋体" w:hAnsi="宋体" w:cs="宋体"/>
          <w:i/>
          <w:iCs/>
          <w:color w:val="000000" w:themeColor="text1"/>
          <w:szCs w:val="21"/>
          <w:u w:val="single"/>
          <w14:textFill>
            <w14:solidFill>
              <w14:schemeClr w14:val="tx1"/>
            </w14:solidFill>
          </w14:textFill>
        </w:rPr>
        <w:t xml:space="preserve">；</w:t>
      </w:r>
      <w:r/>
    </w:p>
    <w:p>
      <w:pPr>
        <w:pStyle w:val="961"/>
        <w:spacing w:before="0" w:after="0" w:line="360" w:lineRule="auto"/>
        <w:rPr>
          <w:rFonts w:ascii="宋体" w:hAnsi="宋体" w:cs="宋体"/>
          <w:bCs w:val="0"/>
          <w:color w:val="000000" w:themeColor="text1"/>
          <w:sz w:val="21"/>
          <w:szCs w:val="21"/>
          <w14:textFill>
            <w14:solidFill>
              <w14:schemeClr w14:val="tx1"/>
            </w14:solidFill>
          </w14:textFill>
        </w:rPr>
      </w:pPr>
      <w:r>
        <w:rPr>
          <w:rFonts w:hint="eastAsia" w:ascii="宋体" w:hAnsi="宋体" w:cs="宋体"/>
          <w:bCs w:val="0"/>
          <w:color w:val="000000" w:themeColor="text1"/>
          <w:sz w:val="21"/>
          <w:szCs w:val="21"/>
          <w14:textFill>
            <w14:solidFill>
              <w14:schemeClr w14:val="tx1"/>
            </w14:solidFill>
          </w14:textFill>
        </w:rPr>
        <w:t xml:space="preserve">三、获取采购文件</w:t>
      </w:r>
      <w:bookmarkEnd w:id="5"/>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1.时间：</w:t>
      </w:r>
      <w:r>
        <w:rPr>
          <w:rFonts w:hint="eastAsia" w:ascii="宋体" w:hAnsi="宋体" w:cs="宋体"/>
          <w:color w:val="000000" w:themeColor="text1"/>
          <w14:textFill>
            <w14:solidFill>
              <w14:schemeClr w14:val="tx1"/>
            </w14:solidFill>
          </w14:textFill>
        </w:rPr>
        <w:t xml:space="preserve">自磋商公告发布之日起5个工作日。5个工作日后仍可下载采购文件，但不作为供应商权益受到损害的证明材料和依据。</w:t>
      </w:r>
      <w:r/>
    </w:p>
    <w:p>
      <w:pPr>
        <w:ind w:firstLine="420"/>
        <w:spacing w:line="360" w:lineRule="auto"/>
        <w:rPr>
          <w:rFonts w:ascii="宋体" w:hAnsi="宋体" w:cs="宋体"/>
          <w:color w:val="000000" w:themeColor="text1"/>
          <w:szCs w:val="21"/>
          <w14:textFill>
            <w14:solidFill>
              <w14:schemeClr w14:val="tx1"/>
            </w14:solidFill>
          </w14:textFill>
        </w:rPr>
      </w:pPr>
      <w:r/>
      <w:bookmarkStart w:id="8" w:name="_Toc109304966"/>
      <w:r>
        <w:rPr>
          <w:rFonts w:hint="eastAsia" w:ascii="宋体" w:hAnsi="宋体" w:cs="宋体"/>
          <w:color w:val="000000" w:themeColor="text1"/>
          <w:szCs w:val="21"/>
          <w14:textFill>
            <w14:solidFill>
              <w14:schemeClr w14:val="tx1"/>
            </w14:solidFill>
          </w14:textFill>
        </w:rPr>
        <w:t xml:space="preserve">2.地点：“苏采云”系统（网址：http://jszfcg.jsczt.cn/）  </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3.方式：自行免费下载 </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4.售价：0.00元 </w:t>
      </w:r>
      <w:r/>
    </w:p>
    <w:p>
      <w:pPr>
        <w:pStyle w:val="961"/>
        <w:spacing w:before="0" w:after="0" w:line="360" w:lineRule="auto"/>
        <w:rPr>
          <w:rFonts w:ascii="宋体" w:hAnsi="宋体" w:cs="宋体"/>
          <w:bCs w:val="0"/>
          <w:color w:val="000000" w:themeColor="text1"/>
          <w:sz w:val="21"/>
          <w:szCs w:val="21"/>
          <w14:textFill>
            <w14:solidFill>
              <w14:schemeClr w14:val="tx1"/>
            </w14:solidFill>
          </w14:textFill>
        </w:rPr>
      </w:pPr>
      <w:r>
        <w:rPr>
          <w:rFonts w:hint="eastAsia" w:ascii="宋体" w:hAnsi="宋体" w:cs="宋体"/>
          <w:bCs w:val="0"/>
          <w:color w:val="000000" w:themeColor="text1"/>
          <w:sz w:val="21"/>
          <w:szCs w:val="21"/>
          <w14:textFill>
            <w14:solidFill>
              <w14:schemeClr w14:val="tx1"/>
            </w14:solidFill>
          </w14:textFill>
        </w:rPr>
        <w:t xml:space="preserve">四、响应文件提交</w:t>
      </w:r>
      <w:bookmarkEnd w:id="8"/>
      <w:r/>
      <w:r/>
    </w:p>
    <w:p>
      <w:pPr>
        <w:ind w:firstLine="420"/>
        <w:spacing w:line="360" w:lineRule="auto"/>
        <w:rPr>
          <w:rFonts w:ascii="宋体" w:hAnsi="宋体" w:cs="宋体"/>
          <w:bCs/>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1.截止时间：</w:t>
      </w:r>
      <w:bookmarkStart w:id="9" w:name="XMTBJSR_2"/>
      <w:r>
        <w:rPr>
          <w:rFonts w:hint="eastAsia" w:ascii="宋体" w:hAnsi="宋体" w:cs="宋体"/>
          <w:bCs/>
          <w:color w:val="000000" w:themeColor="text1"/>
          <w:szCs w:val="21"/>
          <w:u w:val="single"/>
          <w:lang w:eastAsia="zh-CN"/>
          <w14:textFill>
            <w14:solidFill>
              <w14:schemeClr w14:val="tx1"/>
            </w14:solidFill>
          </w14:textFill>
        </w:rPr>
        <w:t xml:space="preserve">2026年05月15日</w:t>
      </w:r>
      <w:r>
        <w:rPr>
          <w:rFonts w:hint="eastAsia" w:ascii="宋体" w:hAnsi="宋体" w:cs="宋体"/>
          <w:bCs/>
          <w:color w:val="000000" w:themeColor="text1"/>
          <w:szCs w:val="21"/>
          <w:u w:val="single"/>
          <w14:textFill>
            <w14:solidFill>
              <w14:schemeClr w14:val="tx1"/>
            </w14:solidFill>
          </w14:textFill>
        </w:rPr>
        <w:t xml:space="preserve">   09时00分</w:t>
      </w:r>
      <w:bookmarkEnd w:id="9"/>
      <w:r>
        <w:rPr>
          <w:rFonts w:hint="eastAsia" w:ascii="宋体" w:hAnsi="宋体" w:cs="宋体"/>
          <w:bCs/>
          <w:color w:val="000000" w:themeColor="text1"/>
          <w:szCs w:val="21"/>
          <w14:textFill>
            <w14:solidFill>
              <w14:schemeClr w14:val="tx1"/>
            </w14:solidFill>
          </w14:textFill>
        </w:rPr>
        <w:t xml:space="preserve">（北京时间）</w:t>
      </w:r>
      <w:r/>
    </w:p>
    <w:p>
      <w:pPr>
        <w:ind w:firstLine="422"/>
        <w:spacing w:line="360" w:lineRule="auto"/>
        <w:rPr>
          <w:rFonts w:ascii="宋体" w:hAnsi="宋体" w:cs="宋体"/>
          <w:bCs/>
          <w:color w:val="000000" w:themeColor="text1"/>
          <w:szCs w:val="21"/>
          <w:u w:val="single"/>
          <w14:textFill>
            <w14:solidFill>
              <w14:schemeClr w14:val="tx1"/>
            </w14:solidFill>
          </w14:textFill>
        </w:rPr>
      </w:pPr>
      <w:r/>
      <w:bookmarkStart w:id="10" w:name="_Toc109304967"/>
      <w:r>
        <w:rPr>
          <w:rFonts w:hint="eastAsia" w:ascii="宋体" w:hAnsi="宋体" w:cs="宋体"/>
          <w:b/>
          <w:bCs/>
          <w:color w:val="000000" w:themeColor="text1"/>
          <w:szCs w:val="21"/>
          <w14:textFill>
            <w14:solidFill>
              <w14:schemeClr w14:val="tx1"/>
            </w14:solidFill>
          </w14:textFill>
        </w:rPr>
        <w:t xml:space="preserve">2.投标地点：“苏采云”系统（网址： http://jszfcg.jsczt.cn/）“报名详情”</w:t>
      </w:r>
      <w:r/>
    </w:p>
    <w:p>
      <w:pPr>
        <w:pStyle w:val="961"/>
        <w:spacing w:before="0" w:after="0" w:line="360" w:lineRule="auto"/>
        <w:rPr>
          <w:rFonts w:ascii="宋体" w:hAnsi="宋体" w:cs="宋体"/>
          <w:bCs w:val="0"/>
          <w:color w:val="000000" w:themeColor="text1"/>
          <w:sz w:val="21"/>
          <w:szCs w:val="21"/>
          <w14:textFill>
            <w14:solidFill>
              <w14:schemeClr w14:val="tx1"/>
            </w14:solidFill>
          </w14:textFill>
        </w:rPr>
      </w:pPr>
      <w:r>
        <w:rPr>
          <w:rFonts w:hint="eastAsia" w:ascii="宋体" w:hAnsi="宋体" w:cs="宋体"/>
          <w:bCs w:val="0"/>
          <w:color w:val="000000" w:themeColor="text1"/>
          <w:sz w:val="21"/>
          <w:szCs w:val="21"/>
          <w14:textFill>
            <w14:solidFill>
              <w14:schemeClr w14:val="tx1"/>
            </w14:solidFill>
          </w14:textFill>
        </w:rPr>
        <w:t xml:space="preserve">五、开启</w:t>
      </w:r>
      <w:bookmarkEnd w:id="10"/>
      <w:r/>
      <w:r/>
    </w:p>
    <w:p>
      <w:pPr>
        <w:pStyle w:val="968"/>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1.时间</w:t>
      </w:r>
      <w:bookmarkStart w:id="11" w:name="XMTBJSR_3"/>
      <w:r>
        <w:rPr>
          <w:rFonts w:hint="eastAsia" w:ascii="宋体" w:hAnsi="宋体" w:cs="宋体"/>
          <w:color w:val="000000" w:themeColor="text1"/>
          <w:szCs w:val="21"/>
          <w14:textFill>
            <w14:solidFill>
              <w14:schemeClr w14:val="tx1"/>
            </w14:solidFill>
          </w14:textFill>
        </w:rPr>
        <w:t xml:space="preserve">：</w:t>
      </w:r>
      <w:r>
        <w:rPr>
          <w:rFonts w:hint="eastAsia" w:ascii="宋体" w:hAnsi="宋体" w:cs="宋体"/>
          <w:bCs/>
          <w:color w:val="000000" w:themeColor="text1"/>
          <w:szCs w:val="21"/>
          <w:u w:val="single"/>
          <w:lang w:eastAsia="zh-CN"/>
          <w14:textFill>
            <w14:solidFill>
              <w14:schemeClr w14:val="tx1"/>
            </w14:solidFill>
          </w14:textFill>
        </w:rPr>
        <w:t xml:space="preserve">2026年05月15日</w:t>
      </w:r>
      <w:r>
        <w:rPr>
          <w:rFonts w:hint="eastAsia" w:ascii="宋体" w:hAnsi="宋体" w:cs="宋体"/>
          <w:bCs/>
          <w:color w:val="000000" w:themeColor="text1"/>
          <w:szCs w:val="21"/>
          <w:u w:val="single"/>
          <w14:textFill>
            <w14:solidFill>
              <w14:schemeClr w14:val="tx1"/>
            </w14:solidFill>
          </w14:textFill>
        </w:rPr>
        <w:t xml:space="preserve">   09时00分</w:t>
      </w:r>
      <w:bookmarkEnd w:id="11"/>
      <w:r>
        <w:rPr>
          <w:rFonts w:hint="eastAsia" w:ascii="宋体" w:hAnsi="宋体" w:cs="宋体"/>
          <w:bCs/>
          <w:color w:val="000000" w:themeColor="text1"/>
          <w:szCs w:val="21"/>
          <w14:textFill>
            <w14:solidFill>
              <w14:schemeClr w14:val="tx1"/>
            </w14:solidFill>
          </w14:textFill>
        </w:rPr>
        <w:t xml:space="preserve">（北京时间）</w:t>
      </w:r>
      <w:r/>
    </w:p>
    <w:p>
      <w:pPr>
        <w:ind w:firstLine="422"/>
        <w:spacing w:line="360" w:lineRule="auto"/>
        <w:rPr>
          <w:rFonts w:ascii="宋体" w:hAnsi="宋体" w:cs="宋体"/>
          <w:b/>
          <w:color w:val="000000" w:themeColor="text1"/>
          <w:szCs w:val="21"/>
          <w14:textFill>
            <w14:solidFill>
              <w14:schemeClr w14:val="tx1"/>
            </w14:solidFill>
          </w14:textFill>
        </w:rPr>
      </w:pPr>
      <w:r/>
      <w:bookmarkStart w:id="12" w:name="_Toc109304968"/>
      <w:r>
        <w:rPr>
          <w:rFonts w:hint="eastAsia" w:ascii="宋体" w:hAnsi="宋体" w:cs="宋体"/>
          <w:b/>
          <w:color w:val="000000" w:themeColor="text1"/>
          <w:szCs w:val="21"/>
          <w14:textFill>
            <w14:solidFill>
              <w14:schemeClr w14:val="tx1"/>
            </w14:solidFill>
          </w14:textFill>
        </w:rPr>
        <w:t xml:space="preserve">2.开标地点：“苏采云”系统（网址： http://jszfcg.jsczt.cn/）“开标大厅”</w:t>
      </w:r>
      <w:r/>
    </w:p>
    <w:p>
      <w:pPr>
        <w:pStyle w:val="961"/>
        <w:spacing w:before="0" w:after="0" w:line="360" w:lineRule="auto"/>
        <w:rPr>
          <w:rFonts w:ascii="宋体" w:hAnsi="宋体" w:cs="宋体"/>
          <w:bCs w:val="0"/>
          <w:color w:val="000000" w:themeColor="text1"/>
          <w:sz w:val="21"/>
          <w:szCs w:val="21"/>
          <w14:textFill>
            <w14:solidFill>
              <w14:schemeClr w14:val="tx1"/>
            </w14:solidFill>
          </w14:textFill>
        </w:rPr>
      </w:pPr>
      <w:r>
        <w:rPr>
          <w:rFonts w:hint="eastAsia" w:ascii="宋体" w:hAnsi="宋体" w:cs="宋体"/>
          <w:bCs w:val="0"/>
          <w:color w:val="000000" w:themeColor="text1"/>
          <w:sz w:val="21"/>
          <w:szCs w:val="21"/>
          <w14:textFill>
            <w14:solidFill>
              <w14:schemeClr w14:val="tx1"/>
            </w14:solidFill>
          </w14:textFill>
        </w:rPr>
        <w:t xml:space="preserve">六、公告期限</w:t>
      </w:r>
      <w:bookmarkEnd w:id="12"/>
      <w:r/>
      <w:r/>
    </w:p>
    <w:p>
      <w:pPr>
        <w:ind w:firstLine="420"/>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自本公告发布之日起5个工作日。</w:t>
      </w:r>
      <w:bookmarkStart w:id="13" w:name="_Toc109304969"/>
      <w:r/>
      <w:r/>
    </w:p>
    <w:p>
      <w:pPr>
        <w:spacing w:line="360" w:lineRule="auto"/>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七、其他补充事宜</w:t>
      </w:r>
      <w:bookmarkEnd w:id="13"/>
      <w:r/>
      <w:r/>
    </w:p>
    <w:p>
      <w:pPr>
        <w:ind w:firstLine="420"/>
        <w:jc w:val="left"/>
        <w:spacing w:line="360" w:lineRule="auto"/>
        <w:widowControl/>
        <w:rPr>
          <w:rFonts w:ascii="宋体" w:hAnsi="宋体" w:cs="宋体"/>
          <w:color w:val="000000" w:themeColor="text1"/>
          <w14:textFill>
            <w14:solidFill>
              <w14:schemeClr w14:val="tx1"/>
            </w14:solidFill>
          </w14:textFill>
        </w:rPr>
      </w:pPr>
      <w:r/>
      <w:bookmarkStart w:id="14" w:name="_Toc109304970"/>
      <w:r>
        <w:rPr>
          <w:rFonts w:hint="eastAsia" w:ascii="宋体" w:hAnsi="宋体" w:cs="宋体"/>
          <w:color w:val="000000" w:themeColor="text1"/>
          <w14:textFill>
            <w14:solidFill>
              <w14:schemeClr w14:val="tx1"/>
            </w14:solidFill>
          </w14:textFill>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firstLine="420"/>
        <w:jc w:val="left"/>
        <w:spacing w:line="360" w:lineRule="auto"/>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2.供应商如确定参加磋商，可自行下载采购文件及有关资料，按照《操作手册》进行注册，领取CA和办理电子签章，并按《操作手册》要求制作、上传电子响应文件，技术支持联系方式：:13813140731。</w:t>
      </w:r>
      <w:r/>
    </w:p>
    <w:p>
      <w:pPr>
        <w:ind w:firstLine="420"/>
        <w:jc w:val="left"/>
        <w:spacing w:line="360" w:lineRule="auto"/>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竞争性磋商、竞争性谈判、单一来源采购项目将与供应商就谈判（磋商）文件进行线上谈判（磋商），请供应商在开标前登录谷歌浏览器进入不见面大厅，并准备好耳麦和摄像设备。因供应商网络与电源不稳定、未按要求配置上述设备、上述设备发生故障等自身原因，导致谈判（磋商）失败，供应商自行承担其后果。</w:t>
      </w:r>
      <w:r/>
    </w:p>
    <w:p>
      <w:pPr>
        <w:ind w:firstLine="420"/>
        <w:jc w:val="left"/>
        <w:spacing w:line="360" w:lineRule="auto"/>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4.潜在供应商对采购文件项目需求部分的询问、质疑请向采购人提出，由采购人负责答复。</w:t>
      </w:r>
      <w:r/>
    </w:p>
    <w:p>
      <w:pPr>
        <w:ind w:firstLine="420"/>
        <w:jc w:val="left"/>
        <w:spacing w:line="360" w:lineRule="auto"/>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5.本次采购不收取投标保证金和履约保证金。</w:t>
      </w:r>
      <w:r/>
    </w:p>
    <w:p>
      <w:pPr>
        <w:ind w:firstLine="420"/>
        <w:jc w:val="left"/>
        <w:spacing w:line="360" w:lineRule="auto"/>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6.有关本次采购的事项若存在变动或修改，敬请及时关注“扬州市政府采购网”、“江苏省政府采购网”发布的信息。</w:t>
      </w:r>
      <w:r/>
    </w:p>
    <w:p>
      <w:pPr>
        <w:ind w:firstLine="420"/>
        <w:jc w:val="left"/>
        <w:spacing w:line="360" w:lineRule="auto"/>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7.落实好政府采购履约资金扶持政策。中标/成交供应商可凭政府采购合同办理融资贷款，详见江苏政府采购网“政采贷”专栏。</w:t>
      </w:r>
      <w:r/>
    </w:p>
    <w:p>
      <w:pPr>
        <w:ind w:firstLine="420"/>
        <w:jc w:val="left"/>
        <w:spacing w:line="360" w:lineRule="auto"/>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8.严格执行政府采购关于支持</w:t>
      </w:r>
      <w:r>
        <w:rPr>
          <w:rFonts w:hint="eastAsia" w:ascii="宋体" w:hAnsi="宋体" w:cs="宋体"/>
          <w:color w:val="000000" w:themeColor="text1"/>
          <w14:textFill>
            <w14:solidFill>
              <w14:schemeClr w14:val="tx1"/>
            </w14:solidFill>
          </w14:textFill>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0"/>
        <w:jc w:val="left"/>
        <w:spacing w:line="360" w:lineRule="auto"/>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9.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firstLine="420"/>
        <w:jc w:val="left"/>
        <w:spacing w:line="360" w:lineRule="auto"/>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10.潜在供应商访问政府采购管理交易系统（苏采云）的网络地址和方法：</w:t>
      </w:r>
      <w:r/>
    </w:p>
    <w:p>
      <w:pPr>
        <w:ind w:firstLine="420"/>
        <w:jc w:val="left"/>
        <w:spacing w:line="360" w:lineRule="auto"/>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潜在供应商访问政府采购管理交易系统（苏采云）的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w:t>
      </w:r>
      <w:r/>
    </w:p>
    <w:p>
      <w:pPr>
        <w:ind w:firstLine="420"/>
        <w:jc w:val="left"/>
        <w:spacing w:line="360" w:lineRule="auto"/>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（2）“CA数字证书”的获取：供应商需办理CA锁，“苏采云”系统目前仅支持“苏采云”系统下的政务CA，省内各地区办理的“苏采云”系统下的政务CA全省通用。</w:t>
      </w:r>
      <w:r/>
    </w:p>
    <w:p>
      <w:pPr>
        <w:ind w:firstLine="420"/>
        <w:jc w:val="left"/>
        <w:spacing w:line="360" w:lineRule="auto"/>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（3）“CA数字证书”的办理材料以及供应商操作手册详见：</w:t>
      </w:r>
      <w:r/>
    </w:p>
    <w:p>
      <w:pPr>
        <w:ind w:firstLine="420"/>
        <w:jc w:val="left"/>
        <w:spacing w:line="360" w:lineRule="auto"/>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http://zfcg.yangzhou.gov.cn/zfcg/xzzx/202309/4d7de1f7865f4a2894fc22bc452f94d8.shtml。</w:t>
      </w:r>
      <w:r/>
    </w:p>
    <w:p>
      <w:pPr>
        <w:ind w:firstLine="420"/>
        <w:jc w:val="left"/>
        <w:spacing w:line="360" w:lineRule="auto"/>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（4）潜在供应商访问“苏采云”系统的网络地址和方法：“苏采云”系统的网址：http://jszfcg.jsczt.cn/。</w:t>
      </w:r>
      <w:r/>
    </w:p>
    <w:p>
      <w:pPr>
        <w:ind w:firstLine="420"/>
        <w:jc w:val="left"/>
        <w:spacing w:line="360" w:lineRule="auto"/>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（5）采购文件（后缀名为“.kedt”）、供应商操作手册及政府采购客户端工具也可通过“苏采云”系统--已报名项目--报名详情页面内相应链接进行下载。</w:t>
      </w:r>
      <w:r/>
    </w:p>
    <w:p>
      <w:pPr>
        <w:ind w:firstLine="420"/>
        <w:jc w:val="left"/>
        <w:spacing w:line="360" w:lineRule="auto"/>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（6）招标代理机构（采购代理机构）将数据电文形式的采购文件加载至“苏采云”系统，供潜在供应商下载或者查阅。     </w:t>
      </w:r>
      <w:r/>
    </w:p>
    <w:p>
      <w:pPr>
        <w:ind w:firstLine="420"/>
        <w:jc w:val="left"/>
        <w:spacing w:line="360" w:lineRule="auto"/>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（7）苏采云系统使用谷歌浏览器参与不见面开标。</w:t>
      </w:r>
      <w:r/>
    </w:p>
    <w:p>
      <w:pPr>
        <w:ind w:firstLine="420"/>
        <w:jc w:val="left"/>
        <w:spacing w:line="360" w:lineRule="auto"/>
        <w:widowControl/>
        <w:rPr>
          <w:rFonts w:ascii="宋体" w:hAnsi="宋体" w:cs="宋体"/>
          <w:b/>
          <w:bCs/>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11.</w:t>
      </w:r>
      <w:r>
        <w:rPr>
          <w:rFonts w:hint="eastAsia" w:ascii="宋体" w:hAnsi="宋体" w:cs="宋体"/>
          <w:b/>
          <w:bCs/>
          <w:color w:val="000000" w:themeColor="text1"/>
          <w14:textFill>
            <w14:solidFill>
              <w14:schemeClr w14:val="tx1"/>
            </w14:solidFill>
          </w14:textFill>
        </w:rPr>
        <w:t xml:space="preserve">本项目严格按照</w:t>
      </w:r>
      <w:r>
        <w:rPr>
          <w:rFonts w:hint="eastAsia" w:ascii="宋体" w:hAnsi="宋体" w:cs="宋体"/>
          <w:b/>
          <w:bCs/>
          <w:color w:val="000000" w:themeColor="text1"/>
          <w:lang w:val="en-US" w:eastAsia="zh-CN"/>
          <w14:textFill>
            <w14:solidFill>
              <w14:schemeClr w14:val="tx1"/>
            </w14:solidFill>
          </w14:textFill>
        </w:rPr>
        <w:t xml:space="preserve">财库</w:t>
      </w:r>
      <w:r>
        <w:rPr>
          <w:rFonts w:hint="eastAsia" w:ascii="宋体" w:hAnsi="宋体" w:cs="宋体"/>
          <w:b/>
          <w:bCs/>
          <w:color w:val="000000" w:themeColor="text1"/>
          <w14:textFill>
            <w14:solidFill>
              <w14:schemeClr w14:val="tx1"/>
            </w14:solidFill>
          </w14:textFill>
        </w:rPr>
        <w:t xml:space="preserve">[202</w:t>
      </w:r>
      <w:r>
        <w:rPr>
          <w:rFonts w:hint="eastAsia" w:ascii="宋体" w:hAnsi="宋体" w:cs="宋体"/>
          <w:b/>
          <w:bCs/>
          <w:color w:val="000000" w:themeColor="text1"/>
          <w:lang w:val="en-US" w:eastAsia="zh-CN"/>
          <w14:textFill>
            <w14:solidFill>
              <w14:schemeClr w14:val="tx1"/>
            </w14:solidFill>
          </w14:textFill>
        </w:rPr>
        <w:t xml:space="preserve">6</w:t>
      </w:r>
      <w:r>
        <w:rPr>
          <w:rFonts w:hint="eastAsia" w:ascii="宋体" w:hAnsi="宋体" w:cs="宋体"/>
          <w:b/>
          <w:bCs/>
          <w:color w:val="000000" w:themeColor="text1"/>
          <w14:textFill>
            <w14:solidFill>
              <w14:schemeClr w14:val="tx1"/>
            </w14:solidFill>
          </w14:textFill>
        </w:rPr>
        <w:t xml:space="preserve">]2号文的规定，进行异常低价投标的审查程序。</w:t>
      </w:r>
      <w:r/>
    </w:p>
    <w:p>
      <w:pPr>
        <w:ind w:firstLine="420"/>
        <w:jc w:val="left"/>
        <w:spacing w:line="360" w:lineRule="auto"/>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12.拒绝下述供应商参加本次采购活动:</w:t>
      </w:r>
      <w:r/>
    </w:p>
    <w:p>
      <w:pPr>
        <w:ind w:firstLine="420"/>
        <w:jc w:val="left"/>
        <w:spacing w:line="360" w:lineRule="auto"/>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①供应商单位负责人为同一人或者存在直接控股、管理关系的不同供应商，不得参加同一合同项下的政府采购活动。</w:t>
      </w:r>
      <w:r/>
    </w:p>
    <w:p>
      <w:pPr>
        <w:ind w:firstLine="420"/>
        <w:jc w:val="left"/>
        <w:spacing w:line="360" w:lineRule="auto"/>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②凡为采购项目提供整体设计、规范编制或者项目管理、监理、检测等服务的供应商，不得再参加该项目的其他采购活动。</w:t>
      </w:r>
      <w:r/>
    </w:p>
    <w:p>
      <w:pPr>
        <w:ind w:firstLine="420"/>
        <w:jc w:val="left"/>
        <w:spacing w:line="360" w:lineRule="auto"/>
        <w:widowControl/>
        <w:rPr>
          <w:rFonts w:ascii="宋体" w:hAnsi="宋体" w:cs="宋体"/>
          <w:b/>
          <w:bCs/>
          <w:i/>
          <w:iCs/>
          <w:color w:val="000000" w:themeColor="text1"/>
          <w:u w:val="single"/>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13.</w:t>
      </w:r>
      <w:r>
        <w:rPr>
          <w:rFonts w:hint="eastAsia" w:ascii="宋体" w:hAnsi="宋体" w:cs="宋体"/>
          <w:b/>
          <w:bCs/>
          <w:i/>
          <w:iCs/>
          <w:color w:val="000000" w:themeColor="text1"/>
          <w:u w:val="single"/>
          <w14:textFill>
            <w14:solidFill>
              <w14:schemeClr w14:val="tx1"/>
            </w14:solidFill>
          </w14:textFill>
        </w:rPr>
        <w:t xml:space="preserve">本项目采购文件中所有斜体下划线部分为实质性条款，如不满足，则为无效响应。</w:t>
      </w:r>
      <w:r/>
    </w:p>
    <w:p>
      <w:pPr>
        <w:pStyle w:val="961"/>
        <w:spacing w:before="0" w:after="0" w:line="360" w:lineRule="auto"/>
        <w:rPr>
          <w:rFonts w:ascii="宋体" w:hAnsi="宋体" w:cs="宋体"/>
          <w:bCs w:val="0"/>
          <w:color w:val="000000" w:themeColor="text1"/>
          <w:sz w:val="21"/>
          <w:szCs w:val="21"/>
          <w14:textFill>
            <w14:solidFill>
              <w14:schemeClr w14:val="tx1"/>
            </w14:solidFill>
          </w14:textFill>
        </w:rPr>
      </w:pPr>
      <w:r>
        <w:rPr>
          <w:rFonts w:hint="eastAsia" w:ascii="宋体" w:hAnsi="宋体" w:cs="宋体"/>
          <w:bCs w:val="0"/>
          <w:color w:val="000000" w:themeColor="text1"/>
          <w:sz w:val="21"/>
          <w:szCs w:val="21"/>
          <w14:textFill>
            <w14:solidFill>
              <w14:schemeClr w14:val="tx1"/>
            </w14:solidFill>
          </w14:textFill>
        </w:rPr>
        <w:t xml:space="preserve">八、本次竞争性磋商联系方式</w:t>
      </w:r>
      <w:bookmarkEnd w:id="14"/>
      <w:r/>
      <w:r/>
    </w:p>
    <w:p>
      <w:pPr>
        <w:pStyle w:val="974"/>
        <w:ind w:firstLine="420"/>
        <w:spacing w:line="360" w:lineRule="auto"/>
        <w:rPr>
          <w:rFonts w:hAnsi="宋体" w:cs="宋体"/>
          <w:color w:val="000000" w:themeColor="text1"/>
          <w:sz w:val="21"/>
          <w:szCs w:val="22"/>
          <w14:textFill>
            <w14:solidFill>
              <w14:schemeClr w14:val="tx1"/>
            </w14:solidFill>
          </w14:textFill>
        </w:rPr>
      </w:pPr>
      <w:r>
        <w:rPr>
          <w:rFonts w:hint="eastAsia" w:hAnsi="宋体" w:cs="宋体"/>
          <w:color w:val="000000" w:themeColor="text1"/>
          <w:sz w:val="21"/>
          <w:szCs w:val="22"/>
          <w14:textFill>
            <w14:solidFill>
              <w14:schemeClr w14:val="tx1"/>
            </w14:solidFill>
          </w14:textFill>
        </w:rPr>
        <w:t xml:space="preserve">1.采购人信息</w:t>
      </w:r>
      <w:bookmarkEnd w:id="0"/>
      <w:r/>
      <w:r/>
    </w:p>
    <w:p>
      <w:pPr>
        <w:pStyle w:val="974"/>
        <w:ind w:firstLine="420"/>
        <w:spacing w:line="360" w:lineRule="auto"/>
        <w:rPr>
          <w:rFonts w:hAnsi="宋体" w:cs="宋体"/>
          <w:color w:val="000000" w:themeColor="text1"/>
          <w:sz w:val="21"/>
          <w:szCs w:val="22"/>
          <w14:textFill>
            <w14:solidFill>
              <w14:schemeClr w14:val="tx1"/>
            </w14:solidFill>
          </w14:textFill>
        </w:rPr>
      </w:pPr>
      <w:r/>
      <w:bookmarkStart w:id="15" w:name="_Toc109304972"/>
      <w:r>
        <w:rPr>
          <w:rFonts w:hint="eastAsia" w:hAnsi="宋体" w:cs="宋体"/>
          <w:color w:val="000000" w:themeColor="text1"/>
          <w:sz w:val="21"/>
          <w:szCs w:val="22"/>
          <w14:textFill>
            <w14:solidFill>
              <w14:schemeClr w14:val="tx1"/>
            </w14:solidFill>
          </w14:textFill>
        </w:rPr>
        <w:t xml:space="preserve">名称：高邮市人民政府高邮街道办事处</w:t>
      </w:r>
      <w:r/>
    </w:p>
    <w:p>
      <w:pPr>
        <w:pStyle w:val="974"/>
        <w:ind w:firstLine="420"/>
        <w:spacing w:line="360" w:lineRule="auto"/>
        <w:rPr>
          <w:rFonts w:hAnsi="宋体" w:cs="宋体"/>
          <w:color w:val="000000" w:themeColor="text1"/>
          <w:sz w:val="21"/>
          <w:szCs w:val="22"/>
          <w14:textFill>
            <w14:solidFill>
              <w14:schemeClr w14:val="tx1"/>
            </w14:solidFill>
          </w14:textFill>
        </w:rPr>
      </w:pPr>
      <w:r>
        <w:rPr>
          <w:rFonts w:hint="eastAsia" w:hAnsi="宋体" w:cs="宋体"/>
          <w:color w:val="000000" w:themeColor="text1"/>
          <w:sz w:val="21"/>
          <w:szCs w:val="22"/>
          <w14:textFill>
            <w14:solidFill>
              <w14:schemeClr w14:val="tx1"/>
            </w14:solidFill>
          </w14:textFill>
        </w:rPr>
        <w:t xml:space="preserve">地址：</w:t>
      </w:r>
      <w:r>
        <w:rPr>
          <w:rFonts w:hint="eastAsia" w:hAnsi="宋体" w:cs="宋体"/>
          <w:color w:val="000000" w:themeColor="text1"/>
          <w:sz w:val="21"/>
          <w:szCs w:val="22"/>
          <w:lang w:val="en"/>
          <w14:textFill>
            <w14:solidFill>
              <w14:schemeClr w14:val="tx1"/>
            </w14:solidFill>
          </w14:textFill>
        </w:rPr>
        <w:t xml:space="preserve">高邮市武安路122号</w:t>
      </w:r>
      <w:r/>
    </w:p>
    <w:p>
      <w:pPr>
        <w:pStyle w:val="974"/>
        <w:ind w:firstLine="420"/>
        <w:spacing w:line="360" w:lineRule="auto"/>
        <w:rPr>
          <w:rFonts w:hAnsi="宋体" w:cs="宋体"/>
          <w:color w:val="000000" w:themeColor="text1"/>
          <w:sz w:val="21"/>
          <w:szCs w:val="22"/>
          <w14:textFill>
            <w14:solidFill>
              <w14:schemeClr w14:val="tx1"/>
            </w14:solidFill>
          </w14:textFill>
        </w:rPr>
      </w:pPr>
      <w:r>
        <w:rPr>
          <w:rFonts w:hint="eastAsia" w:hAnsi="宋体" w:cs="宋体"/>
          <w:color w:val="000000" w:themeColor="text1"/>
          <w:sz w:val="21"/>
          <w:szCs w:val="22"/>
          <w14:textFill>
            <w14:solidFill>
              <w14:schemeClr w14:val="tx1"/>
            </w14:solidFill>
          </w14:textFill>
        </w:rPr>
        <w:t xml:space="preserve">联系人：印先生</w:t>
      </w:r>
      <w:r/>
    </w:p>
    <w:p>
      <w:pPr>
        <w:pStyle w:val="974"/>
        <w:ind w:firstLine="420"/>
        <w:spacing w:line="360" w:lineRule="auto"/>
        <w:rPr>
          <w:rFonts w:hAnsi="宋体" w:cs="宋体"/>
          <w:color w:val="000000" w:themeColor="text1"/>
          <w:sz w:val="21"/>
          <w:szCs w:val="22"/>
          <w14:textFill>
            <w14:solidFill>
              <w14:schemeClr w14:val="tx1"/>
            </w14:solidFill>
          </w14:textFill>
        </w:rPr>
      </w:pPr>
      <w:r/>
      <w:bookmarkStart w:id="16" w:name="_Toc35393638"/>
      <w:r/>
      <w:bookmarkStart w:id="17" w:name="_Toc35393807"/>
      <w:r/>
      <w:bookmarkStart w:id="18" w:name="_Toc28359097"/>
      <w:r/>
      <w:bookmarkStart w:id="19" w:name="_Toc28359020"/>
      <w:r>
        <w:rPr>
          <w:rFonts w:hint="eastAsia" w:hAnsi="宋体" w:cs="宋体"/>
          <w:color w:val="000000" w:themeColor="text1"/>
          <w:sz w:val="21"/>
          <w:szCs w:val="22"/>
          <w14:textFill>
            <w14:solidFill>
              <w14:schemeClr w14:val="tx1"/>
            </w14:solidFill>
          </w14:textFill>
        </w:rPr>
        <w:t xml:space="preserve">联系电话：13773318908</w:t>
      </w:r>
      <w:r/>
    </w:p>
    <w:p>
      <w:pPr>
        <w:pStyle w:val="974"/>
        <w:ind w:firstLine="420"/>
        <w:spacing w:line="360" w:lineRule="auto"/>
        <w:rPr>
          <w:rFonts w:hAnsi="宋体" w:cs="宋体"/>
          <w:color w:val="000000" w:themeColor="text1"/>
          <w:sz w:val="21"/>
          <w:szCs w:val="22"/>
          <w14:textFill>
            <w14:solidFill>
              <w14:schemeClr w14:val="tx1"/>
            </w14:solidFill>
          </w14:textFill>
        </w:rPr>
      </w:pPr>
      <w:r>
        <w:rPr>
          <w:rFonts w:hint="eastAsia" w:hAnsi="宋体" w:cs="宋体"/>
          <w:color w:val="000000" w:themeColor="text1"/>
          <w:sz w:val="21"/>
          <w:szCs w:val="22"/>
          <w14:textFill>
            <w14:solidFill>
              <w14:schemeClr w14:val="tx1"/>
            </w14:solidFill>
          </w14:textFill>
        </w:rPr>
        <w:t xml:space="preserve">2.采购代理机构信息</w:t>
      </w:r>
      <w:bookmarkEnd w:id="16"/>
      <w:r/>
      <w:bookmarkEnd w:id="17"/>
      <w:r/>
      <w:bookmarkEnd w:id="18"/>
      <w:r/>
      <w:bookmarkEnd w:id="19"/>
      <w:r/>
      <w:r/>
    </w:p>
    <w:p>
      <w:pPr>
        <w:pStyle w:val="974"/>
        <w:ind w:firstLine="420"/>
        <w:spacing w:line="360" w:lineRule="auto"/>
        <w:rPr>
          <w:rFonts w:hint="eastAsia" w:hAnsi="宋体" w:eastAsia="宋体" w:cs="宋体"/>
          <w:color w:val="000000" w:themeColor="text1"/>
          <w:sz w:val="21"/>
          <w:szCs w:val="22"/>
          <w:lang w:eastAsia="zh-CN"/>
          <w14:textFill>
            <w14:solidFill>
              <w14:schemeClr w14:val="tx1"/>
            </w14:solidFill>
          </w14:textFill>
        </w:rPr>
      </w:pPr>
      <w:r>
        <w:rPr>
          <w:rFonts w:hint="eastAsia" w:hAnsi="宋体" w:cs="宋体"/>
          <w:color w:val="000000" w:themeColor="text1"/>
          <w:sz w:val="21"/>
          <w:szCs w:val="22"/>
          <w14:textFill>
            <w14:solidFill>
              <w14:schemeClr w14:val="tx1"/>
            </w14:solidFill>
          </w14:textFill>
        </w:rPr>
        <w:t xml:space="preserve">名称：</w:t>
      </w:r>
      <w:r>
        <w:rPr>
          <w:rFonts w:hint="eastAsia" w:hAnsi="宋体" w:cs="宋体"/>
          <w:color w:val="000000" w:themeColor="text1"/>
          <w:sz w:val="21"/>
          <w:szCs w:val="22"/>
          <w:lang w:eastAsia="zh-CN"/>
          <w14:textFill>
            <w14:solidFill>
              <w14:schemeClr w14:val="tx1"/>
            </w14:solidFill>
          </w14:textFill>
        </w:rPr>
        <w:t xml:space="preserve">扬州市盛业工程咨询有限公司</w:t>
      </w:r>
      <w:r/>
    </w:p>
    <w:p>
      <w:pPr>
        <w:pStyle w:val="974"/>
        <w:ind w:firstLine="420"/>
        <w:spacing w:line="360" w:lineRule="auto"/>
        <w:rPr>
          <w:rFonts w:hint="eastAsia" w:hAnsi="宋体" w:eastAsia="宋体" w:cs="宋体"/>
          <w:color w:val="000000" w:themeColor="text1"/>
          <w:sz w:val="21"/>
          <w:szCs w:val="22"/>
          <w:lang w:eastAsia="zh-CN"/>
          <w14:textFill>
            <w14:solidFill>
              <w14:schemeClr w14:val="tx1"/>
            </w14:solidFill>
          </w14:textFill>
        </w:rPr>
      </w:pPr>
      <w:r>
        <w:rPr>
          <w:rFonts w:hint="eastAsia" w:hAnsi="宋体" w:cs="宋体"/>
          <w:color w:val="000000" w:themeColor="text1"/>
          <w:sz w:val="21"/>
          <w:szCs w:val="22"/>
          <w14:textFill>
            <w14:solidFill>
              <w14:schemeClr w14:val="tx1"/>
            </w14:solidFill>
          </w14:textFill>
        </w:rPr>
        <w:t xml:space="preserve">地址：</w:t>
      </w:r>
      <w:r>
        <w:rPr>
          <w:rFonts w:hint="eastAsia" w:hAnsi="宋体" w:cs="宋体"/>
          <w:color w:val="000000" w:themeColor="text1"/>
          <w:sz w:val="21"/>
          <w:szCs w:val="22"/>
          <w:lang w:val="en" w:eastAsia="zh-CN"/>
          <w14:textFill>
            <w14:solidFill>
              <w14:schemeClr w14:val="tx1"/>
            </w14:solidFill>
          </w14:textFill>
        </w:rPr>
        <w:t xml:space="preserve">高邮市翰林路步康花苑11号楼西楼3层</w:t>
      </w:r>
      <w:r/>
    </w:p>
    <w:p>
      <w:pPr>
        <w:pStyle w:val="974"/>
        <w:ind w:firstLine="420"/>
        <w:spacing w:line="360" w:lineRule="auto"/>
        <w:rPr>
          <w:rFonts w:hAnsi="宋体" w:cs="宋体"/>
          <w:color w:val="000000" w:themeColor="text1"/>
          <w:sz w:val="21"/>
          <w:szCs w:val="22"/>
          <w14:textFill>
            <w14:solidFill>
              <w14:schemeClr w14:val="tx1"/>
            </w14:solidFill>
          </w14:textFill>
        </w:rPr>
      </w:pPr>
      <w:r>
        <w:rPr>
          <w:rFonts w:hint="eastAsia" w:hAnsi="宋体" w:cs="宋体"/>
          <w:color w:val="000000" w:themeColor="text1"/>
          <w:sz w:val="21"/>
          <w:szCs w:val="22"/>
          <w14:textFill>
            <w14:solidFill>
              <w14:schemeClr w14:val="tx1"/>
            </w14:solidFill>
          </w14:textFill>
        </w:rPr>
        <w:t xml:space="preserve">联系人：</w:t>
      </w:r>
      <w:r>
        <w:rPr>
          <w:rFonts w:hint="eastAsia" w:hAnsi="宋体" w:cs="宋体"/>
          <w:color w:val="000000" w:themeColor="text1"/>
          <w:sz w:val="21"/>
          <w:szCs w:val="22"/>
          <w:lang w:val="en-US" w:eastAsia="zh-CN"/>
          <w14:textFill>
            <w14:solidFill>
              <w14:schemeClr w14:val="tx1"/>
            </w14:solidFill>
          </w14:textFill>
        </w:rPr>
        <w:t xml:space="preserve">朱  </w:t>
      </w:r>
      <w:r>
        <w:rPr>
          <w:rFonts w:hint="eastAsia" w:hAnsi="宋体" w:cs="宋体"/>
          <w:color w:val="000000" w:themeColor="text1"/>
          <w:sz w:val="21"/>
          <w:szCs w:val="22"/>
          <w14:textFill>
            <w14:solidFill>
              <w14:schemeClr w14:val="tx1"/>
            </w14:solidFill>
          </w14:textFill>
        </w:rPr>
        <w:t xml:space="preserve">工</w:t>
      </w:r>
      <w:r/>
    </w:p>
    <w:p>
      <w:pPr>
        <w:pStyle w:val="974"/>
        <w:ind w:firstLine="420"/>
        <w:spacing w:line="360" w:lineRule="auto"/>
        <w:rPr>
          <w:rFonts w:hAnsi="宋体" w:cs="宋体"/>
          <w:color w:val="000000" w:themeColor="text1"/>
          <w:sz w:val="21"/>
          <w:szCs w:val="22"/>
          <w14:textFill>
            <w14:solidFill>
              <w14:schemeClr w14:val="tx1"/>
            </w14:solidFill>
          </w14:textFill>
        </w:rPr>
      </w:pPr>
      <w:r>
        <w:rPr>
          <w:rFonts w:hint="eastAsia" w:hAnsi="宋体" w:cs="宋体"/>
          <w:color w:val="000000" w:themeColor="text1"/>
          <w:sz w:val="21"/>
          <w:szCs w:val="22"/>
          <w14:textFill>
            <w14:solidFill>
              <w14:schemeClr w14:val="tx1"/>
            </w14:solidFill>
          </w14:textFill>
        </w:rPr>
        <w:t xml:space="preserve">联系电话：0514-84630965</w:t>
      </w:r>
      <w:r/>
    </w:p>
    <w:p>
      <w:pPr>
        <w:spacing w:line="360" w:lineRule="auto"/>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spacing w:line="360" w:lineRule="auto"/>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spacing w:line="360" w:lineRule="auto"/>
        <w:rPr>
          <w:rFonts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br w:type="page" w:clear="all"/>
      </w:r>
      <w:r/>
    </w:p>
    <w:p>
      <w:pPr>
        <w:pStyle w:val="960"/>
        <w:jc w:val="center"/>
        <w:spacing w:line="360" w:lineRule="auto"/>
        <w:rPr>
          <w:rFonts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第二章 磋商须知</w:t>
      </w:r>
      <w:bookmarkEnd w:id="15"/>
      <w:r/>
      <w:r/>
    </w:p>
    <w:p>
      <w:pPr>
        <w:ind w:firstLine="422"/>
        <w:spacing w:line="360" w:lineRule="auto"/>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1、采购方式</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1.1 本次采购采取竞争性磋商方式，本采购文件仅适用于本公告中所述项目。</w:t>
      </w:r>
      <w:r/>
    </w:p>
    <w:p>
      <w:pPr>
        <w:ind w:firstLine="422"/>
        <w:spacing w:line="360" w:lineRule="auto"/>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2、供应商</w:t>
      </w:r>
      <w:r/>
    </w:p>
    <w:p>
      <w:pPr>
        <w:ind w:firstLine="420"/>
        <w:spacing w:line="360" w:lineRule="auto"/>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2.1 参加竞争性磋商的供应商以下简称“供应商”，是指参加磋商并符合采购文件规定资格条件的法人、其他组织或者自然人。</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2.2合格的供应商</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2.2.1 满足采购公告中供应商的资格条件要求的规定。</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2.2.2 满足本文件实质性条款的规定。</w:t>
      </w:r>
      <w:r/>
    </w:p>
    <w:p>
      <w:pPr>
        <w:ind w:firstLine="422"/>
        <w:spacing w:line="360" w:lineRule="auto"/>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3、适用法律</w:t>
      </w:r>
      <w:r/>
    </w:p>
    <w:p>
      <w:pPr>
        <w:ind w:firstLine="420"/>
        <w:spacing w:line="360" w:lineRule="auto"/>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3.1 本次采购及由此产生的合同受中华人民共和国有关的法律法规制约和保护。</w:t>
      </w:r>
      <w:r/>
    </w:p>
    <w:p>
      <w:pPr>
        <w:ind w:firstLine="422"/>
        <w:spacing w:line="360" w:lineRule="auto"/>
        <w:rPr>
          <w:rFonts w:ascii="宋体" w:hAnsi="宋体" w:cs="宋体"/>
          <w:b/>
          <w:bCs w:val="0"/>
          <w:color w:val="000000" w:themeColor="text1"/>
          <w14:textFill>
            <w14:solidFill>
              <w14:schemeClr w14:val="tx1"/>
            </w14:solidFill>
          </w14:textFill>
        </w:rPr>
      </w:pPr>
      <w:r>
        <w:rPr>
          <w:rFonts w:hint="eastAsia" w:ascii="宋体" w:hAnsi="宋体" w:cs="宋体"/>
          <w:b/>
          <w:bCs w:val="0"/>
          <w:color w:val="000000" w:themeColor="text1"/>
          <w14:textFill>
            <w14:solidFill>
              <w14:schemeClr w14:val="tx1"/>
            </w14:solidFill>
          </w14:textFill>
        </w:rPr>
        <w:t xml:space="preserve">4、参加磋商费用</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4.1 供应商应自行承担所有与参加磋商有关的费用，无论磋商过程中的做法和结果如何，</w:t>
      </w:r>
      <w:r>
        <w:rPr>
          <w:rFonts w:hint="eastAsia" w:ascii="宋体" w:hAnsi="宋体" w:cs="宋体"/>
          <w:color w:val="000000" w:themeColor="text1"/>
          <w:lang w:eastAsia="zh-CN"/>
          <w14:textFill>
            <w14:solidFill>
              <w14:schemeClr w14:val="tx1"/>
            </w14:solidFill>
          </w14:textFill>
        </w:rPr>
        <w:t xml:space="preserve">扬州市盛业工程咨询有限公司</w:t>
      </w:r>
      <w:r>
        <w:rPr>
          <w:rFonts w:hint="eastAsia" w:ascii="宋体" w:hAnsi="宋体" w:cs="宋体"/>
          <w:color w:val="000000" w:themeColor="text1"/>
          <w14:textFill>
            <w14:solidFill>
              <w14:schemeClr w14:val="tx1"/>
            </w14:solidFill>
          </w14:textFill>
        </w:rPr>
        <w:t xml:space="preserve">(以下简称代理机构)在任何情况下均无义务和责任承担这些费用。</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4.2</w:t>
      </w:r>
      <w:bookmarkStart w:id="20" w:name="_Hlk115095815"/>
      <w:r>
        <w:rPr>
          <w:rFonts w:hint="eastAsia" w:ascii="宋体" w:hAnsi="宋体" w:cs="宋体"/>
          <w:color w:val="000000" w:themeColor="text1"/>
          <w14:textFill>
            <w14:solidFill>
              <w14:schemeClr w14:val="tx1"/>
            </w14:solidFill>
          </w14:textFill>
        </w:rPr>
        <w:t xml:space="preserve">本次采购代理服务费由成交单位在领取成交通知书前，按照国家计委印发的《招标代理服务收费管理暂行办法》(计价格【2002】1980号文)标准一次性支付给招标代理机构。</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（1）代理服务费以人民币支付；</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（2）代理服务费一次性以电汇、转账等非现金形式支付；</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（3）招标代理服务费不在报价中单列，包含在磋商总价中，由成交单位</w:t>
      </w:r>
      <w:r>
        <w:rPr>
          <w:rFonts w:hint="eastAsia" w:ascii="宋体" w:hAnsi="宋体" w:cs="宋体"/>
          <w:color w:val="000000" w:themeColor="text1"/>
          <w:lang w:val="en-US" w:eastAsia="zh-CN"/>
          <w14:textFill>
            <w14:solidFill>
              <w14:schemeClr w14:val="tx1"/>
            </w14:solidFill>
          </w14:textFill>
        </w:rPr>
        <w:t xml:space="preserve">综合考虑报价</w:t>
      </w:r>
      <w:r>
        <w:rPr>
          <w:rFonts w:hint="eastAsia" w:ascii="宋体" w:hAnsi="宋体" w:cs="宋体"/>
          <w:color w:val="000000" w:themeColor="text1"/>
          <w14:textFill>
            <w14:solidFill>
              <w14:schemeClr w14:val="tx1"/>
            </w14:solidFill>
          </w14:textFill>
        </w:rPr>
        <w:t xml:space="preserve">。</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4.3专家评审费按扬财购【2020】40号文《关于进一步规范扬州市政府采购专家评审费标准的通知》执行。 </w:t>
      </w:r>
      <w:bookmarkEnd w:id="20"/>
      <w:r/>
      <w:r/>
    </w:p>
    <w:p>
      <w:pPr>
        <w:ind w:firstLine="422"/>
        <w:spacing w:line="360" w:lineRule="auto"/>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5、采购文件的约束力</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5.1 供应商一旦参加本项目采购活动，即被认为接受了本采购文件的规定和约束。</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6、采购文件构成</w:t>
      </w:r>
      <w:r/>
    </w:p>
    <w:p>
      <w:pPr>
        <w:ind w:firstLine="422"/>
        <w:spacing w:line="360" w:lineRule="auto"/>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6.1 采购文件有以下部分组成：</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（1）采购公告</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（2）磋商须知</w:t>
      </w:r>
      <w:r>
        <w:rPr>
          <w:rFonts w:hint="eastAsia" w:ascii="宋体" w:hAnsi="宋体" w:cs="宋体"/>
          <w:color w:val="000000" w:themeColor="text1"/>
          <w14:textFill>
            <w14:solidFill>
              <w14:schemeClr w14:val="tx1"/>
            </w14:solidFill>
          </w14:textFill>
        </w:rPr>
        <w:tab/>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（3）合同条款及格式</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（4）项目需求</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（5）评审方法与评审标准</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（6）竞争性磋商响应文件格式</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请仔细检查采购文件是否齐全，如有缺漏请立即与代理机构联系解决。</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6.2 采购的最小单位是包。采购服务数量及技术要求中未分包的，供应商对要求提供的服务不得部分响应；采购服务数量及技术要求中已经分包的，应当以包为单位响应。</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6.3 采购文件如果要求供应商提交备选响应方案的，供应商可以提交备选方案；否则，备选方案将被拒绝。</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2"/>
        <w:spacing w:line="360" w:lineRule="auto"/>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7、采购文件的澄清</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7.1 任何要求对采购文件进行澄清的供应商，应在提交首次响应文件截止时间至少5日前按采购公告中的通讯地址，以书面形式通知代理机构。</w:t>
      </w:r>
      <w:r/>
    </w:p>
    <w:p>
      <w:pPr>
        <w:ind w:firstLine="422"/>
        <w:spacing w:line="360" w:lineRule="auto"/>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8、采购文件的修改</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8.2采购文件的修改将在“扬州市政府采购网”、“江苏省政府采购网”公布，补充文件将作为采购文件的组成部分，并对供应商具有约束力。</w:t>
      </w:r>
      <w:r/>
    </w:p>
    <w:p>
      <w:pPr>
        <w:ind w:firstLine="422"/>
        <w:spacing w:line="360" w:lineRule="auto"/>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9、采购文件的语言、度量衡单位、货币</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9.1供应商提交的响应文件以及供应商与代理机构就有关磋商的所有来往通知、函件和文件均应使用简体中文。</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9.2 除技术性能另有规定外，采购文件所使用的度量衡单位，均须采用国家法定计量单位。</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9.3采购文件中的服务单价和总价无特殊规定的采用人民币报价，以元为单位标注。采购文件中另有规定的按规定执行。</w:t>
      </w:r>
      <w:r/>
    </w:p>
    <w:p>
      <w:pPr>
        <w:ind w:firstLine="422"/>
        <w:spacing w:line="360" w:lineRule="auto"/>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10、响应文件构成</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10.1磋商文件由以下部分组成</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（1）资格审查响应对照表</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（2）符合性审查响应对照表</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（3）非实质性响应对照表</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（4）磋商响应报价表 </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（5）分项报价表</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（6）技术参数响应及偏离表 </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（7）商务条款响应及偏离表 </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（8）其他（供应商认为有必要提供的声明和文件，如有自拟并自行添加）</w:t>
      </w:r>
      <w:r/>
    </w:p>
    <w:p>
      <w:pPr>
        <w:ind w:firstLine="420"/>
        <w:spacing w:line="360" w:lineRule="auto"/>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10.2 供应商应当根据采购文件要求编制响应文件，响应文件应对采购文件提出的要求和条件作出响应，并在相应的响应文件中逐条标明满足与否。</w:t>
      </w:r>
      <w:r/>
    </w:p>
    <w:p>
      <w:pPr>
        <w:ind w:firstLine="422"/>
        <w:spacing w:line="360" w:lineRule="auto"/>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11、证明供应商资格及符合采购文件规定的文件</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11.1供应商应按要求提交资格证明文件及符合采购文件规定的文件。</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11.2供应商应提交证明其有资格参加磋商和成交后有能力独立履行合同的文件。</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11.3供应商除必须具有履行合同所需提供的产品或服务的能力外，还必须具备相应的财务、技术方面的能力。</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11.4供应商应提交根据合同要求提供的证明服务质量合格以及符合采购文件规定的证明文件。</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11.5证明供应商所提供服务与采购文件的要求相一致的文件可以是手册、图纸、文字资料和数据。</w:t>
      </w:r>
      <w:r/>
    </w:p>
    <w:p>
      <w:pPr>
        <w:ind w:firstLine="422"/>
        <w:spacing w:line="360" w:lineRule="auto"/>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12、磋商响应报价表</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12.1 供应商应按照采购文件规定格式填报磋商响应报价表，每项服务只允许有一个报价，任何有选择的报价将不予接受。</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12.2 标的物</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采购人需求的服务供应、安装，调试及有关技术服务等。</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12.3其它费用处理</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采购文件未列明，而供应商认为必需的费用也需列入报价。</w:t>
      </w:r>
      <w:r/>
    </w:p>
    <w:p>
      <w:pPr>
        <w:ind w:firstLine="422"/>
        <w:spacing w:line="360" w:lineRule="auto"/>
        <w:rPr>
          <w:rFonts w:ascii="宋体" w:hAnsi="宋体" w:cs="宋体"/>
          <w:b/>
          <w:bCs w:val="0"/>
          <w:color w:val="000000" w:themeColor="text1"/>
          <w14:textFill>
            <w14:solidFill>
              <w14:schemeClr w14:val="tx1"/>
            </w14:solidFill>
          </w14:textFill>
        </w:rPr>
      </w:pPr>
      <w:r>
        <w:rPr>
          <w:rFonts w:hint="eastAsia" w:ascii="宋体" w:hAnsi="宋体" w:cs="宋体"/>
          <w:b/>
          <w:bCs w:val="0"/>
          <w:color w:val="000000" w:themeColor="text1"/>
          <w14:textFill>
            <w14:solidFill>
              <w14:schemeClr w14:val="tx1"/>
            </w14:solidFill>
          </w14:textFill>
        </w:rPr>
        <w:t xml:space="preserve">13、技术参数响应及偏离表、商务条款响应及偏离表及磋商服务说明</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13.1 对采购文件中的技术与商务条款要求逐项作出响应或偏离，并说明原因；</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13.2 提供参加本项目类似案例简介；</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13.3 详细阐述所投服务的主要组成部分、功能设计、实现思路及关键技术；</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13.4 供应商认为需要的其他技术文件或说明。</w:t>
      </w:r>
      <w:r/>
    </w:p>
    <w:p>
      <w:pPr>
        <w:ind w:firstLine="422"/>
        <w:spacing w:line="360" w:lineRule="auto"/>
        <w:rPr>
          <w:rFonts w:ascii="宋体" w:hAnsi="宋体" w:cs="宋体"/>
          <w:b/>
          <w:bCs w:val="0"/>
          <w:color w:val="000000" w:themeColor="text1"/>
          <w14:textFill>
            <w14:solidFill>
              <w14:schemeClr w14:val="tx1"/>
            </w14:solidFill>
          </w14:textFill>
        </w:rPr>
      </w:pPr>
      <w:r>
        <w:rPr>
          <w:rFonts w:hint="eastAsia" w:ascii="宋体" w:hAnsi="宋体" w:cs="宋体"/>
          <w:b/>
          <w:bCs w:val="0"/>
          <w:color w:val="000000" w:themeColor="text1"/>
          <w14:textFill>
            <w14:solidFill>
              <w14:schemeClr w14:val="tx1"/>
            </w14:solidFill>
          </w14:textFill>
        </w:rPr>
        <w:t xml:space="preserve">14、服务承诺及售后服务机构、人员的情况介绍</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14.1供应商的服务承诺应按不低于采购文件中商务要求的标准。</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14.2提供供应商有关售后服务的管理制度、售后服务机构的分布情况、售后服务人员的数量、素质、技术水平及售后服务的反应能力。</w:t>
      </w:r>
      <w:r/>
    </w:p>
    <w:p>
      <w:pPr>
        <w:ind w:firstLine="422"/>
        <w:spacing w:line="360" w:lineRule="auto"/>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15、磋商响应函</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15.1 供应商应按照扬州市政府采购交易管理系统提供的格式完整、正确填写磋商响应函。</w:t>
      </w:r>
      <w:r/>
    </w:p>
    <w:p>
      <w:pPr>
        <w:ind w:firstLine="422"/>
        <w:spacing w:line="360" w:lineRule="auto"/>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16、磋商响应有效期</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16.1 磋商响应有效期为代理机构规定的响应文件接收截止时间后</w:t>
      </w:r>
      <w:r>
        <w:rPr>
          <w:rFonts w:hint="eastAsia" w:ascii="宋体" w:hAnsi="宋体" w:cs="宋体"/>
          <w:b/>
          <w:bCs/>
          <w:color w:val="000000" w:themeColor="text1"/>
          <w:u w:val="single"/>
          <w14:textFill>
            <w14:solidFill>
              <w14:schemeClr w14:val="tx1"/>
            </w14:solidFill>
          </w14:textFill>
        </w:rPr>
        <w:t xml:space="preserve">六十（60）天</w:t>
      </w:r>
      <w:r>
        <w:rPr>
          <w:rFonts w:hint="eastAsia" w:ascii="宋体" w:hAnsi="宋体" w:cs="宋体"/>
          <w:color w:val="000000" w:themeColor="text1"/>
          <w14:textFill>
            <w14:solidFill>
              <w14:schemeClr w14:val="tx1"/>
            </w14:solidFill>
          </w14:textFill>
        </w:rPr>
        <w:t xml:space="preserve">。磋商响应有效期比规定短的将被视为非实质性响应性而予以拒绝。</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22"/>
        <w:spacing w:line="360" w:lineRule="auto"/>
        <w:rPr>
          <w:rFonts w:ascii="宋体" w:hAnsi="宋体" w:cs="宋体"/>
          <w:b/>
          <w:bCs/>
          <w:color w:val="000000" w:themeColor="text1"/>
          <w14:textFill>
            <w14:solidFill>
              <w14:schemeClr w14:val="tx1"/>
            </w14:solidFill>
          </w14:textFill>
        </w:rPr>
      </w:pPr>
      <w:r/>
      <w:bookmarkStart w:id="21" w:name="_Toc16938541"/>
      <w:r/>
      <w:bookmarkStart w:id="22" w:name="_Toc20823297"/>
      <w:r>
        <w:rPr>
          <w:rFonts w:hint="eastAsia" w:ascii="宋体" w:hAnsi="宋体" w:cs="宋体"/>
          <w:b/>
          <w:bCs/>
          <w:color w:val="000000" w:themeColor="text1"/>
          <w14:textFill>
            <w14:solidFill>
              <w14:schemeClr w14:val="tx1"/>
            </w14:solidFill>
          </w14:textFill>
        </w:rPr>
        <w:t xml:space="preserve">17、响应文件</w:t>
      </w:r>
      <w:bookmarkEnd w:id="21"/>
      <w:r/>
      <w:bookmarkEnd w:id="22"/>
      <w:r>
        <w:rPr>
          <w:rFonts w:hint="eastAsia" w:ascii="宋体" w:hAnsi="宋体" w:cs="宋体"/>
          <w:b/>
          <w:bCs/>
          <w:color w:val="000000" w:themeColor="text1"/>
          <w14:textFill>
            <w14:solidFill>
              <w14:schemeClr w14:val="tx1"/>
            </w14:solidFill>
          </w14:textFill>
        </w:rPr>
        <w:t xml:space="preserve">的递交</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17.1 电子响应文件的递交供应商应当按照《操作手册》规定，在磋商响应截止时间前制作并上传电子响应文件。</w:t>
      </w:r>
      <w:bookmarkStart w:id="23" w:name="_Toc16938542"/>
      <w:r/>
      <w:bookmarkStart w:id="24" w:name="_Toc20823298"/>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17.2</w:t>
      </w:r>
      <w:r>
        <w:rPr>
          <w:rFonts w:hint="eastAsia" w:ascii="宋体" w:hAnsi="宋体" w:cs="宋体"/>
          <w:bCs/>
          <w:color w:val="000000" w:themeColor="text1"/>
          <w:szCs w:val="21"/>
          <w14:textFill>
            <w14:solidFill>
              <w14:schemeClr w14:val="tx1"/>
            </w14:solidFill>
          </w14:textFill>
        </w:rPr>
        <w:t xml:space="preserve">政府采购管理交易系统（苏采云）</w:t>
      </w:r>
      <w:r>
        <w:rPr>
          <w:rFonts w:hint="eastAsia" w:ascii="宋体" w:hAnsi="宋体" w:cs="宋体"/>
          <w:color w:val="000000" w:themeColor="text1"/>
          <w:szCs w:val="21"/>
          <w14:textFill>
            <w14:solidFill>
              <w14:schemeClr w14:val="tx1"/>
            </w14:solidFill>
          </w14:textFill>
        </w:rPr>
        <w:t xml:space="preserve">相关要求是本采购文件的组成部分。</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17.3供应商应对 CA 证书妥善保管，如被他人盗用投标，因此带来的结果均由供应商自行承担。</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17.4供应商应当对采购文件提出的要求和条件作出实质性响应，并在电子投标系统逐条应答。</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17.5</w:t>
      </w:r>
      <w:r>
        <w:rPr>
          <w:rFonts w:hint="eastAsia" w:ascii="宋体" w:hAnsi="宋体" w:cs="宋体"/>
          <w:bCs/>
          <w:color w:val="000000" w:themeColor="text1"/>
          <w14:textFill>
            <w14:solidFill>
              <w14:schemeClr w14:val="tx1"/>
            </w14:solidFill>
          </w14:textFill>
        </w:rPr>
        <w:t xml:space="preserve">供应商</w:t>
      </w:r>
      <w:r>
        <w:rPr>
          <w:rFonts w:hint="eastAsia" w:ascii="宋体" w:hAnsi="宋体" w:cs="宋体"/>
          <w:color w:val="000000" w:themeColor="text1"/>
          <w:szCs w:val="21"/>
          <w14:textFill>
            <w14:solidFill>
              <w14:schemeClr w14:val="tx1"/>
            </w14:solidFill>
          </w14:textFill>
        </w:rPr>
        <w:t xml:space="preserve">应对要求提供的资格证明文件（如资质证书、资格证书）、技术资料（如白皮书、彩页、手册、检测报告等）扫描上传至投标系统。</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17.6各</w:t>
      </w:r>
      <w:r>
        <w:rPr>
          <w:rFonts w:hint="eastAsia" w:ascii="宋体" w:hAnsi="宋体" w:cs="宋体"/>
          <w:bCs/>
          <w:color w:val="000000" w:themeColor="text1"/>
          <w14:textFill>
            <w14:solidFill>
              <w14:schemeClr w14:val="tx1"/>
            </w14:solidFill>
          </w14:textFill>
        </w:rPr>
        <w:t xml:space="preserve">供应商</w:t>
      </w:r>
      <w:r>
        <w:rPr>
          <w:rFonts w:hint="eastAsia" w:ascii="宋体" w:hAnsi="宋体" w:cs="宋体"/>
          <w:color w:val="000000" w:themeColor="text1"/>
          <w:szCs w:val="21"/>
          <w14:textFill>
            <w14:solidFill>
              <w14:schemeClr w14:val="tx1"/>
            </w14:solidFill>
          </w14:textFill>
        </w:rPr>
        <w:t xml:space="preserve">应在规定时间内凭CA证书进行网上解密。</w:t>
      </w:r>
      <w:r/>
    </w:p>
    <w:p>
      <w:pPr>
        <w:ind w:firstLine="422"/>
        <w:spacing w:line="360" w:lineRule="auto"/>
        <w:rPr>
          <w:rFonts w:ascii="宋体" w:hAnsi="宋体" w:cs="宋体"/>
          <w:b/>
          <w:bCs w:val="0"/>
          <w:color w:val="000000" w:themeColor="text1"/>
          <w:sz w:val="24"/>
          <w14:textFill>
            <w14:solidFill>
              <w14:schemeClr w14:val="tx1"/>
            </w14:solidFill>
          </w14:textFill>
        </w:rPr>
      </w:pPr>
      <w:r>
        <w:rPr>
          <w:rFonts w:hint="eastAsia" w:ascii="宋体" w:hAnsi="宋体" w:cs="宋体"/>
          <w:b/>
          <w:bCs w:val="0"/>
          <w:color w:val="000000" w:themeColor="text1"/>
          <w14:textFill>
            <w14:solidFill>
              <w14:schemeClr w14:val="tx1"/>
            </w14:solidFill>
          </w14:textFill>
        </w:rPr>
        <w:t xml:space="preserve">18、磋商响应截止日期</w:t>
      </w:r>
      <w:bookmarkEnd w:id="23"/>
      <w:r/>
      <w:bookmarkEnd w:id="24"/>
      <w:r/>
      <w:r/>
    </w:p>
    <w:p>
      <w:pPr>
        <w:ind w:firstLine="422"/>
        <w:spacing w:line="360" w:lineRule="auto"/>
        <w:rPr>
          <w:rFonts w:ascii="宋体" w:hAnsi="宋体" w:cs="宋体"/>
          <w:b/>
          <w:bCs/>
          <w:i/>
          <w:color w:val="000000" w:themeColor="text1"/>
          <w:u w:val="single"/>
          <w14:textFill>
            <w14:solidFill>
              <w14:schemeClr w14:val="tx1"/>
            </w14:solidFill>
          </w14:textFill>
        </w:rPr>
      </w:pPr>
      <w:r>
        <w:rPr>
          <w:rFonts w:hint="eastAsia" w:ascii="宋体" w:hAnsi="宋体" w:cs="宋体"/>
          <w:b/>
          <w:i/>
          <w:color w:val="000000" w:themeColor="text1"/>
          <w:u w:val="single"/>
          <w14:textFill>
            <w14:solidFill>
              <w14:schemeClr w14:val="tx1"/>
            </w14:solidFill>
          </w14:textFill>
        </w:rPr>
        <w:t xml:space="preserve">18.1</w:t>
      </w:r>
      <w:r>
        <w:rPr>
          <w:rFonts w:hint="eastAsia" w:ascii="宋体" w:hAnsi="宋体" w:cs="宋体"/>
          <w:b/>
          <w:bCs/>
          <w:i/>
          <w:color w:val="000000" w:themeColor="text1"/>
          <w:u w:val="single"/>
          <w14:textFill>
            <w14:solidFill>
              <w14:schemeClr w14:val="tx1"/>
            </w14:solidFill>
          </w14:textFill>
        </w:rPr>
        <w:t xml:space="preserve"> 供应商上传电子响应文件的时间不得迟于采购公告中规定的磋商响应截止时间。</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供应商应充分考虑到网络环境、网络带宽等风险因素，如因供应商自身原因造成的电子响应文件上传不成功由供应商自行承担全部责任。</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18.2 代理机构可以按照规定，通过修改采购文件延长磋商截止日期，在此情况下，供应商的所有权利和义务以及供应商受制的截止日期均应以延长后新的截止日期为准。</w:t>
      </w:r>
      <w:r/>
    </w:p>
    <w:p>
      <w:pPr>
        <w:ind w:firstLine="422"/>
        <w:spacing w:line="360" w:lineRule="auto"/>
        <w:rPr>
          <w:rFonts w:ascii="宋体" w:hAnsi="宋体" w:cs="宋体"/>
          <w:b/>
          <w:bCs/>
          <w:color w:val="000000" w:themeColor="text1"/>
          <w14:textFill>
            <w14:solidFill>
              <w14:schemeClr w14:val="tx1"/>
            </w14:solidFill>
          </w14:textFill>
        </w:rPr>
      </w:pPr>
      <w:r/>
      <w:bookmarkStart w:id="25" w:name="_Toc20823299"/>
      <w:r/>
      <w:bookmarkStart w:id="26" w:name="_Toc16938543"/>
      <w:r>
        <w:rPr>
          <w:rFonts w:hint="eastAsia" w:ascii="宋体" w:hAnsi="宋体" w:cs="宋体"/>
          <w:b/>
          <w:bCs/>
          <w:color w:val="000000" w:themeColor="text1"/>
          <w14:textFill>
            <w14:solidFill>
              <w14:schemeClr w14:val="tx1"/>
            </w14:solidFill>
          </w14:textFill>
        </w:rPr>
        <w:t xml:space="preserve">19、响应文件</w:t>
      </w:r>
      <w:bookmarkEnd w:id="25"/>
      <w:r/>
      <w:bookmarkEnd w:id="26"/>
      <w:r>
        <w:rPr>
          <w:rFonts w:hint="eastAsia" w:ascii="宋体" w:hAnsi="宋体" w:cs="宋体"/>
          <w:b/>
          <w:bCs/>
          <w:color w:val="000000" w:themeColor="text1"/>
          <w14:textFill>
            <w14:solidFill>
              <w14:schemeClr w14:val="tx1"/>
            </w14:solidFill>
          </w14:textFill>
        </w:rPr>
        <w:t xml:space="preserve">的拒收</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19.1代理机构拒绝接收在其规定的磋商截止时间后上传的任何响应文件。</w:t>
      </w:r>
      <w:r/>
    </w:p>
    <w:p>
      <w:pPr>
        <w:ind w:firstLine="422"/>
        <w:spacing w:line="360" w:lineRule="auto"/>
        <w:rPr>
          <w:rFonts w:ascii="宋体" w:hAnsi="宋体" w:cs="宋体"/>
          <w:b/>
          <w:bCs/>
          <w:color w:val="000000" w:themeColor="text1"/>
          <w14:textFill>
            <w14:solidFill>
              <w14:schemeClr w14:val="tx1"/>
            </w14:solidFill>
          </w14:textFill>
        </w:rPr>
      </w:pPr>
      <w:r/>
      <w:bookmarkStart w:id="27" w:name="_Toc20823300"/>
      <w:r/>
      <w:bookmarkStart w:id="28" w:name="_Toc16938544"/>
      <w:r>
        <w:rPr>
          <w:rFonts w:hint="eastAsia" w:ascii="宋体" w:hAnsi="宋体" w:cs="宋体"/>
          <w:b/>
          <w:bCs/>
          <w:color w:val="000000" w:themeColor="text1"/>
          <w14:textFill>
            <w14:solidFill>
              <w14:schemeClr w14:val="tx1"/>
            </w14:solidFill>
          </w14:textFill>
        </w:rPr>
        <w:t xml:space="preserve">20、响应文件的撤回和修改</w:t>
      </w:r>
      <w:bookmarkEnd w:id="27"/>
      <w:r/>
      <w:bookmarkEnd w:id="28"/>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20.1 响应文件的撤回</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20.1.1 电子响应文件的撤回</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供应商可在磋商截止时间前，撤回其电子响应文件，具体操作方法见《操作手册》。</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20.1.2 供应商撤回电子响应文件，则认为其不再参与本项目磋商谈判。</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20.2 响应文件的修改</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供应商可在磋商截止时间前，对其电子响应文件进行修改，具体操作方法见《操作手册》。</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20.3 在磋商截止时间之后，供应商不得对其电子响应文件作任何修改。</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20.4 在磋商截止时间至采购文件中规定的磋商有效期满之间的这段时间内，供应商不得撤回其响应文件。</w:t>
      </w:r>
      <w:r/>
    </w:p>
    <w:p>
      <w:pPr>
        <w:ind w:firstLine="422"/>
        <w:spacing w:line="360" w:lineRule="auto"/>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21、磋商</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21.1 代理机构将在采购公告中规定的时间和地点组织磋商开始仪式。供应商应当按照《操作手册》规定，参加磋商活动。</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21.2供应商在磋商过程中涉及到的响应文件解密等工作，应按照《操作手册》规定执行。</w:t>
      </w:r>
      <w:r/>
    </w:p>
    <w:p>
      <w:pPr>
        <w:ind w:firstLine="422"/>
        <w:spacing w:line="360" w:lineRule="auto"/>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22、磋商小组</w:t>
      </w:r>
      <w:r/>
    </w:p>
    <w:p>
      <w:pPr>
        <w:ind w:firstLine="420"/>
        <w:spacing w:line="360" w:lineRule="auto"/>
        <w:rPr>
          <w:rFonts w:ascii="宋体" w:hAnsi="宋体" w:cs="宋体"/>
          <w:b/>
          <w:bCs/>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22.1磋商开始后，代理机构将立即组织磋商小组进行评审。</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22.2磋商小组由采购人代表和有关技术、经济等方面的专家组成，且人员构成符合政府采购有关规定。</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22.3磋商小组独立工作，负责评审有效响应文件并确定成交候选供应商。</w:t>
      </w:r>
      <w:r/>
    </w:p>
    <w:p>
      <w:pPr>
        <w:ind w:firstLine="422"/>
        <w:spacing w:line="360" w:lineRule="auto"/>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23、评审过程的保密与公正</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23.1评审专家应当遵守评审工作纪律，不得泄露评审情况和评审中获悉的商业秘密。</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23.2在评审过程中，供应商不得以任何行为影响评审过程，否则其响应文件将被作为无效响应文件。</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23.3 在评审期间，代理机构将设专门工作人员与供应商联系。</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23.4 代理机构和磋商小组不向未成交的供应商解释未成交原因，也不公布评审过程中的相关细节。</w:t>
      </w:r>
      <w:r/>
    </w:p>
    <w:p>
      <w:pPr>
        <w:ind w:firstLine="422"/>
        <w:spacing w:line="360" w:lineRule="auto"/>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24、磋商的澄清</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24.1评审期间，磋商小组要求供应商澄清、说明或者更正响应文件以电子函件形式提交但并非对每个供应商都作澄清要求。</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24.2接到磋商小组澄清要求的供应商应按磋商小组规定的时间和格式在</w:t>
      </w:r>
      <w:r>
        <w:rPr>
          <w:rFonts w:hint="eastAsia" w:ascii="宋体" w:hAnsi="宋体" w:cs="宋体"/>
          <w:b/>
          <w:bCs/>
          <w:color w:val="000000" w:themeColor="text1"/>
          <w14:textFill>
            <w14:solidFill>
              <w14:schemeClr w14:val="tx1"/>
            </w14:solidFill>
          </w14:textFill>
        </w:rPr>
        <w:t xml:space="preserve">”政府采购管理交易系统（苏采云）”</w:t>
      </w:r>
      <w:r>
        <w:rPr>
          <w:rFonts w:hint="eastAsia" w:ascii="宋体" w:hAnsi="宋体" w:cs="宋体"/>
          <w:color w:val="000000" w:themeColor="text1"/>
          <w14:textFill>
            <w14:solidFill>
              <w14:schemeClr w14:val="tx1"/>
            </w14:solidFill>
          </w14:textFill>
        </w:rPr>
        <w:t xml:space="preserve">中做出澄清，澄清的内容作为响应文件的补充部分。具体操作方式见</w:t>
      </w:r>
      <w:r>
        <w:rPr>
          <w:rFonts w:hint="eastAsia" w:ascii="宋体" w:hAnsi="宋体" w:cs="宋体"/>
          <w:bCs/>
          <w:color w:val="000000" w:themeColor="text1"/>
          <w14:textFill>
            <w14:solidFill>
              <w14:schemeClr w14:val="tx1"/>
            </w14:solidFill>
          </w14:textFill>
        </w:rPr>
        <w:t xml:space="preserve">《操作手册》</w:t>
      </w:r>
      <w:r>
        <w:rPr>
          <w:rFonts w:hint="eastAsia" w:ascii="宋体" w:hAnsi="宋体" w:cs="宋体"/>
          <w:color w:val="000000" w:themeColor="text1"/>
          <w14:textFill>
            <w14:solidFill>
              <w14:schemeClr w14:val="tx1"/>
            </w14:solidFill>
          </w14:textFill>
        </w:rPr>
        <w:t xml:space="preserve">。</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24.3 接到磋商小组澄清要求的供应商如未按规定做出澄清，其风险由供应商自行承担。</w:t>
      </w:r>
      <w:r/>
    </w:p>
    <w:p>
      <w:pPr>
        <w:ind w:firstLine="422"/>
        <w:spacing w:line="360" w:lineRule="auto"/>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25、对响应文件的初审</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25.1响应文件初审分为资格审查和符合性审查。</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25.1.1资格审查：依据法律法规和采购文件的规定，对响应文件中的资格证明文件进行审查。以确定供应商是否具备参加磋商的资格。</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25.1.2符合性检查：依据采购文件的规定，由磋商小组从响应文件的有效性、完整性和对采购文件的响应程度进行审查，以确定是否对采购文件的实质性要求作出响应。</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25.1.3 未通过资格审查或符合性审查的供应商，代理机构将在</w:t>
      </w:r>
      <w:r>
        <w:rPr>
          <w:rFonts w:hint="eastAsia" w:ascii="宋体" w:hAnsi="宋体" w:cs="宋体"/>
          <w:b/>
          <w:bCs/>
          <w:color w:val="000000" w:themeColor="text1"/>
          <w14:textFill>
            <w14:solidFill>
              <w14:schemeClr w14:val="tx1"/>
            </w14:solidFill>
          </w14:textFill>
        </w:rPr>
        <w:t xml:space="preserve">”政府采购管理交易系统（苏采云）”</w:t>
      </w:r>
      <w:r>
        <w:rPr>
          <w:rFonts w:hint="eastAsia" w:ascii="宋体" w:hAnsi="宋体" w:cs="宋体"/>
          <w:color w:val="000000" w:themeColor="text1"/>
          <w14:textFill>
            <w14:solidFill>
              <w14:schemeClr w14:val="tx1"/>
            </w14:solidFill>
          </w14:textFill>
        </w:rPr>
        <w:t xml:space="preserve">中告知未通过资格审查或符合性审查的原因，评审结束后，代理机构将不再告知未通过资格审查或符合性审查的原因。</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25.3如果响应文件实质上没有响应采购文件的要求，磋商小组将予以拒绝，供应商不得通过修改或撤销不合要求的偏离或保留而使其响应文件成为实质性响应的文件。</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25.4 供应商在开、评标全过程中应保持通讯畅通，并安排专人与代理机构及磋商小组联系。</w:t>
      </w:r>
      <w:r/>
    </w:p>
    <w:p>
      <w:pPr>
        <w:ind w:firstLine="422"/>
        <w:spacing w:line="360" w:lineRule="auto"/>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26、磋商程序及评审方法和标准</w:t>
      </w:r>
      <w:r/>
    </w:p>
    <w:p>
      <w:pPr>
        <w:ind w:firstLine="420"/>
        <w:spacing w:line="360" w:lineRule="auto"/>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26.1磋商程序</w:t>
      </w:r>
      <w:r/>
    </w:p>
    <w:p>
      <w:pPr>
        <w:ind w:firstLine="420"/>
        <w:spacing w:line="360" w:lineRule="auto"/>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26.1.1 对于通过资格性和符合性审查的供应商，磋商小组所有成员将集中与单一供应商在“政府采购管理交易系统（苏采云）”中分别进行磋商。</w:t>
      </w:r>
      <w:r/>
    </w:p>
    <w:p>
      <w:pPr>
        <w:ind w:firstLine="420"/>
        <w:spacing w:line="360" w:lineRule="auto"/>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0"/>
        <w:spacing w:line="360" w:lineRule="auto"/>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 26.1.2 采购文件能够详细列明采购标的的技术、服务要求的，磋商结束后，磋商小组将要求所有实质性响应的供应商在规定时间内提交最后报价。</w:t>
      </w:r>
      <w:r/>
    </w:p>
    <w:p>
      <w:pPr>
        <w:ind w:firstLine="420"/>
        <w:spacing w:line="360" w:lineRule="auto"/>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 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0"/>
        <w:spacing w:line="360" w:lineRule="auto"/>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0"/>
        <w:spacing w:line="360" w:lineRule="auto"/>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0"/>
        <w:spacing w:line="360" w:lineRule="auto"/>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26.2 评审方法和标准</w:t>
      </w:r>
      <w:r/>
    </w:p>
    <w:p>
      <w:pPr>
        <w:ind w:firstLine="420"/>
        <w:spacing w:line="360" w:lineRule="auto"/>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26.2.1评审方法。经磋商确定最终采购需求和提交最后报价的供应商后，由磋商小组采用综合评分法对提交最后报价的供应商的响应文件和最后报价进行综合评分。</w:t>
      </w:r>
      <w:r/>
    </w:p>
    <w:p>
      <w:pPr>
        <w:ind w:firstLine="420"/>
        <w:spacing w:line="360" w:lineRule="auto"/>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0"/>
        <w:spacing w:line="360" w:lineRule="auto"/>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26.2.2评审标准</w:t>
      </w:r>
      <w:r/>
    </w:p>
    <w:p>
      <w:pPr>
        <w:ind w:firstLine="420"/>
        <w:spacing w:line="360" w:lineRule="auto"/>
        <w:rPr>
          <w:rFonts w:ascii="宋体" w:hAnsi="宋体" w:cs="宋体"/>
          <w:b/>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见本采购文件第五章规定。</w:t>
      </w:r>
      <w:r/>
    </w:p>
    <w:p>
      <w:pPr>
        <w:ind w:firstLine="422"/>
        <w:spacing w:line="360" w:lineRule="auto"/>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27、无效响应及采购活动终止的情况</w:t>
      </w:r>
      <w:r/>
    </w:p>
    <w:p>
      <w:pPr>
        <w:ind w:firstLine="420"/>
        <w:spacing w:line="360" w:lineRule="auto"/>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27.1无效响应条款</w:t>
      </w:r>
      <w:r/>
    </w:p>
    <w:p>
      <w:pPr>
        <w:ind w:firstLine="420"/>
        <w:spacing w:line="360" w:lineRule="auto"/>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27.1.1 供应商未按照采购文件要求上传电子磋商响应文件的。</w:t>
      </w:r>
      <w:r/>
    </w:p>
    <w:p>
      <w:pPr>
        <w:ind w:firstLine="420"/>
        <w:spacing w:line="360" w:lineRule="auto"/>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27.1.2 供应商未成功解密电子磋商响应文件的。</w:t>
      </w:r>
      <w:r/>
    </w:p>
    <w:p>
      <w:pPr>
        <w:ind w:firstLine="420"/>
        <w:spacing w:line="360" w:lineRule="auto"/>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27.1.3 供应商不具备采购文件中规定资格要求的。</w:t>
      </w:r>
      <w:r/>
    </w:p>
    <w:p>
      <w:pPr>
        <w:ind w:firstLine="420"/>
        <w:spacing w:line="360" w:lineRule="auto"/>
        <w:rPr>
          <w:rFonts w:ascii="宋体" w:hAnsi="宋体" w:cs="宋体"/>
          <w:bCs/>
          <w:i/>
          <w:color w:val="000000" w:themeColor="text1"/>
          <w:u w:val="single"/>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27.1.4 未通过符合性审查的。</w:t>
      </w:r>
      <w:r/>
    </w:p>
    <w:p>
      <w:pPr>
        <w:ind w:firstLine="420"/>
        <w:spacing w:line="360" w:lineRule="auto"/>
        <w:rPr>
          <w:rFonts w:ascii="宋体" w:hAnsi="宋体" w:cs="宋体"/>
          <w:bCs/>
          <w:i/>
          <w:color w:val="000000" w:themeColor="text1"/>
          <w:u w:val="single"/>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27.1.5 不符合采购文件中规定的其他实质性要求和条件的</w:t>
      </w:r>
      <w:r>
        <w:rPr>
          <w:rFonts w:hint="eastAsia" w:ascii="宋体" w:hAnsi="宋体" w:cs="宋体"/>
          <w:b/>
          <w:bCs/>
          <w:color w:val="000000" w:themeColor="text1"/>
          <w14:textFill>
            <w14:solidFill>
              <w14:schemeClr w14:val="tx1"/>
            </w14:solidFill>
          </w14:textFill>
        </w:rPr>
        <w:t xml:space="preserve">（</w:t>
      </w:r>
      <w:r>
        <w:rPr>
          <w:rFonts w:hint="eastAsia" w:ascii="宋体" w:hAnsi="宋体" w:cs="宋体"/>
          <w:b/>
          <w:bCs/>
          <w:i/>
          <w:color w:val="000000" w:themeColor="text1"/>
          <w:u w:val="single"/>
          <w14:textFill>
            <w14:solidFill>
              <w14:schemeClr w14:val="tx1"/>
            </w14:solidFill>
          </w14:textFill>
        </w:rPr>
        <w:t xml:space="preserve">本采购文件中斜体且有下划线部分为实质性要求和条件）</w:t>
      </w:r>
      <w:r>
        <w:rPr>
          <w:rFonts w:hint="eastAsia" w:ascii="宋体" w:hAnsi="宋体" w:cs="宋体"/>
          <w:bCs/>
          <w:i/>
          <w:color w:val="000000" w:themeColor="text1"/>
          <w:u w:val="single"/>
          <w14:textFill>
            <w14:solidFill>
              <w14:schemeClr w14:val="tx1"/>
            </w14:solidFill>
          </w14:textFill>
        </w:rPr>
        <w:t xml:space="preserve">。</w:t>
      </w:r>
      <w:r/>
    </w:p>
    <w:p>
      <w:pPr>
        <w:ind w:firstLine="420"/>
        <w:spacing w:line="360" w:lineRule="auto"/>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27.1.6 </w:t>
      </w:r>
      <w:r>
        <w:rPr>
          <w:rFonts w:hint="eastAsia" w:ascii="宋体" w:hAnsi="宋体" w:cs="宋体"/>
          <w:color w:val="000000" w:themeColor="text1"/>
          <w14:textFill>
            <w14:solidFill>
              <w14:schemeClr w14:val="tx1"/>
            </w14:solidFill>
          </w14:textFill>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27.1.7 本项目采购产品被财政部、国家发改委、生态环境部等列入“节能产品品目清单”、“环境标志产品品目清单”强制采购范围，而供应商所磋商产品不在强制采购范围内的。</w:t>
      </w:r>
      <w:r/>
    </w:p>
    <w:p>
      <w:pPr>
        <w:ind w:firstLine="420"/>
        <w:spacing w:line="360" w:lineRule="auto"/>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27.1.8 响应文件未按照采购文件要求加盖电子签章。</w:t>
      </w:r>
      <w:r/>
    </w:p>
    <w:p>
      <w:pPr>
        <w:ind w:firstLine="420"/>
        <w:spacing w:line="360" w:lineRule="auto"/>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27.1.9 其他法律、法规及本采购文件规定的属无效响应的情形。</w:t>
      </w:r>
      <w:r/>
    </w:p>
    <w:p>
      <w:pPr>
        <w:ind w:firstLine="422"/>
        <w:jc w:val="left"/>
        <w:spacing w:line="360" w:lineRule="auto"/>
        <w:rPr>
          <w:rFonts w:ascii="宋体" w:hAnsi="宋体" w:cs="宋体"/>
          <w:b/>
          <w:bCs/>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27.1.10</w:t>
      </w:r>
      <w:r>
        <w:rPr>
          <w:rFonts w:hint="eastAsia" w:ascii="宋体" w:hAnsi="宋体" w:cs="宋体"/>
          <w:b/>
          <w:bCs/>
          <w:color w:val="000000" w:themeColor="text1"/>
          <w14:textFill>
            <w14:solidFill>
              <w14:schemeClr w14:val="tx1"/>
            </w14:solidFill>
          </w14:textFill>
        </w:rPr>
        <w:t xml:space="preserve"> 异常低价投标（响应）</w:t>
      </w:r>
      <w:r/>
    </w:p>
    <w:p>
      <w:pPr>
        <w:ind w:firstLine="422"/>
        <w:jc w:val="left"/>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27.1.10</w:t>
      </w:r>
      <w:r>
        <w:rPr>
          <w:rFonts w:hint="eastAsia" w:ascii="宋体" w:hAnsi="宋体" w:cs="宋体"/>
          <w:b/>
          <w:color w:val="000000" w:themeColor="text1"/>
          <w:szCs w:val="21"/>
          <w14:textFill>
            <w14:solidFill>
              <w14:schemeClr w14:val="tx1"/>
            </w14:solidFill>
          </w14:textFill>
        </w:rPr>
        <w:t xml:space="preserve">.1投标（响应）报价低于全部通过符合性审查供应商投标（响应）报价平均值65%的，即投标（响应）报价&lt;全部通过符合性审查供应商投标（响应）报价平均值×65%；</w:t>
      </w:r>
      <w:r/>
    </w:p>
    <w:p>
      <w:pPr>
        <w:ind w:firstLine="422"/>
        <w:jc w:val="left"/>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27.1.10</w:t>
      </w:r>
      <w:r>
        <w:rPr>
          <w:rFonts w:hint="eastAsia" w:ascii="宋体" w:hAnsi="宋体" w:cs="宋体"/>
          <w:b/>
          <w:color w:val="000000" w:themeColor="text1"/>
          <w:szCs w:val="21"/>
          <w14:textFill>
            <w14:solidFill>
              <w14:schemeClr w14:val="tx1"/>
            </w14:solidFill>
          </w14:textFill>
        </w:rPr>
        <w:t xml:space="preserve">.2投标（响应）报价低于通过符合性审查的次低报价供应商投标（响应）报价65%的，即投标（响应）报价&lt;通过符合性审查的次低报价供应商投标（响应）报价×65%；</w:t>
      </w:r>
      <w:r>
        <w:rPr>
          <w:rFonts w:hint="eastAsia" w:ascii="宋体" w:hAnsi="宋体" w:cs="宋体"/>
          <w:b/>
          <w:color w:val="000000" w:themeColor="text1"/>
          <w:szCs w:val="21"/>
          <w14:textFill>
            <w14:solidFill>
              <w14:schemeClr w14:val="tx1"/>
            </w14:solidFill>
          </w14:textFill>
        </w:rPr>
        <w:br/>
      </w:r>
      <w:r>
        <w:rPr>
          <w:rFonts w:hint="eastAsia" w:ascii="宋体" w:hAnsi="宋体" w:cs="宋体"/>
          <w:b/>
          <w:color w:val="000000" w:themeColor="text1"/>
          <w:szCs w:val="21"/>
          <w14:textFill>
            <w14:solidFill>
              <w14:schemeClr w14:val="tx1"/>
            </w14:solidFill>
          </w14:textFill>
        </w:rPr>
        <w:t xml:space="preserve">    </w:t>
      </w:r>
      <w:r>
        <w:rPr>
          <w:rFonts w:hint="eastAsia" w:ascii="宋体" w:hAnsi="宋体" w:cs="宋体"/>
          <w:b/>
          <w:color w:val="000000" w:themeColor="text1"/>
          <w14:textFill>
            <w14:solidFill>
              <w14:schemeClr w14:val="tx1"/>
            </w14:solidFill>
          </w14:textFill>
        </w:rPr>
        <w:t xml:space="preserve">27.1.10</w:t>
      </w:r>
      <w:r>
        <w:rPr>
          <w:rFonts w:hint="eastAsia" w:ascii="宋体" w:hAnsi="宋体" w:cs="宋体"/>
          <w:b/>
          <w:color w:val="000000" w:themeColor="text1"/>
          <w:szCs w:val="21"/>
          <w14:textFill>
            <w14:solidFill>
              <w14:schemeClr w14:val="tx1"/>
            </w14:solidFill>
          </w14:textFill>
        </w:rPr>
        <w:t xml:space="preserve">.3投标（响应）报价低于采购项目最高限价 65% 的，即投标（响应）报价&lt;采购项目最高限价×65% ；</w:t>
      </w:r>
      <w:r>
        <w:rPr>
          <w:rFonts w:hint="eastAsia" w:ascii="宋体" w:hAnsi="宋体" w:cs="宋体"/>
          <w:b/>
          <w:color w:val="000000" w:themeColor="text1"/>
          <w:szCs w:val="21"/>
          <w14:textFill>
            <w14:solidFill>
              <w14:schemeClr w14:val="tx1"/>
            </w14:solidFill>
          </w14:textFill>
        </w:rPr>
        <w:br/>
      </w:r>
      <w:r>
        <w:rPr>
          <w:rFonts w:hint="eastAsia" w:ascii="宋体" w:hAnsi="宋体" w:cs="宋体"/>
          <w:b/>
          <w:color w:val="000000" w:themeColor="text1"/>
          <w:szCs w:val="21"/>
          <w14:textFill>
            <w14:solidFill>
              <w14:schemeClr w14:val="tx1"/>
            </w14:solidFill>
          </w14:textFill>
        </w:rPr>
        <w:t xml:space="preserve">    </w:t>
      </w:r>
      <w:r>
        <w:rPr>
          <w:rFonts w:hint="eastAsia" w:ascii="宋体" w:hAnsi="宋体" w:cs="宋体"/>
          <w:b/>
          <w:color w:val="000000" w:themeColor="text1"/>
          <w14:textFill>
            <w14:solidFill>
              <w14:schemeClr w14:val="tx1"/>
            </w14:solidFill>
          </w14:textFill>
        </w:rPr>
        <w:t xml:space="preserve">27.1.10</w:t>
      </w:r>
      <w:r>
        <w:rPr>
          <w:rFonts w:hint="eastAsia" w:ascii="宋体" w:hAnsi="宋体" w:cs="宋体"/>
          <w:b/>
          <w:color w:val="000000" w:themeColor="text1"/>
          <w:szCs w:val="21"/>
          <w14:textFill>
            <w14:solidFill>
              <w14:schemeClr w14:val="tx1"/>
            </w14:solidFill>
          </w14:textFill>
        </w:rPr>
        <w:t xml:space="preserve">.4评审委员会认定的供应商报价过低、有可能影响产品质量或者不能诚信履约的其他情形。</w:t>
      </w:r>
      <w:r>
        <w:rPr>
          <w:rFonts w:hint="eastAsia" w:ascii="宋体" w:hAnsi="宋体" w:cs="宋体"/>
          <w:b/>
          <w:color w:val="000000" w:themeColor="text1"/>
          <w:szCs w:val="21"/>
          <w14:textFill>
            <w14:solidFill>
              <w14:schemeClr w14:val="tx1"/>
            </w14:solidFill>
          </w14:textFill>
        </w:rPr>
        <w:br/>
      </w:r>
      <w:r>
        <w:rPr>
          <w:rFonts w:hint="eastAsia" w:ascii="宋体" w:hAnsi="宋体" w:cs="宋体"/>
          <w:b/>
          <w:color w:val="000000" w:themeColor="text1"/>
          <w:szCs w:val="21"/>
          <w14:textFill>
            <w14:solidFill>
              <w14:schemeClr w14:val="tx1"/>
            </w14:solidFill>
          </w14:textFill>
        </w:rPr>
        <w:t xml:space="preserve">    </w:t>
      </w:r>
      <w:r>
        <w:rPr>
          <w:rFonts w:hint="eastAsia" w:ascii="宋体" w:hAnsi="宋体" w:cs="宋体"/>
          <w:b/>
          <w:color w:val="000000" w:themeColor="text1"/>
          <w14:textFill>
            <w14:solidFill>
              <w14:schemeClr w14:val="tx1"/>
            </w14:solidFill>
          </w14:textFill>
        </w:rPr>
        <w:t xml:space="preserve">27.1.10</w:t>
      </w:r>
      <w:r>
        <w:rPr>
          <w:rFonts w:hint="eastAsia" w:ascii="宋体" w:hAnsi="宋体" w:cs="宋体"/>
          <w:b/>
          <w:color w:val="000000" w:themeColor="text1"/>
          <w:szCs w:val="21"/>
          <w14:textFill>
            <w14:solidFill>
              <w14:schemeClr w14:val="tx1"/>
            </w14:solidFill>
          </w14:textFill>
        </w:rPr>
        <w:t xml:space="preserve">.5评审委员会启动异常低价投标（响应）审查后，属于前述第1项至第</w:t>
      </w:r>
      <w:r>
        <w:rPr>
          <w:rFonts w:hint="eastAsia" w:ascii="宋体" w:hAnsi="宋体" w:cs="宋体"/>
          <w:b/>
          <w:color w:val="000000" w:themeColor="text1"/>
          <w:szCs w:val="21"/>
          <w:lang w:val="en-US" w:eastAsia="zh-CN"/>
          <w14:textFill>
            <w14:solidFill>
              <w14:schemeClr w14:val="tx1"/>
            </w14:solidFill>
          </w14:textFill>
        </w:rPr>
        <w:t xml:space="preserve">4</w:t>
      </w:r>
      <w:r>
        <w:rPr>
          <w:rFonts w:hint="eastAsia" w:ascii="宋体" w:hAnsi="宋体" w:cs="宋体"/>
          <w:b/>
          <w:color w:val="000000" w:themeColor="text1"/>
          <w:szCs w:val="21"/>
          <w14:textFill>
            <w14:solidFill>
              <w14:schemeClr w14:val="tx1"/>
            </w14:solidFill>
          </w14:textFill>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宋体"/>
          <w:b/>
          <w:color w:val="000000" w:themeColor="text1"/>
          <w:szCs w:val="21"/>
          <w14:textFill>
            <w14:solidFill>
              <w14:schemeClr w14:val="tx1"/>
            </w14:solidFill>
          </w14:textFill>
        </w:rPr>
        <w:br/>
      </w:r>
      <w:r>
        <w:rPr>
          <w:rFonts w:hint="eastAsia" w:ascii="宋体" w:hAnsi="宋体" w:cs="宋体"/>
          <w:b/>
          <w:color w:val="000000" w:themeColor="text1"/>
          <w:szCs w:val="21"/>
          <w14:textFill>
            <w14:solidFill>
              <w14:schemeClr w14:val="tx1"/>
            </w14:solidFill>
          </w14:textFill>
        </w:rPr>
        <w:t xml:space="preserve">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b/>
          <w:color w:val="000000" w:themeColor="text1"/>
          <w:szCs w:val="21"/>
          <w14:textFill>
            <w14:solidFill>
              <w14:schemeClr w14:val="tx1"/>
            </w14:solidFill>
          </w14:textFill>
        </w:rPr>
        <w:br/>
      </w:r>
      <w:r>
        <w:rPr>
          <w:rFonts w:hint="eastAsia" w:ascii="宋体" w:hAnsi="宋体" w:cs="宋体"/>
          <w:b/>
          <w:color w:val="000000" w:themeColor="text1"/>
          <w:szCs w:val="21"/>
          <w14:textFill>
            <w14:solidFill>
              <w14:schemeClr w14:val="tx1"/>
            </w14:solidFill>
          </w14:textFill>
        </w:rPr>
        <w:t xml:space="preserve">    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27.2 </w:t>
      </w:r>
      <w:r>
        <w:rPr>
          <w:rFonts w:hint="eastAsia" w:ascii="宋体" w:hAnsi="宋体" w:cs="宋体"/>
          <w:color w:val="000000" w:themeColor="text1"/>
          <w14:textFill>
            <w14:solidFill>
              <w14:schemeClr w14:val="tx1"/>
            </w14:solidFill>
          </w14:textFill>
        </w:rPr>
        <w:t xml:space="preserve">采购活动终止的情况</w:t>
      </w:r>
      <w:r>
        <w:rPr>
          <w:rFonts w:hint="eastAsia" w:ascii="宋体" w:hAnsi="宋体" w:cs="宋体"/>
          <w:bCs/>
          <w:color w:val="000000" w:themeColor="text1"/>
          <w14:textFill>
            <w14:solidFill>
              <w14:schemeClr w14:val="tx1"/>
            </w14:solidFill>
          </w14:textFill>
        </w:rPr>
        <w:t xml:space="preserve">：</w:t>
      </w:r>
      <w:r/>
    </w:p>
    <w:p>
      <w:pPr>
        <w:ind w:firstLine="420"/>
        <w:spacing w:line="360" w:lineRule="auto"/>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27.2.1 因情况变化，不再符合规定的竞争性磋商采购方式适用情形的；</w:t>
      </w:r>
      <w:r/>
    </w:p>
    <w:p>
      <w:pPr>
        <w:ind w:firstLine="420"/>
        <w:spacing w:line="360" w:lineRule="auto"/>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27.2.2 出现影响采购公正的违法、违规行为的；</w:t>
      </w:r>
      <w:r/>
    </w:p>
    <w:p>
      <w:pPr>
        <w:ind w:firstLine="420"/>
        <w:spacing w:line="360" w:lineRule="auto"/>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27.2.3 </w:t>
      </w:r>
      <w:r>
        <w:rPr>
          <w:rFonts w:hint="eastAsia" w:ascii="宋体" w:hAnsi="宋体" w:cs="宋体"/>
          <w:color w:val="000000" w:themeColor="text1"/>
          <w14:textFill>
            <w14:solidFill>
              <w14:schemeClr w14:val="tx1"/>
            </w14:solidFill>
          </w14:textFill>
        </w:rPr>
        <w:t xml:space="preserve">除本磋商文件第26.1.2条第三款规定的情形外，在采购过程中符合要求的供应商或者报价未超过采购预算的供应商不足3家的。</w:t>
      </w:r>
      <w:r/>
    </w:p>
    <w:p>
      <w:pPr>
        <w:ind w:firstLine="420"/>
        <w:spacing w:line="360" w:lineRule="auto"/>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27.2.4 因重大变故，采购任务取消的。</w:t>
      </w:r>
      <w:r/>
    </w:p>
    <w:p>
      <w:pPr>
        <w:ind w:firstLine="422"/>
        <w:spacing w:line="360" w:lineRule="auto"/>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28、确定成交单位</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28.2 采购人应根据磋商推荐的成交候选人，确定最终成交供应商。</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28.3 代理机构将在“扬州市政府采购网”、“江苏省政府采购网”发布成交公告，公告期限为1个工作日。</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28.4 若有充分证据证明，成交供应商出现下列情况之一的，一经查实，将被取消成交资格：</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28.4.1 提供虚假材料谋取成交的；</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28.4.2 向采购人、代理机构行贿或者提供其他不正当利益的；</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28.4.3 恶意竞争，最终总报价明显低于其自身合理成本且又无法提供证明的；</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28.4.4 属于本文件规定的无效条件，但在评审过程中又未被磋商小组发现的；</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28.4.5 与采购人或者其他供应商恶意串通的；</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28.4.6 采取不正当手段诋毁、排挤其他供应商的；</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28.4.7 不符合法律、法规的规定的。</w:t>
      </w:r>
      <w:r/>
    </w:p>
    <w:p>
      <w:pPr>
        <w:ind w:firstLine="422"/>
        <w:spacing w:line="360" w:lineRule="auto"/>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29、质疑处理</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29.1提出质疑的供应商应当是参与所质疑项目采购活动的供应商。潜在供应商依法获取其可质疑的采购文件的，可以对采购文件提出质疑。</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对项目需求部分的质疑，潜在供应商应向采购人提出，由采购人负责答复。</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29.2.1对采购文件提出质疑的，应当在获取采购文件之日或者采购文件公告期限届满之日起7个工作日内提出。</w:t>
      </w:r>
      <w:r/>
    </w:p>
    <w:p>
      <w:pPr>
        <w:ind w:firstLine="315"/>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 29.2.2对采购过程提出质疑的，为各采购程序环节结束之日起7个工作日内提出。</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29.2.3对成交结果提出质疑的，为成交结果公告期限届满之日起7个工作日内提出。</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29.5 代理机构及采购人只接收以纸质原件形式送达的质疑。</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采购人质疑接收人及联系方式见采购文件第一章。</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29.6代理机构收到质疑申请后，将对质疑的形式和内容进行审查，如质疑内容、格式不符合规定，代理机构将告知质疑人进行补正。</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29.7质疑人应当在法定质疑期限内进行补正并重新提交质疑函。</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29.8 以下情形的质疑不予受理</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29.8.1 内容不符合《政府采购质疑和投诉办法》第十二条规定的质疑。</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29.8.2 超出政府采购法定期限的质疑。</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29.8.3 以传真、电子邮件等方式递交的非原件形式的质疑。</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29.8.4 未参加磋商活动的供应商或在磋商活动中自身权益未受到损害的供应商所提出的质疑。</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29.8.5供应商组成联合体参加磋商，联合体中任何一方或多方未按要求签字、盖章、加盖公章的质疑。</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29.10代理机构应当在收到供应商的书面质疑后7个工作日内作出答复，并以书面形式通知质疑供应商和其他有关供应商，但答复的内容不得涉及商业秘密。</w:t>
      </w:r>
      <w:r/>
    </w:p>
    <w:p>
      <w:pPr>
        <w:ind w:firstLine="422"/>
        <w:spacing w:line="360" w:lineRule="auto"/>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30、成交通知书</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30.l成交结果确定后，代理机构将向成交供应商发出成通知书。</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30.2 成交供应商可在”扬州市政府采购交易管理系统（苏采云）”成交通知书下载模块中自行下载成交通知书。</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30.3成交通知书将是合同的一个组成部分。对采购人和成交供应商均具有法律效力。成交通知书发出后，采购人改变成交结果的，或者成交供应商放弃成交项目的，应当依法承担法律责任。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30.4</w:t>
      </w:r>
      <w:r>
        <w:rPr>
          <w:rFonts w:hint="eastAsia" w:ascii="宋体" w:hAnsi="宋体" w:cs="宋体"/>
          <w:b/>
          <w:bCs/>
          <w:color w:val="000000" w:themeColor="text1"/>
          <w14:textFill>
            <w14:solidFill>
              <w14:schemeClr w14:val="tx1"/>
            </w14:solidFill>
          </w14:textFill>
        </w:rPr>
        <w:t xml:space="preserve">成交供应商需在成交通知书发出后3日内，向代理机构提供肆份纸质响应文件并加盖公章（一正叁副）。</w:t>
      </w:r>
      <w:r/>
    </w:p>
    <w:p>
      <w:pPr>
        <w:ind w:firstLine="422"/>
        <w:spacing w:line="360" w:lineRule="auto"/>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31、签订合同</w:t>
      </w:r>
      <w:r/>
    </w:p>
    <w:p>
      <w:pPr>
        <w:ind w:firstLine="420"/>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31.l成交供应商应在成交通知书发出之日起十五日内，按照采购文件确定的事项与采购人签订政府采购合同。</w:t>
      </w:r>
      <w:r>
        <w:rPr>
          <w:rFonts w:hint="eastAsia" w:ascii="宋体" w:hAnsi="宋体" w:cs="宋体"/>
          <w:b/>
          <w:color w:val="000000" w:themeColor="text1"/>
          <w:szCs w:val="21"/>
          <w14:textFill>
            <w14:solidFill>
              <w14:schemeClr w14:val="tx1"/>
            </w14:solidFill>
          </w14:textFill>
        </w:rPr>
        <w:t xml:space="preserve">如在规定期限内不与采购人签订政府采购合同，将视为放弃中标资格，应当依法承担法律责任。采购人可以根据实际情况选择向第二中标人发出成交通知书，或者选择重新招标</w:t>
      </w:r>
      <w:r>
        <w:rPr>
          <w:rFonts w:hint="eastAsia" w:ascii="宋体" w:hAnsi="宋体" w:cs="宋体"/>
          <w:color w:val="000000" w:themeColor="text1"/>
          <w14:textFill>
            <w14:solidFill>
              <w14:schemeClr w14:val="tx1"/>
            </w14:solidFill>
          </w14:textFill>
        </w:rPr>
        <w:t xml:space="preserve">。</w:t>
      </w:r>
      <w:r>
        <w:rPr>
          <w:rFonts w:hint="eastAsia" w:ascii="宋体" w:hAnsi="宋体" w:cs="宋体"/>
          <w:b/>
          <w:color w:val="000000" w:themeColor="text1"/>
          <w:szCs w:val="21"/>
          <w14:textFill>
            <w14:solidFill>
              <w14:schemeClr w14:val="tx1"/>
            </w14:solidFill>
          </w14:textFill>
        </w:rPr>
        <w:t xml:space="preserve">‌</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31.2采购文件、成交供应商的响应文件及磋商过程中有关澄清、承诺文件均应作为合同附件。</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31.3 合同在“政府采购管理交易系统（苏采云）”中签订，签订合同后，</w:t>
      </w:r>
      <w:r>
        <w:rPr>
          <w:rFonts w:hint="eastAsia" w:ascii="宋体" w:hAnsi="宋体" w:cs="宋体"/>
          <w:b/>
          <w:bCs/>
          <w:i/>
          <w:iCs/>
          <w:color w:val="000000" w:themeColor="text1"/>
          <w:szCs w:val="21"/>
          <w:u w:val="single"/>
          <w14:textFill>
            <w14:solidFill>
              <w14:schemeClr w14:val="tx1"/>
            </w14:solidFill>
          </w14:textFill>
        </w:rPr>
        <w:t xml:space="preserve">成交供应商不得将工程及其他内容进行转包或分包</w:t>
      </w:r>
      <w:r>
        <w:rPr>
          <w:rFonts w:hint="eastAsia" w:ascii="宋体" w:hAnsi="宋体" w:cs="宋体"/>
          <w:bCs/>
          <w:color w:val="000000" w:themeColor="text1"/>
          <w:szCs w:val="21"/>
          <w14:textFill>
            <w14:solidFill>
              <w14:schemeClr w14:val="tx1"/>
            </w14:solidFill>
          </w14:textFill>
        </w:rPr>
        <w:t xml:space="preserve">。未经采购人同意，成交供应商也不得采用分包的形式履行合同，否则采购人有权终止合同，成交供应商的履约保证金将不予退还。转包或分包造成采购人损失的，成交供应商应承担赔偿责任。</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firstLine="422"/>
        <w:spacing w:line="360" w:lineRule="auto"/>
        <w:rPr>
          <w:rFonts w:ascii="宋体" w:hAnsi="宋体" w:cs="宋体"/>
          <w:b/>
          <w:bCs w:val="0"/>
          <w:color w:val="000000" w:themeColor="text1"/>
          <w14:textFill>
            <w14:solidFill>
              <w14:schemeClr w14:val="tx1"/>
            </w14:solidFill>
          </w14:textFill>
        </w:rPr>
      </w:pPr>
      <w:r>
        <w:rPr>
          <w:rFonts w:hint="eastAsia" w:ascii="宋体" w:hAnsi="宋体" w:cs="宋体"/>
          <w:b/>
          <w:bCs w:val="0"/>
          <w:color w:val="000000" w:themeColor="text1"/>
          <w14:textFill>
            <w14:solidFill>
              <w14:schemeClr w14:val="tx1"/>
            </w14:solidFill>
          </w14:textFill>
        </w:rPr>
        <w:t xml:space="preserve">32、其他</w:t>
      </w:r>
      <w:r/>
    </w:p>
    <w:p>
      <w:pPr>
        <w:ind w:firstLine="420"/>
        <w:spacing w:line="360" w:lineRule="auto"/>
        <w:rPr>
          <w:rFonts w:ascii="宋体" w:hAnsi="宋体" w:cs="宋体"/>
          <w:color w:val="000000" w:themeColor="text1"/>
          <w14:textFill>
            <w14:solidFill>
              <w14:schemeClr w14:val="tx1"/>
            </w14:solidFill>
          </w14:textFill>
        </w:rPr>
      </w:pPr>
      <w:r/>
      <w:bookmarkStart w:id="29" w:name="_Toc107582398"/>
      <w:r>
        <w:rPr>
          <w:rFonts w:hint="eastAsia" w:ascii="宋体" w:hAnsi="宋体" w:cs="宋体"/>
          <w:color w:val="000000" w:themeColor="text1"/>
          <w:szCs w:val="21"/>
          <w14:textFill>
            <w14:solidFill>
              <w14:schemeClr w14:val="tx1"/>
            </w14:solidFill>
          </w14:textFill>
        </w:rPr>
        <w:t xml:space="preserve">32.1依据《政府采购促进中小企业发展管理办法》享受扶持政策获得政府采购合同的，小微企业不得将合同分包给大中型企业，中型企业不得将合同分包给大型企业</w:t>
      </w:r>
      <w:bookmarkStart w:id="30" w:name="_Toc50734661"/>
      <w:r/>
      <w:bookmarkEnd w:id="30"/>
      <w:r>
        <w:rPr>
          <w:rFonts w:hint="eastAsia" w:ascii="宋体" w:hAnsi="宋体" w:cs="宋体"/>
          <w:color w:val="000000" w:themeColor="text1"/>
          <w:szCs w:val="21"/>
          <w14:textFill>
            <w14:solidFill>
              <w14:schemeClr w14:val="tx1"/>
            </w14:solidFill>
          </w14:textFill>
        </w:rPr>
        <w:t xml:space="preserve">。</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32.2</w:t>
      </w:r>
      <w:r>
        <w:rPr>
          <w:rFonts w:hint="eastAsia" w:ascii="宋体" w:hAnsi="宋体" w:cs="宋体"/>
          <w:b/>
          <w:bCs/>
          <w:color w:val="000000" w:themeColor="text1"/>
          <w14:textFill>
            <w14:solidFill>
              <w14:schemeClr w14:val="tx1"/>
            </w14:solidFill>
          </w14:textFill>
        </w:rPr>
        <w:t xml:space="preserve">本项目不收取履约保证金</w:t>
      </w:r>
      <w:r>
        <w:rPr>
          <w:rFonts w:hint="eastAsia" w:ascii="宋体" w:hAnsi="宋体" w:cs="宋体"/>
          <w:color w:val="000000" w:themeColor="text1"/>
          <w14:textFill>
            <w14:solidFill>
              <w14:schemeClr w14:val="tx1"/>
            </w14:solidFill>
          </w14:textFill>
        </w:rPr>
        <w:t xml:space="preserve">：</w:t>
      </w:r>
      <w:r/>
    </w:p>
    <w:p>
      <w:pPr>
        <w:ind w:firstLine="420"/>
        <w:spacing w:line="360" w:lineRule="auto"/>
        <w:tabs>
          <w:tab w:val="left" w:pos="992" w:leader="none"/>
          <w:tab w:val="left" w:pos="1133" w:leader="none"/>
        </w:tabs>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32.3 政府采购履约验收</w:t>
      </w:r>
      <w:r/>
    </w:p>
    <w:p>
      <w:pPr>
        <w:ind w:firstLine="420"/>
        <w:spacing w:line="360" w:lineRule="auto"/>
        <w:tabs>
          <w:tab w:val="left" w:pos="992" w:leader="none"/>
          <w:tab w:val="left" w:pos="1133" w:leader="none"/>
        </w:tabs>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32.3.1根据江苏省财政厅关于印发《江苏省政府采购履约验收管理办法》的通知【苏财规（2024）7号】的要求，采购人使用财政性资金采购政府集中采购目录以内或者限额标准以上的货物、工程和服务的政府采购项目须履约验收，供应商应当按照政府采购合同的约定，配合采购人或其委托的采购代理机构做好项目验收，提供与验收相关的生产、技术、服务、数量、质量、安全等资料，根据实际需要做好技术说明、测试演示或场景应用情况分析等工作，并对所提供资料和材料的真实性负责。</w:t>
      </w:r>
      <w:r/>
    </w:p>
    <w:p>
      <w:pPr>
        <w:ind w:firstLine="420"/>
        <w:spacing w:line="360" w:lineRule="auto"/>
        <w:tabs>
          <w:tab w:val="left" w:pos="992" w:leader="none"/>
          <w:tab w:val="left" w:pos="1133" w:leader="none"/>
        </w:tabs>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32.3.2政府采购合同约定的履约验收条件达到时，采购人应当在 5 个工作日内启动履约验收工作，并向供应商发出《政府采购履约验收通知单》，供应商可以主动联系采购人启动履约验收工作。</w:t>
      </w:r>
      <w:r/>
    </w:p>
    <w:p>
      <w:pPr>
        <w:ind w:firstLine="420"/>
        <w:spacing w:line="360" w:lineRule="auto"/>
        <w:tabs>
          <w:tab w:val="left" w:pos="992" w:leader="none"/>
          <w:tab w:val="left" w:pos="1133" w:leader="none"/>
        </w:tabs>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32.3.3、采购人、供应商应当对验收小组出具的验收意见进行确认，并形成政府采购履约验收书《政府采购履约验收书》。</w:t>
      </w:r>
      <w:r/>
    </w:p>
    <w:p>
      <w:pPr>
        <w:spacing w:line="360" w:lineRule="auto"/>
        <w:tabs>
          <w:tab w:val="left" w:pos="992" w:leader="none"/>
          <w:tab w:val="left" w:pos="1133" w:leader="none"/>
        </w:tabs>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br w:type="page" w:clear="all"/>
      </w:r>
      <w:r/>
    </w:p>
    <w:p>
      <w:pPr>
        <w:ind w:firstLine="643"/>
        <w:jc w:val="center"/>
        <w:spacing w:line="360" w:lineRule="auto"/>
        <w:rPr>
          <w:rFonts w:ascii="宋体" w:hAnsi="宋体" w:cs="宋体"/>
          <w:color w:val="000000" w:themeColor="text1"/>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t xml:space="preserve">第三章 合同条款及格式</w:t>
      </w:r>
      <w:bookmarkEnd w:id="29"/>
      <w:r/>
      <w:r/>
    </w:p>
    <w:p>
      <w:pPr>
        <w:spacing w:line="360" w:lineRule="auto"/>
        <w:tabs>
          <w:tab w:val="left" w:pos="992" w:leader="none"/>
          <w:tab w:val="left" w:pos="1133" w:leader="none"/>
        </w:tabs>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建设工程施工合同采用合同示范文本（GF—2017—0201）。</w:t>
      </w:r>
      <w:r/>
    </w:p>
    <w:p>
      <w:pPr>
        <w:spacing w:line="360" w:lineRule="auto"/>
        <w:tabs>
          <w:tab w:val="left" w:pos="992" w:leader="none"/>
          <w:tab w:val="left" w:pos="1133" w:leader="none"/>
        </w:tabs>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（一）协议书</w:t>
      </w:r>
      <w:r/>
    </w:p>
    <w:p>
      <w:pPr>
        <w:spacing w:line="360" w:lineRule="auto"/>
        <w:tabs>
          <w:tab w:val="left" w:pos="992" w:leader="none"/>
          <w:tab w:val="left" w:pos="1133" w:leader="none"/>
        </w:tabs>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（二）通用条款</w:t>
      </w:r>
      <w:r/>
    </w:p>
    <w:p>
      <w:pPr>
        <w:spacing w:line="360" w:lineRule="auto"/>
        <w:tabs>
          <w:tab w:val="left" w:pos="992" w:leader="none"/>
          <w:tab w:val="left" w:pos="1133" w:leader="none"/>
        </w:tabs>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（三）专用条款</w:t>
      </w:r>
      <w:r/>
    </w:p>
    <w:p>
      <w:pPr>
        <w:spacing w:line="360" w:lineRule="auto"/>
        <w:tabs>
          <w:tab w:val="left" w:pos="992" w:leader="none"/>
          <w:tab w:val="left" w:pos="1133" w:leader="none"/>
        </w:tabs>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（四）主要条款</w:t>
      </w:r>
      <w:r/>
    </w:p>
    <w:p>
      <w:pPr>
        <w:ind w:firstLine="420"/>
        <w:spacing w:line="360" w:lineRule="auto"/>
        <w:tabs>
          <w:tab w:val="left" w:pos="992" w:leader="none"/>
          <w:tab w:val="left" w:pos="1133" w:leader="none"/>
        </w:tabs>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1、工期</w:t>
      </w:r>
      <w:r/>
    </w:p>
    <w:p>
      <w:pPr>
        <w:ind w:firstLine="420"/>
        <w:spacing w:line="360" w:lineRule="auto"/>
        <w:tabs>
          <w:tab w:val="left" w:pos="992" w:leader="none"/>
          <w:tab w:val="left" w:pos="1133" w:leader="none"/>
        </w:tabs>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本工程的工期见采购文件，工期延误每延误一天按2000元/天罚款，最多不得超过合同工期后一个月，否则采购人有权终止合同。工期延误赔偿限额为合同价的10%，具体开工日期以甲方开工令为准。</w:t>
      </w:r>
      <w:r/>
    </w:p>
    <w:p>
      <w:pPr>
        <w:ind w:firstLine="420"/>
        <w:spacing w:line="360" w:lineRule="auto"/>
        <w:tabs>
          <w:tab w:val="left" w:pos="992" w:leader="none"/>
          <w:tab w:val="left" w:pos="1133" w:leader="none"/>
        </w:tabs>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2、质量</w:t>
      </w:r>
      <w:r/>
    </w:p>
    <w:p>
      <w:pPr>
        <w:ind w:firstLine="420"/>
        <w:spacing w:line="360" w:lineRule="auto"/>
        <w:tabs>
          <w:tab w:val="left" w:pos="992" w:leader="none"/>
          <w:tab w:val="left" w:pos="1133" w:leader="none"/>
        </w:tabs>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t xml:space="preserve">要求工程质量一次性验收达到合格。乙方如因工程质量达不到约定标准，导致返工，乙方除承担相应的返工费用外，还应承担相应合同价的10%的罚款。施工过程中出现质量问题所造成的一切经济损失由乙方负责。</w:t>
      </w:r>
      <w:r/>
    </w:p>
    <w:p>
      <w:pPr>
        <w:ind w:firstLine="420"/>
        <w:spacing w:line="360" w:lineRule="auto"/>
        <w:tabs>
          <w:tab w:val="left" w:pos="992" w:leader="none"/>
          <w:tab w:val="left" w:pos="1133" w:leader="none"/>
        </w:tabs>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3、材料设备供应</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本工程材料：部分材料保留甲控乙供的权力，本工程所有材料价格均为固定价，不考虑任何施工因素及市场价格因素；</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本项目为固定单价合同，竣工结算均按原投标单价执行。</w:t>
      </w:r>
      <w:r/>
    </w:p>
    <w:p>
      <w:pPr>
        <w:ind w:firstLine="420"/>
        <w:spacing w:line="360" w:lineRule="auto"/>
        <w:tabs>
          <w:tab w:val="left" w:pos="992" w:leader="none"/>
          <w:tab w:val="left" w:pos="1133" w:leader="none"/>
        </w:tabs>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4、履约保证金：</w:t>
      </w:r>
      <w:r>
        <w:rPr>
          <w:rFonts w:hint="eastAsia" w:ascii="宋体" w:hAnsi="宋体" w:cs="宋体"/>
          <w:b/>
          <w:bCs/>
          <w:color w:val="000000" w:themeColor="text1"/>
          <w14:textFill>
            <w14:solidFill>
              <w14:schemeClr w14:val="tx1"/>
            </w14:solidFill>
          </w14:textFill>
        </w:rPr>
        <w:t xml:space="preserve">本项目不收取履约保证金。</w:t>
      </w:r>
      <w:r/>
    </w:p>
    <w:p>
      <w:pPr>
        <w:ind w:firstLine="420"/>
        <w:spacing w:line="360" w:lineRule="auto"/>
        <w:tabs>
          <w:tab w:val="left" w:pos="992" w:leader="none"/>
          <w:tab w:val="left" w:pos="1133" w:leader="none"/>
        </w:tabs>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5、工程付款</w:t>
      </w:r>
      <w:r/>
    </w:p>
    <w:p>
      <w:pPr>
        <w:ind w:firstLine="422"/>
        <w:spacing w:line="480" w:lineRule="auto"/>
        <w:tabs>
          <w:tab w:val="left" w:pos="992" w:leader="none"/>
          <w:tab w:val="left" w:pos="1133" w:leader="none"/>
        </w:tabs>
        <w:rPr>
          <w:rFonts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 xml:space="preserve">工程竣工验收合格后付合同价款的 40%，第二年同期付至审定价的 70%，第三年同期结清审计价余款（无息）。中标人须提供符合财政要求的正式发票。工程竣工验收合格后，施工单位报送完整结算资料给甲方送审，审计单位核减额大于 10%的，超过 10%部分的审计费用由施工单位承担。</w:t>
      </w:r>
      <w:r/>
    </w:p>
    <w:p>
      <w:pPr>
        <w:ind w:firstLine="420"/>
        <w:spacing w:line="360" w:lineRule="auto"/>
        <w:tabs>
          <w:tab w:val="left" w:pos="992" w:leader="none"/>
          <w:tab w:val="left" w:pos="1133" w:leader="none"/>
        </w:tabs>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6、变更结算方式</w:t>
      </w:r>
      <w:r/>
    </w:p>
    <w:p>
      <w:pPr>
        <w:ind w:firstLine="420"/>
        <w:spacing w:line="360" w:lineRule="auto"/>
        <w:tabs>
          <w:tab w:val="left" w:pos="992" w:leader="none"/>
          <w:tab w:val="left" w:pos="1133" w:leader="none"/>
        </w:tabs>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变更结算调整方法：以图纸设计变更和采购人要求变更为依据，只调整变更部分，变更费用按投标让利幅度同等让利[投标让利幅度=1-投标报价/采购人预算价]。</w:t>
      </w:r>
      <w:r/>
    </w:p>
    <w:p>
      <w:pPr>
        <w:ind w:firstLine="420"/>
        <w:spacing w:line="360" w:lineRule="auto"/>
        <w:tabs>
          <w:tab w:val="left" w:pos="992" w:leader="none"/>
          <w:tab w:val="left" w:pos="1133" w:leader="none"/>
        </w:tabs>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风险范围以外合同价款调整方法：</w:t>
      </w:r>
      <w:r/>
    </w:p>
    <w:p>
      <w:pPr>
        <w:ind w:firstLine="420"/>
        <w:spacing w:line="360" w:lineRule="auto"/>
        <w:tabs>
          <w:tab w:val="left" w:pos="992" w:leader="none"/>
          <w:tab w:val="left" w:pos="1133" w:leader="none"/>
        </w:tabs>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⑴ 由工程设计变更或采购人要求变动的内容引起的工程量清单中，已有项目的工程量的增加或减少，其相应综合单价不变，若该分部分项工程量变更超过15%，则综合单价由承包人或发包人另行商定，工程量据实增减；类似于投标工程的价格，可以参照招标时类似的综合单价。</w:t>
      </w:r>
      <w:r/>
    </w:p>
    <w:p>
      <w:pPr>
        <w:ind w:firstLine="420"/>
        <w:spacing w:line="360" w:lineRule="auto"/>
        <w:tabs>
          <w:tab w:val="left" w:pos="992" w:leader="none"/>
          <w:tab w:val="left" w:pos="1133" w:leader="none"/>
        </w:tabs>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⑵新增零星工程以实际签证为准，其价格由承包人提出，并经发包人认可后作为结算的依据。让利按投标时让利幅度同等让利[投标让利幅度=1-投标报价/采购人预算价]。</w:t>
      </w:r>
      <w:r/>
    </w:p>
    <w:p>
      <w:pPr>
        <w:ind w:firstLine="420"/>
        <w:spacing w:line="360" w:lineRule="auto"/>
        <w:tabs>
          <w:tab w:val="left" w:pos="992" w:leader="none"/>
          <w:tab w:val="left" w:pos="1133" w:leader="none"/>
        </w:tabs>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⑶附属工程的工程量按实结算，让利幅度同投标让利幅度。</w:t>
      </w:r>
      <w:r/>
    </w:p>
    <w:p>
      <w:pPr>
        <w:ind w:firstLine="420"/>
        <w:spacing w:line="360" w:lineRule="auto"/>
        <w:tabs>
          <w:tab w:val="left" w:pos="992" w:leader="none"/>
          <w:tab w:val="left" w:pos="1133" w:leader="none"/>
        </w:tabs>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7、保修</w:t>
      </w:r>
      <w:r/>
    </w:p>
    <w:p>
      <w:pPr>
        <w:ind w:firstLine="420"/>
        <w:spacing w:line="360" w:lineRule="auto"/>
        <w:tabs>
          <w:tab w:val="left" w:pos="992" w:leader="none"/>
          <w:tab w:val="left" w:pos="1133" w:leader="none"/>
        </w:tabs>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保修按国家有关规定执行。</w:t>
      </w:r>
      <w:r/>
    </w:p>
    <w:p>
      <w:pPr>
        <w:ind w:firstLine="420"/>
        <w:spacing w:line="360" w:lineRule="auto"/>
        <w:tabs>
          <w:tab w:val="left" w:pos="992" w:leader="none"/>
          <w:tab w:val="left" w:pos="1133" w:leader="none"/>
        </w:tabs>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8、分包规定</w:t>
      </w:r>
      <w:r/>
    </w:p>
    <w:p>
      <w:pPr>
        <w:ind w:firstLine="420"/>
        <w:spacing w:line="360" w:lineRule="auto"/>
        <w:tabs>
          <w:tab w:val="left" w:pos="992" w:leader="none"/>
          <w:tab w:val="left" w:pos="1133" w:leader="none"/>
        </w:tabs>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本工程不得进行分包，如承包人擅自将工程全部或其中的一部分转包或分包给其它单位，发包人有权终止合同，由此造成的一切损失由承包人承担。投标人拟将部分非主体工程分包的，应在响应文件中载明。</w:t>
      </w:r>
      <w:r/>
    </w:p>
    <w:p>
      <w:pPr>
        <w:ind w:firstLine="420"/>
        <w:spacing w:line="360" w:lineRule="auto"/>
        <w:tabs>
          <w:tab w:val="left" w:pos="992" w:leader="none"/>
          <w:tab w:val="left" w:pos="1133" w:leader="none"/>
        </w:tabs>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9、违约责任</w:t>
      </w:r>
      <w:r/>
    </w:p>
    <w:p>
      <w:pPr>
        <w:ind w:firstLine="420"/>
        <w:spacing w:line="360" w:lineRule="auto"/>
        <w:tabs>
          <w:tab w:val="left" w:pos="992" w:leader="none"/>
          <w:tab w:val="left" w:pos="1133" w:leader="none"/>
        </w:tabs>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甲乙双方如发生违约纠纷，应在分清责任的前提下，协商解决，如实在无法协商，可提请高邮市人民法院诉讼。违约责任详见专用条款。</w:t>
      </w:r>
      <w:r/>
    </w:p>
    <w:p>
      <w:pPr>
        <w:ind w:firstLine="457"/>
        <w:spacing w:line="360" w:lineRule="auto"/>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双方约定的承包人其他违约责任：</w:t>
      </w:r>
      <w:r>
        <w:rPr>
          <w:rFonts w:hint="eastAsia" w:ascii="宋体" w:hAnsi="宋体" w:cs="宋体"/>
          <w:b/>
          <w:bCs/>
          <w:color w:val="000000" w:themeColor="text1"/>
          <w:szCs w:val="21"/>
          <w14:textFill>
            <w14:solidFill>
              <w14:schemeClr w14:val="tx1"/>
            </w14:solidFill>
          </w14:textFill>
        </w:rPr>
        <w:t xml:space="preserve">承包人明确表示或者以其行为表明不履行合同主要义务的，发包人有权解除合同。承包人除赔偿发包人的损失外，另按工程总价的5%支付违约金。</w:t>
      </w:r>
      <w:r/>
    </w:p>
    <w:p>
      <w:pPr>
        <w:ind w:firstLine="420"/>
        <w:spacing w:line="360" w:lineRule="auto"/>
        <w:tabs>
          <w:tab w:val="left" w:pos="992" w:leader="none"/>
          <w:tab w:val="left" w:pos="1133" w:leader="none"/>
        </w:tabs>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10、设计变更</w:t>
      </w:r>
      <w:r/>
    </w:p>
    <w:p>
      <w:pPr>
        <w:ind w:firstLine="420"/>
        <w:spacing w:line="360" w:lineRule="auto"/>
        <w:tabs>
          <w:tab w:val="left" w:pos="992" w:leader="none"/>
          <w:tab w:val="left" w:pos="1133" w:leader="none"/>
        </w:tabs>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⑴施工期间，建设单位设计变更通知是合同及施工设计图纸的补充和完善，承包人不得拒绝。</w:t>
      </w:r>
      <w:r/>
    </w:p>
    <w:p>
      <w:pPr>
        <w:ind w:firstLine="420"/>
        <w:spacing w:line="360" w:lineRule="auto"/>
        <w:tabs>
          <w:tab w:val="left" w:pos="992" w:leader="none"/>
          <w:tab w:val="left" w:pos="1133" w:leader="none"/>
        </w:tabs>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⑵由于工程设计变更导致本合同工程量增减变化时，是对合同价款增减调整的依据。</w:t>
      </w:r>
      <w:r/>
    </w:p>
    <w:p>
      <w:pPr>
        <w:ind w:firstLine="420"/>
        <w:spacing w:line="360" w:lineRule="auto"/>
        <w:tabs>
          <w:tab w:val="left" w:pos="992" w:leader="none"/>
          <w:tab w:val="left" w:pos="1133" w:leader="none"/>
        </w:tabs>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⑶承包人不得以设计变更或工程量的变化为理由，解除或修改合同对其规定的责任和义务。</w:t>
      </w:r>
      <w:r/>
    </w:p>
    <w:p>
      <w:pPr>
        <w:ind w:firstLine="420"/>
        <w:spacing w:line="360" w:lineRule="auto"/>
        <w:tabs>
          <w:tab w:val="left" w:pos="992" w:leader="none"/>
          <w:tab w:val="left" w:pos="1133" w:leader="none"/>
        </w:tabs>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11、其他</w:t>
      </w:r>
      <w:r/>
    </w:p>
    <w:p>
      <w:pPr>
        <w:pStyle w:val="1006"/>
        <w:ind w:firstLine="420"/>
        <w:spacing w:line="360" w:lineRule="auto"/>
        <w:rPr>
          <w:rFonts w:ascii="宋体" w:hAnsi="宋体" w:cs="宋体"/>
          <w:color w:val="000000" w:themeColor="text1"/>
          <w:szCs w:val="22"/>
          <w:lang w:val="zh-CN"/>
          <w14:textFill>
            <w14:solidFill>
              <w14:schemeClr w14:val="tx1"/>
            </w14:solidFill>
          </w14:textFill>
        </w:rPr>
      </w:pPr>
      <w:r>
        <w:rPr>
          <w:rFonts w:hint="eastAsia" w:ascii="宋体" w:hAnsi="宋体" w:cs="宋体"/>
          <w:color w:val="000000" w:themeColor="text1"/>
          <w:szCs w:val="22"/>
          <w:lang w:val="zh-CN"/>
          <w14:textFill>
            <w14:solidFill>
              <w14:schemeClr w14:val="tx1"/>
            </w14:solidFill>
          </w14:textFill>
        </w:rPr>
        <w:t xml:space="preserve">（1）承包人应按江苏省和扬州市的有关安全文明施工规定进行施工。</w:t>
      </w:r>
      <w:r/>
    </w:p>
    <w:p>
      <w:pPr>
        <w:pStyle w:val="1006"/>
        <w:ind w:firstLine="420"/>
        <w:spacing w:line="360" w:lineRule="auto"/>
        <w:rPr>
          <w:rFonts w:ascii="宋体" w:hAnsi="宋体" w:cs="宋体"/>
          <w:color w:val="000000" w:themeColor="text1"/>
          <w:szCs w:val="22"/>
          <w:lang w:val="zh-CN"/>
          <w14:textFill>
            <w14:solidFill>
              <w14:schemeClr w14:val="tx1"/>
            </w14:solidFill>
          </w14:textFill>
        </w:rPr>
      </w:pPr>
      <w:r>
        <w:rPr>
          <w:rFonts w:hint="eastAsia" w:ascii="宋体" w:hAnsi="宋体" w:cs="宋体"/>
          <w:color w:val="000000" w:themeColor="text1"/>
          <w:szCs w:val="22"/>
          <w:lang w:val="zh-CN"/>
          <w14:textFill>
            <w14:solidFill>
              <w14:schemeClr w14:val="tx1"/>
            </w14:solidFill>
          </w14:textFill>
        </w:rPr>
        <w:t xml:space="preserve">（2）承包人应采取必要的安全防护措施，消除事故隐患，随时接受行业安全检查人员依法实施的监督检查；如承包人收到监理人或发包人的指令后未在规定期限内完成有效整改、消除事故影响、隐患的，须按本合同规定承担违约责任。造成发包人损失的，由承包人赔偿损失。</w:t>
      </w:r>
      <w:r/>
    </w:p>
    <w:p>
      <w:pPr>
        <w:pStyle w:val="1006"/>
        <w:ind w:firstLine="420"/>
        <w:spacing w:line="360" w:lineRule="auto"/>
        <w:rPr>
          <w:rFonts w:ascii="宋体" w:hAnsi="宋体" w:cs="宋体"/>
          <w:color w:val="000000" w:themeColor="text1"/>
          <w:szCs w:val="22"/>
          <w:lang w:val="zh-CN"/>
          <w14:textFill>
            <w14:solidFill>
              <w14:schemeClr w14:val="tx1"/>
            </w14:solidFill>
          </w14:textFill>
        </w:rPr>
      </w:pPr>
      <w:r>
        <w:rPr>
          <w:rFonts w:hint="eastAsia" w:ascii="宋体" w:hAnsi="宋体" w:cs="宋体"/>
          <w:color w:val="000000" w:themeColor="text1"/>
          <w:szCs w:val="22"/>
          <w:lang w:val="zh-CN"/>
          <w14:textFill>
            <w14:solidFill>
              <w14:schemeClr w14:val="tx1"/>
            </w14:solidFill>
          </w14:textFill>
        </w:rPr>
        <w:t xml:space="preserve">（3）乙方负责本工程施工过程中的所有安全生产责任，如发生安全事故与发包人无关。</w:t>
      </w:r>
      <w:r/>
    </w:p>
    <w:p>
      <w:pPr>
        <w:pStyle w:val="1006"/>
        <w:ind w:firstLine="420"/>
        <w:spacing w:line="360" w:lineRule="auto"/>
        <w:rPr>
          <w:rFonts w:ascii="宋体" w:hAnsi="宋体" w:cs="宋体"/>
          <w:color w:val="000000" w:themeColor="text1"/>
          <w:szCs w:val="22"/>
          <w:lang w:val="zh-CN"/>
          <w14:textFill>
            <w14:solidFill>
              <w14:schemeClr w14:val="tx1"/>
            </w14:solidFill>
          </w14:textFill>
        </w:rPr>
      </w:pPr>
      <w:r>
        <w:rPr>
          <w:rFonts w:hint="eastAsia" w:ascii="宋体" w:hAnsi="宋体" w:cs="宋体"/>
          <w:color w:val="000000" w:themeColor="text1"/>
          <w:szCs w:val="22"/>
          <w:lang w:val="zh-CN"/>
          <w14:textFill>
            <w14:solidFill>
              <w14:schemeClr w14:val="tx1"/>
            </w14:solidFill>
          </w14:textFill>
        </w:rPr>
        <w:t xml:space="preserve">（4）本工程要求承包人合理施工，协调周边关系、噪音污染防治等工作由承包方负责。</w:t>
      </w:r>
      <w:r/>
    </w:p>
    <w:p>
      <w:pPr>
        <w:pStyle w:val="1006"/>
        <w:ind w:firstLine="420"/>
        <w:spacing w:line="360" w:lineRule="auto"/>
        <w:rPr>
          <w:rFonts w:ascii="宋体" w:hAnsi="宋体" w:cs="宋体"/>
          <w:color w:val="000000" w:themeColor="text1"/>
          <w:szCs w:val="22"/>
          <w:lang w:val="zh-CN"/>
          <w14:textFill>
            <w14:solidFill>
              <w14:schemeClr w14:val="tx1"/>
            </w14:solidFill>
          </w14:textFill>
        </w:rPr>
      </w:pPr>
      <w:r>
        <w:rPr>
          <w:rFonts w:hint="eastAsia" w:ascii="宋体" w:hAnsi="宋体" w:cs="宋体"/>
          <w:color w:val="000000" w:themeColor="text1"/>
          <w:szCs w:val="22"/>
          <w:lang w:val="zh-CN"/>
          <w14:textFill>
            <w14:solidFill>
              <w14:schemeClr w14:val="tx1"/>
            </w14:solidFill>
          </w14:textFill>
        </w:rPr>
        <w:t xml:space="preserve">（5）承包人必须为从事高空、危险作业的职工以及劳动部门规定范围的职工办理意外伤害保险。对于承包人所派出的人员（无论是否其正式工）因任何原因所受任何伤害导致任何赔偿或补偿责任均由承包人负责，发包人概不承担；承包人应保障发包人免于承担与此有关的所有索赔、诉讼、费用及任何开支。保险除外责任、免赔额、保险范围以外因承包人或本工程原因发生的损失或责任均由承包人承担。发包人不因投保不足或任何其他原因承担、也不代承包人承担任何责任。</w:t>
      </w:r>
      <w:r/>
    </w:p>
    <w:p>
      <w:pPr>
        <w:pStyle w:val="1006"/>
        <w:ind w:firstLine="420"/>
        <w:spacing w:line="360" w:lineRule="auto"/>
        <w:rPr>
          <w:rFonts w:ascii="宋体" w:hAnsi="宋体" w:cs="宋体"/>
          <w:color w:val="000000" w:themeColor="text1"/>
          <w:szCs w:val="22"/>
          <w:lang w:val="zh-CN"/>
          <w14:textFill>
            <w14:solidFill>
              <w14:schemeClr w14:val="tx1"/>
            </w14:solidFill>
          </w14:textFill>
        </w:rPr>
      </w:pPr>
      <w:r>
        <w:rPr>
          <w:rFonts w:hint="eastAsia" w:ascii="宋体" w:hAnsi="宋体" w:cs="宋体"/>
          <w:color w:val="000000" w:themeColor="text1"/>
          <w:szCs w:val="22"/>
          <w:lang w:val="zh-CN"/>
          <w14:textFill>
            <w14:solidFill>
              <w14:schemeClr w14:val="tx1"/>
            </w14:solidFill>
          </w14:textFill>
        </w:rPr>
        <w:t xml:space="preserve">（6）在保修期内施工方承诺无条件承担工程质量保修责任：因质量问题返工、返修产生的一切责任和费用均由施工方负责；因建设方责任所引起的质量问题返工、返修，施工方有权向建设方收取适当的工本费。</w:t>
      </w:r>
      <w:r/>
    </w:p>
    <w:p>
      <w:pPr>
        <w:pStyle w:val="1006"/>
        <w:ind w:firstLine="420"/>
        <w:spacing w:line="360" w:lineRule="auto"/>
        <w:rPr>
          <w:rFonts w:ascii="宋体" w:hAnsi="宋体" w:cs="宋体"/>
          <w:color w:val="000000" w:themeColor="text1"/>
          <w:szCs w:val="22"/>
          <w:lang w:val="zh-CN"/>
          <w14:textFill>
            <w14:solidFill>
              <w14:schemeClr w14:val="tx1"/>
            </w14:solidFill>
          </w14:textFill>
        </w:rPr>
      </w:pPr>
      <w:r>
        <w:rPr>
          <w:rFonts w:hint="eastAsia" w:ascii="宋体" w:hAnsi="宋体" w:cs="宋体"/>
          <w:color w:val="000000" w:themeColor="text1"/>
          <w:szCs w:val="22"/>
          <w:lang w:val="zh-CN"/>
          <w14:textFill>
            <w14:solidFill>
              <w14:schemeClr w14:val="tx1"/>
            </w14:solidFill>
          </w14:textFill>
        </w:rPr>
        <w:t xml:space="preserve">（7）工程所用材料、设备进场前需报发包人认可，经发包人书面同意后方可进场使用。</w:t>
      </w:r>
      <w:r/>
    </w:p>
    <w:p>
      <w:pPr>
        <w:pStyle w:val="1006"/>
        <w:ind w:firstLine="420"/>
        <w:spacing w:line="360" w:lineRule="auto"/>
        <w:rPr>
          <w:rFonts w:ascii="宋体" w:hAnsi="宋体" w:cs="宋体"/>
          <w:color w:val="000000" w:themeColor="text1"/>
          <w:szCs w:val="22"/>
          <w14:textFill>
            <w14:solidFill>
              <w14:schemeClr w14:val="tx1"/>
            </w14:solidFill>
          </w14:textFill>
        </w:rPr>
      </w:pPr>
      <w:r>
        <w:rPr>
          <w:rFonts w:hint="eastAsia" w:ascii="宋体" w:hAnsi="宋体" w:cs="宋体"/>
          <w:color w:val="000000" w:themeColor="text1"/>
          <w:szCs w:val="22"/>
          <w:lang w:val="zh-CN"/>
          <w14:textFill>
            <w14:solidFill>
              <w14:schemeClr w14:val="tx1"/>
            </w14:solidFill>
          </w14:textFill>
        </w:rPr>
        <w:t xml:space="preserve">（</w:t>
      </w:r>
      <w:r>
        <w:rPr>
          <w:rFonts w:hint="eastAsia" w:ascii="宋体" w:hAnsi="宋体" w:cs="宋体"/>
          <w:color w:val="000000" w:themeColor="text1"/>
          <w:szCs w:val="22"/>
          <w14:textFill>
            <w14:solidFill>
              <w14:schemeClr w14:val="tx1"/>
            </w14:solidFill>
          </w14:textFill>
        </w:rPr>
        <w:t xml:space="preserve">8</w:t>
      </w:r>
      <w:r>
        <w:rPr>
          <w:rFonts w:hint="eastAsia" w:ascii="宋体" w:hAnsi="宋体" w:cs="宋体"/>
          <w:color w:val="000000" w:themeColor="text1"/>
          <w:szCs w:val="22"/>
          <w:lang w:val="zh-CN"/>
          <w14:textFill>
            <w14:solidFill>
              <w14:schemeClr w14:val="tx1"/>
            </w14:solidFill>
          </w14:textFill>
        </w:rPr>
        <w:t xml:space="preserve">）工程承包单位对涉及真实使用《绿色建筑和绿色建材政府采购需求标准》中的绿色建材的，应当全部采购和使用符合《绿色建筑和绿色建材政府采购需求标准》的绿色建材，并提供绿色建材供应商符合《绿色建筑和绿色建材政府采购需求标准》相关指标要求的绿色建材检测报告或提供符合《绿色建筑和绿色建材政府采购需求标准》相关指标的绿色建材产品认证证书。</w:t>
      </w:r>
      <w:r/>
    </w:p>
    <w:p>
      <w:pPr>
        <w:pStyle w:val="1006"/>
        <w:spacing w:line="360" w:lineRule="auto"/>
        <w:rPr>
          <w:rFonts w:ascii="宋体" w:hAnsi="宋体" w:cs="宋体"/>
          <w:color w:val="000000" w:themeColor="text1"/>
          <w:szCs w:val="22"/>
          <w14:textFill>
            <w14:solidFill>
              <w14:schemeClr w14:val="tx1"/>
            </w14:solidFill>
          </w14:textFill>
        </w:rPr>
        <w:sectPr>
          <w:footerReference w:type="default" r:id="rId14"/>
          <w:footerReference w:type="first" r:id="rId15"/>
          <w:footnotePr/>
          <w:endnotePr/>
          <w:type w:val="nextPage"/>
          <w:pgSz w:w="11906" w:h="16838" w:orient="portrait"/>
          <w:pgMar w:top="1417" w:right="1701" w:bottom="1417" w:left="1701" w:header="851" w:footer="992" w:gutter="0"/>
          <w:pgNumType w:start="1"/>
          <w:cols w:num="1" w:sep="0" w:space="720" w:equalWidth="1"/>
          <w:docGrid w:linePitch="360"/>
        </w:sectPr>
      </w:pPr>
      <w:r>
        <w:rPr>
          <w:rFonts w:ascii="宋体" w:hAnsi="宋体" w:cs="宋体"/>
          <w:color w:val="000000" w:themeColor="text1"/>
          <w:szCs w:val="22"/>
          <w14:textFill>
            <w14:solidFill>
              <w14:schemeClr w14:val="tx1"/>
            </w14:solidFill>
          </w14:textFill>
        </w:rPr>
      </w:r>
      <w:r/>
    </w:p>
    <w:p>
      <w:pPr>
        <w:pStyle w:val="960"/>
        <w:jc w:val="center"/>
        <w:spacing w:line="360" w:lineRule="auto"/>
        <w:rPr>
          <w:rFonts w:ascii="宋体" w:hAnsi="宋体" w:cs="宋体"/>
          <w:color w:val="000000" w:themeColor="text1"/>
          <w:sz w:val="32"/>
          <w:szCs w:val="32"/>
          <w14:textFill>
            <w14:solidFill>
              <w14:schemeClr w14:val="tx1"/>
            </w14:solidFill>
          </w14:textFill>
        </w:rPr>
      </w:pPr>
      <w:r/>
      <w:bookmarkStart w:id="31" w:name="_Toc109304974"/>
      <w:r>
        <w:rPr>
          <w:rFonts w:hint="eastAsia" w:ascii="宋体" w:hAnsi="宋体" w:cs="宋体"/>
          <w:color w:val="000000" w:themeColor="text1"/>
          <w:sz w:val="32"/>
          <w:szCs w:val="32"/>
          <w14:textFill>
            <w14:solidFill>
              <w14:schemeClr w14:val="tx1"/>
            </w14:solidFill>
          </w14:textFill>
        </w:rPr>
        <w:t xml:space="preserve">第四章 项目需求</w:t>
      </w:r>
      <w:bookmarkEnd w:id="31"/>
      <w:r/>
      <w:bookmarkEnd w:id="1"/>
      <w:r/>
      <w:r/>
    </w:p>
    <w:p>
      <w:pPr>
        <w:ind w:firstLine="422"/>
        <w:spacing w:line="360" w:lineRule="auto"/>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一、项目概况</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1、本项目预算价为318.00万元，</w:t>
      </w:r>
      <w:r>
        <w:rPr>
          <w:rFonts w:hint="eastAsia" w:ascii="宋体" w:hAnsi="宋体" w:cs="宋体"/>
          <w:color w:val="000000" w:themeColor="text1"/>
          <w:szCs w:val="21"/>
          <w14:textFill>
            <w14:solidFill>
              <w14:schemeClr w14:val="tx1"/>
            </w14:solidFill>
          </w14:textFill>
        </w:rPr>
        <w:t xml:space="preserve">最高限价：302.10万元</w:t>
      </w:r>
      <w:r>
        <w:rPr>
          <w:rFonts w:hint="eastAsia" w:ascii="宋体" w:hAnsi="宋体" w:cs="宋体"/>
          <w:color w:val="000000" w:themeColor="text1"/>
          <w:spacing w:val="-1"/>
          <w14:textFill>
            <w14:solidFill>
              <w14:schemeClr w14:val="tx1"/>
            </w14:solidFill>
          </w14:textFill>
        </w:rPr>
        <w:t xml:space="preserve">（报价高于最高限价的为无效投标）</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2、项目主要实施内容：对高邮街道新民村巷道(新民片区）整治，内容包括：雨水管道、污水管道、化粪池、巷道硬化等施工。具体详见工程量清单及采购文件第四章项目需求。</w:t>
      </w:r>
      <w:r/>
    </w:p>
    <w:p>
      <w:pPr>
        <w:ind w:firstLine="416"/>
        <w:spacing w:line="360" w:lineRule="auto"/>
        <w:rPr>
          <w:rFonts w:ascii="宋体" w:hAnsi="宋体" w:cs="宋体"/>
          <w:color w:val="000000" w:themeColor="text1"/>
          <w:spacing w:val="-1"/>
          <w14:textFill>
            <w14:solidFill>
              <w14:schemeClr w14:val="tx1"/>
            </w14:solidFill>
          </w14:textFill>
        </w:rPr>
      </w:pPr>
      <w:r>
        <w:rPr>
          <w:rFonts w:hint="eastAsia" w:ascii="宋体" w:hAnsi="宋体" w:cs="宋体"/>
          <w:color w:val="000000" w:themeColor="text1"/>
          <w:spacing w:val="-1"/>
          <w14:textFill>
            <w14:solidFill>
              <w14:schemeClr w14:val="tx1"/>
            </w14:solidFill>
          </w14:textFill>
        </w:rPr>
        <w:t xml:space="preserve">3、</w:t>
      </w:r>
      <w:r>
        <w:rPr>
          <w:rFonts w:hint="eastAsia" w:ascii="宋体" w:hAnsi="宋体" w:cs="宋体"/>
          <w:color w:val="000000" w:themeColor="text1"/>
          <w14:textFill>
            <w14:solidFill>
              <w14:schemeClr w14:val="tx1"/>
            </w14:solidFill>
          </w14:textFill>
        </w:rPr>
        <w:t xml:space="preserve">工程地点：高邮街道新民村巷道(新民片区）。</w:t>
      </w:r>
      <w:r/>
    </w:p>
    <w:p>
      <w:pPr>
        <w:ind w:firstLine="416"/>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pacing w:val="-1"/>
          <w14:textFill>
            <w14:solidFill>
              <w14:schemeClr w14:val="tx1"/>
            </w14:solidFill>
          </w14:textFill>
        </w:rPr>
        <w:t xml:space="preserve">4、工期：120日历天</w:t>
      </w:r>
      <w:r>
        <w:rPr>
          <w:rFonts w:hint="eastAsia" w:ascii="宋体" w:hAnsi="宋体" w:cs="宋体"/>
          <w:color w:val="000000" w:themeColor="text1"/>
          <w:szCs w:val="21"/>
          <w14:textFill>
            <w14:solidFill>
              <w14:schemeClr w14:val="tx1"/>
            </w14:solidFill>
          </w14:textFill>
        </w:rPr>
        <w:t xml:space="preserve">，实际开工时间以采购人的通知为准。</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5、质量要求：合格</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6、本工程采用的技术规范</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本工程施工中的工序验收、分部项工程验收、中间验收及竣工验收等按现行的有关施工及验收规范、质量检验评定标准执行；材料检验、试验按国家和地方颁布的技术规范、标准、规程执行。</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7、对材料的质量和试验要求</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所有工程中使用的材料、设备、成品、半成品等必须提供齐全的质量保证资料，并按现行的有关规定进行检验、试验；承包方必须主动按工程监理的程序向监理方报验，经监理方书面认可后方可用于工程。</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8、对施工工艺的特殊要求：按现行的国家和地方的规定及标准执行。</w:t>
      </w:r>
      <w:r/>
    </w:p>
    <w:p>
      <w:pPr>
        <w:ind w:firstLine="420"/>
        <w:spacing w:line="360" w:lineRule="auto"/>
        <w:rPr>
          <w:rFonts w:ascii="宋体" w:hAnsi="宋体"/>
          <w:color w:val="000000" w:themeColor="text1"/>
          <w:szCs w:val="2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9、施工做法：</w:t>
      </w:r>
      <w:r>
        <w:rPr>
          <w:rFonts w:hint="eastAsia" w:ascii="宋体" w:hAnsi="宋体"/>
          <w:color w:val="000000" w:themeColor="text1"/>
          <w:szCs w:val="21"/>
          <w14:textFill>
            <w14:solidFill>
              <w14:schemeClr w14:val="tx1"/>
            </w14:solidFill>
          </w14:textFill>
        </w:rPr>
        <w:t xml:space="preserve">根据图纸及招标清单进行施工。</w:t>
      </w:r>
      <w:r/>
    </w:p>
    <w:p>
      <w:pPr>
        <w:ind w:firstLine="422"/>
        <w:spacing w:line="360" w:lineRule="auto"/>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二、工程量清单编制说明</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w:t>
      </w:r>
      <w:r>
        <w:rPr>
          <w:rFonts w:hint="eastAsia" w:ascii="宋体" w:hAnsi="宋体" w:cs="宋体"/>
          <w:color w:val="000000" w:themeColor="text1"/>
          <w:szCs w:val="21"/>
          <w14:textFill>
            <w14:solidFill>
              <w14:schemeClr w14:val="tx1"/>
            </w14:solidFill>
          </w14:textFill>
        </w:rPr>
        <w:t xml:space="preserve">报价应按照采购人提供的工程量清单的格式，不得改变工程量清单，不可竞争费用不得让利。供应商首轮报价应有详细的报价组成，不可竞争费用不得降低标准计取应按采购人提供的工程量清单及相关费用、费率报价。</w:t>
      </w:r>
      <w:r>
        <w:rPr>
          <w:rFonts w:hint="eastAsia" w:ascii="宋体" w:hAnsi="宋体" w:cs="宋体"/>
          <w:color w:val="000000" w:themeColor="text1"/>
          <w14:textFill>
            <w14:solidFill>
              <w14:schemeClr w14:val="tx1"/>
            </w14:solidFill>
          </w14:textFill>
        </w:rPr>
        <w:t xml:space="preserve">投标报价应是采购文件所确定的采购范围内相应设计图纸及相关资料的全部工作内容的价格体现。包括施工设备、劳务、管理、材料、安装、维护、利润、税金及政策性文件规定的各项应有费用等。供应商的投标报价，须使用工程量清单计价应用软件计价，</w:t>
      </w:r>
      <w:r>
        <w:rPr>
          <w:rFonts w:hint="eastAsia" w:ascii="宋体" w:hAnsi="宋体" w:cs="宋体"/>
          <w:i/>
          <w:iCs/>
          <w:color w:val="000000" w:themeColor="text1"/>
          <w:u w:val="single"/>
          <w14:textFill>
            <w14:solidFill>
              <w14:schemeClr w14:val="tx1"/>
            </w14:solidFill>
          </w14:textFill>
        </w:rPr>
        <w:t xml:space="preserve">提供已标价的工程量清单，清单中必须提供“</w:t>
      </w:r>
      <w:r>
        <w:rPr>
          <w:rFonts w:hint="eastAsia" w:ascii="宋体" w:hAnsi="宋体" w:cs="宋体"/>
          <w:b/>
          <w:bCs/>
          <w:i/>
          <w:iCs/>
          <w:color w:val="000000" w:themeColor="text1"/>
          <w:u w:val="single"/>
          <w14:textFill>
            <w14:solidFill>
              <w14:schemeClr w14:val="tx1"/>
            </w14:solidFill>
          </w14:textFill>
        </w:rPr>
        <w:t xml:space="preserve">综合单价分析表</w:t>
      </w:r>
      <w:r>
        <w:rPr>
          <w:rFonts w:hint="eastAsia" w:ascii="宋体" w:hAnsi="宋体" w:cs="宋体"/>
          <w:i/>
          <w:iCs/>
          <w:color w:val="000000" w:themeColor="text1"/>
          <w:u w:val="single"/>
          <w14:textFill>
            <w14:solidFill>
              <w14:schemeClr w14:val="tx1"/>
            </w14:solidFill>
          </w14:textFill>
        </w:rPr>
        <w:t xml:space="preserve">”</w:t>
      </w:r>
      <w:r>
        <w:rPr>
          <w:rFonts w:hint="eastAsia" w:ascii="宋体" w:hAnsi="宋体" w:cs="宋体"/>
          <w:color w:val="000000" w:themeColor="text1"/>
          <w14:textFill>
            <w14:solidFill>
              <w14:schemeClr w14:val="tx1"/>
            </w14:solidFill>
          </w14:textFill>
        </w:rPr>
        <w:t xml:space="preserve">。</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w:t>
      </w:r>
      <w:r>
        <w:rPr>
          <w:rFonts w:hint="eastAsia" w:ascii="宋体" w:hAnsi="宋体" w:cs="宋体"/>
          <w:i/>
          <w:iCs/>
          <w:color w:val="000000" w:themeColor="text1"/>
          <w:u w:val="single"/>
          <w14:textFill>
            <w14:solidFill>
              <w14:schemeClr w14:val="tx1"/>
            </w14:solidFill>
          </w14:textFill>
        </w:rPr>
        <w:t xml:space="preserve">响应文件不得改变或者遗漏工程量清单中分部分项工程量清单规定的项目编码、项目名称、项目特征、计量单位、工程量。</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3、供应商应对清单中的每一个项目进行报价（包括综合单价及合价），如漏项或缺项，则视为其费用已含在其他项目的综合单价或合价中，结算时不再增加，</w:t>
      </w:r>
      <w:r>
        <w:rPr>
          <w:rFonts w:hint="eastAsia" w:ascii="宋体" w:hAnsi="宋体" w:cs="宋体"/>
          <w:color w:val="000000" w:themeColor="text1"/>
          <w:szCs w:val="21"/>
          <w:lang w:bidi="ar"/>
          <w14:textFill>
            <w14:solidFill>
              <w14:schemeClr w14:val="tx1"/>
            </w14:solidFill>
          </w14:textFill>
        </w:rPr>
        <w:t xml:space="preserve">由供应商自行承担</w:t>
      </w:r>
      <w:r>
        <w:rPr>
          <w:rFonts w:hint="eastAsia" w:ascii="宋体" w:hAnsi="宋体" w:cs="宋体"/>
          <w:color w:val="000000" w:themeColor="text1"/>
          <w14:textFill>
            <w14:solidFill>
              <w14:schemeClr w14:val="tx1"/>
            </w14:solidFill>
          </w14:textFill>
        </w:rPr>
        <w:t xml:space="preserve">。</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4、投标报价方式</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本工程采用</w:t>
      </w:r>
      <w:r>
        <w:rPr>
          <w:rFonts w:hint="eastAsia" w:ascii="宋体" w:hAnsi="宋体" w:cs="宋体"/>
          <w:b/>
          <w:bCs/>
          <w:color w:val="000000" w:themeColor="text1"/>
          <w:u w:val="single"/>
          <w14:textFill>
            <w14:solidFill>
              <w14:schemeClr w14:val="tx1"/>
            </w14:solidFill>
          </w14:textFill>
        </w:rPr>
        <w:t xml:space="preserve"> 固定单价 </w:t>
      </w:r>
      <w:r>
        <w:rPr>
          <w:rFonts w:hint="eastAsia" w:ascii="宋体" w:hAnsi="宋体" w:cs="宋体"/>
          <w:color w:val="000000" w:themeColor="text1"/>
          <w14:textFill>
            <w14:solidFill>
              <w14:schemeClr w14:val="tx1"/>
            </w14:solidFill>
          </w14:textFill>
        </w:rPr>
        <w:t xml:space="preserve">报价，</w:t>
      </w:r>
      <w:r>
        <w:rPr>
          <w:rFonts w:hint="eastAsia" w:ascii="宋体" w:hAnsi="宋体" w:cs="宋体"/>
          <w:iCs/>
          <w:color w:val="000000" w:themeColor="text1"/>
          <w14:textFill>
            <w14:solidFill>
              <w14:schemeClr w14:val="tx1"/>
            </w14:solidFill>
          </w14:textFill>
        </w:rPr>
        <w:t xml:space="preserve">本项目承包范围为采购文件、工程量清单、附件范围相关的内容</w:t>
      </w:r>
      <w:r>
        <w:rPr>
          <w:rFonts w:hint="eastAsia" w:ascii="宋体" w:hAnsi="宋体" w:cs="宋体"/>
          <w:color w:val="000000" w:themeColor="text1"/>
          <w14:textFill>
            <w14:solidFill>
              <w14:schemeClr w14:val="tx1"/>
            </w14:solidFill>
          </w14:textFill>
        </w:rPr>
        <w:t xml:space="preserve">。</w:t>
      </w:r>
      <w:r/>
    </w:p>
    <w:p>
      <w:pPr>
        <w:ind w:firstLine="42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考虑到本工程实际情况，投标人应对工程施工现场场地条件和周围环境进行勘察，以获取编制响应文件和签署合同所需的所有资料，勘察现场所发生的费用由投标人承担，在踏勘现场中所发生的人员伤亡和财产损失由投标人自行负责。</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投标人到现场实地勘踏，应充分了解工地位置、情况、道路、储存空间、装卸限制、相关专业施工队伍的配合与衔接及任何其他（包括且不限于：施工临时设施、脚手架及现场运输设备、施工现场因政府部门规定而造成的各种限制条件等）足以影响承包价的情况，任何忽视或误解工地情况而导致的索赔或工期延长申请将不获得批准。</w:t>
      </w:r>
      <w:r/>
    </w:p>
    <w:p>
      <w:pPr>
        <w:pStyle w:val="1033"/>
        <w:ind w:firstLine="422"/>
        <w:spacing w:line="360" w:lineRule="auto"/>
        <w:rPr>
          <w:rFonts w:hAnsi="宋体" w:cs="宋体"/>
          <w:b/>
          <w:bCs/>
          <w:iCs/>
          <w:color w:val="000000" w:themeColor="text1"/>
          <w:sz w:val="21"/>
          <w:u w:val="single"/>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供应商应根据图纸和工程现场实际情况等资料，仔细核对采购人提供的工程量清单及预算，如有疑问须在答疑时提出。供应商的疑问未在采购文件规定的时间内提出或供应商未参加投标答疑的，采购人将认为供应商对所提供的工程量清单及预算书已确认，</w:t>
      </w:r>
      <w:r>
        <w:rPr>
          <w:rFonts w:hint="eastAsia" w:hAnsi="宋体" w:cs="宋体"/>
          <w:iCs/>
          <w:color w:val="000000" w:themeColor="text1"/>
          <w:sz w:val="21"/>
          <w14:textFill>
            <w14:solidFill>
              <w14:schemeClr w14:val="tx1"/>
            </w14:solidFill>
          </w14:textFill>
        </w:rPr>
        <w:t xml:space="preserve">视为采购人提供的工程量清单不存在问题。</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5、供应商应将下列不可竞争费用按照规定的标准计取，不得让利或降低标准计取：（1）现场安全、文明施工措施费；（2）社会保障费、公积金；（3）省级以上财政、税收、物价等部门批准的税金及行政性规费；（4）其他按照法律、法规规定的不可竞争费用；（5）材料暂估价格；（6）专业工程暂估价；（7）暂列金额。</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6、属可竞争费用由供应商自主报价的，须满足下列要求：供应商根据企业定额报价的项目，其人工、材料、机械消耗量远低于市场平均水平时，应附有详细分析资料；工程主要材料单价远低于同期扬州市造价管理部门发布的市场信息价的最低价格时，应附有材料供货单位的书面供应承诺。书面材料中要列出供货单位对材料的品牌、规格、质量等级、单价、数量等内容的承诺，并提供相关票据文件等证明材料；施工组织措施费用、管理费、利润远低于计国家及省计价规范标准时，应提供详细的分析资料。</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7、变更估价原则</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（1）已标价工程量清单中有适用于变更工程项目的，应采用该项目的单价。</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（2）由设计变更和采购人要求变动的内容引起的新的工程量清单项目，其对应的综合单价按下列方法确定：</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①. 响应文件中已有适用的综合单价，按响应文件中已有的综合单价确定；</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②. 响应文件中有类似的综合单价，参照类似的综合单价确定；</w:t>
      </w:r>
      <w:r/>
    </w:p>
    <w:p>
      <w:pPr>
        <w:ind w:firstLine="420"/>
        <w:spacing w:line="360" w:lineRule="auto"/>
        <w:rPr>
          <w:rFonts w:ascii="宋体" w:hAnsi="宋体" w:cs="宋体"/>
          <w:color w:val="000000" w:themeColor="text1"/>
          <w:lang w:val="zh-CN"/>
          <w14:textFill>
            <w14:solidFill>
              <w14:schemeClr w14:val="tx1"/>
            </w14:solidFill>
          </w14:textFill>
        </w:rPr>
      </w:pPr>
      <w:r>
        <w:rPr>
          <w:rFonts w:hint="eastAsia" w:ascii="宋体" w:hAnsi="宋体" w:cs="宋体"/>
          <w:color w:val="000000" w:themeColor="text1"/>
          <w:lang w:val="zh-CN"/>
          <w14:textFill>
            <w14:solidFill>
              <w14:schemeClr w14:val="tx1"/>
            </w14:solidFill>
          </w14:textFill>
        </w:rPr>
        <w:t xml:space="preserve">③. 响应文件中没有适用或类似的综合单价，由承包人提出综合单价，经发包人确认，审计单位审核后，按响应文件中的让利幅度同比率进行下浮结算。</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8、供应商成交后根据本单位的最终总报价和首轮明细报价，自行调整各明细单价（原则上除不可竞争费外，其他各分项报价同比例下浮）直至合价和最终报价（以元为单位，保留两位小数）相符，报采购人和预算编制单位审核，审核通过后，后期根据审核后的明细报价，按实结算。</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9、供应商需积极主动地配合采购人进行施工完毕后验收，确保通过检测和验收，若出现检测不合格或验收不合格的情况，供应商需要重新返工直至检测通过并且验收合格，由此导致的返工费等相关其他费用，由供应商自行承担，并且采购人有权从工程款中扣除。</w:t>
      </w:r>
      <w:r/>
    </w:p>
    <w:p>
      <w:pP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rPr>
          <w:rFonts w:ascii="宋体" w:hAnsi="宋体" w:cs="宋体"/>
          <w:color w:val="000000" w:themeColor="text1"/>
          <w:sz w:val="32"/>
          <w:szCs w:val="32"/>
          <w14:textFill>
            <w14:solidFill>
              <w14:schemeClr w14:val="tx1"/>
            </w14:solidFill>
          </w14:textFill>
        </w:rPr>
      </w:pPr>
      <w:r/>
      <w:bookmarkStart w:id="32" w:name="_Toc109304975"/>
      <w:r>
        <w:rPr>
          <w:rFonts w:hint="eastAsia" w:ascii="宋体" w:hAnsi="宋体" w:cs="宋体"/>
          <w:color w:val="000000" w:themeColor="text1"/>
          <w:sz w:val="32"/>
          <w:szCs w:val="32"/>
          <w14:textFill>
            <w14:solidFill>
              <w14:schemeClr w14:val="tx1"/>
            </w14:solidFill>
          </w14:textFill>
        </w:rPr>
        <w:br w:type="page" w:clear="all"/>
      </w:r>
      <w:r/>
    </w:p>
    <w:p>
      <w:pPr>
        <w:pStyle w:val="960"/>
        <w:jc w:val="center"/>
        <w:spacing w:line="360" w:lineRule="auto"/>
        <w:rPr>
          <w:rFonts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第五章 评审方法及评审标准</w:t>
      </w:r>
      <w:bookmarkEnd w:id="32"/>
      <w:r/>
      <w:r/>
    </w:p>
    <w:p>
      <w:pPr>
        <w:pStyle w:val="1018"/>
        <w:ind w:firstLine="422"/>
        <w:spacing w:before="0" w:after="0"/>
        <w:rPr>
          <w:rFonts w:ascii="宋体" w:hAnsi="宋体" w:cs="宋体"/>
          <w:b/>
          <w:color w:val="000000" w:themeColor="text1"/>
          <w:sz w:val="21"/>
          <w:szCs w:val="21"/>
          <w14:textFill>
            <w14:solidFill>
              <w14:schemeClr w14:val="tx1"/>
            </w14:solidFill>
          </w14:textFill>
        </w:rPr>
      </w:pPr>
      <w:r>
        <w:rPr>
          <w:rFonts w:hint="eastAsia" w:ascii="宋体" w:hAnsi="宋体" w:cs="宋体"/>
          <w:b/>
          <w:color w:val="000000" w:themeColor="text1"/>
          <w:sz w:val="21"/>
          <w:szCs w:val="21"/>
          <w14:textFill>
            <w14:solidFill>
              <w14:schemeClr w14:val="tx1"/>
            </w14:solidFill>
          </w14:textFill>
        </w:rPr>
        <w:t xml:space="preserve">一、评审方法</w:t>
      </w:r>
      <w:r/>
    </w:p>
    <w:p>
      <w:pPr>
        <w:pStyle w:val="984"/>
        <w:ind w:left="0"/>
        <w:spacing w:after="0"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r/>
    </w:p>
    <w:p>
      <w:pPr>
        <w:pStyle w:val="984"/>
        <w:ind w:left="0" w:firstLine="422"/>
        <w:spacing w:after="0" w:line="360" w:lineRule="auto"/>
        <w:rPr>
          <w:rFonts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二、政府采购政策功能落实</w:t>
      </w:r>
      <w:r/>
    </w:p>
    <w:p>
      <w:pPr>
        <w:pStyle w:val="984"/>
        <w:ind w:left="0"/>
        <w:spacing w:after="0"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984"/>
        <w:ind w:left="0"/>
        <w:spacing w:after="0"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1、小微型企业价格扣除</w:t>
      </w:r>
      <w:r/>
    </w:p>
    <w:p>
      <w:pPr>
        <w:pStyle w:val="984"/>
        <w:ind w:left="0"/>
        <w:spacing w:after="0"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（1）对小型和微型企业产品给予20%的扣除价格，用扣除后的价格参与评审。</w:t>
      </w:r>
      <w:r/>
    </w:p>
    <w:p>
      <w:pPr>
        <w:pStyle w:val="984"/>
        <w:ind w:left="0"/>
        <w:spacing w:after="0"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（2）供应商需按照采购文件的要求提供相应的《企业声明函》。</w:t>
      </w:r>
      <w:r/>
    </w:p>
    <w:p>
      <w:pPr>
        <w:pStyle w:val="984"/>
        <w:ind w:left="0"/>
        <w:spacing w:after="0"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2、残疾人福利单位价格扣除</w:t>
      </w:r>
      <w:r/>
    </w:p>
    <w:p>
      <w:pPr>
        <w:pStyle w:val="984"/>
        <w:ind w:left="0"/>
        <w:spacing w:after="0"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（1）对残疾人福利性单位视同小型、微型企业，给予20%的价格扣除，用扣除后的价格参与评审。</w:t>
      </w:r>
      <w:r/>
    </w:p>
    <w:p>
      <w:pPr>
        <w:pStyle w:val="984"/>
        <w:ind w:left="0"/>
        <w:spacing w:after="0"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（2）残疾人福利单位需按照采购文件的要求提供《残疾人福利性单位声明函》。</w:t>
      </w:r>
      <w:r/>
    </w:p>
    <w:p>
      <w:pPr>
        <w:pStyle w:val="984"/>
        <w:ind w:left="0"/>
        <w:spacing w:after="0"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（3）残疾人福利单位标准请参照《关于促进残疾人就业政府采购政策的通知》（财库〔2017〕141号）。</w:t>
      </w:r>
      <w:r/>
    </w:p>
    <w:p>
      <w:pPr>
        <w:pStyle w:val="984"/>
        <w:ind w:left="0"/>
        <w:spacing w:after="0"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3、监狱和戒毒企业价格扣除</w:t>
      </w:r>
      <w:r/>
    </w:p>
    <w:p>
      <w:pPr>
        <w:pStyle w:val="984"/>
        <w:ind w:left="0"/>
        <w:spacing w:after="0"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（1）对监狱和戒毒企业（简称监狱企业）视同小型、微型企业，给予20%的价格扣除，用扣除后的价格参与评审。</w:t>
      </w:r>
      <w:r/>
    </w:p>
    <w:p>
      <w:pPr>
        <w:pStyle w:val="984"/>
        <w:ind w:left="0"/>
        <w:spacing w:after="0"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84"/>
        <w:ind w:left="0"/>
        <w:spacing w:after="0"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（3）监狱企业标准请参照《关于政府采购支持监狱企业发展有关问题的通知》（财库</w:t>
      </w:r>
      <w:r>
        <w:rPr>
          <w:rFonts w:hint="eastAsia" w:ascii="宋体" w:hAnsi="宋体" w:cs="宋体"/>
          <w:color w:val="000000" w:themeColor="text1"/>
          <w14:textFill>
            <w14:solidFill>
              <w14:schemeClr w14:val="tx1"/>
            </w14:solidFill>
          </w14:textFill>
        </w:rPr>
        <w:br/>
      </w:r>
      <w:r>
        <w:rPr>
          <w:rFonts w:hint="eastAsia" w:ascii="宋体" w:hAnsi="宋体" w:cs="宋体"/>
          <w:color w:val="000000" w:themeColor="text1"/>
          <w14:textFill>
            <w14:solidFill>
              <w14:schemeClr w14:val="tx1"/>
            </w14:solidFill>
          </w14:textFill>
        </w:rPr>
        <w:t xml:space="preserve">[2014]68号）。</w:t>
      </w:r>
      <w:r/>
    </w:p>
    <w:p>
      <w:pPr>
        <w:pStyle w:val="984"/>
        <w:ind w:left="0"/>
        <w:spacing w:after="0"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4、残疾人福利单位、监狱企业属于小型、微型企业的，不重复享受政策。</w:t>
      </w:r>
      <w:r/>
    </w:p>
    <w:p>
      <w:pPr>
        <w:pStyle w:val="984"/>
        <w:ind w:left="0"/>
        <w:spacing w:after="0"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w:t>
      </w:r>
      <w:r/>
    </w:p>
    <w:p>
      <w:pPr>
        <w:pStyle w:val="984"/>
        <w:ind w:left="0"/>
        <w:spacing w:after="0"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6、联合体各方均为小型、微型企业（残疾人福利单位、监狱企业）的，联合体享受20%价格扣除，用扣除后的价格参与评审。</w:t>
      </w:r>
      <w:r/>
    </w:p>
    <w:p>
      <w:pPr>
        <w:pStyle w:val="984"/>
        <w:ind w:left="0"/>
        <w:spacing w:after="0"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7、大中型企业向小型、微型企业分包的，分包意向协议约定小型、微型企业合同份额占到合同总金额30%以上的，给予6%的价格扣除，用扣除后的价格参与评审。</w:t>
      </w:r>
      <w:r/>
    </w:p>
    <w:p>
      <w:pPr>
        <w:ind w:firstLine="422"/>
        <w:spacing w:line="360" w:lineRule="auto"/>
        <w:rPr>
          <w:rFonts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注：本项目专门面对中小企业采购，故对小微、残疾人和监狱戒毒企业不做价格扣除优惠。</w:t>
      </w:r>
      <w:r/>
    </w:p>
    <w:p>
      <w:pPr>
        <w:ind w:firstLine="422"/>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br w:type="page" w:clear="all"/>
      </w:r>
      <w:r/>
    </w:p>
    <w:p>
      <w:pPr>
        <w:pStyle w:val="1018"/>
        <w:ind w:firstLine="422"/>
        <w:rPr>
          <w:rFonts w:ascii="宋体" w:hAnsi="宋体" w:cs="宋体"/>
          <w:b/>
          <w:color w:val="000000" w:themeColor="text1"/>
          <w:sz w:val="21"/>
          <w:szCs w:val="21"/>
          <w14:textFill>
            <w14:solidFill>
              <w14:schemeClr w14:val="tx1"/>
            </w14:solidFill>
          </w14:textFill>
        </w:rPr>
      </w:pPr>
      <w:r>
        <w:rPr>
          <w:rFonts w:hint="eastAsia" w:ascii="宋体" w:hAnsi="宋体" w:cs="宋体"/>
          <w:b/>
          <w:color w:val="000000" w:themeColor="text1"/>
          <w:sz w:val="21"/>
          <w:szCs w:val="21"/>
          <w14:textFill>
            <w14:solidFill>
              <w14:schemeClr w14:val="tx1"/>
            </w14:solidFill>
          </w14:textFill>
        </w:rPr>
        <w:t xml:space="preserve">三、评审标准</w:t>
      </w:r>
      <w:r/>
    </w:p>
    <w:tbl>
      <w:tblPr>
        <w:tblStyle w:val="966"/>
        <w:tblW w:w="88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98"/>
        <w:gridCol w:w="1125"/>
        <w:gridCol w:w="6590"/>
      </w:tblGrid>
      <w:tr>
        <w:trPr>
          <w:jc w:val="center"/>
          <w:trHeight w:val="519"/>
        </w:trPr>
        <w:tc>
          <w:tcPr>
            <w:tcW w:w="1098" w:type="dxa"/>
            <w:vAlign w:val="center"/>
            <w:textDirection w:val="lrTb"/>
            <w:noWrap/>
          </w:tcPr>
          <w:p>
            <w:pPr>
              <w:rPr>
                <w:rFonts w:ascii="宋体" w:hAnsi="宋体" w:cs="宋体"/>
                <w:b/>
                <w:color w:val="000000" w:themeColor="text1"/>
                <w14:textFill>
                  <w14:solidFill>
                    <w14:schemeClr w14:val="tx1"/>
                  </w14:solidFill>
                </w14:textFill>
              </w:rPr>
            </w:pPr>
            <w:r/>
            <w:bookmarkStart w:id="33" w:name="_Toc109304976"/>
            <w:r>
              <w:rPr>
                <w:rFonts w:hint="eastAsia" w:ascii="宋体" w:hAnsi="宋体" w:cs="宋体"/>
                <w:color w:val="000000" w:themeColor="text1"/>
                <w14:textFill>
                  <w14:solidFill>
                    <w14:schemeClr w14:val="tx1"/>
                  </w14:solidFill>
                </w14:textFill>
              </w:rPr>
              <w:br w:type="page" w:clear="all"/>
            </w:r>
            <w:r>
              <w:rPr>
                <w:rFonts w:hint="eastAsia" w:ascii="宋体" w:hAnsi="宋体" w:cs="宋体"/>
                <w:b/>
                <w:color w:val="000000" w:themeColor="text1"/>
                <w14:textFill>
                  <w14:solidFill>
                    <w14:schemeClr w14:val="tx1"/>
                  </w14:solidFill>
                </w14:textFill>
              </w:rPr>
              <w:t xml:space="preserve">评审分项</w:t>
            </w:r>
            <w:r/>
          </w:p>
        </w:tc>
        <w:tc>
          <w:tcPr>
            <w:gridSpan w:val="2"/>
            <w:tcW w:w="7715" w:type="dxa"/>
            <w:vAlign w:val="center"/>
            <w:textDirection w:val="lrTb"/>
            <w:noWrap/>
          </w:tcPr>
          <w:p>
            <w:pPr>
              <w:jc w:val="center"/>
              <w:rPr>
                <w:rFonts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评审细则</w:t>
            </w:r>
            <w:r/>
          </w:p>
        </w:tc>
      </w:tr>
      <w:tr>
        <w:trPr>
          <w:jc w:val="center"/>
          <w:trHeight w:val="1320"/>
        </w:trPr>
        <w:tc>
          <w:tcPr>
            <w:tcW w:w="1098" w:type="dxa"/>
            <w:vAlign w:val="center"/>
            <w:textDirection w:val="lrTb"/>
            <w:noWrap/>
          </w:tcPr>
          <w:p>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报价得分（40分）</w:t>
            </w:r>
            <w:r/>
          </w:p>
        </w:tc>
        <w:tc>
          <w:tcPr>
            <w:gridSpan w:val="2"/>
            <w:tcW w:w="7715" w:type="dxa"/>
            <w:vAlign w:val="center"/>
            <w:textDirection w:val="lrTb"/>
            <w:noWrap/>
          </w:tcPr>
          <w:p>
            <w:pP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价格分统一采用低价优先法计算，即满足采购文件要求且磋商后价格最低的报价为评标基准价，其价格分为满分，其他投标人的价格分统一按照下列公式计算（小数点保留两位）：报价得分＝（评标基准价/磋商后报价）×40分。</w:t>
            </w:r>
            <w:r/>
          </w:p>
          <w:p>
            <w:pPr>
              <w:rPr>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注：评标委员会认为投标人的报价明显低于其他通过符合性审查投标人的报价，有可能影响产品质量或者不能诚信履约的，应当要求其在合理的时间内提供合理性书面说明，必要时提交相关证明材料；投标人不能证明其报价合理性的，评标委员会应当将其作为无效投标处理。</w:t>
            </w:r>
            <w:r/>
          </w:p>
        </w:tc>
      </w:tr>
      <w:tr>
        <w:trPr>
          <w:jc w:val="center"/>
          <w:trHeight w:val="1265"/>
        </w:trPr>
        <w:tc>
          <w:tcPr>
            <w:tcW w:w="1098" w:type="dxa"/>
            <w:vAlign w:val="center"/>
            <w:vMerge w:val="restart"/>
            <w:textDirection w:val="lrTb"/>
            <w:noWrap/>
          </w:tcPr>
          <w:p>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施工方案</w:t>
            </w:r>
            <w:r/>
          </w:p>
          <w:p>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（50分）</w:t>
            </w:r>
            <w:r/>
          </w:p>
        </w:tc>
        <w:tc>
          <w:tcPr>
            <w:tcW w:w="1125" w:type="dxa"/>
            <w:vAlign w:val="center"/>
            <w:textDirection w:val="lrTb"/>
            <w:noWrap/>
          </w:tcPr>
          <w:p>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施工总体部署（8分）</w:t>
            </w:r>
            <w:r/>
          </w:p>
        </w:tc>
        <w:tc>
          <w:tcPr>
            <w:tcW w:w="6590" w:type="dxa"/>
            <w:vAlign w:val="center"/>
            <w:textDirection w:val="lrTb"/>
            <w:noWrap/>
          </w:tcPr>
          <w:p>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施工总体部署，包含但不限于以下内容：确定项目的质量、进度、成本、安全、环保等管理目标，拟投入的最高人数和平均人数，劳动力使用计划、材料供应计划和机械设备供应计划等。</w:t>
            </w:r>
            <w:r/>
          </w:p>
          <w:p>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方案科学、严密、合理，描述详细，针对性和可操作性强的，且无瑕疵的得8分；</w:t>
            </w:r>
            <w:r/>
          </w:p>
          <w:p>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方案较科学合理，描述较为详细，针对性较强，或存在1处瑕疵的得6分；</w:t>
            </w:r>
            <w:r/>
          </w:p>
          <w:p>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方案基本合理，描述不到位，针对性和可操作性性一般的，或有2处瑕疵的得4分；</w:t>
            </w:r>
            <w:r/>
          </w:p>
          <w:p>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方案简单，描述略欠缺，存在一定实施难度的，或存在2处瑕疵的得2分；</w:t>
            </w:r>
            <w:r/>
          </w:p>
          <w:p>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未提供的或有4处瑕疵及以上的得0分。</w:t>
            </w:r>
            <w:r/>
          </w:p>
        </w:tc>
      </w:tr>
      <w:tr>
        <w:trPr>
          <w:jc w:val="center"/>
          <w:trHeight w:val="1269"/>
        </w:trPr>
        <w:tc>
          <w:tcPr>
            <w:tcW w:w="1098" w:type="dxa"/>
            <w:vAlign w:val="center"/>
            <w:vMerge w:val="continue"/>
            <w:textDirection w:val="lrTb"/>
            <w:noWrap/>
          </w:tcPr>
          <w:p>
            <w:pPr>
              <w:rPr>
                <w:rFonts w:ascii="宋体" w:hAnsi="宋体" w:cs="宋体"/>
                <w:bCs/>
                <w:color w:val="000000" w:themeColor="text1"/>
                <w14:textFill>
                  <w14:solidFill>
                    <w14:schemeClr w14:val="tx1"/>
                  </w14:solidFill>
                </w14:textFill>
              </w:rPr>
            </w:pPr>
            <w:r>
              <w:rPr>
                <w:rFonts w:ascii="宋体" w:hAnsi="宋体" w:cs="宋体"/>
                <w:bCs/>
                <w:color w:val="000000" w:themeColor="text1"/>
                <w14:textFill>
                  <w14:solidFill>
                    <w14:schemeClr w14:val="tx1"/>
                  </w14:solidFill>
                </w14:textFill>
              </w:rPr>
            </w:r>
            <w:r/>
          </w:p>
        </w:tc>
        <w:tc>
          <w:tcPr>
            <w:tcW w:w="1125" w:type="dxa"/>
            <w:vAlign w:val="center"/>
            <w:textDirection w:val="lrTb"/>
            <w:noWrap/>
          </w:tcPr>
          <w:p>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主要分部、分项施工方法（7分）</w:t>
            </w:r>
            <w:r/>
          </w:p>
        </w:tc>
        <w:tc>
          <w:tcPr>
            <w:tcW w:w="6590" w:type="dxa"/>
            <w:vAlign w:val="center"/>
            <w:textDirection w:val="lrTb"/>
            <w:noWrap/>
          </w:tcPr>
          <w:p>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主要分部、分项施工方法：包含且不限于以下内容：工程概况及施工特点分析、施工方法和施工机械的选择、分部（分项）工程的施工准备工作计划等内容。</w:t>
            </w:r>
            <w:r/>
          </w:p>
          <w:p>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施工总体部署，包含但不限于以下内容：确定项目的质量、进度、成本、安全、环保等管理目标，拟投入的最高人数和平均人数，劳动力使用计划、材料供应计划和机械设备供应计划等。</w:t>
            </w:r>
            <w:r/>
          </w:p>
          <w:p>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方案科学、严密、合理，描述详细，针对性和可操作性强的，且无瑕疵的得7分；</w:t>
            </w:r>
            <w:r/>
          </w:p>
          <w:p>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方案较科学合理，描述较为详细，针对性较强，或存在1处瑕疵的得5分；</w:t>
            </w:r>
            <w:r/>
          </w:p>
          <w:p>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方案基本合理，描述不到位，针对性和可操作性性一般的，或有2处瑕疵的得3分；</w:t>
            </w:r>
            <w:r/>
          </w:p>
          <w:p>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方案简单，描述略欠缺，存在一定实施难度的，或存在2处瑕疵的得1分；</w:t>
            </w:r>
            <w:r/>
          </w:p>
          <w:p>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未提供的或有4处瑕疵及以上的得0分。</w:t>
            </w:r>
            <w:r/>
          </w:p>
        </w:tc>
      </w:tr>
      <w:tr>
        <w:trPr>
          <w:jc w:val="center"/>
          <w:trHeight w:val="1698"/>
        </w:trPr>
        <w:tc>
          <w:tcPr>
            <w:tcW w:w="1098" w:type="dxa"/>
            <w:vAlign w:val="center"/>
            <w:vMerge w:val="continue"/>
            <w:textDirection w:val="lrTb"/>
            <w:noWrap/>
          </w:tcPr>
          <w:p>
            <w:pPr>
              <w:rPr>
                <w:rFonts w:ascii="宋体" w:hAnsi="宋体" w:cs="宋体"/>
                <w:bCs/>
                <w:color w:val="000000" w:themeColor="text1"/>
                <w14:textFill>
                  <w14:solidFill>
                    <w14:schemeClr w14:val="tx1"/>
                  </w14:solidFill>
                </w14:textFill>
              </w:rPr>
            </w:pPr>
            <w:r>
              <w:rPr>
                <w:rFonts w:ascii="宋体" w:hAnsi="宋体" w:cs="宋体"/>
                <w:bCs/>
                <w:color w:val="000000" w:themeColor="text1"/>
                <w14:textFill>
                  <w14:solidFill>
                    <w14:schemeClr w14:val="tx1"/>
                  </w14:solidFill>
                </w14:textFill>
              </w:rPr>
            </w:r>
            <w:r/>
          </w:p>
        </w:tc>
        <w:tc>
          <w:tcPr>
            <w:tcW w:w="1125" w:type="dxa"/>
            <w:vAlign w:val="center"/>
            <w:textDirection w:val="lrTb"/>
            <w:noWrap/>
          </w:tcPr>
          <w:p>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针对本工程特点采用的特殊措施（5分）</w:t>
            </w:r>
            <w:r/>
          </w:p>
        </w:tc>
        <w:tc>
          <w:tcPr>
            <w:tcW w:w="6590" w:type="dxa"/>
            <w:vAlign w:val="center"/>
            <w:textDirection w:val="lrTb"/>
            <w:noWrap/>
          </w:tcPr>
          <w:p>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针对本工程特点采用的特殊措施：包含但不限于：（1）如施工期间出现不可预见或预见不足给工期造成影响时,调整、增加专业队伍和施工人员及施工机械。（2）制定切实可行的抢工期措施及应急方案。（3）施工段采取整体与区域流水施工的方式，以压缩工期等内容。</w:t>
            </w:r>
            <w:r/>
          </w:p>
          <w:p>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方案科学、严密、合理，描述详细，针对性和可操作性强的，且无瑕疵的得5分；</w:t>
            </w:r>
            <w:r/>
          </w:p>
          <w:p>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方案基本合理，描述一般，针对性和可操作性性一般的，或有1处瑕疵的得3分；</w:t>
            </w:r>
            <w:r/>
          </w:p>
          <w:p>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方案简单，描述略欠缺，存在一定实施难度的，或有2处瑕疵的得1分；</w:t>
            </w:r>
            <w:r/>
          </w:p>
          <w:p>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未提供的或有3处瑕疵及以上的得0分。</w:t>
            </w:r>
            <w:r/>
          </w:p>
        </w:tc>
      </w:tr>
      <w:tr>
        <w:trPr>
          <w:jc w:val="center"/>
          <w:trHeight w:val="646"/>
        </w:trPr>
        <w:tc>
          <w:tcPr>
            <w:tcW w:w="1098" w:type="dxa"/>
            <w:vAlign w:val="center"/>
            <w:vMerge w:val="continue"/>
            <w:textDirection w:val="lrTb"/>
            <w:noWrap/>
          </w:tcPr>
          <w:p>
            <w:pPr>
              <w:rPr>
                <w:rFonts w:ascii="宋体" w:hAnsi="宋体" w:cs="宋体"/>
                <w:bCs/>
                <w:color w:val="000000" w:themeColor="text1"/>
                <w14:textFill>
                  <w14:solidFill>
                    <w14:schemeClr w14:val="tx1"/>
                  </w14:solidFill>
                </w14:textFill>
              </w:rPr>
            </w:pPr>
            <w:r>
              <w:rPr>
                <w:rFonts w:ascii="宋体" w:hAnsi="宋体" w:cs="宋体"/>
                <w:bCs/>
                <w:color w:val="000000" w:themeColor="text1"/>
                <w14:textFill>
                  <w14:solidFill>
                    <w14:schemeClr w14:val="tx1"/>
                  </w14:solidFill>
                </w14:textFill>
              </w:rPr>
            </w:r>
            <w:r/>
          </w:p>
        </w:tc>
        <w:tc>
          <w:tcPr>
            <w:tcW w:w="1125" w:type="dxa"/>
            <w:vAlign w:val="center"/>
            <w:textDirection w:val="lrTb"/>
            <w:noWrap/>
          </w:tcPr>
          <w:p>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季节性施工措施（5分）</w:t>
            </w:r>
            <w:r/>
          </w:p>
        </w:tc>
        <w:tc>
          <w:tcPr>
            <w:tcW w:w="6590" w:type="dxa"/>
            <w:vAlign w:val="center"/>
            <w:textDirection w:val="lrTb"/>
            <w:noWrap/>
          </w:tcPr>
          <w:p>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季节性施工措施：针对季节性特点和雨季等制定科学合理的施工措施。</w:t>
            </w:r>
            <w:r/>
          </w:p>
          <w:p>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措施科学、严密、合理，描述详细且具有针对性强的，且无瑕疵的得5分；</w:t>
            </w:r>
            <w:r/>
          </w:p>
          <w:p>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措施较科学、合理，描述较详细，针对性一般的，或有1处瑕疵的得3分；</w:t>
            </w:r>
            <w:r/>
          </w:p>
          <w:p>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措施不合理、描述略欠缺、针对性差的，或有2处瑕疵的得1分；</w:t>
            </w:r>
            <w:r/>
          </w:p>
          <w:p>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未提供的或有3处瑕疵及以上的得0分。</w:t>
            </w:r>
            <w:r/>
          </w:p>
        </w:tc>
      </w:tr>
      <w:tr>
        <w:trPr>
          <w:jc w:val="center"/>
          <w:trHeight w:val="1283"/>
        </w:trPr>
        <w:tc>
          <w:tcPr>
            <w:tcW w:w="1098" w:type="dxa"/>
            <w:vAlign w:val="center"/>
            <w:vMerge w:val="continue"/>
            <w:textDirection w:val="lrTb"/>
            <w:noWrap/>
          </w:tcPr>
          <w:p>
            <w:pPr>
              <w:rPr>
                <w:rFonts w:ascii="宋体" w:hAnsi="宋体" w:cs="宋体"/>
                <w:bCs/>
                <w:color w:val="000000" w:themeColor="text1"/>
                <w14:textFill>
                  <w14:solidFill>
                    <w14:schemeClr w14:val="tx1"/>
                  </w14:solidFill>
                </w14:textFill>
              </w:rPr>
            </w:pPr>
            <w:r>
              <w:rPr>
                <w:rFonts w:ascii="宋体" w:hAnsi="宋体" w:cs="宋体"/>
                <w:bCs/>
                <w:color w:val="000000" w:themeColor="text1"/>
                <w14:textFill>
                  <w14:solidFill>
                    <w14:schemeClr w14:val="tx1"/>
                  </w14:solidFill>
                </w14:textFill>
              </w:rPr>
            </w:r>
            <w:r/>
          </w:p>
        </w:tc>
        <w:tc>
          <w:tcPr>
            <w:tcW w:w="1125" w:type="dxa"/>
            <w:vAlign w:val="center"/>
            <w:textDirection w:val="lrTb"/>
            <w:noWrap/>
          </w:tcPr>
          <w:p>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质量保证措施（5分）</w:t>
            </w:r>
            <w:r/>
          </w:p>
        </w:tc>
        <w:tc>
          <w:tcPr>
            <w:tcW w:w="6590" w:type="dxa"/>
            <w:vAlign w:val="center"/>
            <w:textDirection w:val="lrTb"/>
            <w:noWrap/>
          </w:tcPr>
          <w:p>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质量保证措施：包含但不限于：明确质量目标、强调过程改进、采用适当的质量标准和方法、进行质量审计与评估、供应商评估、质量标准明确、合同条款与条件、供应商质量管理体系等。</w:t>
            </w:r>
            <w:r/>
          </w:p>
          <w:p>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措施科学、严密、合理，描述详细且具有针对性强的，且无瑕疵的得5分；</w:t>
            </w:r>
            <w:r/>
          </w:p>
          <w:p>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措施较科学、合理，描述较详细，针对性一般的，或有1处瑕疵的得4分；</w:t>
            </w:r>
            <w:r/>
          </w:p>
          <w:p>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措施基本合理，描述不到位，针对性和可操作性性一般的，或有2处瑕疵的得3分；</w:t>
            </w:r>
            <w:r/>
          </w:p>
          <w:p>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措施不合理、描述略欠缺、针对性差的，或有2处瑕疵的得1分；</w:t>
            </w:r>
            <w:r/>
          </w:p>
          <w:p>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未提供的或有3处瑕疵及以上的得0分。</w:t>
            </w:r>
            <w:r/>
          </w:p>
        </w:tc>
      </w:tr>
      <w:tr>
        <w:trPr>
          <w:jc w:val="center"/>
          <w:trHeight w:val="1976"/>
        </w:trPr>
        <w:tc>
          <w:tcPr>
            <w:tcW w:w="1098" w:type="dxa"/>
            <w:vAlign w:val="center"/>
            <w:vMerge w:val="continue"/>
            <w:textDirection w:val="lrTb"/>
            <w:noWrap/>
          </w:tcPr>
          <w:p>
            <w:pPr>
              <w:rPr>
                <w:rFonts w:ascii="宋体" w:hAnsi="宋体" w:cs="宋体"/>
                <w:bCs/>
                <w:color w:val="000000" w:themeColor="text1"/>
                <w14:textFill>
                  <w14:solidFill>
                    <w14:schemeClr w14:val="tx1"/>
                  </w14:solidFill>
                </w14:textFill>
              </w:rPr>
            </w:pPr>
            <w:r>
              <w:rPr>
                <w:rFonts w:ascii="宋体" w:hAnsi="宋体" w:cs="宋体"/>
                <w:bCs/>
                <w:color w:val="000000" w:themeColor="text1"/>
                <w14:textFill>
                  <w14:solidFill>
                    <w14:schemeClr w14:val="tx1"/>
                  </w14:solidFill>
                </w14:textFill>
              </w:rPr>
            </w:r>
            <w:r/>
          </w:p>
        </w:tc>
        <w:tc>
          <w:tcPr>
            <w:shd w:val="clear" w:color="auto" w:fill="auto"/>
            <w:tcW w:w="1125" w:type="dxa"/>
            <w:vAlign w:val="center"/>
            <w:textDirection w:val="lrTb"/>
            <w:noWrap/>
          </w:tcPr>
          <w:p>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安全生产和文明施工措施（5分）</w:t>
            </w:r>
            <w:r/>
          </w:p>
        </w:tc>
        <w:tc>
          <w:tcPr>
            <w:shd w:val="clear" w:color="auto" w:fill="auto"/>
            <w:tcW w:w="6590" w:type="dxa"/>
            <w:vAlign w:val="center"/>
            <w:textDirection w:val="lrTb"/>
            <w:noWrap/>
          </w:tcPr>
          <w:p>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安全生产和文明施工措施：包含且不限于（1）进行现场文化建设。（2）规范场容，保持作业环境整洁卫生。（3）创造有序生产的条件。（4）减少对居民和环境的不利影响等。</w:t>
            </w:r>
            <w:r/>
          </w:p>
          <w:p>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安全文明施工及环境保护措施合理、全面，符合相关标准、规范、规程，针对性强的，且无瑕疵的得5分；</w:t>
            </w:r>
            <w:r/>
          </w:p>
          <w:p>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安全文明施工及环境保护措施简单，针对性一般的，或有1处瑕疵的得3分；</w:t>
            </w:r>
            <w:r/>
          </w:p>
          <w:p>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措施简单，描述略欠缺，存在一定实施难度的，或有2处瑕疵的得1分；</w:t>
            </w:r>
            <w:r/>
          </w:p>
          <w:p>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未提供的或有3处瑕疵及以上的得0分。</w:t>
            </w:r>
            <w:r/>
          </w:p>
        </w:tc>
      </w:tr>
      <w:tr>
        <w:trPr>
          <w:jc w:val="center"/>
          <w:trHeight w:val="729"/>
        </w:trPr>
        <w:tc>
          <w:tcPr>
            <w:tcW w:w="1098" w:type="dxa"/>
            <w:vAlign w:val="center"/>
            <w:vMerge w:val="continue"/>
            <w:textDirection w:val="lrTb"/>
            <w:noWrap/>
          </w:tcPr>
          <w:p>
            <w:pPr>
              <w:rPr>
                <w:rFonts w:ascii="宋体" w:hAnsi="宋体" w:cs="宋体"/>
                <w:bCs/>
                <w:color w:val="000000" w:themeColor="text1"/>
                <w14:textFill>
                  <w14:solidFill>
                    <w14:schemeClr w14:val="tx1"/>
                  </w14:solidFill>
                </w14:textFill>
              </w:rPr>
            </w:pPr>
            <w:r>
              <w:rPr>
                <w:rFonts w:ascii="宋体" w:hAnsi="宋体" w:cs="宋体"/>
                <w:bCs/>
                <w:color w:val="000000" w:themeColor="text1"/>
                <w14:textFill>
                  <w14:solidFill>
                    <w14:schemeClr w14:val="tx1"/>
                  </w14:solidFill>
                </w14:textFill>
              </w:rPr>
            </w:r>
            <w:r/>
          </w:p>
        </w:tc>
        <w:tc>
          <w:tcPr>
            <w:tcW w:w="1125" w:type="dxa"/>
            <w:vAlign w:val="center"/>
            <w:textDirection w:val="lrTb"/>
            <w:noWrap/>
          </w:tcPr>
          <w:p>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工期保证措施（5分）</w:t>
            </w:r>
            <w:r/>
          </w:p>
        </w:tc>
        <w:tc>
          <w:tcPr>
            <w:tcW w:w="6590" w:type="dxa"/>
            <w:vAlign w:val="center"/>
            <w:textDirection w:val="lrTb"/>
            <w:noWrap/>
          </w:tcPr>
          <w:p>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工期保证措施：包含且不限于：根据工期及施工定额计算，合理安排人、机、料进场计划，对分项工程组织流水施工、分项工程工期尽量提前，以消化外界因素对工期的损失、分解施工任务到生产班组，并实行工期目标奖、及时作好分项工程的实验、检查、签证工作，以保证下一道工序的正常开工、提前准备出赶工所需要的施工机械设备、工具、材料、施工人员及后勤保障等。</w:t>
            </w:r>
            <w:r/>
          </w:p>
          <w:p>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计划安排较合理，保证措施较全面，针对性较强的，且无瑕疵的得5分；</w:t>
            </w:r>
            <w:r/>
          </w:p>
          <w:p>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计划安排略有欠缺，保证措施一般，可行性一般的，或有1处瑕疵的得3分；</w:t>
            </w:r>
            <w:r/>
          </w:p>
          <w:p>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计划安排不太合理，保证措施不全面，可行性差的，或有2处瑕疵的得1分；</w:t>
            </w:r>
            <w:r/>
          </w:p>
          <w:p>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未提供的或有3处瑕疵及以上的得0分。</w:t>
            </w:r>
            <w:r/>
          </w:p>
        </w:tc>
      </w:tr>
      <w:tr>
        <w:trPr>
          <w:jc w:val="center"/>
          <w:trHeight w:val="2466"/>
        </w:trPr>
        <w:tc>
          <w:tcPr>
            <w:tcW w:w="1098" w:type="dxa"/>
            <w:vAlign w:val="center"/>
            <w:vMerge w:val="continue"/>
            <w:textDirection w:val="lrTb"/>
            <w:noWrap/>
          </w:tcPr>
          <w:p>
            <w:pPr>
              <w:rPr>
                <w:rFonts w:ascii="宋体" w:hAnsi="宋体" w:cs="宋体"/>
                <w:bCs/>
                <w:color w:val="000000" w:themeColor="text1"/>
                <w14:textFill>
                  <w14:solidFill>
                    <w14:schemeClr w14:val="tx1"/>
                  </w14:solidFill>
                </w14:textFill>
              </w:rPr>
            </w:pPr>
            <w:r>
              <w:rPr>
                <w:rFonts w:ascii="宋体" w:hAnsi="宋体" w:cs="宋体"/>
                <w:bCs/>
                <w:color w:val="000000" w:themeColor="text1"/>
                <w14:textFill>
                  <w14:solidFill>
                    <w14:schemeClr w14:val="tx1"/>
                  </w14:solidFill>
                </w14:textFill>
              </w:rPr>
            </w:r>
            <w:r/>
          </w:p>
        </w:tc>
        <w:tc>
          <w:tcPr>
            <w:tcW w:w="1125" w:type="dxa"/>
            <w:vAlign w:val="center"/>
            <w:textDirection w:val="lrTb"/>
            <w:noWrap/>
          </w:tcPr>
          <w:p>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降低成本、提高经济效益措施（5分）</w:t>
            </w:r>
            <w:r/>
          </w:p>
        </w:tc>
        <w:tc>
          <w:tcPr>
            <w:tcW w:w="6590" w:type="dxa"/>
            <w:vAlign w:val="center"/>
            <w:textDirection w:val="lrTb"/>
            <w:noWrap/>
          </w:tcPr>
          <w:p>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降低成本、提高经济效益措施：包含且不限于（1）加强工程项目的成本管理。（2）加强现场材料管理。（3）加强劳动力的调度与管理。（4）选用先进合理的施工工艺及施工方法。（5）合理组织施工等。</w:t>
            </w:r>
            <w:r/>
          </w:p>
          <w:p>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措施科学、严密、合理，描述详细且具有针对性，且无瑕疵的得5分；</w:t>
            </w:r>
            <w:r/>
          </w:p>
          <w:p>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措施较科学、合理，描述较详细，针对性较强的，或有1处瑕疵的得3分；</w:t>
            </w:r>
            <w:r/>
          </w:p>
          <w:p>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措施简单，描述略欠缺，存在一定实施难度的，或有2处瑕疵的得1分；</w:t>
            </w:r>
            <w:r/>
          </w:p>
          <w:p>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未提供的或有3处瑕疵及以上的得0分。</w:t>
            </w:r>
            <w:r/>
          </w:p>
        </w:tc>
      </w:tr>
      <w:tr>
        <w:trPr>
          <w:jc w:val="center"/>
          <w:trHeight w:val="2466"/>
        </w:trPr>
        <w:tc>
          <w:tcPr>
            <w:tcW w:w="1098" w:type="dxa"/>
            <w:vAlign w:val="center"/>
            <w:vMerge w:val="continue"/>
            <w:textDirection w:val="lrTb"/>
            <w:noWrap/>
          </w:tcPr>
          <w:p>
            <w:pPr>
              <w:rPr>
                <w:rFonts w:ascii="宋体" w:hAnsi="宋体" w:cs="宋体"/>
                <w:bCs/>
                <w:color w:val="000000" w:themeColor="text1"/>
                <w14:textFill>
                  <w14:solidFill>
                    <w14:schemeClr w14:val="tx1"/>
                  </w14:solidFill>
                </w14:textFill>
              </w:rPr>
            </w:pPr>
            <w:r>
              <w:rPr>
                <w:rFonts w:ascii="宋体" w:hAnsi="宋体" w:cs="宋体"/>
                <w:bCs/>
                <w:color w:val="000000" w:themeColor="text1"/>
                <w14:textFill>
                  <w14:solidFill>
                    <w14:schemeClr w14:val="tx1"/>
                  </w14:solidFill>
                </w14:textFill>
              </w:rPr>
            </w:r>
            <w:r/>
          </w:p>
        </w:tc>
        <w:tc>
          <w:tcPr>
            <w:tcW w:w="1125" w:type="dxa"/>
            <w:vAlign w:val="center"/>
            <w:textDirection w:val="lrTb"/>
            <w:noWrap/>
          </w:tcPr>
          <w:p>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绿色建筑施工方案（5分）</w:t>
            </w:r>
            <w:r/>
          </w:p>
        </w:tc>
        <w:tc>
          <w:tcPr>
            <w:tcW w:w="6590" w:type="dxa"/>
            <w:vAlign w:val="center"/>
            <w:textDirection w:val="lrTb"/>
            <w:noWrap/>
          </w:tcPr>
          <w:p>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绿色建筑施工方案：包含但不限于以下内容：（1）节能措施：施工过程能耗控制、可再生能源利用、高效节能设备选用等；（2）节地措施：施工总平面优化、临时用地节约、土地资源保护等；（3）节水措施：施工用水循环利用、节水器具配置、雨水收集利用等；（4）节材措施：绿色建材选用、建筑垃圾减量与回收利用、材料损耗控制等；（5）环保措施：施工扬尘治理、噪声控制、污水达标排放、土壤及生态保护等；（6）绿色施工过程管控：专项施工计划、技术交底、过程监测与验收等。</w:t>
            </w:r>
            <w:r/>
          </w:p>
          <w:p>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方案科学、全面、针对性强，各项措施具体可行，完全符合绿色建筑施工规范及相关标准，且无瑕疵的得 5 分；</w:t>
            </w:r>
            <w:r/>
          </w:p>
          <w:p>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方案较科学合理，覆盖主要绿色施工要求，措施较具体，针对性较强，或存在 1 处轻微瑕疵的得 3 分；</w:t>
            </w:r>
            <w:r/>
          </w:p>
          <w:p>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方案基本符合绿色施工要求，但内容不够详细，措施针对性一般，或存在 2 处瑕疵的得 1 分；</w:t>
            </w:r>
            <w:r/>
          </w:p>
          <w:p>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未提供方案，或方案不符合绿色建筑施工核心要求，存在 3 处及以上瑕疵的得 0 分。</w:t>
            </w:r>
            <w:r/>
          </w:p>
        </w:tc>
      </w:tr>
      <w:tr>
        <w:trPr>
          <w:jc w:val="center"/>
          <w:trHeight w:val="1679"/>
        </w:trPr>
        <w:tc>
          <w:tcPr>
            <w:tcW w:w="1098" w:type="dxa"/>
            <w:vAlign w:val="center"/>
            <w:vMerge w:val="restart"/>
            <w:textDirection w:val="lrTb"/>
            <w:noWrap/>
          </w:tcPr>
          <w:p>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商务部分（10分）</w:t>
            </w:r>
            <w:r/>
          </w:p>
        </w:tc>
        <w:tc>
          <w:tcPr>
            <w:tcW w:w="1125" w:type="dxa"/>
            <w:vAlign w:val="center"/>
            <w:textDirection w:val="lrTb"/>
            <w:noWrap/>
          </w:tcPr>
          <w:p>
            <w:pPr>
              <w:jc w:val="cente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业绩</w:t>
            </w:r>
            <w:r/>
          </w:p>
          <w:p>
            <w:pPr>
              <w:jc w:val="cente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（6分）</w:t>
            </w:r>
            <w:r/>
          </w:p>
        </w:tc>
        <w:tc>
          <w:tcPr>
            <w:tcW w:w="6590" w:type="dxa"/>
            <w:vAlign w:val="center"/>
            <w:textDirection w:val="lrTb"/>
            <w:noWrap/>
          </w:tcPr>
          <w:p>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1、企业自2023年01月01日以来（以竣工验收证明材料时间为准）承担过类似工程业绩的，每提供一个得1分，满分3分。</w:t>
            </w:r>
            <w:r/>
          </w:p>
          <w:p>
            <w:pPr>
              <w:rPr>
                <w:rFonts w:ascii="宋体" w:hAnsi="宋体" w:cs="宋体"/>
                <w:b/>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2、项目负责人自2023年01月01日以来（以竣工验收证明材料时间为准）承担过类似工程业绩的，每提供一个得1分，满分3分。</w:t>
            </w:r>
            <w:r/>
          </w:p>
          <w:p>
            <w:pPr>
              <w:rPr>
                <w:rFonts w:ascii="宋体" w:hAnsi="宋体" w:cs="宋体"/>
                <w:b/>
                <w:color w:val="000000" w:themeColor="text1"/>
                <w14:textFill>
                  <w14:solidFill>
                    <w14:schemeClr w14:val="tx1"/>
                  </w14:solidFill>
                </w14:textFill>
              </w:rPr>
            </w:pPr>
            <w:r>
              <w:rPr>
                <w:rFonts w:ascii="宋体" w:hAnsi="宋体" w:cs="宋体"/>
                <w:b/>
                <w:color w:val="000000" w:themeColor="text1"/>
                <w14:textFill>
                  <w14:solidFill>
                    <w14:schemeClr w14:val="tx1"/>
                  </w14:solidFill>
                </w14:textFill>
              </w:rPr>
            </w:r>
            <w:r/>
          </w:p>
          <w:p>
            <w:pPr>
              <w:rPr>
                <w:rFonts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注：1、须同时提供中标通知书或直接发包通知书或成交通知书、施工合同、竣工验收证明材料原件扫描上传并加盖公章，关键信息模糊或未提供证明材料的不得分。</w:t>
            </w:r>
            <w:r/>
          </w:p>
          <w:p>
            <w:pPr>
              <w:pStyle w:val="967"/>
              <w:rPr>
                <w:color w:val="000000" w:themeColor="text1"/>
                <w14:textFill>
                  <w14:solidFill>
                    <w14:schemeClr w14:val="tx1"/>
                  </w14:solidFill>
                </w14:textFill>
              </w:rPr>
            </w:pPr>
            <w:r>
              <w:rPr>
                <w:rFonts w:hint="eastAsia"/>
                <w:b/>
                <w:bCs/>
                <w:color w:val="000000" w:themeColor="text1"/>
                <w:sz w:val="21"/>
                <w:szCs w:val="21"/>
                <w14:textFill>
                  <w14:solidFill>
                    <w14:schemeClr w14:val="tx1"/>
                  </w14:solidFill>
                </w14:textFill>
              </w:rPr>
              <w:t xml:space="preserve">2、若供应商提供的企业业绩与项目负责人业绩为同一合同项目，则该业绩仅作为企业业绩或项目负责人业绩中的一项计分（或认定），不重复计算。</w:t>
            </w:r>
            <w:r/>
          </w:p>
        </w:tc>
      </w:tr>
      <w:tr>
        <w:trPr>
          <w:jc w:val="center"/>
          <w:trHeight w:val="2289"/>
        </w:trPr>
        <w:tc>
          <w:tcPr>
            <w:tcW w:w="1098" w:type="dxa"/>
            <w:vAlign w:val="center"/>
            <w:vMerge w:val="continue"/>
            <w:textDirection w:val="lrTb"/>
            <w:noWrap/>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1125" w:type="dxa"/>
            <w:vAlign w:val="center"/>
            <w:textDirection w:val="lrTb"/>
            <w:noWrap/>
          </w:tcPr>
          <w:p>
            <w:pPr>
              <w:jc w:val="center"/>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人员配备</w:t>
            </w:r>
            <w:r/>
          </w:p>
          <w:p>
            <w:pPr>
              <w:jc w:val="center"/>
              <w:rPr>
                <w:rFonts w:ascii="宋体" w:hAnsi="宋体" w:cs="宋体"/>
                <w:bCs/>
                <w:color w:val="000000" w:themeColor="text1"/>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（4分）</w:t>
            </w:r>
            <w:r/>
          </w:p>
        </w:tc>
        <w:tc>
          <w:tcPr>
            <w:tcW w:w="6590" w:type="dxa"/>
            <w:vAlign w:val="center"/>
            <w:textDirection w:val="lrTb"/>
            <w:noWrap/>
          </w:tcPr>
          <w:p>
            <w:pPr>
              <w:pStyle w:val="967"/>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1、项目组成员中具备</w:t>
            </w:r>
            <w:bookmarkStart w:id="34" w:name="OLE_LINK3"/>
            <w:r/>
            <w:bookmarkStart w:id="35" w:name="OLE_LINK4"/>
            <w:r>
              <w:rPr>
                <w:rFonts w:hint="eastAsia"/>
                <w:color w:val="000000" w:themeColor="text1"/>
                <w:sz w:val="21"/>
                <w:szCs w:val="21"/>
                <w14:textFill>
                  <w14:solidFill>
                    <w14:schemeClr w14:val="tx1"/>
                  </w14:solidFill>
                </w14:textFill>
              </w:rPr>
              <w:t xml:space="preserve">注册二级造价工程师证书的得1分</w:t>
            </w:r>
            <w:bookmarkEnd w:id="34"/>
            <w:r/>
            <w:bookmarkEnd w:id="35"/>
            <w:r>
              <w:rPr>
                <w:rFonts w:hint="eastAsia"/>
                <w:color w:val="000000" w:themeColor="text1"/>
                <w:sz w:val="21"/>
                <w:szCs w:val="21"/>
                <w14:textFill>
                  <w14:solidFill>
                    <w14:schemeClr w14:val="tx1"/>
                  </w14:solidFill>
                </w14:textFill>
              </w:rPr>
              <w:t xml:space="preserve">，注册一级造价工程师证书的得2分，没有不得分，满分2分。</w:t>
            </w:r>
            <w:r/>
          </w:p>
          <w:p>
            <w:pPr>
              <w:pStyle w:val="967"/>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2、项目组成员中具备注册安全工程师得2分，没有不得分，满分2分。</w:t>
            </w:r>
            <w:r/>
          </w:p>
          <w:p>
            <w:pPr>
              <w:pStyle w:val="967"/>
              <w:rPr>
                <w:b/>
                <w:bCs/>
                <w:color w:val="000000" w:themeColor="text1"/>
                <w:sz w:val="21"/>
                <w:szCs w:val="21"/>
                <w14:textFill>
                  <w14:solidFill>
                    <w14:schemeClr w14:val="tx1"/>
                  </w14:solidFill>
                </w14:textFill>
              </w:rPr>
            </w:pPr>
            <w:r>
              <w:rPr>
                <w:b/>
                <w:bCs/>
                <w:color w:val="000000" w:themeColor="text1"/>
                <w:sz w:val="21"/>
                <w:szCs w:val="21"/>
                <w14:textFill>
                  <w14:solidFill>
                    <w14:schemeClr w14:val="tx1"/>
                  </w14:solidFill>
                </w14:textFill>
              </w:rPr>
            </w:r>
            <w:r/>
          </w:p>
          <w:p>
            <w:pPr>
              <w:pStyle w:val="967"/>
              <w:rPr>
                <w:rFonts w:hAnsi="宋体" w:cs="宋体"/>
                <w:b/>
                <w:color w:val="000000" w:themeColor="text1"/>
                <w14:textFill>
                  <w14:solidFill>
                    <w14:schemeClr w14:val="tx1"/>
                  </w14:solidFill>
                </w14:textFill>
              </w:rPr>
            </w:pPr>
            <w:r>
              <w:rPr>
                <w:rFonts w:hint="eastAsia"/>
                <w:b/>
                <w:bCs/>
                <w:color w:val="000000" w:themeColor="text1"/>
                <w:sz w:val="21"/>
                <w:szCs w:val="21"/>
                <w14:textFill>
                  <w14:solidFill>
                    <w14:schemeClr w14:val="tx1"/>
                  </w14:solidFill>
                </w14:textFill>
              </w:rPr>
              <w:t xml:space="preserve">注：以上人员提供投标人为其缴纳的近3个月内任意一个月的社会保险证明及证书原件扫描上传，并加盖公章，否则不得分。</w:t>
            </w:r>
            <w:r/>
          </w:p>
        </w:tc>
      </w:tr>
    </w:tbl>
    <w:p>
      <w:pPr>
        <w:pStyle w:val="1018"/>
        <w:ind w:firstLine="0"/>
        <w:rPr>
          <w:rFonts w:ascii="宋体" w:hAnsi="宋体" w:cs="宋体"/>
          <w:b/>
          <w:bCs/>
          <w:color w:val="000000" w:themeColor="text1"/>
          <w:sz w:val="21"/>
          <w:szCs w:val="21"/>
          <w14:textFill>
            <w14:solidFill>
              <w14:schemeClr w14:val="tx1"/>
            </w14:solidFill>
          </w14:textFill>
        </w:rPr>
      </w:pPr>
      <w:r>
        <w:rPr>
          <w:rFonts w:hint="eastAsia" w:ascii="宋体" w:hAnsi="宋体" w:cs="宋体"/>
          <w:b/>
          <w:bCs/>
          <w:color w:val="000000" w:themeColor="text1"/>
          <w:sz w:val="21"/>
          <w:szCs w:val="21"/>
          <w14:textFill>
            <w14:solidFill>
              <w14:schemeClr w14:val="tx1"/>
            </w14:solidFill>
          </w14:textFill>
        </w:rPr>
        <w:t xml:space="preserve">注：评委应对以上各得分项独立评分，供应商最终得分为所有评委评分汇总的平均值。</w:t>
      </w:r>
      <w:r/>
    </w:p>
    <w:p>
      <w:pPr>
        <w:rPr>
          <w:rFonts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br w:type="page" w:clear="all"/>
      </w:r>
      <w:r/>
    </w:p>
    <w:p>
      <w:pPr>
        <w:pStyle w:val="960"/>
        <w:jc w:val="center"/>
        <w:spacing w:line="360" w:lineRule="auto"/>
        <w:rPr>
          <w:rFonts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第六章 竞争性磋商响应文件格式</w:t>
      </w:r>
      <w:bookmarkEnd w:id="2"/>
      <w:r/>
      <w:bookmarkEnd w:id="33"/>
      <w:r/>
      <w:r/>
    </w:p>
    <w:p>
      <w:pPr>
        <w:jc w:val="center"/>
        <w:spacing w:line="360" w:lineRule="auto"/>
        <w:rPr>
          <w:rFonts w:ascii="宋体" w:hAnsi="宋体" w:cs="宋体"/>
          <w:b/>
          <w:color w:val="000000" w:themeColor="text1"/>
          <w:sz w:val="22"/>
          <w14:textFill>
            <w14:solidFill>
              <w14:schemeClr w14:val="tx1"/>
            </w14:solidFill>
          </w14:textFill>
        </w:rPr>
      </w:pPr>
      <w:r>
        <w:rPr>
          <w:rFonts w:ascii="宋体" w:hAnsi="宋体" w:cs="宋体"/>
          <w:b/>
          <w:color w:val="000000" w:themeColor="text1"/>
          <w:sz w:val="22"/>
          <w14:textFill>
            <w14:solidFill>
              <w14:schemeClr w14:val="tx1"/>
            </w14:solidFill>
          </w14:textFill>
        </w:rPr>
      </w:r>
      <w:r/>
    </w:p>
    <w:p>
      <w:pPr>
        <w:pStyle w:val="962"/>
        <w:spacing w:line="360" w:lineRule="auto"/>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spacing w:line="360" w:lineRule="auto"/>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jc w:val="center"/>
        <w:spacing w:line="360" w:lineRule="auto"/>
        <w:rPr>
          <w:rFonts w:ascii="宋体" w:hAnsi="宋体" w:cs="宋体"/>
          <w:b/>
          <w:bCs/>
          <w:color w:val="000000" w:themeColor="text1"/>
          <w:sz w:val="72"/>
          <w:szCs w:val="72"/>
          <w14:textFill>
            <w14:solidFill>
              <w14:schemeClr w14:val="tx1"/>
            </w14:solidFill>
          </w14:textFill>
        </w:rPr>
      </w:pPr>
      <w:r>
        <w:rPr>
          <w:rFonts w:hint="eastAsia" w:ascii="宋体" w:hAnsi="宋体" w:cs="宋体"/>
          <w:b/>
          <w:bCs/>
          <w:color w:val="000000" w:themeColor="text1"/>
          <w:sz w:val="52"/>
          <w:szCs w:val="52"/>
          <w14:textFill>
            <w14:solidFill>
              <w14:schemeClr w14:val="tx1"/>
            </w14:solidFill>
          </w14:textFill>
        </w:rPr>
        <w:t xml:space="preserve">响应文件</w:t>
      </w:r>
      <w:r/>
    </w:p>
    <w:p>
      <w:pPr>
        <w:jc w:val="center"/>
        <w:spacing w:line="360" w:lineRule="auto"/>
        <w:rPr>
          <w:rFonts w:ascii="宋体" w:hAnsi="宋体" w:cs="宋体"/>
          <w:b/>
          <w:color w:val="000000" w:themeColor="text1"/>
          <w:sz w:val="36"/>
          <w:szCs w:val="21"/>
          <w14:textFill>
            <w14:solidFill>
              <w14:schemeClr w14:val="tx1"/>
            </w14:solidFill>
          </w14:textFill>
        </w:rPr>
      </w:pPr>
      <w:r>
        <w:rPr>
          <w:rFonts w:ascii="宋体" w:hAnsi="宋体" w:cs="宋体"/>
          <w:b/>
          <w:color w:val="000000" w:themeColor="text1"/>
          <w:sz w:val="36"/>
          <w:szCs w:val="21"/>
          <w14:textFill>
            <w14:solidFill>
              <w14:schemeClr w14:val="tx1"/>
            </w14:solidFill>
          </w14:textFill>
        </w:rPr>
      </w:r>
      <w:r/>
    </w:p>
    <w:p>
      <w:pPr>
        <w:jc w:val="center"/>
        <w:spacing w:line="360" w:lineRule="auto"/>
        <w:rPr>
          <w:rFonts w:ascii="宋体" w:hAnsi="宋体" w:cs="宋体"/>
          <w:b/>
          <w:color w:val="000000" w:themeColor="text1"/>
          <w:sz w:val="36"/>
          <w:szCs w:val="21"/>
          <w14:textFill>
            <w14:solidFill>
              <w14:schemeClr w14:val="tx1"/>
            </w14:solidFill>
          </w14:textFill>
        </w:rPr>
      </w:pPr>
      <w:r>
        <w:rPr>
          <w:rFonts w:ascii="宋体" w:hAnsi="宋体" w:cs="宋体"/>
          <w:b/>
          <w:color w:val="000000" w:themeColor="text1"/>
          <w:sz w:val="36"/>
          <w:szCs w:val="21"/>
          <w14:textFill>
            <w14:solidFill>
              <w14:schemeClr w14:val="tx1"/>
            </w14:solidFill>
          </w14:textFill>
        </w:rPr>
      </w:r>
      <w:r/>
    </w:p>
    <w:p>
      <w:pPr>
        <w:jc w:val="center"/>
        <w:spacing w:line="360" w:lineRule="auto"/>
        <w:rPr>
          <w:rFonts w:ascii="宋体" w:hAnsi="宋体" w:cs="宋体"/>
          <w:b/>
          <w:color w:val="000000" w:themeColor="text1"/>
          <w:sz w:val="36"/>
          <w:szCs w:val="21"/>
          <w14:textFill>
            <w14:solidFill>
              <w14:schemeClr w14:val="tx1"/>
            </w14:solidFill>
          </w14:textFill>
        </w:rPr>
      </w:pPr>
      <w:r>
        <w:rPr>
          <w:rFonts w:ascii="宋体" w:hAnsi="宋体" w:cs="宋体"/>
          <w:b/>
          <w:color w:val="000000" w:themeColor="text1"/>
          <w:sz w:val="36"/>
          <w:szCs w:val="21"/>
          <w14:textFill>
            <w14:solidFill>
              <w14:schemeClr w14:val="tx1"/>
            </w14:solidFill>
          </w14:textFill>
        </w:rPr>
      </w:r>
      <w:r/>
    </w:p>
    <w:p>
      <w:pPr>
        <w:jc w:val="center"/>
        <w:spacing w:line="360" w:lineRule="auto"/>
        <w:rPr>
          <w:rFonts w:ascii="宋体" w:hAnsi="宋体" w:cs="宋体"/>
          <w:b/>
          <w:color w:val="000000" w:themeColor="text1"/>
          <w:sz w:val="36"/>
          <w:szCs w:val="21"/>
          <w14:textFill>
            <w14:solidFill>
              <w14:schemeClr w14:val="tx1"/>
            </w14:solidFill>
          </w14:textFill>
        </w:rPr>
      </w:pPr>
      <w:r>
        <w:rPr>
          <w:rFonts w:ascii="宋体" w:hAnsi="宋体" w:cs="宋体"/>
          <w:b/>
          <w:color w:val="000000" w:themeColor="text1"/>
          <w:sz w:val="36"/>
          <w:szCs w:val="21"/>
          <w14:textFill>
            <w14:solidFill>
              <w14:schemeClr w14:val="tx1"/>
            </w14:solidFill>
          </w14:textFill>
        </w:rPr>
      </w:r>
      <w:r/>
    </w:p>
    <w:p>
      <w:pPr>
        <w:jc w:val="center"/>
        <w:spacing w:line="360" w:lineRule="auto"/>
        <w:rPr>
          <w:rFonts w:ascii="宋体" w:hAnsi="宋体" w:cs="宋体"/>
          <w:b/>
          <w:color w:val="000000" w:themeColor="text1"/>
          <w:sz w:val="36"/>
          <w:szCs w:val="21"/>
          <w14:textFill>
            <w14:solidFill>
              <w14:schemeClr w14:val="tx1"/>
            </w14:solidFill>
          </w14:textFill>
        </w:rPr>
      </w:pPr>
      <w:r>
        <w:rPr>
          <w:rFonts w:ascii="宋体" w:hAnsi="宋体" w:cs="宋体"/>
          <w:b/>
          <w:color w:val="000000" w:themeColor="text1"/>
          <w:sz w:val="36"/>
          <w:szCs w:val="21"/>
          <w14:textFill>
            <w14:solidFill>
              <w14:schemeClr w14:val="tx1"/>
            </w14:solidFill>
          </w14:textFill>
        </w:rPr>
      </w:r>
      <w:r/>
    </w:p>
    <w:p>
      <w:pPr>
        <w:jc w:val="center"/>
        <w:spacing w:line="360" w:lineRule="auto"/>
        <w:rPr>
          <w:rFonts w:ascii="宋体" w:hAnsi="宋体" w:cs="宋体"/>
          <w:b/>
          <w:color w:val="000000" w:themeColor="text1"/>
          <w:sz w:val="36"/>
          <w14:textFill>
            <w14:solidFill>
              <w14:schemeClr w14:val="tx1"/>
            </w14:solidFill>
          </w14:textFill>
        </w:rPr>
      </w:pPr>
      <w:r>
        <w:rPr>
          <w:rFonts w:ascii="宋体" w:hAnsi="宋体" w:cs="宋体"/>
          <w:b/>
          <w:color w:val="000000" w:themeColor="text1"/>
          <w:sz w:val="36"/>
          <w14:textFill>
            <w14:solidFill>
              <w14:schemeClr w14:val="tx1"/>
            </w14:solidFill>
          </w14:textFill>
        </w:rPr>
      </w:r>
      <w:r/>
    </w:p>
    <w:p>
      <w:pPr>
        <w:jc w:val="center"/>
        <w:spacing w:line="360" w:lineRule="auto"/>
        <w:rPr>
          <w:rFonts w:ascii="宋体" w:hAnsi="宋体" w:cs="宋体"/>
          <w:b/>
          <w:color w:val="000000" w:themeColor="text1"/>
          <w:sz w:val="36"/>
          <w14:textFill>
            <w14:solidFill>
              <w14:schemeClr w14:val="tx1"/>
            </w14:solidFill>
          </w14:textFill>
        </w:rPr>
      </w:pPr>
      <w:r>
        <w:rPr>
          <w:rFonts w:ascii="宋体" w:hAnsi="宋体" w:cs="宋体"/>
          <w:b/>
          <w:color w:val="000000" w:themeColor="text1"/>
          <w:sz w:val="36"/>
          <w14:textFill>
            <w14:solidFill>
              <w14:schemeClr w14:val="tx1"/>
            </w14:solidFill>
          </w14:textFill>
        </w:rPr>
      </w:r>
      <w:r/>
    </w:p>
    <w:p>
      <w:pPr>
        <w:ind w:firstLine="1928"/>
        <w:spacing w:line="360" w:lineRule="auto"/>
        <w:rPr>
          <w:rFonts w:ascii="宋体" w:hAnsi="宋体" w:cs="宋体"/>
          <w:b/>
          <w:color w:val="000000" w:themeColor="text1"/>
          <w:sz w:val="32"/>
          <w:szCs w:val="32"/>
          <w:u w:val="single"/>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t xml:space="preserve">项目名称：</w:t>
      </w:r>
      <w:r>
        <w:rPr>
          <w:rFonts w:hint="eastAsia" w:ascii="宋体" w:hAnsi="宋体" w:cs="宋体"/>
          <w:b/>
          <w:color w:val="000000" w:themeColor="text1"/>
          <w:sz w:val="32"/>
          <w:szCs w:val="32"/>
          <w:u w:val="single"/>
          <w14:textFill>
            <w14:solidFill>
              <w14:schemeClr w14:val="tx1"/>
            </w14:solidFill>
          </w14:textFill>
        </w:rPr>
        <w:t xml:space="preserve">                      </w:t>
      </w:r>
      <w:r/>
    </w:p>
    <w:p>
      <w:pPr>
        <w:ind w:firstLine="1928"/>
        <w:spacing w:line="360" w:lineRule="auto"/>
        <w:rPr>
          <w:rFonts w:ascii="宋体" w:hAnsi="宋体" w:cs="宋体"/>
          <w:b/>
          <w:color w:val="000000" w:themeColor="text1"/>
          <w:sz w:val="32"/>
          <w:szCs w:val="32"/>
          <w:u w:val="single"/>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t xml:space="preserve">项目编号：</w:t>
      </w:r>
      <w:r>
        <w:rPr>
          <w:rFonts w:hint="eastAsia" w:ascii="宋体" w:hAnsi="宋体" w:cs="宋体"/>
          <w:b/>
          <w:color w:val="000000" w:themeColor="text1"/>
          <w:sz w:val="32"/>
          <w:szCs w:val="32"/>
          <w:u w:val="single"/>
          <w14:textFill>
            <w14:solidFill>
              <w14:schemeClr w14:val="tx1"/>
            </w14:solidFill>
          </w14:textFill>
        </w:rPr>
        <w:t xml:space="preserve">                      </w:t>
      </w:r>
      <w:r/>
    </w:p>
    <w:p>
      <w:pPr>
        <w:ind w:firstLine="1928"/>
        <w:spacing w:line="360" w:lineRule="auto"/>
        <w:rPr>
          <w:rFonts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t xml:space="preserve">采购人名称：</w:t>
      </w:r>
      <w:r>
        <w:rPr>
          <w:rFonts w:hint="eastAsia" w:ascii="宋体" w:hAnsi="宋体" w:cs="宋体"/>
          <w:b/>
          <w:color w:val="000000" w:themeColor="text1"/>
          <w:sz w:val="32"/>
          <w:szCs w:val="32"/>
          <w:u w:val="single"/>
          <w14:textFill>
            <w14:solidFill>
              <w14:schemeClr w14:val="tx1"/>
            </w14:solidFill>
          </w14:textFill>
        </w:rPr>
        <w:t xml:space="preserve">                    </w:t>
      </w:r>
      <w:r/>
    </w:p>
    <w:p>
      <w:pPr>
        <w:ind w:firstLine="1928"/>
        <w:spacing w:line="360" w:lineRule="auto"/>
        <w:rPr>
          <w:rFonts w:ascii="宋体" w:hAnsi="宋体" w:cs="宋体"/>
          <w:b/>
          <w:color w:val="000000" w:themeColor="text1"/>
          <w:sz w:val="32"/>
          <w:szCs w:val="32"/>
          <w:u w:val="single"/>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t xml:space="preserve">供应商名称：</w:t>
      </w:r>
      <w:r>
        <w:rPr>
          <w:rFonts w:hint="eastAsia" w:ascii="宋体" w:hAnsi="宋体" w:cs="宋体"/>
          <w:b/>
          <w:color w:val="000000" w:themeColor="text1"/>
          <w:sz w:val="32"/>
          <w:szCs w:val="32"/>
          <w:u w:val="single"/>
          <w14:textFill>
            <w14:solidFill>
              <w14:schemeClr w14:val="tx1"/>
            </w14:solidFill>
          </w14:textFill>
        </w:rPr>
        <w:t xml:space="preserve">                    </w:t>
      </w:r>
      <w:r/>
    </w:p>
    <w:p>
      <w:pPr>
        <w:ind w:firstLine="1928"/>
        <w:spacing w:line="360" w:lineRule="auto"/>
        <w:rPr>
          <w:rFonts w:ascii="宋体" w:hAnsi="宋体" w:cs="宋体"/>
          <w:b/>
          <w:color w:val="000000" w:themeColor="text1"/>
          <w:sz w:val="32"/>
          <w:szCs w:val="32"/>
          <w:u w:val="single"/>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t xml:space="preserve">日期：</w:t>
      </w:r>
      <w:r>
        <w:rPr>
          <w:rFonts w:hint="eastAsia" w:ascii="宋体" w:hAnsi="宋体" w:cs="宋体"/>
          <w:b/>
          <w:color w:val="000000" w:themeColor="text1"/>
          <w:sz w:val="32"/>
          <w:szCs w:val="32"/>
          <w:u w:val="single"/>
          <w14:textFill>
            <w14:solidFill>
              <w14:schemeClr w14:val="tx1"/>
            </w14:solidFill>
          </w14:textFill>
        </w:rPr>
        <w:t xml:space="preserve">                          </w:t>
      </w:r>
      <w:r/>
    </w:p>
    <w:p>
      <w:pPr>
        <w:ind w:firstLine="1928"/>
        <w:spacing w:line="360" w:lineRule="auto"/>
        <w:rPr>
          <w:rFonts w:ascii="宋体" w:hAnsi="宋体" w:cs="宋体"/>
          <w:b/>
          <w:color w:val="000000" w:themeColor="text1"/>
          <w:sz w:val="32"/>
          <w:szCs w:val="32"/>
          <w:u w:val="single"/>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t xml:space="preserve">供应商：（电子签章）</w:t>
      </w:r>
      <w:r>
        <w:rPr>
          <w:rFonts w:hint="eastAsia" w:ascii="宋体" w:hAnsi="宋体" w:cs="宋体"/>
          <w:b/>
          <w:color w:val="000000" w:themeColor="text1"/>
          <w:sz w:val="32"/>
          <w:szCs w:val="32"/>
          <w:u w:val="single"/>
          <w14:textFill>
            <w14:solidFill>
              <w14:schemeClr w14:val="tx1"/>
            </w14:solidFill>
          </w14:textFill>
        </w:rPr>
        <w:t xml:space="preserve">            </w:t>
      </w:r>
      <w:r/>
    </w:p>
    <w:p>
      <w:pPr>
        <w:jc w:val="center"/>
        <w:spacing w:line="360" w:lineRule="auto"/>
        <w:rPr>
          <w:rFonts w:ascii="宋体" w:hAnsi="宋体" w:cs="宋体"/>
          <w:b/>
          <w:bCs/>
          <w:color w:val="000000" w:themeColor="text1"/>
          <w:sz w:val="32"/>
          <w:szCs w:val="32"/>
          <w14:textFill>
            <w14:solidFill>
              <w14:schemeClr w14:val="tx1"/>
            </w14:solidFill>
          </w14:textFill>
        </w:rPr>
      </w:pPr>
      <w:r>
        <w:rPr>
          <w:rFonts w:hint="eastAsia" w:ascii="宋体" w:hAnsi="宋体" w:cs="宋体"/>
          <w:color w:val="000000" w:themeColor="text1"/>
          <w:sz w:val="24"/>
          <w14:textFill>
            <w14:solidFill>
              <w14:schemeClr w14:val="tx1"/>
            </w14:solidFill>
          </w14:textFill>
        </w:rPr>
        <w:br w:type="page" w:clear="all"/>
      </w:r>
      <w:r>
        <w:rPr>
          <w:rFonts w:hint="eastAsia" w:ascii="宋体" w:hAnsi="宋体" w:cs="宋体"/>
          <w:b/>
          <w:bCs/>
          <w:color w:val="000000" w:themeColor="text1"/>
          <w:sz w:val="32"/>
          <w:szCs w:val="32"/>
          <w14:textFill>
            <w14:solidFill>
              <w14:schemeClr w14:val="tx1"/>
            </w14:solidFill>
          </w14:textFill>
        </w:rPr>
        <w:t xml:space="preserve">目录</w:t>
      </w:r>
      <w:r/>
    </w:p>
    <w:p>
      <w:pPr>
        <w:jc w:val="center"/>
        <w:spacing w:line="360" w:lineRule="auto"/>
        <w:rPr>
          <w:rFonts w:ascii="宋体" w:hAnsi="宋体" w:cs="宋体"/>
          <w:b/>
          <w:bCs/>
          <w:color w:val="000000" w:themeColor="text1"/>
          <w:sz w:val="32"/>
          <w:szCs w:val="32"/>
          <w14:textFill>
            <w14:solidFill>
              <w14:schemeClr w14:val="tx1"/>
            </w14:solidFill>
          </w14:textFill>
        </w:rPr>
      </w:pPr>
      <w:r>
        <w:rPr>
          <w:rFonts w:ascii="宋体" w:hAnsi="宋体" w:cs="宋体"/>
          <w:b/>
          <w:bCs/>
          <w:color w:val="000000" w:themeColor="text1"/>
          <w:sz w:val="32"/>
          <w:szCs w:val="32"/>
          <w14:textFill>
            <w14:solidFill>
              <w14:schemeClr w14:val="tx1"/>
            </w14:solidFill>
          </w14:textFill>
        </w:rPr>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一、资格审查响应对照表</w:t>
      </w:r>
      <w:r/>
    </w:p>
    <w:p>
      <w:pPr>
        <w:ind w:left="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二、符合性审查响应对照表</w:t>
      </w:r>
      <w:r/>
    </w:p>
    <w:p>
      <w:pPr>
        <w:ind w:left="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三、非实质性响应对照表</w:t>
      </w:r>
      <w:r/>
    </w:p>
    <w:p>
      <w:pPr>
        <w:ind w:firstLine="480"/>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四</w:t>
      </w:r>
      <w:r>
        <w:rPr>
          <w:rFonts w:hint="eastAsia" w:ascii="宋体" w:hAnsi="宋体" w:cs="宋体"/>
          <w:b/>
          <w:bCs/>
          <w:color w:val="000000" w:themeColor="text1"/>
          <w:sz w:val="24"/>
          <w14:textFill>
            <w14:solidFill>
              <w14:schemeClr w14:val="tx1"/>
            </w14:solidFill>
          </w14:textFill>
        </w:rPr>
        <w:t xml:space="preserve">、</w:t>
      </w:r>
      <w:r>
        <w:rPr>
          <w:rFonts w:hint="eastAsia" w:ascii="宋体" w:hAnsi="宋体" w:cs="宋体"/>
          <w:i/>
          <w:color w:val="000000" w:themeColor="text1"/>
          <w:sz w:val="24"/>
          <w:u w:val="single"/>
          <w14:textFill>
            <w14:solidFill>
              <w14:schemeClr w14:val="tx1"/>
            </w14:solidFill>
          </w14:textFill>
        </w:rPr>
        <w:t xml:space="preserve">磋商响应报价表</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五、</w:t>
      </w:r>
      <w:r>
        <w:rPr>
          <w:rFonts w:hint="eastAsia" w:ascii="宋体" w:hAnsi="宋体" w:cs="宋体"/>
          <w:i/>
          <w:iCs/>
          <w:color w:val="000000" w:themeColor="text1"/>
          <w:sz w:val="24"/>
          <w:u w:val="single"/>
          <w14:textFill>
            <w14:solidFill>
              <w14:schemeClr w14:val="tx1"/>
            </w14:solidFill>
          </w14:textFill>
        </w:rPr>
        <w:t xml:space="preserve">分项报价表</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六、技术参数响应及偏离表</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七</w:t>
      </w:r>
      <w:r>
        <w:rPr>
          <w:rFonts w:hint="eastAsia" w:ascii="宋体" w:hAnsi="宋体" w:cs="宋体"/>
          <w:color w:val="000000" w:themeColor="text1"/>
          <w:sz w:val="24"/>
          <w:szCs w:val="24"/>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商务条款响应及偏离表</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八、其他 （供应商认为有必要提供的声明和文件，如有自拟并自行添加）</w:t>
      </w:r>
      <w:r/>
    </w:p>
    <w:p>
      <w:pPr>
        <w:jc w:val="center"/>
        <w:spacing w:line="360" w:lineRule="auto"/>
        <w:rPr>
          <w:rFonts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br w:type="page" w:clear="all"/>
      </w:r>
      <w:r>
        <w:rPr>
          <w:rFonts w:hint="eastAsia" w:ascii="宋体" w:hAnsi="宋体" w:cs="宋体"/>
          <w:b/>
          <w:color w:val="000000" w:themeColor="text1"/>
          <w:sz w:val="32"/>
          <w:szCs w:val="32"/>
          <w14:textFill>
            <w14:solidFill>
              <w14:schemeClr w14:val="tx1"/>
            </w14:solidFill>
          </w14:textFill>
        </w:rPr>
        <w:t xml:space="preserve">一、资格审查响应对照表</w:t>
      </w:r>
      <w:r/>
    </w:p>
    <w:tbl>
      <w:tblPr>
        <w:tblStyle w:val="966"/>
        <w:tblW w:w="92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6978"/>
        <w:gridCol w:w="1591"/>
      </w:tblGrid>
      <w:tr>
        <w:trPr>
          <w:jc w:val="center"/>
          <w:trHeight w:val="632"/>
        </w:trPr>
        <w:tc>
          <w:tcPr>
            <w:tcW w:w="709" w:type="dxa"/>
            <w:vAlign w:val="center"/>
            <w:textDirection w:val="lrTb"/>
            <w:noWrap w:val="false"/>
          </w:tcPr>
          <w:p>
            <w:pPr>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序号</w:t>
            </w:r>
            <w:r/>
          </w:p>
        </w:tc>
        <w:tc>
          <w:tcPr>
            <w:tcW w:w="6978" w:type="dxa"/>
            <w:vAlign w:val="center"/>
            <w:textDirection w:val="lrTb"/>
            <w:noWrap w:val="false"/>
          </w:tcPr>
          <w:p>
            <w:pPr>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资格审查响应内容</w:t>
            </w:r>
            <w:r/>
          </w:p>
        </w:tc>
        <w:tc>
          <w:tcPr>
            <w:tcW w:w="1591" w:type="dxa"/>
            <w:vAlign w:val="center"/>
            <w:textDirection w:val="lrTb"/>
            <w:noWrap w:val="false"/>
          </w:tcPr>
          <w:p>
            <w:pPr>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是否响应</w:t>
            </w:r>
            <w:r/>
          </w:p>
          <w:p>
            <w:pPr>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（填是或者否）</w:t>
            </w:r>
            <w:r/>
          </w:p>
        </w:tc>
      </w:tr>
      <w:tr>
        <w:trPr>
          <w:jc w:val="center"/>
          <w:trHeight w:val="556"/>
        </w:trPr>
        <w:tc>
          <w:tcPr>
            <w:gridSpan w:val="3"/>
            <w:tcW w:w="9278" w:type="dxa"/>
            <w:vAlign w:val="center"/>
            <w:textDirection w:val="lrTb"/>
            <w:noWrap w:val="false"/>
          </w:tcPr>
          <w:p>
            <w:pP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通用资格条件</w:t>
            </w:r>
            <w:r/>
          </w:p>
        </w:tc>
      </w:tr>
      <w:tr>
        <w:trPr>
          <w:jc w:val="center"/>
          <w:trHeight w:val="723"/>
        </w:trPr>
        <w:tc>
          <w:tcPr>
            <w:tcW w:w="709" w:type="dxa"/>
            <w:vAlign w:val="center"/>
            <w:textDirection w:val="lrTb"/>
            <w:noWrap w:val="false"/>
          </w:tcPr>
          <w:p>
            <w:pPr>
              <w:jc w:val="center"/>
              <w:rPr>
                <w:rFonts w:ascii="宋体" w:hAnsi="宋体" w:cs="宋体"/>
                <w:b/>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w:t>
            </w:r>
            <w:r/>
          </w:p>
        </w:tc>
        <w:tc>
          <w:tcPr>
            <w:tcW w:w="6978" w:type="dxa"/>
            <w:vAlign w:val="center"/>
            <w:textDirection w:val="lrTb"/>
            <w:noWrap w:val="false"/>
          </w:tcPr>
          <w:p>
            <w:pPr>
              <w:rPr>
                <w:rFonts w:ascii="宋体" w:hAnsi="宋体" w:cs="宋体"/>
                <w:i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法人或者其他组织的营业执照等证明文件，自然人的身份证明；</w:t>
            </w:r>
            <w:r/>
          </w:p>
        </w:tc>
        <w:tc>
          <w:tcPr>
            <w:tcW w:w="1591" w:type="dxa"/>
            <w:vAlign w:val="center"/>
            <w:textDirection w:val="lrTb"/>
            <w:noWrap w:val="false"/>
          </w:tcPr>
          <w:p>
            <w:pPr>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tc>
      </w:tr>
      <w:tr>
        <w:trPr>
          <w:jc w:val="center"/>
          <w:trHeight w:val="1079"/>
        </w:trPr>
        <w:tc>
          <w:tcPr>
            <w:tcW w:w="709"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w:t>
            </w:r>
            <w:r/>
          </w:p>
        </w:tc>
        <w:tc>
          <w:tcPr>
            <w:tcW w:w="6978" w:type="dxa"/>
            <w:vAlign w:val="center"/>
            <w:textDirection w:val="lrTb"/>
            <w:noWrap w:val="false"/>
          </w:tcPr>
          <w:p>
            <w:pPr>
              <w:rPr>
                <w:rFonts w:ascii="宋体" w:hAnsi="宋体" w:cs="宋体"/>
                <w:i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依法缴纳职工社会保障资金的证明材料；</w:t>
            </w:r>
            <w:r>
              <w:rPr>
                <w:rFonts w:hint="eastAsia" w:ascii="宋体" w:hAnsi="宋体" w:cs="宋体"/>
                <w:b/>
                <w:bCs/>
                <w:color w:val="000000" w:themeColor="text1"/>
                <w:szCs w:val="21"/>
                <w14:textFill>
                  <w14:solidFill>
                    <w14:schemeClr w14:val="tx1"/>
                  </w14:solidFill>
                </w14:textFill>
              </w:rPr>
              <w:t xml:space="preserve">(税务、银行或社会保险基金管理部门出具的近三个月内任意一个月缴纳职工社会保障资金的缴款凭证或缴款证明)</w:t>
            </w:r>
            <w:r/>
          </w:p>
        </w:tc>
        <w:tc>
          <w:tcPr>
            <w:tcW w:w="1591" w:type="dxa"/>
            <w:vAlign w:val="center"/>
            <w:textDirection w:val="lrTb"/>
            <w:noWrap w:val="false"/>
          </w:tcPr>
          <w:p>
            <w:pP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Height w:val="723"/>
        </w:trPr>
        <w:tc>
          <w:tcPr>
            <w:tcW w:w="709"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w:t>
            </w:r>
            <w:r/>
          </w:p>
        </w:tc>
        <w:tc>
          <w:tcPr>
            <w:tcW w:w="6978" w:type="dxa"/>
            <w:vAlign w:val="center"/>
            <w:textDirection w:val="lrTb"/>
            <w:noWrap w:val="false"/>
          </w:tcPr>
          <w:p>
            <w:pPr>
              <w:rPr>
                <w:rFonts w:ascii="宋体" w:hAnsi="宋体" w:cs="宋体"/>
                <w:i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供应商近三个月内任意一份依法纳税的缴款凭证；</w:t>
            </w:r>
            <w:r>
              <w:rPr>
                <w:rFonts w:hint="eastAsia" w:ascii="宋体" w:hAnsi="宋体" w:cs="宋体"/>
                <w:b/>
                <w:bCs/>
                <w:color w:val="000000" w:themeColor="text1"/>
                <w:szCs w:val="21"/>
                <w14:textFill>
                  <w14:solidFill>
                    <w14:schemeClr w14:val="tx1"/>
                  </w14:solidFill>
                </w14:textFill>
              </w:rPr>
              <w:t xml:space="preserve">（供应商依法享受缓缴、免缴的提供证明材料）</w:t>
            </w:r>
            <w:r/>
          </w:p>
        </w:tc>
        <w:tc>
          <w:tcPr>
            <w:tcW w:w="1591" w:type="dxa"/>
            <w:vAlign w:val="center"/>
            <w:textDirection w:val="lrTb"/>
            <w:noWrap w:val="false"/>
          </w:tcPr>
          <w:p>
            <w:pP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Height w:val="556"/>
        </w:trPr>
        <w:tc>
          <w:tcPr>
            <w:tcW w:w="709"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w:t>
            </w:r>
            <w:r/>
          </w:p>
        </w:tc>
        <w:tc>
          <w:tcPr>
            <w:tcW w:w="6978" w:type="dxa"/>
            <w:vAlign w:val="center"/>
            <w:textDirection w:val="lrTb"/>
            <w:noWrap w:val="false"/>
          </w:tcPr>
          <w:p>
            <w:pPr>
              <w:rPr>
                <w:rFonts w:ascii="宋体" w:hAnsi="宋体" w:cs="宋体"/>
                <w:i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上一年度的财务状况报告；</w:t>
            </w:r>
            <w:r>
              <w:rPr>
                <w:rFonts w:hint="eastAsia" w:ascii="宋体" w:hAnsi="宋体" w:cs="宋体"/>
                <w:b/>
                <w:bCs/>
                <w:color w:val="000000" w:themeColor="text1"/>
                <w:szCs w:val="21"/>
                <w14:textFill>
                  <w14:solidFill>
                    <w14:schemeClr w14:val="tx1"/>
                  </w14:solidFill>
                </w14:textFill>
              </w:rPr>
              <w:t xml:space="preserve">（成立不满一年不需提供）</w:t>
            </w:r>
            <w:r/>
          </w:p>
        </w:tc>
        <w:tc>
          <w:tcPr>
            <w:tcW w:w="1591" w:type="dxa"/>
            <w:vAlign w:val="center"/>
            <w:textDirection w:val="lrTb"/>
            <w:noWrap w:val="false"/>
          </w:tcPr>
          <w:p>
            <w:pP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Height w:val="556"/>
        </w:trPr>
        <w:tc>
          <w:tcPr>
            <w:tcW w:w="709"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w:t>
            </w:r>
            <w:r/>
          </w:p>
        </w:tc>
        <w:tc>
          <w:tcPr>
            <w:tcW w:w="6978" w:type="dxa"/>
            <w:vAlign w:val="center"/>
            <w:textDirection w:val="lrTb"/>
            <w:noWrap w:val="false"/>
          </w:tcPr>
          <w:p>
            <w:pPr>
              <w:rPr>
                <w:rFonts w:ascii="宋体" w:hAnsi="宋体" w:cs="宋体"/>
                <w:i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具备履行合同所必需的设备和专业技术能力的证明材料；</w:t>
            </w:r>
            <w:r/>
          </w:p>
        </w:tc>
        <w:tc>
          <w:tcPr>
            <w:tcW w:w="1591" w:type="dxa"/>
            <w:vAlign w:val="center"/>
            <w:textDirection w:val="lrTb"/>
            <w:noWrap w:val="false"/>
          </w:tcPr>
          <w:p>
            <w:pP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Height w:val="723"/>
        </w:trPr>
        <w:tc>
          <w:tcPr>
            <w:tcW w:w="709"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w:t>
            </w:r>
            <w:r/>
          </w:p>
        </w:tc>
        <w:tc>
          <w:tcPr>
            <w:tcW w:w="6978" w:type="dxa"/>
            <w:vAlign w:val="center"/>
            <w:textDirection w:val="lrTb"/>
            <w:noWrap w:val="false"/>
          </w:tcPr>
          <w:p>
            <w:pPr>
              <w:rPr>
                <w:rFonts w:ascii="宋体" w:hAnsi="宋体" w:cs="宋体"/>
                <w:i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参加本次政府采购活动前3年内在经营活动中没有重大违法记录的书面声明；</w:t>
            </w:r>
            <w:r/>
          </w:p>
        </w:tc>
        <w:tc>
          <w:tcPr>
            <w:tcW w:w="1591" w:type="dxa"/>
            <w:vAlign w:val="center"/>
            <w:textDirection w:val="lrTb"/>
            <w:noWrap w:val="false"/>
          </w:tcPr>
          <w:p>
            <w:pP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Height w:val="1079"/>
        </w:trPr>
        <w:tc>
          <w:tcPr>
            <w:tcW w:w="709"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7</w:t>
            </w:r>
            <w:r/>
          </w:p>
        </w:tc>
        <w:tc>
          <w:tcPr>
            <w:tcW w:w="6978" w:type="dxa"/>
            <w:vAlign w:val="center"/>
            <w:textDirection w:val="lrTb"/>
            <w:noWrap w:val="false"/>
          </w:tcPr>
          <w:p>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未被“信用中国”网站（www.creditchina.gov.cn）、“中国政府采购网"(www.ccgp.gov.cn)列入失信被执行人、重大税收违法案件当事人名单、政府采购严重违法失信行为记录名单；</w:t>
            </w:r>
            <w:r/>
          </w:p>
        </w:tc>
        <w:tc>
          <w:tcPr>
            <w:tcW w:w="1591" w:type="dxa"/>
            <w:vAlign w:val="center"/>
            <w:textDirection w:val="lrTb"/>
            <w:noWrap w:val="false"/>
          </w:tcPr>
          <w:p>
            <w:pP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Height w:val="367"/>
        </w:trPr>
        <w:tc>
          <w:tcPr>
            <w:tcW w:w="709"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8</w:t>
            </w:r>
            <w:r/>
          </w:p>
        </w:tc>
        <w:tc>
          <w:tcPr>
            <w:tcW w:w="6978" w:type="dxa"/>
            <w:vAlign w:val="center"/>
            <w:textDirection w:val="lrTb"/>
            <w:noWrap w:val="false"/>
          </w:tcPr>
          <w:p>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供应商信用承诺函；</w:t>
            </w:r>
            <w:r/>
          </w:p>
        </w:tc>
        <w:tc>
          <w:tcPr>
            <w:tcW w:w="1591" w:type="dxa"/>
            <w:vAlign w:val="center"/>
            <w:textDirection w:val="lrTb"/>
            <w:noWrap w:val="false"/>
          </w:tcPr>
          <w:p>
            <w:pP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Height w:val="556"/>
        </w:trPr>
        <w:tc>
          <w:tcPr>
            <w:gridSpan w:val="3"/>
            <w:tcW w:w="9278" w:type="dxa"/>
            <w:vAlign w:val="center"/>
            <w:textDirection w:val="lrTb"/>
            <w:noWrap w:val="false"/>
          </w:tcPr>
          <w:p>
            <w:pPr>
              <w:rPr>
                <w:rFonts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落实政府采购政策需满足的资格要求</w:t>
            </w:r>
            <w:r/>
          </w:p>
        </w:tc>
      </w:tr>
      <w:tr>
        <w:trPr>
          <w:jc w:val="center"/>
          <w:trHeight w:val="556"/>
        </w:trPr>
        <w:tc>
          <w:tcPr>
            <w:tcW w:w="709"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9</w:t>
            </w:r>
            <w:r/>
          </w:p>
        </w:tc>
        <w:tc>
          <w:tcPr>
            <w:tcW w:w="6978" w:type="dxa"/>
            <w:vAlign w:val="center"/>
            <w:textDirection w:val="lrTb"/>
            <w:noWrap w:val="false"/>
          </w:tcPr>
          <w:p>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本项目面向中小企业采购，供应商投标时须提供《中小企业声明函》</w:t>
            </w:r>
            <w:r/>
          </w:p>
        </w:tc>
        <w:tc>
          <w:tcPr>
            <w:tcW w:w="1591" w:type="dxa"/>
            <w:vAlign w:val="center"/>
            <w:textDirection w:val="lrTb"/>
            <w:noWrap w:val="false"/>
          </w:tcPr>
          <w:p>
            <w:pP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Height w:val="556"/>
        </w:trPr>
        <w:tc>
          <w:tcPr>
            <w:gridSpan w:val="3"/>
            <w:tcW w:w="9278" w:type="dxa"/>
            <w:vAlign w:val="center"/>
            <w:textDirection w:val="lrTb"/>
            <w:noWrap w:val="false"/>
          </w:tcPr>
          <w:p>
            <w:pPr>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特定资格条件</w:t>
            </w:r>
            <w:r/>
          </w:p>
        </w:tc>
      </w:tr>
      <w:tr>
        <w:trPr>
          <w:jc w:val="center"/>
          <w:trHeight w:val="1988"/>
        </w:trPr>
        <w:tc>
          <w:tcPr>
            <w:tcW w:w="709"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10</w:t>
            </w:r>
            <w:r/>
          </w:p>
        </w:tc>
        <w:tc>
          <w:tcPr>
            <w:tcW w:w="6978" w:type="dxa"/>
            <w:vAlign w:val="center"/>
            <w:textDirection w:val="lrTb"/>
            <w:noWrap w:val="false"/>
          </w:tcPr>
          <w:p>
            <w:pPr>
              <w:rPr>
                <w:rFonts w:ascii="宋体" w:hAnsi="宋体" w:cs="宋体"/>
                <w:iCs/>
                <w:color w:val="000000" w:themeColor="text1"/>
                <w:szCs w:val="21"/>
                <w14:textFill>
                  <w14:solidFill>
                    <w14:schemeClr w14:val="tx1"/>
                  </w14:solidFill>
                </w14:textFill>
              </w:rPr>
            </w:pPr>
            <w:r>
              <w:rPr>
                <w:rFonts w:hint="eastAsia" w:ascii="宋体" w:hAnsi="宋体" w:cs="宋体"/>
                <w:iCs/>
                <w:color w:val="000000" w:themeColor="text1"/>
                <w:szCs w:val="21"/>
                <w14:textFill>
                  <w14:solidFill>
                    <w14:schemeClr w14:val="tx1"/>
                  </w14:solidFill>
                </w14:textFill>
              </w:rPr>
              <w:t xml:space="preserve">供应商必须具备独立承担民事责任能力，具备市政公用工程施工总承包叁级及以上资质证书和</w:t>
            </w:r>
            <w:r>
              <w:rPr>
                <w:rFonts w:hint="eastAsia" w:ascii="宋体" w:hAnsi="宋体" w:cs="宋体"/>
                <w:iCs/>
                <w:color w:val="000000" w:themeColor="text1"/>
                <w:szCs w:val="21"/>
                <w:lang w:val="en"/>
                <w14:textFill>
                  <w14:solidFill>
                    <w14:schemeClr w14:val="tx1"/>
                  </w14:solidFill>
                </w14:textFill>
              </w:rPr>
              <w:t xml:space="preserve">省级及以上建设行政主管部门核发的《安全生产许可证》</w:t>
            </w:r>
            <w:r>
              <w:rPr>
                <w:rFonts w:hint="eastAsia" w:ascii="宋体" w:hAnsi="宋体" w:cs="宋体"/>
                <w:iCs/>
                <w:color w:val="000000" w:themeColor="text1"/>
                <w:szCs w:val="21"/>
                <w14:textFill>
                  <w14:solidFill>
                    <w14:schemeClr w14:val="tx1"/>
                  </w14:solidFill>
                </w14:textFill>
              </w:rPr>
              <w:t xml:space="preserve">；</w:t>
            </w:r>
            <w:r/>
          </w:p>
          <w:p>
            <w:pPr>
              <w:rPr>
                <w:rFonts w:ascii="宋体" w:hAnsi="宋体" w:cs="宋体"/>
                <w:iCs/>
                <w:color w:val="000000" w:themeColor="text1"/>
                <w:szCs w:val="21"/>
                <w14:textFill>
                  <w14:solidFill>
                    <w14:schemeClr w14:val="tx1"/>
                  </w14:solidFill>
                </w14:textFill>
              </w:rPr>
            </w:pPr>
            <w:r>
              <w:rPr>
                <w:rFonts w:hint="eastAsia" w:ascii="宋体" w:hAnsi="宋体" w:cs="宋体"/>
                <w:iCs/>
                <w:color w:val="000000" w:themeColor="text1"/>
                <w:szCs w:val="21"/>
                <w:lang w:val="en"/>
                <w14:textFill>
                  <w14:solidFill>
                    <w14:schemeClr w14:val="tx1"/>
                  </w14:solidFill>
                </w14:textFill>
              </w:rPr>
              <w:t xml:space="preserve">拟投入本项目的项目负责人</w:t>
            </w:r>
            <w:r>
              <w:rPr>
                <w:rFonts w:hint="eastAsia" w:ascii="宋体" w:hAnsi="宋体" w:cs="宋体"/>
                <w:iCs/>
                <w:color w:val="000000" w:themeColor="text1"/>
                <w:szCs w:val="21"/>
                <w14:textFill>
                  <w14:solidFill>
                    <w14:schemeClr w14:val="tx1"/>
                  </w14:solidFill>
                </w14:textFill>
              </w:rPr>
              <w:t xml:space="preserve">须</w:t>
            </w:r>
            <w:r>
              <w:rPr>
                <w:rFonts w:hint="eastAsia" w:ascii="宋体" w:hAnsi="宋体" w:cs="宋体"/>
                <w:iCs/>
                <w:color w:val="000000" w:themeColor="text1"/>
                <w:szCs w:val="21"/>
                <w:lang w:val="en"/>
                <w14:textFill>
                  <w14:solidFill>
                    <w14:schemeClr w14:val="tx1"/>
                  </w14:solidFill>
                </w14:textFill>
              </w:rPr>
              <w:t xml:space="preserve">具备</w:t>
            </w:r>
            <w:r>
              <w:rPr>
                <w:rFonts w:hint="eastAsia" w:ascii="宋体" w:hAnsi="宋体" w:cs="宋体"/>
                <w:iCs/>
                <w:color w:val="000000" w:themeColor="text1"/>
                <w:szCs w:val="21"/>
                <w14:textFill>
                  <w14:solidFill>
                    <w14:schemeClr w14:val="tx1"/>
                  </w14:solidFill>
                </w14:textFill>
              </w:rPr>
              <w:t xml:space="preserve">市政公用工程</w:t>
            </w:r>
            <w:r>
              <w:rPr>
                <w:rFonts w:hint="eastAsia" w:ascii="宋体" w:hAnsi="宋体" w:cs="宋体"/>
                <w:iCs/>
                <w:color w:val="000000" w:themeColor="text1"/>
                <w:szCs w:val="21"/>
                <w:lang w:val="en"/>
                <w14:textFill>
                  <w14:solidFill>
                    <w14:schemeClr w14:val="tx1"/>
                  </w14:solidFill>
                </w14:textFill>
              </w:rPr>
              <w:t xml:space="preserve">二级（含）以上注册建造师执业资格</w:t>
            </w:r>
            <w:r>
              <w:rPr>
                <w:rFonts w:hint="eastAsia" w:ascii="宋体" w:hAnsi="宋体" w:cs="宋体"/>
                <w:iCs/>
                <w:color w:val="000000" w:themeColor="text1"/>
                <w:szCs w:val="21"/>
                <w14:textFill>
                  <w14:solidFill>
                    <w14:schemeClr w14:val="tx1"/>
                  </w14:solidFill>
                </w14:textFill>
              </w:rPr>
              <w:t xml:space="preserve">和</w:t>
            </w:r>
            <w:r>
              <w:rPr>
                <w:rFonts w:hint="eastAsia" w:ascii="宋体" w:hAnsi="宋体" w:cs="宋体"/>
                <w:iCs/>
                <w:color w:val="000000" w:themeColor="text1"/>
                <w:szCs w:val="21"/>
                <w:lang w:val="en"/>
                <w14:textFill>
                  <w14:solidFill>
                    <w14:schemeClr w14:val="tx1"/>
                  </w14:solidFill>
                </w14:textFill>
              </w:rPr>
              <w:t xml:space="preserve">有效的安全生产考核合格证书（</w:t>
            </w:r>
            <w:r>
              <w:rPr>
                <w:rFonts w:hint="eastAsia" w:ascii="宋体" w:hAnsi="宋体" w:cs="宋体"/>
                <w:iCs/>
                <w:color w:val="000000" w:themeColor="text1"/>
                <w:szCs w:val="21"/>
                <w14:textFill>
                  <w14:solidFill>
                    <w14:schemeClr w14:val="tx1"/>
                  </w14:solidFill>
                </w14:textFill>
              </w:rPr>
              <w:t xml:space="preserve">B证</w:t>
            </w:r>
            <w:r>
              <w:rPr>
                <w:rFonts w:hint="eastAsia" w:ascii="宋体" w:hAnsi="宋体" w:cs="宋体"/>
                <w:iCs/>
                <w:color w:val="000000" w:themeColor="text1"/>
                <w:szCs w:val="21"/>
                <w:lang w:val="en"/>
                <w14:textFill>
                  <w14:solidFill>
                    <w14:schemeClr w14:val="tx1"/>
                  </w14:solidFill>
                </w14:textFill>
              </w:rPr>
              <w:t xml:space="preserve">），</w:t>
            </w:r>
            <w:r>
              <w:rPr>
                <w:rFonts w:hint="eastAsia" w:ascii="宋体" w:hAnsi="宋体" w:cs="宋体"/>
                <w:iCs/>
                <w:color w:val="000000" w:themeColor="text1"/>
                <w:szCs w:val="21"/>
                <w14:textFill>
                  <w14:solidFill>
                    <w14:schemeClr w14:val="tx1"/>
                  </w14:solidFill>
                </w14:textFill>
              </w:rPr>
              <w:t xml:space="preserve">并提供近三个月内任意一个月社保缴纳证明材料，</w:t>
            </w:r>
            <w:r>
              <w:rPr>
                <w:rFonts w:hint="eastAsia" w:ascii="宋体" w:hAnsi="宋体" w:cs="宋体"/>
                <w:iCs/>
                <w:color w:val="000000" w:themeColor="text1"/>
                <w:szCs w:val="21"/>
                <w:lang w:val="en"/>
                <w14:textFill>
                  <w14:solidFill>
                    <w14:schemeClr w14:val="tx1"/>
                  </w14:solidFill>
                </w14:textFill>
              </w:rPr>
              <w:t xml:space="preserve">且无在</w:t>
            </w:r>
            <w:r>
              <w:rPr>
                <w:rFonts w:hint="eastAsia" w:ascii="宋体" w:hAnsi="宋体" w:cs="宋体"/>
                <w:iCs/>
                <w:color w:val="000000" w:themeColor="text1"/>
                <w:szCs w:val="21"/>
                <w14:textFill>
                  <w14:solidFill>
                    <w14:schemeClr w14:val="tx1"/>
                  </w14:solidFill>
                </w14:textFill>
              </w:rPr>
              <w:t xml:space="preserve">建</w:t>
            </w:r>
            <w:r>
              <w:rPr>
                <w:rFonts w:hint="eastAsia" w:ascii="宋体" w:hAnsi="宋体" w:cs="宋体"/>
                <w:iCs/>
                <w:color w:val="000000" w:themeColor="text1"/>
                <w:szCs w:val="21"/>
                <w:lang w:val="en"/>
                <w14:textFill>
                  <w14:solidFill>
                    <w14:schemeClr w14:val="tx1"/>
                  </w14:solidFill>
                </w14:textFill>
              </w:rPr>
              <w:t xml:space="preserve">工程（</w:t>
            </w:r>
            <w:r>
              <w:rPr>
                <w:rFonts w:hint="eastAsia" w:ascii="宋体" w:hAnsi="宋体" w:cs="宋体"/>
                <w:iCs/>
                <w:color w:val="000000" w:themeColor="text1"/>
                <w:szCs w:val="21"/>
                <w14:textFill>
                  <w14:solidFill>
                    <w14:schemeClr w14:val="tx1"/>
                  </w14:solidFill>
                </w14:textFill>
              </w:rPr>
              <w:t xml:space="preserve">提供无在建工程承诺书</w:t>
            </w:r>
            <w:r>
              <w:rPr>
                <w:rFonts w:hint="eastAsia" w:ascii="宋体" w:hAnsi="宋体" w:cs="宋体"/>
                <w:iCs/>
                <w:color w:val="000000" w:themeColor="text1"/>
                <w:szCs w:val="21"/>
                <w:lang w:val="en"/>
                <w14:textFill>
                  <w14:solidFill>
                    <w14:schemeClr w14:val="tx1"/>
                  </w14:solidFill>
                </w14:textFill>
              </w:rPr>
              <w:t xml:space="preserve">）</w:t>
            </w:r>
            <w:r>
              <w:rPr>
                <w:rFonts w:hint="eastAsia" w:ascii="宋体" w:hAnsi="宋体" w:cs="宋体"/>
                <w:iCs/>
                <w:color w:val="000000" w:themeColor="text1"/>
                <w:szCs w:val="21"/>
                <w14:textFill>
                  <w14:solidFill>
                    <w14:schemeClr w14:val="tx1"/>
                  </w14:solidFill>
                </w14:textFill>
              </w:rPr>
              <w:t xml:space="preserve">；</w:t>
            </w:r>
            <w:r/>
          </w:p>
        </w:tc>
        <w:tc>
          <w:tcPr>
            <w:tcW w:w="1591" w:type="dxa"/>
            <w:vAlign w:val="center"/>
            <w:textDirection w:val="lrTb"/>
            <w:noWrap w:val="false"/>
          </w:tcPr>
          <w:p>
            <w:pP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Height w:val="556"/>
        </w:trPr>
        <w:tc>
          <w:tcPr>
            <w:gridSpan w:val="3"/>
            <w:tcW w:w="9278" w:type="dxa"/>
            <w:vAlign w:val="center"/>
            <w:textDirection w:val="lrTb"/>
            <w:noWrap w:val="false"/>
          </w:tcPr>
          <w:p>
            <w:pPr>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其他资格条件</w:t>
            </w:r>
            <w:r/>
          </w:p>
        </w:tc>
      </w:tr>
      <w:tr>
        <w:trPr>
          <w:jc w:val="center"/>
          <w:trHeight w:val="556"/>
        </w:trPr>
        <w:tc>
          <w:tcPr>
            <w:tcW w:w="709"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11</w:t>
            </w:r>
            <w:r/>
          </w:p>
        </w:tc>
        <w:tc>
          <w:tcPr>
            <w:tcW w:w="6978" w:type="dxa"/>
            <w:vAlign w:val="center"/>
            <w:textDirection w:val="lrTb"/>
            <w:noWrap w:val="false"/>
          </w:tcPr>
          <w:p>
            <w:pPr>
              <w:jc w:val="left"/>
              <w:rPr>
                <w:rFonts w:ascii="宋体" w:hAnsi="宋体" w:cs="宋体"/>
                <w:iCs/>
                <w:color w:val="000000" w:themeColor="text1"/>
                <w:szCs w:val="21"/>
                <w14:textFill>
                  <w14:solidFill>
                    <w14:schemeClr w14:val="tx1"/>
                  </w14:solidFill>
                </w14:textFill>
              </w:rPr>
            </w:pPr>
            <w:r>
              <w:rPr>
                <w:rFonts w:hint="eastAsia" w:ascii="宋体" w:hAnsi="宋体" w:cs="宋体"/>
                <w:iCs/>
                <w:color w:val="000000" w:themeColor="text1"/>
                <w:szCs w:val="21"/>
                <w14:textFill>
                  <w14:solidFill>
                    <w14:schemeClr w14:val="tx1"/>
                  </w14:solidFill>
                </w14:textFill>
              </w:rPr>
              <w:t xml:space="preserve">磋商响应函</w:t>
            </w:r>
            <w:r/>
          </w:p>
        </w:tc>
        <w:tc>
          <w:tcPr>
            <w:tcW w:w="1591" w:type="dxa"/>
            <w:vAlign w:val="center"/>
            <w:textDirection w:val="lrTb"/>
            <w:noWrap w:val="false"/>
          </w:tcPr>
          <w:p>
            <w:pP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Height w:val="579"/>
        </w:trPr>
        <w:tc>
          <w:tcPr>
            <w:tcW w:w="709"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12</w:t>
            </w:r>
            <w:r/>
          </w:p>
        </w:tc>
        <w:tc>
          <w:tcPr>
            <w:tcW w:w="6978" w:type="dxa"/>
            <w:vAlign w:val="center"/>
            <w:textDirection w:val="lrTb"/>
            <w:noWrap w:val="false"/>
          </w:tcPr>
          <w:p>
            <w:pPr>
              <w:jc w:val="left"/>
              <w:rPr>
                <w:rFonts w:ascii="宋体" w:hAnsi="宋体" w:cs="宋体"/>
                <w:iCs/>
                <w:color w:val="000000" w:themeColor="text1"/>
                <w:szCs w:val="21"/>
                <w14:textFill>
                  <w14:solidFill>
                    <w14:schemeClr w14:val="tx1"/>
                  </w14:solidFill>
                </w14:textFill>
              </w:rPr>
            </w:pPr>
            <w:r>
              <w:rPr>
                <w:rFonts w:hint="eastAsia" w:ascii="宋体" w:hAnsi="宋体" w:cs="宋体"/>
                <w:iCs/>
                <w:color w:val="000000" w:themeColor="text1"/>
                <w:szCs w:val="21"/>
                <w14:textFill>
                  <w14:solidFill>
                    <w14:schemeClr w14:val="tx1"/>
                  </w14:solidFill>
                </w14:textFill>
              </w:rPr>
              <w:t xml:space="preserve">法人授权书</w:t>
            </w:r>
            <w:r/>
          </w:p>
        </w:tc>
        <w:tc>
          <w:tcPr>
            <w:tcW w:w="1591" w:type="dxa"/>
            <w:vAlign w:val="center"/>
            <w:textDirection w:val="lrTb"/>
            <w:noWrap w:val="false"/>
          </w:tcPr>
          <w:p>
            <w:pP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bl>
    <w:p>
      <w:pPr>
        <w:spacing w:line="360" w:lineRule="auto"/>
        <w:rPr>
          <w:rFonts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br w:type="page" w:clear="all"/>
      </w:r>
      <w:r/>
    </w:p>
    <w:p>
      <w:pPr>
        <w:jc w:val="center"/>
        <w:spacing w:before="156" w:after="156" w:line="360" w:lineRule="auto"/>
        <w:widowControl/>
        <w:rPr>
          <w:rFonts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具备履行合同所必需的设备和专业技术能力的书面声明</w:t>
      </w:r>
      <w:r/>
    </w:p>
    <w:p>
      <w:pPr>
        <w:ind w:firstLine="492"/>
        <w:jc w:val="left"/>
        <w:spacing w:line="360" w:lineRule="auto"/>
        <w:widowControl/>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我单位郑重声明：我单位具备履行本项采购合同所必需的设备和专业技术能力，为履行本项采购合同我公司具备如下主要设备和主要专业技术能力：</w:t>
      </w:r>
      <w:r/>
    </w:p>
    <w:p>
      <w:pPr>
        <w:ind w:firstLine="492"/>
        <w:jc w:val="left"/>
        <w:spacing w:line="360" w:lineRule="auto"/>
        <w:widowControl/>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主要设备有：</w:t>
      </w:r>
      <w:r>
        <w:rPr>
          <w:rFonts w:hint="eastAsia" w:ascii="宋体" w:hAnsi="宋体" w:cs="宋体"/>
          <w:bCs/>
          <w:color w:val="000000" w:themeColor="text1"/>
          <w:szCs w:val="21"/>
          <w:u w:val="single"/>
          <w14:textFill>
            <w14:solidFill>
              <w14:schemeClr w14:val="tx1"/>
            </w14:solidFill>
          </w14:textFill>
        </w:rPr>
        <w:t xml:space="preserve">                    </w:t>
      </w:r>
      <w:r>
        <w:rPr>
          <w:rFonts w:hint="eastAsia" w:ascii="宋体" w:hAnsi="宋体" w:cs="宋体"/>
          <w:bCs/>
          <w:color w:val="000000" w:themeColor="text1"/>
          <w:szCs w:val="21"/>
          <w14:textFill>
            <w14:solidFill>
              <w14:schemeClr w14:val="tx1"/>
            </w14:solidFill>
          </w14:textFill>
        </w:rPr>
        <w:t xml:space="preserve">。</w:t>
      </w:r>
      <w:r/>
    </w:p>
    <w:p>
      <w:pPr>
        <w:ind w:firstLine="492"/>
        <w:jc w:val="left"/>
        <w:spacing w:line="360" w:lineRule="auto"/>
        <w:widowControl/>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主要专业技术能力有：</w:t>
      </w:r>
      <w:r>
        <w:rPr>
          <w:rFonts w:hint="eastAsia" w:ascii="宋体" w:hAnsi="宋体" w:cs="宋体"/>
          <w:bCs/>
          <w:color w:val="000000" w:themeColor="text1"/>
          <w:szCs w:val="21"/>
          <w:u w:val="single"/>
          <w14:textFill>
            <w14:solidFill>
              <w14:schemeClr w14:val="tx1"/>
            </w14:solidFill>
          </w14:textFill>
        </w:rPr>
        <w:t xml:space="preserve">            </w:t>
      </w:r>
      <w:r>
        <w:rPr>
          <w:rFonts w:hint="eastAsia" w:ascii="宋体" w:hAnsi="宋体" w:cs="宋体"/>
          <w:bCs/>
          <w:color w:val="000000" w:themeColor="text1"/>
          <w:szCs w:val="21"/>
          <w14:textFill>
            <w14:solidFill>
              <w14:schemeClr w14:val="tx1"/>
            </w14:solidFill>
          </w14:textFill>
        </w:rPr>
        <w:t xml:space="preserve">。</w:t>
      </w:r>
      <w:r/>
    </w:p>
    <w:p>
      <w:pPr>
        <w:ind w:firstLine="492"/>
        <w:jc w:val="left"/>
        <w:spacing w:line="360" w:lineRule="auto"/>
        <w:widowControl/>
        <w:rPr>
          <w:rFonts w:ascii="宋体" w:hAnsi="宋体" w:cs="宋体"/>
          <w:bCs/>
          <w:color w:val="000000" w:themeColor="text1"/>
          <w:szCs w:val="21"/>
          <w14:textFill>
            <w14:solidFill>
              <w14:schemeClr w14:val="tx1"/>
            </w14:solidFill>
          </w14:textFill>
        </w:rPr>
      </w:pPr>
      <w:r>
        <w:rPr>
          <w:rFonts w:ascii="宋体" w:hAnsi="宋体" w:cs="宋体"/>
          <w:bCs/>
          <w:color w:val="000000" w:themeColor="text1"/>
          <w:szCs w:val="21"/>
          <w14:textFill>
            <w14:solidFill>
              <w14:schemeClr w14:val="tx1"/>
            </w14:solidFill>
          </w14:textFill>
        </w:rPr>
      </w:r>
      <w:r/>
    </w:p>
    <w:p>
      <w:pPr>
        <w:ind w:firstLine="492"/>
        <w:jc w:val="left"/>
        <w:spacing w:line="360" w:lineRule="auto"/>
        <w:widowControl/>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供应商名称（公章）：</w:t>
      </w:r>
      <w:r/>
    </w:p>
    <w:p>
      <w:pPr>
        <w:ind w:firstLine="492"/>
        <w:jc w:val="left"/>
        <w:spacing w:line="360" w:lineRule="auto"/>
        <w:widowControl/>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法定代表人签章：</w:t>
      </w:r>
      <w:r/>
    </w:p>
    <w:p>
      <w:pPr>
        <w:ind w:firstLine="492"/>
        <w:jc w:val="left"/>
        <w:spacing w:line="360" w:lineRule="auto"/>
        <w:widowControl/>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日期：______年</w:t>
      </w:r>
      <w:r>
        <w:rPr>
          <w:rFonts w:hint="eastAsia" w:ascii="宋体" w:hAnsi="宋体" w:cs="宋体"/>
          <w:bCs/>
          <w:color w:val="000000" w:themeColor="text1"/>
          <w:szCs w:val="21"/>
          <w:u w:val="single"/>
          <w14:textFill>
            <w14:solidFill>
              <w14:schemeClr w14:val="tx1"/>
            </w14:solidFill>
          </w14:textFill>
        </w:rPr>
        <w:t xml:space="preserve">    </w:t>
      </w:r>
      <w:r>
        <w:rPr>
          <w:rFonts w:hint="eastAsia" w:ascii="宋体" w:hAnsi="宋体" w:cs="宋体"/>
          <w:bCs/>
          <w:color w:val="000000" w:themeColor="text1"/>
          <w:szCs w:val="21"/>
          <w14:textFill>
            <w14:solidFill>
              <w14:schemeClr w14:val="tx1"/>
            </w14:solidFill>
          </w14:textFill>
        </w:rPr>
        <w:t xml:space="preserve">月</w:t>
      </w:r>
      <w:r>
        <w:rPr>
          <w:rFonts w:hint="eastAsia" w:ascii="宋体" w:hAnsi="宋体" w:cs="宋体"/>
          <w:bCs/>
          <w:color w:val="000000" w:themeColor="text1"/>
          <w:szCs w:val="21"/>
          <w:u w:val="single"/>
          <w14:textFill>
            <w14:solidFill>
              <w14:schemeClr w14:val="tx1"/>
            </w14:solidFill>
          </w14:textFill>
        </w:rPr>
        <w:t xml:space="preserve">    </w:t>
      </w:r>
      <w:r>
        <w:rPr>
          <w:rFonts w:hint="eastAsia" w:ascii="宋体" w:hAnsi="宋体" w:cs="宋体"/>
          <w:bCs/>
          <w:color w:val="000000" w:themeColor="text1"/>
          <w:szCs w:val="21"/>
          <w14:textFill>
            <w14:solidFill>
              <w14:schemeClr w14:val="tx1"/>
            </w14:solidFill>
          </w14:textFill>
        </w:rPr>
        <w:t xml:space="preserve">日</w:t>
      </w:r>
      <w:r/>
    </w:p>
    <w:p>
      <w:pPr>
        <w:jc w:val="center"/>
        <w:spacing w:line="360" w:lineRule="auto"/>
        <w:widowControl/>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14:textFill>
            <w14:solidFill>
              <w14:schemeClr w14:val="tx1"/>
            </w14:solidFill>
          </w14:textFill>
        </w:rPr>
        <w:br w:type="page" w:clear="all"/>
      </w:r>
      <w:r>
        <w:rPr>
          <w:rFonts w:hint="eastAsia" w:ascii="宋体" w:hAnsi="宋体" w:cs="宋体"/>
          <w:b/>
          <w:bCs/>
          <w:color w:val="000000" w:themeColor="text1"/>
          <w:sz w:val="24"/>
          <w:szCs w:val="24"/>
          <w14:textFill>
            <w14:solidFill>
              <w14:schemeClr w14:val="tx1"/>
            </w14:solidFill>
          </w14:textFill>
        </w:rPr>
        <w:t xml:space="preserve">参加本次政府采购活动前 3 年内在经营活动中没有重大违法记录的书面声明</w:t>
      </w:r>
      <w:r/>
    </w:p>
    <w:p>
      <w:pPr>
        <w:jc w:val="center"/>
        <w:spacing w:after="312" w:line="360" w:lineRule="auto"/>
        <w:widowControl/>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声  明</w:t>
      </w:r>
      <w:r/>
    </w:p>
    <w:p>
      <w:pPr>
        <w:jc w:val="left"/>
        <w:spacing w:line="360" w:lineRule="auto"/>
        <w:widowControl/>
        <w:rPr>
          <w:rFonts w:ascii="宋体" w:hAnsi="宋体" w:cs="宋体"/>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    </w:t>
      </w:r>
      <w:r>
        <w:rPr>
          <w:rFonts w:hint="eastAsia" w:ascii="宋体" w:hAnsi="宋体" w:cs="宋体"/>
          <w:bCs/>
          <w:color w:val="000000" w:themeColor="text1"/>
          <w:szCs w:val="21"/>
          <w14:textFill>
            <w14:solidFill>
              <w14:schemeClr w14:val="tx1"/>
            </w14:solidFill>
          </w14:textFill>
        </w:rPr>
        <w:t xml:space="preserve">我公司郑重声明：参加本次政府采购活动前 3 年内，我公司在经营活动中没有因违法经营受到刑事处罚或者责令停产停业、吊销许可证或者执照、较大数额罚款等行政处罚。</w:t>
      </w:r>
      <w:r/>
    </w:p>
    <w:p>
      <w:pPr>
        <w:jc w:val="left"/>
        <w:spacing w:line="360" w:lineRule="auto"/>
        <w:widowControl/>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                               </w:t>
      </w:r>
      <w:r/>
    </w:p>
    <w:p>
      <w:pPr>
        <w:ind w:firstLine="3259"/>
        <w:jc w:val="left"/>
        <w:spacing w:line="360" w:lineRule="auto"/>
        <w:widowControl/>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供应商名称（公章）：</w:t>
      </w:r>
      <w:r/>
    </w:p>
    <w:p>
      <w:pPr>
        <w:jc w:val="left"/>
        <w:spacing w:line="360" w:lineRule="auto"/>
        <w:widowControl/>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                               法定代表人签章：</w:t>
      </w:r>
      <w:r/>
    </w:p>
    <w:p>
      <w:pPr>
        <w:jc w:val="left"/>
        <w:spacing w:line="360" w:lineRule="auto"/>
        <w:widowControl/>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                               日期：______年</w:t>
      </w:r>
      <w:r>
        <w:rPr>
          <w:rFonts w:hint="eastAsia" w:ascii="宋体" w:hAnsi="宋体" w:cs="宋体"/>
          <w:bCs/>
          <w:color w:val="000000" w:themeColor="text1"/>
          <w:szCs w:val="21"/>
          <w:u w:val="single"/>
          <w14:textFill>
            <w14:solidFill>
              <w14:schemeClr w14:val="tx1"/>
            </w14:solidFill>
          </w14:textFill>
        </w:rPr>
        <w:t xml:space="preserve">    </w:t>
      </w:r>
      <w:r>
        <w:rPr>
          <w:rFonts w:hint="eastAsia" w:ascii="宋体" w:hAnsi="宋体" w:cs="宋体"/>
          <w:bCs/>
          <w:color w:val="000000" w:themeColor="text1"/>
          <w:szCs w:val="21"/>
          <w14:textFill>
            <w14:solidFill>
              <w14:schemeClr w14:val="tx1"/>
            </w14:solidFill>
          </w14:textFill>
        </w:rPr>
        <w:t xml:space="preserve">月</w:t>
      </w:r>
      <w:r>
        <w:rPr>
          <w:rFonts w:hint="eastAsia" w:ascii="宋体" w:hAnsi="宋体" w:cs="宋体"/>
          <w:bCs/>
          <w:color w:val="000000" w:themeColor="text1"/>
          <w:szCs w:val="21"/>
          <w:u w:val="single"/>
          <w14:textFill>
            <w14:solidFill>
              <w14:schemeClr w14:val="tx1"/>
            </w14:solidFill>
          </w14:textFill>
        </w:rPr>
        <w:t xml:space="preserve">    </w:t>
      </w:r>
      <w:r>
        <w:rPr>
          <w:rFonts w:hint="eastAsia" w:ascii="宋体" w:hAnsi="宋体" w:cs="宋体"/>
          <w:bCs/>
          <w:color w:val="000000" w:themeColor="text1"/>
          <w:szCs w:val="21"/>
          <w14:textFill>
            <w14:solidFill>
              <w14:schemeClr w14:val="tx1"/>
            </w14:solidFill>
          </w14:textFill>
        </w:rPr>
        <w:t xml:space="preserve">日</w:t>
      </w:r>
      <w:r/>
    </w:p>
    <w:p>
      <w:pPr>
        <w:spacing w:line="360" w:lineRule="auto"/>
        <w:rPr>
          <w:rFonts w:ascii="宋体" w:hAnsi="宋体" w:cs="宋体"/>
          <w:bCs/>
          <w:color w:val="000000" w:themeColor="text1"/>
          <w14:textFill>
            <w14:solidFill>
              <w14:schemeClr w14:val="tx1"/>
            </w14:solidFill>
          </w14:textFill>
        </w:rPr>
      </w:pPr>
      <w:r>
        <w:rPr>
          <w:rFonts w:ascii="宋体" w:hAnsi="宋体" w:cs="宋体"/>
          <w:bCs/>
          <w:color w:val="000000" w:themeColor="text1"/>
          <w14:textFill>
            <w14:solidFill>
              <w14:schemeClr w14:val="tx1"/>
            </w14:solidFill>
          </w14:textFill>
        </w:rPr>
      </w:r>
      <w:r/>
    </w:p>
    <w:p>
      <w:pPr>
        <w:spacing w:line="360" w:lineRule="auto"/>
        <w:rPr>
          <w:rFonts w:ascii="宋体" w:hAnsi="宋体" w:cs="宋体"/>
          <w:b/>
          <w:bCs/>
          <w:color w:val="000000" w:themeColor="text1"/>
          <w14:textFill>
            <w14:solidFill>
              <w14:schemeClr w14:val="tx1"/>
            </w14:solidFill>
          </w14:textFill>
        </w:rPr>
        <w:sectPr>
          <w:headerReference w:type="default" r:id="rId11"/>
          <w:footerReference w:type="default" r:id="rId16"/>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b/>
          <w:bCs/>
          <w:color w:val="000000" w:themeColor="text1"/>
          <w14:textFill>
            <w14:solidFill>
              <w14:schemeClr w14:val="tx1"/>
            </w14:solidFill>
          </w14:textFill>
        </w:rPr>
      </w:r>
      <w:r/>
    </w:p>
    <w:p>
      <w:pPr>
        <w:jc w:val="center"/>
        <w:spacing w:line="360" w:lineRule="auto"/>
        <w:rPr>
          <w:rFonts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t xml:space="preserve">供应商信用承诺书</w:t>
      </w:r>
      <w:r/>
    </w:p>
    <w:p>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承诺主体名称：</w:t>
      </w:r>
      <w:r/>
    </w:p>
    <w:p>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统一社会信用代码：</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为维护公平竞争、规范有序的市场秩序，营造诚实守信的信用环境，共同推进社会信用体系建设完善，树立企业诚信守法形象，本企业对</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 项目政府采购活动郑重承诺如下:</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四、自觉接受行政管理部门、行业组织、社会公众、新闻舆论的监督；</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七、严格遵守信用信息公示相关规定，向社会公示信用信息；</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八、在“信用中国”和“中国政府采购网”网站中无违法违规、较重或严重失信记录；</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十、本承诺书自签订之日起生效。</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（注：法定代表人或负责人、主体名称发生变更的应当重新做出承诺。）</w:t>
      </w:r>
      <w:r/>
    </w:p>
    <w:p>
      <w:pPr>
        <w:jc w:val="cente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承诺单位（签章）： </w:t>
      </w:r>
      <w:r/>
    </w:p>
    <w:p>
      <w:pPr>
        <w:jc w:val="cente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法定代表人（负责人）：</w:t>
      </w:r>
      <w:r/>
    </w:p>
    <w:p>
      <w:pPr>
        <w:pStyle w:val="1021"/>
        <w:ind w:firstLine="56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rPr>
          <w:rFonts w:hint="eastAsia" w:ascii="宋体" w:hAnsi="宋体" w:cs="宋体"/>
          <w:color w:val="000000" w:themeColor="text1"/>
          <w:sz w:val="21"/>
          <w:szCs w:val="21"/>
          <w14:textFill>
            <w14:solidFill>
              <w14:schemeClr w14:val="tx1"/>
            </w14:solidFill>
          </w14:textFill>
        </w:rPr>
        <w:t xml:space="preserve">日期：</w:t>
      </w:r>
      <w:r>
        <w:rPr>
          <w:rFonts w:hint="eastAsia" w:ascii="宋体" w:hAnsi="宋体" w:cs="宋体"/>
          <w:color w:val="000000" w:themeColor="text1"/>
          <w:sz w:val="21"/>
          <w:szCs w:val="21"/>
          <w:u w:val="single"/>
          <w14:textFill>
            <w14:solidFill>
              <w14:schemeClr w14:val="tx1"/>
            </w14:solidFill>
          </w14:textFill>
        </w:rPr>
        <w:t xml:space="preserve">      </w:t>
      </w:r>
      <w:r>
        <w:rPr>
          <w:rFonts w:hint="eastAsia" w:ascii="宋体" w:hAnsi="宋体" w:cs="宋体"/>
          <w:color w:val="000000" w:themeColor="text1"/>
          <w:sz w:val="21"/>
          <w:szCs w:val="21"/>
          <w14:textFill>
            <w14:solidFill>
              <w14:schemeClr w14:val="tx1"/>
            </w14:solidFill>
          </w14:textFill>
        </w:rPr>
        <w:t xml:space="preserve">年</w:t>
      </w:r>
      <w:r>
        <w:rPr>
          <w:rFonts w:hint="eastAsia" w:ascii="宋体" w:hAnsi="宋体" w:cs="宋体"/>
          <w:color w:val="000000" w:themeColor="text1"/>
          <w:sz w:val="21"/>
          <w:szCs w:val="21"/>
          <w:u w:val="single"/>
          <w14:textFill>
            <w14:solidFill>
              <w14:schemeClr w14:val="tx1"/>
            </w14:solidFill>
          </w14:textFill>
        </w:rPr>
        <w:t xml:space="preserve">     </w:t>
      </w:r>
      <w:r>
        <w:rPr>
          <w:rFonts w:hint="eastAsia" w:ascii="宋体" w:hAnsi="宋体" w:cs="宋体"/>
          <w:color w:val="000000" w:themeColor="text1"/>
          <w:sz w:val="21"/>
          <w:szCs w:val="21"/>
          <w14:textFill>
            <w14:solidFill>
              <w14:schemeClr w14:val="tx1"/>
            </w14:solidFill>
          </w14:textFill>
        </w:rPr>
        <w:t xml:space="preserve">月</w:t>
      </w:r>
      <w:r>
        <w:rPr>
          <w:rFonts w:hint="eastAsia" w:ascii="宋体" w:hAnsi="宋体" w:cs="宋体"/>
          <w:color w:val="000000" w:themeColor="text1"/>
          <w:sz w:val="21"/>
          <w:szCs w:val="21"/>
          <w:u w:val="single"/>
          <w14:textFill>
            <w14:solidFill>
              <w14:schemeClr w14:val="tx1"/>
            </w14:solidFill>
          </w14:textFill>
        </w:rPr>
        <w:t xml:space="preserve">     </w:t>
      </w:r>
      <w:r>
        <w:rPr>
          <w:rFonts w:hint="eastAsia" w:ascii="宋体" w:hAnsi="宋体" w:cs="宋体"/>
          <w:color w:val="000000" w:themeColor="text1"/>
          <w:sz w:val="21"/>
          <w:szCs w:val="21"/>
          <w14:textFill>
            <w14:solidFill>
              <w14:schemeClr w14:val="tx1"/>
            </w14:solidFill>
          </w14:textFill>
        </w:rPr>
        <w:t xml:space="preserve">日</w:t>
      </w:r>
      <w:r/>
    </w:p>
    <w:p>
      <w:pPr>
        <w:jc w:val="cente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spacing w:line="360" w:lineRule="auto"/>
        <w:rPr>
          <w:rFonts w:ascii="宋体" w:hAnsi="宋体" w:cs="宋体"/>
          <w:b/>
          <w:bCs/>
          <w:color w:val="000000" w:themeColor="text1"/>
          <w14:textFill>
            <w14:solidFill>
              <w14:schemeClr w14:val="tx1"/>
            </w14:solidFill>
          </w14:textFill>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b/>
          <w:bCs/>
          <w:color w:val="000000" w:themeColor="text1"/>
          <w14:textFill>
            <w14:solidFill>
              <w14:schemeClr w14:val="tx1"/>
            </w14:solidFill>
          </w14:textFill>
        </w:rPr>
      </w:r>
      <w:r/>
    </w:p>
    <w:p>
      <w:pPr>
        <w:jc w:val="center"/>
        <w:spacing w:line="360" w:lineRule="auto"/>
        <w:rPr>
          <w:rFonts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t xml:space="preserve">磋 商 响 应 函</w:t>
      </w:r>
      <w:r/>
    </w:p>
    <w:p>
      <w:pPr>
        <w:pStyle w:val="1021"/>
        <w:ind w:firstLine="0"/>
        <w:spacing w:line="36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r>
      <w:r/>
    </w:p>
    <w:p>
      <w:pPr>
        <w:pStyle w:val="1021"/>
        <w:ind w:firstLine="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致：（代理公司）</w:t>
      </w:r>
      <w:r/>
    </w:p>
    <w:p>
      <w:pPr>
        <w:pStyle w:val="1021"/>
        <w:ind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根据贵方的</w:t>
      </w:r>
      <w:r>
        <w:rPr>
          <w:rFonts w:hint="eastAsia" w:ascii="宋体" w:hAnsi="宋体" w:cs="宋体"/>
          <w:color w:val="000000" w:themeColor="text1"/>
          <w:sz w:val="21"/>
          <w:szCs w:val="21"/>
          <w:u w:val="single"/>
          <w14:textFill>
            <w14:solidFill>
              <w14:schemeClr w14:val="tx1"/>
            </w14:solidFill>
          </w14:textFill>
        </w:rPr>
        <w:t xml:space="preserve">                </w:t>
      </w:r>
      <w:r>
        <w:rPr>
          <w:rFonts w:hint="eastAsia" w:ascii="宋体" w:hAnsi="宋体" w:cs="宋体"/>
          <w:color w:val="000000" w:themeColor="text1"/>
          <w:sz w:val="21"/>
          <w:szCs w:val="21"/>
          <w14:textFill>
            <w14:solidFill>
              <w14:schemeClr w14:val="tx1"/>
            </w14:solidFill>
          </w14:textFill>
        </w:rPr>
        <w:t xml:space="preserve">号</w:t>
      </w:r>
      <w:r>
        <w:rPr>
          <w:rFonts w:hint="eastAsia" w:ascii="宋体" w:hAnsi="宋体" w:cs="宋体"/>
          <w:color w:val="000000" w:themeColor="text1"/>
          <w:sz w:val="21"/>
          <w:szCs w:val="21"/>
          <w:u w:val="single"/>
          <w14:textFill>
            <w14:solidFill>
              <w14:schemeClr w14:val="tx1"/>
            </w14:solidFill>
          </w14:textFill>
        </w:rPr>
        <w:t xml:space="preserve">                （项目名称）</w:t>
      </w:r>
      <w:r>
        <w:rPr>
          <w:rFonts w:hint="eastAsia" w:ascii="宋体" w:hAnsi="宋体" w:cs="宋体"/>
          <w:color w:val="000000" w:themeColor="text1"/>
          <w:sz w:val="21"/>
          <w:szCs w:val="21"/>
          <w14:textFill>
            <w14:solidFill>
              <w14:schemeClr w14:val="tx1"/>
            </w14:solidFill>
          </w14:textFill>
        </w:rPr>
        <w:t xml:space="preserve">采购文件，正式授权下述签字人</w:t>
      </w:r>
      <w:r>
        <w:rPr>
          <w:rFonts w:hint="eastAsia" w:ascii="宋体" w:hAnsi="宋体" w:cs="宋体"/>
          <w:color w:val="000000" w:themeColor="text1"/>
          <w:sz w:val="21"/>
          <w:szCs w:val="21"/>
          <w:u w:val="single"/>
          <w14:textFill>
            <w14:solidFill>
              <w14:schemeClr w14:val="tx1"/>
            </w14:solidFill>
          </w14:textFill>
        </w:rPr>
        <w:t xml:space="preserve">             </w:t>
      </w:r>
      <w:r>
        <w:rPr>
          <w:rFonts w:hint="eastAsia" w:ascii="宋体" w:hAnsi="宋体" w:cs="宋体"/>
          <w:color w:val="000000" w:themeColor="text1"/>
          <w:sz w:val="21"/>
          <w:szCs w:val="21"/>
          <w14:textFill>
            <w14:solidFill>
              <w14:schemeClr w14:val="tx1"/>
            </w14:solidFill>
          </w14:textFill>
        </w:rPr>
        <w:t xml:space="preserve">(姓名和职务)代表我方</w:t>
      </w:r>
      <w:r>
        <w:rPr>
          <w:rFonts w:hint="eastAsia" w:ascii="宋体" w:hAnsi="宋体" w:cs="宋体"/>
          <w:color w:val="000000" w:themeColor="text1"/>
          <w:sz w:val="21"/>
          <w:szCs w:val="21"/>
          <w:u w:val="single"/>
          <w14:textFill>
            <w14:solidFill>
              <w14:schemeClr w14:val="tx1"/>
            </w14:solidFill>
          </w14:textFill>
        </w:rPr>
        <w:t xml:space="preserve">                    </w:t>
      </w:r>
      <w:r>
        <w:rPr>
          <w:rFonts w:hint="eastAsia" w:ascii="宋体" w:hAnsi="宋体" w:cs="宋体"/>
          <w:color w:val="000000" w:themeColor="text1"/>
          <w:sz w:val="21"/>
          <w:szCs w:val="21"/>
          <w14:textFill>
            <w14:solidFill>
              <w14:schemeClr w14:val="tx1"/>
            </w14:solidFill>
          </w14:textFill>
        </w:rPr>
        <w:t xml:space="preserve">（供应商的名称），全权处理本次项目响应的有关事宜。</w:t>
      </w:r>
      <w:r/>
    </w:p>
    <w:p>
      <w:pPr>
        <w:pStyle w:val="1021"/>
        <w:ind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据此函，</w:t>
      </w:r>
      <w:r>
        <w:rPr>
          <w:rFonts w:hint="eastAsia" w:ascii="宋体" w:hAnsi="宋体" w:cs="宋体"/>
          <w:color w:val="000000" w:themeColor="text1"/>
          <w:sz w:val="21"/>
          <w:szCs w:val="21"/>
          <w:u w:val="single"/>
          <w14:textFill>
            <w14:solidFill>
              <w14:schemeClr w14:val="tx1"/>
            </w14:solidFill>
          </w14:textFill>
        </w:rPr>
        <w:t xml:space="preserve">          </w:t>
      </w:r>
      <w:r>
        <w:rPr>
          <w:rFonts w:hint="eastAsia" w:ascii="宋体" w:hAnsi="宋体" w:cs="宋体"/>
          <w:color w:val="000000" w:themeColor="text1"/>
          <w:sz w:val="21"/>
          <w:szCs w:val="21"/>
          <w14:textFill>
            <w14:solidFill>
              <w14:schemeClr w14:val="tx1"/>
            </w14:solidFill>
          </w14:textFill>
        </w:rPr>
        <w:t xml:space="preserve">（签字人）兹宣布同意如下：</w:t>
      </w:r>
      <w:r/>
    </w:p>
    <w:p>
      <w:pPr>
        <w:pStyle w:val="1021"/>
        <w:ind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1.按采购文件规定的各项要求，向买方提供所需服务。</w:t>
      </w:r>
      <w:r/>
    </w:p>
    <w:p>
      <w:pPr>
        <w:pStyle w:val="1021"/>
        <w:ind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2.我们已详细审核全部采购文件及其有效补充文件，我们知道必须放弃提出含糊不清或误解问题的权利。</w:t>
      </w:r>
      <w:r/>
    </w:p>
    <w:p>
      <w:pPr>
        <w:pStyle w:val="1021"/>
        <w:ind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3.我们同意从规定的响应文件接收截止时间起遵循本响应文件，并在规定的响应有效期期满之前均具有约束力。</w:t>
      </w:r>
      <w:r/>
    </w:p>
    <w:p>
      <w:pPr>
        <w:pStyle w:val="1021"/>
        <w:ind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4.同意向贵方提供贵方可能另外要求的与响应有关的任何证据或资料，并保证我方已提供和将要提供的文件是真实的、准确的。</w:t>
      </w:r>
      <w:r/>
    </w:p>
    <w:p>
      <w:pPr>
        <w:pStyle w:val="1021"/>
        <w:ind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5.一旦我方成交，我方将根据采购文件的规定，严格履行合同的责任和义务，并保证在谈判文件规定的时间完成项目，交付买方验收、使用。</w:t>
      </w:r>
      <w:r/>
    </w:p>
    <w:p>
      <w:pPr>
        <w:pStyle w:val="1021"/>
        <w:ind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6.遵守采购文件中要求的收费项目和标准。</w:t>
      </w:r>
      <w:r/>
    </w:p>
    <w:p>
      <w:pPr>
        <w:pStyle w:val="1021"/>
        <w:ind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7.与本响应采购有关的正式通讯地址为：</w:t>
      </w:r>
      <w:r/>
    </w:p>
    <w:p>
      <w:pPr>
        <w:pStyle w:val="1021"/>
        <w:ind w:firstLine="420"/>
        <w:spacing w:line="36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r>
      <w:r/>
    </w:p>
    <w:p>
      <w:pPr>
        <w:pStyle w:val="1021"/>
        <w:ind w:firstLine="420"/>
        <w:spacing w:line="36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r>
      <w:r/>
    </w:p>
    <w:p>
      <w:pPr>
        <w:pStyle w:val="1021"/>
        <w:ind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地址：                                       邮编：</w:t>
      </w:r>
      <w:r/>
    </w:p>
    <w:p>
      <w:pPr>
        <w:pStyle w:val="1021"/>
        <w:ind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电话：                                       传真：</w:t>
      </w:r>
      <w:r/>
    </w:p>
    <w:p>
      <w:pPr>
        <w:pStyle w:val="1021"/>
        <w:ind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供应商开户行：                               账户：</w:t>
      </w:r>
      <w:r/>
    </w:p>
    <w:p>
      <w:pPr>
        <w:pStyle w:val="1021"/>
        <w:ind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法定代表人姓名（签章）：                     联系电话：</w:t>
      </w:r>
      <w:r/>
    </w:p>
    <w:p>
      <w:pPr>
        <w:pStyle w:val="1021"/>
        <w:ind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供应商名称（公章）：</w:t>
      </w:r>
      <w:r/>
    </w:p>
    <w:p>
      <w:pPr>
        <w:pStyle w:val="1021"/>
        <w:ind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日期：</w:t>
      </w:r>
      <w:r>
        <w:rPr>
          <w:rFonts w:hint="eastAsia" w:ascii="宋体" w:hAnsi="宋体" w:cs="宋体"/>
          <w:color w:val="000000" w:themeColor="text1"/>
          <w:sz w:val="21"/>
          <w:szCs w:val="21"/>
          <w:u w:val="single"/>
          <w14:textFill>
            <w14:solidFill>
              <w14:schemeClr w14:val="tx1"/>
            </w14:solidFill>
          </w14:textFill>
        </w:rPr>
        <w:t xml:space="preserve">      </w:t>
      </w:r>
      <w:r>
        <w:rPr>
          <w:rFonts w:hint="eastAsia" w:ascii="宋体" w:hAnsi="宋体" w:cs="宋体"/>
          <w:color w:val="000000" w:themeColor="text1"/>
          <w:sz w:val="21"/>
          <w:szCs w:val="21"/>
          <w14:textFill>
            <w14:solidFill>
              <w14:schemeClr w14:val="tx1"/>
            </w14:solidFill>
          </w14:textFill>
        </w:rPr>
        <w:t xml:space="preserve">年</w:t>
      </w:r>
      <w:r>
        <w:rPr>
          <w:rFonts w:hint="eastAsia" w:ascii="宋体" w:hAnsi="宋体" w:cs="宋体"/>
          <w:color w:val="000000" w:themeColor="text1"/>
          <w:sz w:val="21"/>
          <w:szCs w:val="21"/>
          <w:u w:val="single"/>
          <w14:textFill>
            <w14:solidFill>
              <w14:schemeClr w14:val="tx1"/>
            </w14:solidFill>
          </w14:textFill>
        </w:rPr>
        <w:t xml:space="preserve">     </w:t>
      </w:r>
      <w:r>
        <w:rPr>
          <w:rFonts w:hint="eastAsia" w:ascii="宋体" w:hAnsi="宋体" w:cs="宋体"/>
          <w:color w:val="000000" w:themeColor="text1"/>
          <w:sz w:val="21"/>
          <w:szCs w:val="21"/>
          <w14:textFill>
            <w14:solidFill>
              <w14:schemeClr w14:val="tx1"/>
            </w14:solidFill>
          </w14:textFill>
        </w:rPr>
        <w:t xml:space="preserve">月</w:t>
      </w:r>
      <w:r>
        <w:rPr>
          <w:rFonts w:hint="eastAsia" w:ascii="宋体" w:hAnsi="宋体" w:cs="宋体"/>
          <w:color w:val="000000" w:themeColor="text1"/>
          <w:sz w:val="21"/>
          <w:szCs w:val="21"/>
          <w:u w:val="single"/>
          <w14:textFill>
            <w14:solidFill>
              <w14:schemeClr w14:val="tx1"/>
            </w14:solidFill>
          </w14:textFill>
        </w:rPr>
        <w:t xml:space="preserve">     </w:t>
      </w:r>
      <w:r>
        <w:rPr>
          <w:rFonts w:hint="eastAsia" w:ascii="宋体" w:hAnsi="宋体" w:cs="宋体"/>
          <w:color w:val="000000" w:themeColor="text1"/>
          <w:sz w:val="21"/>
          <w:szCs w:val="21"/>
          <w14:textFill>
            <w14:solidFill>
              <w14:schemeClr w14:val="tx1"/>
            </w14:solidFill>
          </w14:textFill>
        </w:rPr>
        <w:t xml:space="preserve">日</w:t>
      </w:r>
      <w:r/>
    </w:p>
    <w:p>
      <w:pPr>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br w:type="page" w:clear="all"/>
      </w:r>
      <w:r/>
    </w:p>
    <w:p>
      <w:pPr>
        <w:jc w:val="center"/>
        <w:spacing w:line="360" w:lineRule="auto"/>
        <w:rPr>
          <w:rFonts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t xml:space="preserve">法人授权书</w:t>
      </w:r>
      <w:r/>
    </w:p>
    <w:p>
      <w:pPr>
        <w:pStyle w:val="1021"/>
        <w:ind w:firstLine="562"/>
        <w:jc w:val="center"/>
        <w:spacing w:line="360" w:lineRule="auto"/>
        <w:rPr>
          <w:rFonts w:ascii="宋体" w:hAnsi="宋体" w:cs="宋体"/>
          <w:b/>
          <w:color w:val="000000" w:themeColor="text1"/>
          <w:szCs w:val="28"/>
          <w14:textFill>
            <w14:solidFill>
              <w14:schemeClr w14:val="tx1"/>
            </w14:solidFill>
          </w14:textFill>
        </w:rPr>
      </w:pPr>
      <w:r>
        <w:rPr>
          <w:rFonts w:ascii="宋体" w:hAnsi="宋体" w:cs="宋体"/>
          <w:b/>
          <w:color w:val="000000" w:themeColor="text1"/>
          <w:szCs w:val="28"/>
          <w14:textFill>
            <w14:solidFill>
              <w14:schemeClr w14:val="tx1"/>
            </w14:solidFill>
          </w14:textFill>
        </w:rPr>
      </w:r>
      <w:r/>
    </w:p>
    <w:p>
      <w:pPr>
        <w:ind w:firstLine="420"/>
        <w:jc w:val="left"/>
        <w:spacing w:line="360" w:lineRule="auto"/>
        <w:widowControl/>
        <w:tabs>
          <w:tab w:val="left" w:pos="360"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本授权书声明：</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（供应商名称）授权</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(被授权人的姓名）为我方就</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（项目编号）号</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（项目名称）项目采购活动的合法代理人，以本公司名义全权处理一切与该项目采购有关的事务。</w:t>
      </w:r>
      <w:r/>
    </w:p>
    <w:p>
      <w:pPr>
        <w:ind w:firstLine="420"/>
        <w:jc w:val="left"/>
        <w:spacing w:line="360" w:lineRule="auto"/>
        <w:widowControl/>
        <w:tabs>
          <w:tab w:val="left" w:pos="360"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本授权书于</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年</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月</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日起生效，特此声明。</w:t>
      </w:r>
      <w:r/>
    </w:p>
    <w:p>
      <w:pPr>
        <w:ind w:firstLine="420"/>
        <w:jc w:val="left"/>
        <w:spacing w:line="360" w:lineRule="auto"/>
        <w:widowControl/>
        <w:tabs>
          <w:tab w:val="left" w:pos="360"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被授权人姓名：</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       </w:t>
      </w:r>
      <w:r/>
    </w:p>
    <w:p>
      <w:pPr>
        <w:ind w:firstLine="420"/>
        <w:jc w:val="left"/>
        <w:spacing w:line="360" w:lineRule="auto"/>
        <w:widowControl/>
        <w:tabs>
          <w:tab w:val="left" w:pos="360" w:leader="none"/>
        </w:tabs>
        <w:rPr>
          <w:rFonts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联系电话（手机）：</w:t>
      </w:r>
      <w:r>
        <w:rPr>
          <w:rFonts w:hint="eastAsia" w:ascii="宋体" w:hAnsi="宋体" w:cs="宋体"/>
          <w:color w:val="000000" w:themeColor="text1"/>
          <w:szCs w:val="21"/>
          <w:u w:val="single"/>
          <w14:textFill>
            <w14:solidFill>
              <w14:schemeClr w14:val="tx1"/>
            </w14:solidFill>
          </w14:textFill>
        </w:rPr>
        <w:t xml:space="preserve">                            </w:t>
      </w:r>
      <w:r/>
    </w:p>
    <w:p>
      <w:pPr>
        <w:jc w:val="left"/>
        <w:spacing w:line="360" w:lineRule="auto"/>
        <w:widowControl/>
        <w:tabs>
          <w:tab w:val="left" w:pos="360"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单位名称：</w:t>
      </w:r>
      <w:r>
        <w:rPr>
          <w:rFonts w:hint="eastAsia" w:ascii="宋体" w:hAnsi="宋体" w:cs="宋体"/>
          <w:color w:val="000000" w:themeColor="text1"/>
          <w:szCs w:val="21"/>
          <w:u w:val="single"/>
          <w14:textFill>
            <w14:solidFill>
              <w14:schemeClr w14:val="tx1"/>
            </w14:solidFill>
          </w14:textFill>
        </w:rPr>
        <w:t xml:space="preserve">                                    </w:t>
      </w:r>
      <w:r/>
    </w:p>
    <w:p>
      <w:pPr>
        <w:ind w:firstLine="420"/>
        <w:jc w:val="left"/>
        <w:spacing w:line="360" w:lineRule="auto"/>
        <w:widowControl/>
        <w:tabs>
          <w:tab w:val="left" w:pos="360" w:leader="none"/>
        </w:tabs>
        <w:rPr>
          <w:rFonts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单位地址：</w:t>
      </w:r>
      <w:r>
        <w:rPr>
          <w:rFonts w:hint="eastAsia" w:ascii="宋体" w:hAnsi="宋体" w:cs="宋体"/>
          <w:color w:val="000000" w:themeColor="text1"/>
          <w:szCs w:val="21"/>
          <w:u w:val="single"/>
          <w14:textFill>
            <w14:solidFill>
              <w14:schemeClr w14:val="tx1"/>
            </w14:solidFill>
          </w14:textFill>
        </w:rPr>
        <w:t xml:space="preserve">                                    </w:t>
      </w:r>
      <w:r/>
    </w:p>
    <w:p>
      <w:pPr>
        <w:ind w:firstLine="420"/>
        <w:jc w:val="left"/>
        <w:spacing w:line="360" w:lineRule="auto"/>
        <w:widowControl/>
        <w:tabs>
          <w:tab w:val="left" w:pos="360"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日期：</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 </w:t>
      </w:r>
      <w:r/>
    </w:p>
    <w:p>
      <w:pPr>
        <w:jc w:val="left"/>
        <w:spacing w:line="360" w:lineRule="auto"/>
        <w:widowControl/>
        <w:rPr>
          <w:rFonts w:ascii="宋体" w:hAnsi="宋体" w:cs="宋体"/>
          <w:bCs/>
          <w:color w:val="000000" w:themeColor="text1"/>
          <w:szCs w:val="21"/>
          <w14:textFill>
            <w14:solidFill>
              <w14:schemeClr w14:val="tx1"/>
            </w14:solidFill>
          </w14:textFill>
        </w:rPr>
      </w:pPr>
      <w:r>
        <w:rPr>
          <w:rFonts w:ascii="宋体" w:hAnsi="宋体" w:cs="宋体"/>
          <w:bCs/>
          <w:color w:val="000000" w:themeColor="text1"/>
          <w:szCs w:val="21"/>
          <w14:textFill>
            <w14:solidFill>
              <w14:schemeClr w14:val="tx1"/>
            </w14:solidFill>
          </w14:textFill>
        </w:rPr>
      </w:r>
      <w:r/>
    </w:p>
    <w:p>
      <w:pPr>
        <w:spacing w:line="360" w:lineRule="auto"/>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注：</w:t>
      </w:r>
      <w:r/>
    </w:p>
    <w:p>
      <w:pPr>
        <w:spacing w:line="360" w:lineRule="auto"/>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1、需同时提供法定代表人和被授权人身份证复印件，如法定代表人签署响应文件则无需出具授权书，仅需提供法定代表人身份证复印件。</w:t>
      </w:r>
      <w:r/>
    </w:p>
    <w:p>
      <w:pPr>
        <w:spacing w:line="360" w:lineRule="auto"/>
        <w:rPr>
          <w:rFonts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br w:type="page" w:clear="all"/>
      </w:r>
      <w:r/>
    </w:p>
    <w:p>
      <w:pPr>
        <w:jc w:val="center"/>
        <w:spacing w:line="360" w:lineRule="auto"/>
        <w:rPr>
          <w:rFonts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t xml:space="preserve">二、符合性审查响应对照表</w:t>
      </w:r>
      <w:r/>
    </w:p>
    <w:tbl>
      <w:tblPr>
        <w:tblStyle w:val="966"/>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124"/>
      </w:tblGrid>
      <w:tr>
        <w:trPr>
          <w:trHeight w:val="882"/>
        </w:trPr>
        <w:tc>
          <w:tcPr>
            <w:tcW w:w="646" w:type="dxa"/>
            <w:vAlign w:val="center"/>
            <w:textDirection w:val="lrTb"/>
            <w:noWrap/>
          </w:tcPr>
          <w:p>
            <w:pPr>
              <w:jc w:val="center"/>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序号</w:t>
            </w:r>
            <w:r/>
          </w:p>
        </w:tc>
        <w:tc>
          <w:tcPr>
            <w:tcW w:w="5447" w:type="dxa"/>
            <w:vAlign w:val="center"/>
            <w:textDirection w:val="lrTb"/>
            <w:noWrap/>
          </w:tcPr>
          <w:p>
            <w:pPr>
              <w:jc w:val="center"/>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符合性审查响应内容</w:t>
            </w:r>
            <w:r/>
          </w:p>
        </w:tc>
        <w:tc>
          <w:tcPr>
            <w:tcW w:w="1680" w:type="dxa"/>
            <w:vAlign w:val="center"/>
            <w:textDirection w:val="lrTb"/>
            <w:noWrap/>
          </w:tcPr>
          <w:p>
            <w:pPr>
              <w:jc w:val="center"/>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是否响应</w:t>
            </w:r>
            <w:r/>
          </w:p>
          <w:p>
            <w:pPr>
              <w:jc w:val="center"/>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（填是或者否）</w:t>
            </w:r>
            <w:r/>
          </w:p>
        </w:tc>
        <w:tc>
          <w:tcPr>
            <w:tcW w:w="1124" w:type="dxa"/>
            <w:vAlign w:val="center"/>
            <w:textDirection w:val="lrTb"/>
            <w:noWrap/>
          </w:tcPr>
          <w:p>
            <w:pPr>
              <w:jc w:val="center"/>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响应情况</w:t>
            </w:r>
            <w:r/>
          </w:p>
        </w:tc>
      </w:tr>
      <w:tr>
        <w:trPr>
          <w:trHeight w:val="936"/>
        </w:trPr>
        <w:tc>
          <w:tcPr>
            <w:tcW w:w="646" w:type="dxa"/>
            <w:vAlign w:val="center"/>
            <w:textDirection w:val="lrTb"/>
            <w:noWrap/>
          </w:tcPr>
          <w:p>
            <w:pPr>
              <w:jc w:val="center"/>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w:t>
            </w:r>
            <w:r/>
          </w:p>
        </w:tc>
        <w:tc>
          <w:tcPr>
            <w:tcW w:w="5447" w:type="dxa"/>
            <w:vAlign w:val="center"/>
            <w:textDirection w:val="lrTb"/>
            <w:noWrap/>
          </w:tcPr>
          <w:p>
            <w:pPr>
              <w:spacing w:line="360" w:lineRule="auto"/>
              <w:rPr>
                <w:rFonts w:ascii="宋体" w:hAnsi="宋体" w:cs="宋体"/>
                <w:iCs/>
                <w:color w:val="000000" w:themeColor="text1"/>
                <w:szCs w:val="21"/>
                <w14:textFill>
                  <w14:solidFill>
                    <w14:schemeClr w14:val="tx1"/>
                  </w14:solidFill>
                </w14:textFill>
              </w:rPr>
            </w:pPr>
            <w:r>
              <w:rPr>
                <w:rFonts w:hint="eastAsia" w:ascii="宋体" w:hAnsi="宋体" w:cs="宋体"/>
                <w:iCs/>
                <w:color w:val="000000" w:themeColor="text1"/>
                <w:szCs w:val="21"/>
                <w14:textFill>
                  <w14:solidFill>
                    <w14:schemeClr w14:val="tx1"/>
                  </w14:solidFill>
                </w14:textFill>
              </w:rPr>
              <w:t xml:space="preserve">采购需求中必须满足的实质性要求（即加斜体下划线内容，每条详细列出）</w:t>
            </w:r>
            <w:r/>
          </w:p>
        </w:tc>
        <w:tc>
          <w:tcPr>
            <w:tcW w:w="1680" w:type="dxa"/>
            <w:vAlign w:val="center"/>
            <w:textDirection w:val="lrTb"/>
            <w:noWrap/>
          </w:tcPr>
          <w:p>
            <w:pPr>
              <w:spacing w:line="360" w:lineRule="auto"/>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tc>
        <w:tc>
          <w:tcPr>
            <w:tcW w:w="1124" w:type="dxa"/>
            <w:vAlign w:val="center"/>
            <w:textDirection w:val="lrTb"/>
            <w:noWrap/>
          </w:tcPr>
          <w:p>
            <w:pPr>
              <w:spacing w:line="360" w:lineRule="auto"/>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tc>
      </w:tr>
      <w:tr>
        <w:trPr>
          <w:trHeight w:val="936"/>
        </w:trPr>
        <w:tc>
          <w:tcPr>
            <w:tcW w:w="646" w:type="dxa"/>
            <w:vAlign w:val="center"/>
            <w:textDirection w:val="lrTb"/>
            <w:noWrap/>
          </w:tcPr>
          <w:p>
            <w:pPr>
              <w:jc w:val="cente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w:t>
            </w:r>
            <w:r/>
          </w:p>
        </w:tc>
        <w:tc>
          <w:tcPr>
            <w:tcW w:w="5447" w:type="dxa"/>
            <w:vAlign w:val="center"/>
            <w:textDirection w:val="lrTb"/>
            <w:noWrap/>
          </w:tcPr>
          <w:p>
            <w:pPr>
              <w:spacing w:line="360" w:lineRule="auto"/>
              <w:rPr>
                <w:rFonts w:ascii="宋体" w:hAnsi="宋体" w:cs="宋体"/>
                <w:iCs/>
                <w:color w:val="000000" w:themeColor="text1"/>
                <w:szCs w:val="21"/>
                <w14:textFill>
                  <w14:solidFill>
                    <w14:schemeClr w14:val="tx1"/>
                  </w14:solidFill>
                </w14:textFill>
              </w:rPr>
            </w:pPr>
            <w:r>
              <w:rPr>
                <w:rFonts w:ascii="宋体" w:hAnsi="宋体" w:cs="宋体"/>
                <w:iCs/>
                <w:color w:val="000000" w:themeColor="text1"/>
                <w:szCs w:val="21"/>
                <w14:textFill>
                  <w14:solidFill>
                    <w14:schemeClr w14:val="tx1"/>
                  </w14:solidFill>
                </w14:textFill>
              </w:rPr>
            </w:r>
            <w:r/>
          </w:p>
        </w:tc>
        <w:tc>
          <w:tcPr>
            <w:tcW w:w="1680" w:type="dxa"/>
            <w:vAlign w:val="center"/>
            <w:textDirection w:val="lrTb"/>
            <w:noWrap/>
          </w:tcPr>
          <w:p>
            <w:pP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1124" w:type="dxa"/>
            <w:vAlign w:val="center"/>
            <w:textDirection w:val="lrTb"/>
            <w:noWrap/>
          </w:tcPr>
          <w:p>
            <w:pP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trHeight w:val="936"/>
        </w:trPr>
        <w:tc>
          <w:tcPr>
            <w:tcW w:w="646" w:type="dxa"/>
            <w:vAlign w:val="center"/>
            <w:textDirection w:val="lrTb"/>
            <w:noWrap/>
          </w:tcPr>
          <w:p>
            <w:pPr>
              <w:jc w:val="cente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w:t>
            </w:r>
            <w:r/>
          </w:p>
        </w:tc>
        <w:tc>
          <w:tcPr>
            <w:tcW w:w="5447" w:type="dxa"/>
            <w:vAlign w:val="center"/>
            <w:textDirection w:val="lrTb"/>
            <w:noWrap/>
          </w:tcPr>
          <w:p>
            <w:pPr>
              <w:spacing w:line="360" w:lineRule="auto"/>
              <w:rPr>
                <w:rFonts w:ascii="宋体" w:hAnsi="宋体" w:cs="宋体"/>
                <w:iCs/>
                <w:color w:val="000000" w:themeColor="text1"/>
                <w:szCs w:val="21"/>
                <w14:textFill>
                  <w14:solidFill>
                    <w14:schemeClr w14:val="tx1"/>
                  </w14:solidFill>
                </w14:textFill>
              </w:rPr>
            </w:pPr>
            <w:r>
              <w:rPr>
                <w:rFonts w:ascii="宋体" w:hAnsi="宋体" w:cs="宋体"/>
                <w:iCs/>
                <w:color w:val="000000" w:themeColor="text1"/>
                <w:szCs w:val="21"/>
                <w14:textFill>
                  <w14:solidFill>
                    <w14:schemeClr w14:val="tx1"/>
                  </w14:solidFill>
                </w14:textFill>
              </w:rPr>
            </w:r>
            <w:r/>
          </w:p>
        </w:tc>
        <w:tc>
          <w:tcPr>
            <w:tcW w:w="1680" w:type="dxa"/>
            <w:vAlign w:val="center"/>
            <w:textDirection w:val="lrTb"/>
            <w:noWrap/>
          </w:tcPr>
          <w:p>
            <w:pP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1124" w:type="dxa"/>
            <w:vAlign w:val="center"/>
            <w:textDirection w:val="lrTb"/>
            <w:noWrap/>
          </w:tcPr>
          <w:p>
            <w:pP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trHeight w:val="936"/>
        </w:trPr>
        <w:tc>
          <w:tcPr>
            <w:tcW w:w="646" w:type="dxa"/>
            <w:vAlign w:val="center"/>
            <w:textDirection w:val="lrTb"/>
            <w:noWrap/>
          </w:tcPr>
          <w:p>
            <w:pPr>
              <w:jc w:val="cente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w:t>
            </w:r>
            <w:r/>
          </w:p>
        </w:tc>
        <w:tc>
          <w:tcPr>
            <w:tcW w:w="5447" w:type="dxa"/>
            <w:vAlign w:val="center"/>
            <w:textDirection w:val="lrTb"/>
            <w:noWrap/>
          </w:tcPr>
          <w:p>
            <w:pPr>
              <w:spacing w:line="360" w:lineRule="auto"/>
              <w:rPr>
                <w:rFonts w:ascii="宋体" w:hAnsi="宋体" w:cs="宋体"/>
                <w:iCs/>
                <w:color w:val="000000" w:themeColor="text1"/>
                <w:szCs w:val="21"/>
                <w14:textFill>
                  <w14:solidFill>
                    <w14:schemeClr w14:val="tx1"/>
                  </w14:solidFill>
                </w14:textFill>
              </w:rPr>
            </w:pPr>
            <w:r>
              <w:rPr>
                <w:rFonts w:ascii="宋体" w:hAnsi="宋体" w:cs="宋体"/>
                <w:iCs/>
                <w:color w:val="000000" w:themeColor="text1"/>
                <w:szCs w:val="21"/>
                <w14:textFill>
                  <w14:solidFill>
                    <w14:schemeClr w14:val="tx1"/>
                  </w14:solidFill>
                </w14:textFill>
              </w:rPr>
            </w:r>
            <w:r/>
          </w:p>
        </w:tc>
        <w:tc>
          <w:tcPr>
            <w:tcW w:w="1680" w:type="dxa"/>
            <w:vAlign w:val="center"/>
            <w:textDirection w:val="lrTb"/>
            <w:noWrap/>
          </w:tcPr>
          <w:p>
            <w:pP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1124" w:type="dxa"/>
            <w:vAlign w:val="center"/>
            <w:textDirection w:val="lrTb"/>
            <w:noWrap/>
          </w:tcPr>
          <w:p>
            <w:pP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trHeight w:val="936"/>
        </w:trPr>
        <w:tc>
          <w:tcPr>
            <w:tcW w:w="646" w:type="dxa"/>
            <w:vAlign w:val="center"/>
            <w:textDirection w:val="lrTb"/>
            <w:noWrap/>
          </w:tcPr>
          <w:p>
            <w:pPr>
              <w:jc w:val="cente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w:t>
            </w:r>
            <w:r/>
          </w:p>
        </w:tc>
        <w:tc>
          <w:tcPr>
            <w:tcW w:w="5447" w:type="dxa"/>
            <w:vAlign w:val="center"/>
            <w:textDirection w:val="lrTb"/>
            <w:noWrap/>
          </w:tcPr>
          <w:p>
            <w:pPr>
              <w:spacing w:line="360" w:lineRule="auto"/>
              <w:rPr>
                <w:rFonts w:ascii="宋体" w:hAnsi="宋体" w:cs="宋体"/>
                <w:iCs/>
                <w:color w:val="000000" w:themeColor="text1"/>
                <w:szCs w:val="21"/>
                <w14:textFill>
                  <w14:solidFill>
                    <w14:schemeClr w14:val="tx1"/>
                  </w14:solidFill>
                </w14:textFill>
              </w:rPr>
            </w:pPr>
            <w:r>
              <w:rPr>
                <w:rFonts w:hint="eastAsia" w:ascii="宋体" w:hAnsi="宋体" w:cs="宋体"/>
                <w:iCs/>
                <w:color w:val="000000" w:themeColor="text1"/>
                <w:szCs w:val="21"/>
                <w14:textFill>
                  <w14:solidFill>
                    <w14:schemeClr w14:val="tx1"/>
                  </w14:solidFill>
                </w14:textFill>
              </w:rPr>
              <w:t xml:space="preserve">……</w:t>
            </w:r>
            <w:r/>
          </w:p>
        </w:tc>
        <w:tc>
          <w:tcPr>
            <w:tcW w:w="1680" w:type="dxa"/>
            <w:vAlign w:val="center"/>
            <w:textDirection w:val="lrTb"/>
            <w:noWrap/>
          </w:tcPr>
          <w:p>
            <w:pP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1124" w:type="dxa"/>
            <w:vAlign w:val="center"/>
            <w:textDirection w:val="lrTb"/>
            <w:noWrap/>
          </w:tcPr>
          <w:p>
            <w:pP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bl>
    <w:p>
      <w:pPr>
        <w:contextualSpacing/>
        <w:jc w:val="center"/>
        <w:spacing w:line="360" w:lineRule="auto"/>
        <w:rPr>
          <w:rFonts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br w:type="page" w:clear="all"/>
      </w:r>
      <w:r/>
    </w:p>
    <w:p>
      <w:pPr>
        <w:jc w:val="center"/>
        <w:spacing w:line="360" w:lineRule="auto"/>
        <w:rPr>
          <w:rFonts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t xml:space="preserve">三、非实质性响应对照表</w:t>
      </w:r>
      <w:r/>
    </w:p>
    <w:p>
      <w:pPr>
        <w:spacing w:line="360" w:lineRule="auto"/>
        <w:rPr>
          <w:rFonts w:ascii="宋体" w:hAnsi="宋体" w:cs="宋体"/>
          <w:b/>
          <w:color w:val="000000" w:themeColor="text1"/>
          <w:sz w:val="32"/>
          <w:szCs w:val="32"/>
          <w14:textFill>
            <w14:solidFill>
              <w14:schemeClr w14:val="tx1"/>
            </w14:solidFill>
          </w14:textFill>
        </w:rPr>
      </w:pPr>
      <w:r>
        <w:rPr>
          <w:rFonts w:ascii="宋体" w:hAnsi="宋体" w:cs="宋体"/>
          <w:b/>
          <w:color w:val="000000" w:themeColor="text1"/>
          <w:sz w:val="32"/>
          <w:szCs w:val="32"/>
          <w14:textFill>
            <w14:solidFill>
              <w14:schemeClr w14:val="tx1"/>
            </w14:solidFill>
          </w14:textFill>
        </w:rPr>
      </w:r>
      <w:r/>
    </w:p>
    <w:tbl>
      <w:tblPr>
        <w:tblStyle w:val="96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tcPr>
          <w:p>
            <w:pPr>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序号</w:t>
            </w:r>
            <w:r/>
          </w:p>
        </w:tc>
        <w:tc>
          <w:tcPr>
            <w:tcW w:w="5447" w:type="dxa"/>
            <w:vAlign w:val="center"/>
            <w:textDirection w:val="lrTb"/>
            <w:noWrap/>
          </w:tcPr>
          <w:p>
            <w:pPr>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非实质性响应内容</w:t>
            </w:r>
            <w:r/>
          </w:p>
        </w:tc>
        <w:tc>
          <w:tcPr>
            <w:tcW w:w="1680" w:type="dxa"/>
            <w:vAlign w:val="center"/>
            <w:textDirection w:val="lrTb"/>
            <w:noWrap/>
          </w:tcPr>
          <w:p>
            <w:pPr>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是否响应</w:t>
            </w:r>
            <w:r/>
          </w:p>
          <w:p>
            <w:pPr>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（填是或者否）</w:t>
            </w:r>
            <w:r/>
          </w:p>
        </w:tc>
        <w:tc>
          <w:tcPr>
            <w:tcW w:w="1308" w:type="dxa"/>
            <w:vAlign w:val="center"/>
            <w:textDirection w:val="lrTb"/>
            <w:noWrap/>
          </w:tcPr>
          <w:p>
            <w:pPr>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响应情况</w:t>
            </w:r>
            <w:r/>
          </w:p>
        </w:tc>
      </w:tr>
      <w:tr>
        <w:trPr>
          <w:trHeight w:val="585"/>
        </w:trPr>
        <w:tc>
          <w:tcPr>
            <w:tcW w:w="646" w:type="dxa"/>
            <w:vAlign w:val="center"/>
            <w:textDirection w:val="lrTb"/>
            <w:noWrap/>
          </w:tcPr>
          <w:p>
            <w:pPr>
              <w:jc w:val="center"/>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w:t>
            </w:r>
            <w:r/>
          </w:p>
        </w:tc>
        <w:tc>
          <w:tcPr>
            <w:tcW w:w="5447" w:type="dxa"/>
            <w:vAlign w:val="center"/>
            <w:textDirection w:val="lrTb"/>
            <w:noWrap/>
          </w:tcPr>
          <w:p>
            <w:pPr>
              <w:spacing w:line="360" w:lineRule="auto"/>
              <w:rPr>
                <w:rFonts w:ascii="宋体" w:hAnsi="宋体" w:cs="宋体"/>
                <w:i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《企业声明函》</w:t>
            </w:r>
            <w:r/>
          </w:p>
        </w:tc>
        <w:tc>
          <w:tcPr>
            <w:tcW w:w="1680" w:type="dxa"/>
            <w:vAlign w:val="center"/>
            <w:textDirection w:val="lrTb"/>
            <w:noWrap/>
          </w:tcPr>
          <w:p>
            <w:pPr>
              <w:spacing w:line="360" w:lineRule="auto"/>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tc>
        <w:tc>
          <w:tcPr>
            <w:tcW w:w="1308" w:type="dxa"/>
            <w:vAlign w:val="center"/>
            <w:textDirection w:val="lrTb"/>
            <w:noWrap/>
          </w:tcPr>
          <w:p>
            <w:pPr>
              <w:spacing w:line="360" w:lineRule="auto"/>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tc>
      </w:tr>
      <w:tr>
        <w:trPr>
          <w:trHeight w:val="585"/>
        </w:trPr>
        <w:tc>
          <w:tcPr>
            <w:tcW w:w="646" w:type="dxa"/>
            <w:vAlign w:val="center"/>
            <w:textDirection w:val="lrTb"/>
            <w:noWrap/>
          </w:tcPr>
          <w:p>
            <w:pPr>
              <w:jc w:val="cente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w:t>
            </w:r>
            <w:r/>
          </w:p>
        </w:tc>
        <w:tc>
          <w:tcPr>
            <w:tcW w:w="5447" w:type="dxa"/>
            <w:vAlign w:val="center"/>
            <w:textDirection w:val="lrTb"/>
            <w:noWrap/>
          </w:tcPr>
          <w:p>
            <w:pPr>
              <w:spacing w:line="360" w:lineRule="auto"/>
              <w:rPr>
                <w:rFonts w:ascii="宋体" w:hAnsi="宋体" w:cs="宋体"/>
                <w:i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《残疾人福利性单位声明函》</w:t>
            </w:r>
            <w:r/>
          </w:p>
        </w:tc>
        <w:tc>
          <w:tcPr>
            <w:tcW w:w="1680" w:type="dxa"/>
            <w:vAlign w:val="center"/>
            <w:textDirection w:val="lrTb"/>
            <w:noWrap/>
          </w:tcPr>
          <w:p>
            <w:pP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1308" w:type="dxa"/>
            <w:vAlign w:val="center"/>
            <w:textDirection w:val="lrTb"/>
            <w:noWrap/>
          </w:tcPr>
          <w:p>
            <w:pP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trHeight w:val="780"/>
        </w:trPr>
        <w:tc>
          <w:tcPr>
            <w:tcW w:w="646" w:type="dxa"/>
            <w:vAlign w:val="center"/>
            <w:textDirection w:val="lrTb"/>
            <w:noWrap/>
          </w:tcPr>
          <w:p>
            <w:pPr>
              <w:jc w:val="cente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w:t>
            </w:r>
            <w:r/>
          </w:p>
        </w:tc>
        <w:tc>
          <w:tcPr>
            <w:tcW w:w="5447" w:type="dxa"/>
            <w:vAlign w:val="center"/>
            <w:textDirection w:val="lrTb"/>
            <w:noWrap/>
          </w:tcPr>
          <w:p>
            <w:pPr>
              <w:spacing w:line="360" w:lineRule="auto"/>
              <w:rPr>
                <w:rFonts w:ascii="宋体" w:hAnsi="宋体" w:cs="宋体"/>
                <w:iCs/>
                <w:color w:val="000000" w:themeColor="text1"/>
                <w:szCs w:val="21"/>
                <w14:textFill>
                  <w14:solidFill>
                    <w14:schemeClr w14:val="tx1"/>
                  </w14:solidFill>
                </w14:textFill>
              </w:rPr>
            </w:pPr>
            <w:r>
              <w:rPr>
                <w:rFonts w:hint="eastAsia" w:ascii="宋体" w:hAnsi="宋体" w:cs="宋体"/>
                <w:iCs/>
                <w:color w:val="000000" w:themeColor="text1"/>
                <w:szCs w:val="21"/>
                <w14:textFill>
                  <w14:solidFill>
                    <w14:schemeClr w14:val="tx1"/>
                  </w14:solidFill>
                </w14:textFill>
              </w:rPr>
              <w:t xml:space="preserve">……</w:t>
            </w:r>
            <w:r/>
          </w:p>
        </w:tc>
        <w:tc>
          <w:tcPr>
            <w:tcW w:w="1680" w:type="dxa"/>
            <w:vAlign w:val="center"/>
            <w:textDirection w:val="lrTb"/>
            <w:noWrap/>
          </w:tcPr>
          <w:p>
            <w:pP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1308" w:type="dxa"/>
            <w:vAlign w:val="center"/>
            <w:textDirection w:val="lrTb"/>
            <w:noWrap/>
          </w:tcPr>
          <w:p>
            <w:pP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bl>
    <w:p>
      <w:pPr>
        <w:jc w:val="left"/>
        <w:spacing w:line="360" w:lineRule="auto"/>
        <w:widowControl/>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p>
      <w:pPr>
        <w:jc w:val="center"/>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b/>
          <w:bCs/>
          <w:color w:val="000000" w:themeColor="text1"/>
          <w14:textFill>
            <w14:solidFill>
              <w14:schemeClr w14:val="tx1"/>
            </w14:solidFill>
          </w14:textFill>
        </w:rPr>
        <w:br w:type="page" w:clear="all"/>
      </w:r>
      <w:r>
        <w:rPr>
          <w:rFonts w:hint="eastAsia" w:ascii="宋体" w:hAnsi="宋体" w:cs="宋体"/>
          <w:b/>
          <w:color w:val="000000" w:themeColor="text1"/>
          <w:sz w:val="28"/>
          <w:szCs w:val="28"/>
          <w14:textFill>
            <w14:solidFill>
              <w14:schemeClr w14:val="tx1"/>
            </w14:solidFill>
          </w14:textFill>
        </w:rPr>
        <w:t xml:space="preserve">中小企业声明函（工程、服务）</w:t>
      </w:r>
      <w:r/>
    </w:p>
    <w:p>
      <w:pPr>
        <w:ind w:firstLine="420"/>
        <w:jc w:val="left"/>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本公司（联合体）郑重声明，根据《政府采购促进中小企业发展管理办法》（财库﹝2020﹞46号）的规定，本公司（联合体）参加</w:t>
      </w:r>
      <w:r>
        <w:rPr>
          <w:rFonts w:hint="eastAsia" w:ascii="宋体" w:hAnsi="宋体" w:cs="宋体"/>
          <w:color w:val="000000" w:themeColor="text1"/>
          <w:u w:val="single"/>
          <w14:textFill>
            <w14:solidFill>
              <w14:schemeClr w14:val="tx1"/>
            </w14:solidFill>
          </w14:textFill>
        </w:rPr>
        <w:t xml:space="preserve">（单位名称）</w:t>
      </w:r>
      <w:r>
        <w:rPr>
          <w:rFonts w:hint="eastAsia" w:ascii="宋体" w:hAnsi="宋体" w:cs="宋体"/>
          <w:color w:val="000000" w:themeColor="text1"/>
          <w14:textFill>
            <w14:solidFill>
              <w14:schemeClr w14:val="tx1"/>
            </w14:solidFill>
          </w14:textFill>
        </w:rPr>
        <w:t xml:space="preserve">的</w:t>
      </w:r>
      <w:r>
        <w:rPr>
          <w:rFonts w:hint="eastAsia" w:ascii="宋体" w:hAnsi="宋体" w:cs="宋体"/>
          <w:color w:val="000000" w:themeColor="text1"/>
          <w:u w:val="single"/>
          <w14:textFill>
            <w14:solidFill>
              <w14:schemeClr w14:val="tx1"/>
            </w14:solidFill>
          </w14:textFill>
        </w:rPr>
        <w:t xml:space="preserve">（项目名称）</w:t>
      </w:r>
      <w:r>
        <w:rPr>
          <w:rFonts w:hint="eastAsia" w:ascii="宋体" w:hAnsi="宋体" w:cs="宋体"/>
          <w:color w:val="000000" w:themeColor="text1"/>
          <w14:textFill>
            <w14:solidFill>
              <w14:schemeClr w14:val="tx1"/>
            </w14:solidFill>
          </w14:textFill>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rFonts w:ascii="宋体" w:hAnsi="宋体" w:cs="宋体"/>
          <w:color w:val="000000" w:themeColor="text1"/>
          <w:u w:val="single"/>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w:t>
      </w:r>
      <w:r>
        <w:rPr>
          <w:rFonts w:hint="eastAsia" w:ascii="宋体" w:hAnsi="宋体" w:cs="宋体"/>
          <w:color w:val="000000" w:themeColor="text1"/>
          <w:u w:val="single"/>
          <w14:textFill>
            <w14:solidFill>
              <w14:schemeClr w14:val="tx1"/>
            </w14:solidFill>
          </w14:textFill>
        </w:rPr>
        <w:t xml:space="preserve">（标的名称）</w:t>
      </w:r>
      <w:r>
        <w:rPr>
          <w:rFonts w:hint="eastAsia" w:ascii="宋体" w:hAnsi="宋体" w:cs="宋体"/>
          <w:color w:val="000000" w:themeColor="text1"/>
          <w14:textFill>
            <w14:solidFill>
              <w14:schemeClr w14:val="tx1"/>
            </w14:solidFill>
          </w14:textFill>
        </w:rPr>
        <w:t xml:space="preserve">，属于</w:t>
      </w:r>
      <w:r>
        <w:rPr>
          <w:rFonts w:hint="eastAsia" w:ascii="宋体" w:hAnsi="宋体" w:cs="宋体"/>
          <w:b/>
          <w:bCs/>
          <w:color w:val="000000" w:themeColor="text1"/>
          <w:u w:val="single"/>
          <w14:textFill>
            <w14:solidFill>
              <w14:schemeClr w14:val="tx1"/>
            </w14:solidFill>
          </w14:textFill>
        </w:rPr>
        <w:t xml:space="preserve">建筑业</w:t>
      </w:r>
      <w:r>
        <w:rPr>
          <w:rFonts w:hint="eastAsia" w:ascii="宋体" w:hAnsi="宋体" w:cs="宋体"/>
          <w:color w:val="000000" w:themeColor="text1"/>
          <w:u w:val="single"/>
          <w14:textFill>
            <w14:solidFill>
              <w14:schemeClr w14:val="tx1"/>
            </w14:solidFill>
          </w14:textFill>
        </w:rPr>
        <w:t xml:space="preserve">（采购文件中明确的所属行业</w:t>
      </w:r>
      <w:r>
        <w:rPr>
          <w:rFonts w:hint="eastAsia" w:ascii="宋体" w:hAnsi="宋体" w:cs="宋体"/>
          <w:bCs/>
          <w:color w:val="000000" w:themeColor="text1"/>
          <w14:textFill>
            <w14:solidFill>
              <w14:schemeClr w14:val="tx1"/>
            </w14:solidFill>
          </w14:textFill>
        </w:rPr>
        <w:t xml:space="preserve">；</w:t>
      </w:r>
      <w:r>
        <w:rPr>
          <w:rFonts w:hint="eastAsia" w:ascii="宋体" w:hAnsi="宋体" w:cs="宋体"/>
          <w:color w:val="000000" w:themeColor="text1"/>
          <w14:textFill>
            <w14:solidFill>
              <w14:schemeClr w14:val="tx1"/>
            </w14:solidFill>
          </w14:textFill>
        </w:rPr>
        <w:t xml:space="preserve">承建（承接）企业为</w:t>
      </w:r>
      <w:r>
        <w:rPr>
          <w:rFonts w:hint="eastAsia" w:ascii="宋体" w:hAnsi="宋体" w:cs="宋体"/>
          <w:color w:val="000000" w:themeColor="text1"/>
          <w:u w:val="single"/>
          <w14:textFill>
            <w14:solidFill>
              <w14:schemeClr w14:val="tx1"/>
            </w14:solidFill>
          </w14:textFill>
        </w:rPr>
        <w:t xml:space="preserve">（企业名称）</w:t>
      </w:r>
      <w:r>
        <w:rPr>
          <w:rFonts w:hint="eastAsia" w:ascii="宋体" w:hAnsi="宋体" w:cs="宋体"/>
          <w:color w:val="000000" w:themeColor="text1"/>
          <w14:textFill>
            <w14:solidFill>
              <w14:schemeClr w14:val="tx1"/>
            </w14:solidFill>
          </w14:textFill>
        </w:rPr>
        <w:t xml:space="preserve">，从业人员</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人，营业收入为</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万元，资产总额为</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万元，属于</w:t>
      </w:r>
      <w:r>
        <w:rPr>
          <w:rFonts w:hint="eastAsia" w:ascii="宋体" w:hAnsi="宋体" w:cs="宋体"/>
          <w:color w:val="000000" w:themeColor="text1"/>
          <w:u w:val="single"/>
          <w14:textFill>
            <w14:solidFill>
              <w14:schemeClr w14:val="tx1"/>
            </w14:solidFill>
          </w14:textFill>
        </w:rPr>
        <w:t xml:space="preserve">（中型企业、小型企业、微型企业）；</w:t>
      </w:r>
      <w:r/>
    </w:p>
    <w:p>
      <w:pPr>
        <w:ind w:firstLine="420"/>
        <w:jc w:val="left"/>
        <w:spacing w:line="360" w:lineRule="auto"/>
        <w:rPr>
          <w:rFonts w:ascii="宋体" w:hAnsi="宋体" w:cs="宋体"/>
          <w:color w:val="000000" w:themeColor="text1"/>
          <w:u w:val="single"/>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w:t>
      </w:r>
      <w:r>
        <w:rPr>
          <w:rFonts w:hint="eastAsia" w:ascii="宋体" w:hAnsi="宋体" w:cs="宋体"/>
          <w:color w:val="000000" w:themeColor="text1"/>
          <w:u w:val="single"/>
          <w14:textFill>
            <w14:solidFill>
              <w14:schemeClr w14:val="tx1"/>
            </w14:solidFill>
          </w14:textFill>
        </w:rPr>
        <w:t xml:space="preserve">（标的名称）</w:t>
      </w:r>
      <w:r>
        <w:rPr>
          <w:rFonts w:hint="eastAsia" w:ascii="宋体" w:hAnsi="宋体" w:cs="宋体"/>
          <w:color w:val="000000" w:themeColor="text1"/>
          <w14:textFill>
            <w14:solidFill>
              <w14:schemeClr w14:val="tx1"/>
            </w14:solidFill>
          </w14:textFill>
        </w:rPr>
        <w:t xml:space="preserve">，属于</w:t>
      </w:r>
      <w:r>
        <w:rPr>
          <w:rFonts w:hint="eastAsia" w:ascii="宋体" w:hAnsi="宋体" w:cs="宋体"/>
          <w:color w:val="000000" w:themeColor="text1"/>
          <w:u w:val="single"/>
          <w14:textFill>
            <w14:solidFill>
              <w14:schemeClr w14:val="tx1"/>
            </w14:solidFill>
          </w14:textFill>
        </w:rPr>
        <w:t xml:space="preserve">（采购文件中明确的所属行业（该行业类别不可修改））</w:t>
      </w:r>
      <w:r>
        <w:rPr>
          <w:rFonts w:hint="eastAsia" w:ascii="宋体" w:hAnsi="宋体" w:cs="宋体"/>
          <w:color w:val="000000" w:themeColor="text1"/>
          <w14:textFill>
            <w14:solidFill>
              <w14:schemeClr w14:val="tx1"/>
            </w14:solidFill>
          </w14:textFill>
        </w:rPr>
        <w:t xml:space="preserve">；承建（承接）企业为</w:t>
      </w:r>
      <w:r>
        <w:rPr>
          <w:rFonts w:hint="eastAsia" w:ascii="宋体" w:hAnsi="宋体" w:cs="宋体"/>
          <w:color w:val="000000" w:themeColor="text1"/>
          <w:u w:val="single"/>
          <w14:textFill>
            <w14:solidFill>
              <w14:schemeClr w14:val="tx1"/>
            </w14:solidFill>
          </w14:textFill>
        </w:rPr>
        <w:t xml:space="preserve">（企业名称）</w:t>
      </w:r>
      <w:r>
        <w:rPr>
          <w:rFonts w:hint="eastAsia" w:ascii="宋体" w:hAnsi="宋体" w:cs="宋体"/>
          <w:color w:val="000000" w:themeColor="text1"/>
          <w14:textFill>
            <w14:solidFill>
              <w14:schemeClr w14:val="tx1"/>
            </w14:solidFill>
          </w14:textFill>
        </w:rPr>
        <w:t xml:space="preserve">，从业人员</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人，营业收入为</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万元，资产总额为</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万元，属于</w:t>
      </w:r>
      <w:r>
        <w:rPr>
          <w:rFonts w:hint="eastAsia" w:ascii="宋体" w:hAnsi="宋体" w:cs="宋体"/>
          <w:color w:val="000000" w:themeColor="text1"/>
          <w:u w:val="single"/>
          <w14:textFill>
            <w14:solidFill>
              <w14:schemeClr w14:val="tx1"/>
            </w14:solidFill>
          </w14:textFill>
        </w:rPr>
        <w:t xml:space="preserve">（中型企业、小型企业、微型企业）；</w:t>
      </w:r>
      <w:r/>
    </w:p>
    <w:p>
      <w:pPr>
        <w:ind w:firstLine="420"/>
        <w:jc w:val="left"/>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以上企业，不属于大企业的分支机构，不存在控股股东为大企业的情形，也不存在与大企业的负责人为同一人的情形。</w:t>
      </w:r>
      <w:r/>
    </w:p>
    <w:p>
      <w:pPr>
        <w:ind w:firstLine="420"/>
        <w:jc w:val="left"/>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本企业对上述声明内容的真实性负责。如有虚假，将依法承担相应责任。</w:t>
      </w:r>
      <w:r/>
    </w:p>
    <w:p>
      <w:pPr>
        <w:spacing w:line="360" w:lineRule="auto"/>
        <w:rPr>
          <w:rFonts w:ascii="宋体" w:hAnsi="宋体" w:cs="宋体"/>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注</w:t>
      </w:r>
      <w:r>
        <w:rPr>
          <w:rFonts w:hint="eastAsia" w:ascii="宋体" w:hAnsi="宋体" w:cs="宋体"/>
          <w:color w:val="000000" w:themeColor="text1"/>
          <w14:textFill>
            <w14:solidFill>
              <w14:schemeClr w14:val="tx1"/>
            </w14:solidFill>
          </w14:textFill>
        </w:rPr>
        <w:t xml:space="preserve">：1、从业人员、营业收入、资产总额填报上一年度数据，无上一年度数据的新成立企业可不填报。</w:t>
      </w:r>
      <w:r/>
    </w:p>
    <w:p>
      <w:pPr>
        <w:ind w:firstLine="4620"/>
        <w:jc w:val="left"/>
        <w:spacing w:line="360" w:lineRule="auto"/>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ind w:firstLine="4620"/>
        <w:jc w:val="left"/>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企业名称（盖章）：</w:t>
      </w:r>
      <w:r/>
    </w:p>
    <w:p>
      <w:pPr>
        <w:ind w:firstLine="4620"/>
        <w:jc w:val="left"/>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日期：</w:t>
      </w:r>
      <w:r/>
    </w:p>
    <w:p>
      <w:pPr>
        <w:ind w:firstLine="4620"/>
        <w:jc w:val="left"/>
        <w:spacing w:line="360" w:lineRule="auto"/>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ind w:left="232"/>
        <w:jc w:val="center"/>
        <w:spacing w:before="300" w:after="300" w:line="360" w:lineRule="auto"/>
        <w:widowControl/>
        <w:rPr>
          <w:rFonts w:ascii="宋体" w:hAnsi="宋体" w:cs="宋体"/>
          <w:b/>
          <w:bCs/>
          <w:color w:val="000000" w:themeColor="text1"/>
          <w:szCs w:val="21"/>
          <w:lang w:val="zh-CN" w:bidi="zh-CN"/>
          <w14:textFill>
            <w14:solidFill>
              <w14:schemeClr w14:val="tx1"/>
            </w14:solidFill>
          </w14:textFill>
        </w:rPr>
        <w:outlineLvl w:val="1"/>
      </w:pPr>
      <w:r>
        <w:rPr>
          <w:rStyle w:val="985"/>
          <w:rFonts w:hint="eastAsia" w:ascii="宋体" w:hAnsi="宋体" w:cs="宋体"/>
          <w:color w:val="000000" w:themeColor="text1"/>
          <w:szCs w:val="21"/>
          <w14:textFill>
            <w14:solidFill>
              <w14:schemeClr w14:val="tx1"/>
            </w14:solidFill>
          </w14:textFill>
        </w:rPr>
        <w:br w:type="page" w:clear="all"/>
      </w:r>
      <w:bookmarkStart w:id="36" w:name="_Toc109304977"/>
      <w:r>
        <w:rPr>
          <w:rFonts w:hint="eastAsia" w:ascii="宋体" w:hAnsi="宋体" w:cs="宋体"/>
          <w:b/>
          <w:color w:val="000000" w:themeColor="text1"/>
          <w:sz w:val="32"/>
          <w:szCs w:val="32"/>
          <w:lang w:val="zh-CN" w:bidi="zh-CN"/>
          <w14:textFill>
            <w14:solidFill>
              <w14:schemeClr w14:val="tx1"/>
            </w14:solidFill>
          </w14:textFill>
        </w:rPr>
        <w:t xml:space="preserve">中小微企业划型标准</w:t>
      </w:r>
      <w:bookmarkEnd w:id="36"/>
      <w:r>
        <w:rPr>
          <w:rFonts w:hint="eastAsia" w:ascii="宋体" w:hAnsi="宋体" w:cs="宋体"/>
          <w:b/>
          <w:color w:val="000000" w:themeColor="text1"/>
          <w:szCs w:val="21"/>
          <w:lang w:val="zh-CN" w:bidi="zh-CN"/>
          <w14:textFill>
            <w14:solidFill>
              <w14:schemeClr w14:val="tx1"/>
            </w14:solidFill>
          </w14:textFill>
        </w:rPr>
        <w:t xml:space="preserve"> </w:t>
      </w:r>
      <w:r/>
    </w:p>
    <w:p>
      <w:pPr>
        <w:jc w:val="left"/>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中小微企业划型标准如下：</w:t>
      </w:r>
      <w:r/>
    </w:p>
    <w:tbl>
      <w:tblPr>
        <w:tblStyle w:val="966"/>
        <w:tblW w:w="9705" w:type="dxa"/>
        <w:jc w:val="center"/>
        <w:tblCellSpacing w:w="15"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58"/>
        <w:gridCol w:w="1843"/>
        <w:gridCol w:w="851"/>
        <w:gridCol w:w="2302"/>
        <w:gridCol w:w="1909"/>
        <w:gridCol w:w="1342"/>
      </w:tblGrid>
      <w:tr>
        <w:trPr>
          <w:jc w:val="center"/>
          <w:tblCellSpacing w:w="15" w:type="dxa"/>
          <w:trHeight w:val="1492"/>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13" w:type="dxa"/>
            <w:vAlign w:val="center"/>
            <w:textDirection w:val="lrTb"/>
            <w:noWrap w:val="false"/>
          </w:tcPr>
          <w:p>
            <w:pPr>
              <w:jc w:val="center"/>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jc w:val="center"/>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center"/>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微型</w:t>
            </w:r>
            <w:r/>
          </w:p>
        </w:tc>
      </w:tr>
      <w:tr>
        <w:trPr>
          <w:jc w:val="center"/>
          <w:tblCellSpacing w:w="15" w:type="dxa"/>
          <w:trHeight w:val="113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textDirection w:val="lrTb"/>
            <w:noWrap w:val="false"/>
          </w:tcPr>
          <w:p>
            <w:pPr>
              <w:jc w:val="center"/>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Y＜50</w:t>
            </w:r>
            <w:r/>
          </w:p>
        </w:tc>
      </w:tr>
      <w:tr>
        <w:trPr>
          <w:jc w:val="center"/>
          <w:tblCellSpacing w:w="15" w:type="dxa"/>
          <w:trHeight w:val="604"/>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center"/>
            <w:vMerge w:val="restart"/>
            <w:textDirection w:val="lrTb"/>
            <w:noWrap w:val="false"/>
          </w:tcPr>
          <w:p>
            <w:pPr>
              <w:jc w:val="center"/>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X＜20</w:t>
            </w:r>
            <w:r/>
          </w:p>
        </w:tc>
      </w:tr>
      <w:tr>
        <w:trPr>
          <w:jc w:val="center"/>
          <w:tblCellSpacing w:w="15" w:type="dxa"/>
          <w:trHeight w:val="604"/>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center"/>
              <w:spacing w:line="360" w:lineRule="auto"/>
              <w:widowControl/>
              <w:rPr>
                <w:rFonts w:ascii="宋体" w:hAnsi="宋体" w:cs="宋体"/>
                <w:color w:val="000000" w:themeColor="text1"/>
                <w:sz w:val="22"/>
                <w:szCs w:val="21"/>
                <w:lang w:val="zh-CN" w:bidi="zh-CN"/>
                <w14:textFill>
                  <w14:solidFill>
                    <w14:schemeClr w14:val="tx1"/>
                  </w14:solidFill>
                </w14:textFill>
              </w:rPr>
            </w:pPr>
            <w:r>
              <w:rPr>
                <w:rFonts w:ascii="宋体" w:hAnsi="宋体" w:cs="宋体"/>
                <w:color w:val="000000" w:themeColor="text1"/>
                <w:sz w:val="22"/>
                <w:szCs w:val="21"/>
                <w:lang w:val="zh-CN" w:bidi="zh-CN"/>
                <w14:textFill>
                  <w14:solidFill>
                    <w14:schemeClr w14:val="tx1"/>
                  </w14:solidFill>
                </w14:textFill>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Y＜300</w:t>
            </w:r>
            <w:r/>
          </w:p>
        </w:tc>
      </w:tr>
      <w:tr>
        <w:trPr>
          <w:jc w:val="center"/>
          <w:tblCellSpacing w:w="15" w:type="dxa"/>
          <w:trHeight w:val="604"/>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center"/>
            <w:vMerge w:val="restart"/>
            <w:textDirection w:val="lrTb"/>
            <w:noWrap w:val="false"/>
          </w:tcPr>
          <w:p>
            <w:pPr>
              <w:jc w:val="center"/>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Y＜300</w:t>
            </w:r>
            <w:r/>
          </w:p>
        </w:tc>
      </w:tr>
      <w:tr>
        <w:trPr>
          <w:jc w:val="center"/>
          <w:tblCellSpacing w:w="15" w:type="dxa"/>
          <w:trHeight w:val="604"/>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center"/>
              <w:spacing w:line="360" w:lineRule="auto"/>
              <w:widowControl/>
              <w:rPr>
                <w:rFonts w:ascii="宋体" w:hAnsi="宋体" w:cs="宋体"/>
                <w:color w:val="000000" w:themeColor="text1"/>
                <w:sz w:val="22"/>
                <w:szCs w:val="21"/>
                <w:lang w:val="zh-CN" w:bidi="zh-CN"/>
                <w14:textFill>
                  <w14:solidFill>
                    <w14:schemeClr w14:val="tx1"/>
                  </w14:solidFill>
                </w14:textFill>
              </w:rPr>
            </w:pPr>
            <w:r>
              <w:rPr>
                <w:rFonts w:ascii="宋体" w:hAnsi="宋体" w:cs="宋体"/>
                <w:color w:val="000000" w:themeColor="text1"/>
                <w:sz w:val="22"/>
                <w:szCs w:val="21"/>
                <w:lang w:val="zh-CN" w:bidi="zh-CN"/>
                <w14:textFill>
                  <w14:solidFill>
                    <w14:schemeClr w14:val="tx1"/>
                  </w14:solidFill>
                </w14:textFill>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Z＜300</w:t>
            </w:r>
            <w:r/>
          </w:p>
        </w:tc>
      </w:tr>
      <w:tr>
        <w:trPr>
          <w:jc w:val="center"/>
          <w:tblCellSpacing w:w="15" w:type="dxa"/>
          <w:trHeight w:val="604"/>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center"/>
            <w:vMerge w:val="restart"/>
            <w:textDirection w:val="lrTb"/>
            <w:noWrap w:val="false"/>
          </w:tcPr>
          <w:p>
            <w:pPr>
              <w:jc w:val="center"/>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X＜5</w:t>
            </w:r>
            <w:r/>
          </w:p>
        </w:tc>
      </w:tr>
      <w:tr>
        <w:trPr>
          <w:jc w:val="center"/>
          <w:tblCellSpacing w:w="15" w:type="dxa"/>
          <w:trHeight w:val="604"/>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center"/>
              <w:spacing w:line="360" w:lineRule="auto"/>
              <w:widowControl/>
              <w:rPr>
                <w:rFonts w:ascii="宋体" w:hAnsi="宋体" w:cs="宋体"/>
                <w:color w:val="000000" w:themeColor="text1"/>
                <w:sz w:val="22"/>
                <w:szCs w:val="21"/>
                <w:lang w:val="zh-CN" w:bidi="zh-CN"/>
                <w14:textFill>
                  <w14:solidFill>
                    <w14:schemeClr w14:val="tx1"/>
                  </w14:solidFill>
                </w14:textFill>
              </w:rPr>
            </w:pPr>
            <w:r>
              <w:rPr>
                <w:rFonts w:ascii="宋体" w:hAnsi="宋体" w:cs="宋体"/>
                <w:color w:val="000000" w:themeColor="text1"/>
                <w:sz w:val="22"/>
                <w:szCs w:val="21"/>
                <w:lang w:val="zh-CN" w:bidi="zh-CN"/>
                <w14:textFill>
                  <w14:solidFill>
                    <w14:schemeClr w14:val="tx1"/>
                  </w14:solidFill>
                </w14:textFill>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Y＜1000</w:t>
            </w:r>
            <w:r/>
          </w:p>
        </w:tc>
      </w:tr>
      <w:tr>
        <w:trPr>
          <w:jc w:val="center"/>
          <w:tblCellSpacing w:w="15" w:type="dxa"/>
          <w:trHeight w:val="604"/>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center"/>
            <w:vMerge w:val="restart"/>
            <w:textDirection w:val="lrTb"/>
            <w:noWrap w:val="false"/>
          </w:tcPr>
          <w:p>
            <w:pPr>
              <w:jc w:val="center"/>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X＜10</w:t>
            </w:r>
            <w:r/>
          </w:p>
        </w:tc>
      </w:tr>
      <w:tr>
        <w:trPr>
          <w:jc w:val="center"/>
          <w:tblCellSpacing w:w="15" w:type="dxa"/>
          <w:trHeight w:val="604"/>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center"/>
              <w:spacing w:line="360" w:lineRule="auto"/>
              <w:widowControl/>
              <w:rPr>
                <w:rFonts w:ascii="宋体" w:hAnsi="宋体" w:cs="宋体"/>
                <w:color w:val="000000" w:themeColor="text1"/>
                <w:sz w:val="22"/>
                <w:szCs w:val="21"/>
                <w:lang w:val="zh-CN" w:bidi="zh-CN"/>
                <w14:textFill>
                  <w14:solidFill>
                    <w14:schemeClr w14:val="tx1"/>
                  </w14:solidFill>
                </w14:textFill>
              </w:rPr>
            </w:pPr>
            <w:r>
              <w:rPr>
                <w:rFonts w:ascii="宋体" w:hAnsi="宋体" w:cs="宋体"/>
                <w:color w:val="000000" w:themeColor="text1"/>
                <w:sz w:val="22"/>
                <w:szCs w:val="21"/>
                <w:lang w:val="zh-CN" w:bidi="zh-CN"/>
                <w14:textFill>
                  <w14:solidFill>
                    <w14:schemeClr w14:val="tx1"/>
                  </w14:solidFill>
                </w14:textFill>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Y＜100</w:t>
            </w:r>
            <w:r/>
          </w:p>
        </w:tc>
      </w:tr>
      <w:tr>
        <w:trPr>
          <w:jc w:val="center"/>
          <w:tblCellSpacing w:w="15" w:type="dxa"/>
          <w:trHeight w:val="709"/>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center"/>
            <w:vMerge w:val="restart"/>
            <w:textDirection w:val="lrTb"/>
            <w:noWrap w:val="false"/>
          </w:tcPr>
          <w:p>
            <w:pPr>
              <w:jc w:val="center"/>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X＜20</w:t>
            </w:r>
            <w:r/>
          </w:p>
        </w:tc>
      </w:tr>
      <w:tr>
        <w:trPr>
          <w:jc w:val="center"/>
          <w:tblCellSpacing w:w="15" w:type="dxa"/>
          <w:trHeight w:val="467"/>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center"/>
              <w:spacing w:line="360" w:lineRule="auto"/>
              <w:widowControl/>
              <w:rPr>
                <w:rFonts w:ascii="宋体" w:hAnsi="宋体" w:cs="宋体"/>
                <w:color w:val="000000" w:themeColor="text1"/>
                <w:sz w:val="22"/>
                <w:szCs w:val="21"/>
                <w:lang w:val="zh-CN" w:bidi="zh-CN"/>
                <w14:textFill>
                  <w14:solidFill>
                    <w14:schemeClr w14:val="tx1"/>
                  </w14:solidFill>
                </w14:textFill>
              </w:rPr>
            </w:pPr>
            <w:r>
              <w:rPr>
                <w:rFonts w:ascii="宋体" w:hAnsi="宋体" w:cs="宋体"/>
                <w:color w:val="000000" w:themeColor="text1"/>
                <w:sz w:val="22"/>
                <w:szCs w:val="21"/>
                <w:lang w:val="zh-CN" w:bidi="zh-CN"/>
                <w14:textFill>
                  <w14:solidFill>
                    <w14:schemeClr w14:val="tx1"/>
                  </w14:solidFill>
                </w14:textFill>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Y＜200</w:t>
            </w:r>
            <w:r/>
          </w:p>
        </w:tc>
      </w:tr>
      <w:tr>
        <w:trPr>
          <w:jc w:val="center"/>
          <w:tblCellSpacing w:w="15" w:type="dxa"/>
          <w:trHeight w:val="531"/>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center"/>
            <w:vMerge w:val="restart"/>
            <w:textDirection w:val="lrTb"/>
            <w:noWrap w:val="false"/>
          </w:tcPr>
          <w:p>
            <w:pPr>
              <w:jc w:val="center"/>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X＜20</w:t>
            </w:r>
            <w:r/>
          </w:p>
        </w:tc>
      </w:tr>
      <w:tr>
        <w:trPr>
          <w:jc w:val="center"/>
          <w:tblCellSpacing w:w="15" w:type="dxa"/>
          <w:trHeight w:val="653"/>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center"/>
              <w:spacing w:line="360" w:lineRule="auto"/>
              <w:widowControl/>
              <w:rPr>
                <w:rFonts w:ascii="宋体" w:hAnsi="宋体" w:cs="宋体"/>
                <w:color w:val="000000" w:themeColor="text1"/>
                <w:sz w:val="22"/>
                <w:szCs w:val="21"/>
                <w:lang w:val="zh-CN" w:bidi="zh-CN"/>
                <w14:textFill>
                  <w14:solidFill>
                    <w14:schemeClr w14:val="tx1"/>
                  </w14:solidFill>
                </w14:textFill>
              </w:rPr>
            </w:pPr>
            <w:r>
              <w:rPr>
                <w:rFonts w:ascii="宋体" w:hAnsi="宋体" w:cs="宋体"/>
                <w:color w:val="000000" w:themeColor="text1"/>
                <w:sz w:val="22"/>
                <w:szCs w:val="21"/>
                <w:lang w:val="zh-CN" w:bidi="zh-CN"/>
                <w14:textFill>
                  <w14:solidFill>
                    <w14:schemeClr w14:val="tx1"/>
                  </w14:solidFill>
                </w14:textFill>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Y＜100</w:t>
            </w:r>
            <w:r/>
          </w:p>
        </w:tc>
      </w:tr>
      <w:tr>
        <w:trPr>
          <w:jc w:val="center"/>
          <w:tblCellSpacing w:w="15" w:type="dxa"/>
          <w:trHeight w:val="53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center"/>
            <w:vMerge w:val="restart"/>
            <w:textDirection w:val="lrTb"/>
            <w:noWrap w:val="false"/>
          </w:tcPr>
          <w:p>
            <w:pPr>
              <w:jc w:val="center"/>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X＜20</w:t>
            </w:r>
            <w:r/>
          </w:p>
        </w:tc>
      </w:tr>
      <w:tr>
        <w:trPr>
          <w:jc w:val="center"/>
          <w:tblCellSpacing w:w="15" w:type="dxa"/>
          <w:trHeight w:val="51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center"/>
              <w:spacing w:line="360" w:lineRule="auto"/>
              <w:widowControl/>
              <w:rPr>
                <w:rFonts w:ascii="宋体" w:hAnsi="宋体" w:cs="宋体"/>
                <w:color w:val="000000" w:themeColor="text1"/>
                <w:sz w:val="22"/>
                <w:szCs w:val="21"/>
                <w:lang w:val="zh-CN" w:bidi="zh-CN"/>
                <w14:textFill>
                  <w14:solidFill>
                    <w14:schemeClr w14:val="tx1"/>
                  </w14:solidFill>
                </w14:textFill>
              </w:rPr>
            </w:pPr>
            <w:r>
              <w:rPr>
                <w:rFonts w:ascii="宋体" w:hAnsi="宋体" w:cs="宋体"/>
                <w:color w:val="000000" w:themeColor="text1"/>
                <w:sz w:val="22"/>
                <w:szCs w:val="21"/>
                <w:lang w:val="zh-CN" w:bidi="zh-CN"/>
                <w14:textFill>
                  <w14:solidFill>
                    <w14:schemeClr w14:val="tx1"/>
                  </w14:solidFill>
                </w14:textFill>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Y＜100</w:t>
            </w:r>
            <w:r/>
          </w:p>
        </w:tc>
      </w:tr>
      <w:tr>
        <w:trPr>
          <w:jc w:val="center"/>
          <w:tblCellSpacing w:w="15" w:type="dxa"/>
          <w:trHeight w:val="563"/>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center"/>
            <w:vMerge w:val="restart"/>
            <w:textDirection w:val="lrTb"/>
            <w:noWrap w:val="false"/>
          </w:tcPr>
          <w:p>
            <w:pPr>
              <w:jc w:val="center"/>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X＜10</w:t>
            </w:r>
            <w:r/>
          </w:p>
        </w:tc>
      </w:tr>
      <w:tr>
        <w:trPr>
          <w:jc w:val="center"/>
          <w:tblCellSpacing w:w="15" w:type="dxa"/>
          <w:trHeight w:val="642"/>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spacing w:line="360" w:lineRule="auto"/>
              <w:widowControl/>
              <w:rPr>
                <w:rFonts w:ascii="宋体" w:hAnsi="宋体" w:cs="宋体"/>
                <w:color w:val="000000" w:themeColor="text1"/>
                <w:sz w:val="22"/>
                <w:szCs w:val="21"/>
                <w:lang w:val="zh-CN" w:bidi="zh-CN"/>
                <w14:textFill>
                  <w14:solidFill>
                    <w14:schemeClr w14:val="tx1"/>
                  </w14:solidFill>
                </w14:textFill>
              </w:rPr>
            </w:pPr>
            <w:r>
              <w:rPr>
                <w:rFonts w:ascii="宋体" w:hAnsi="宋体" w:cs="宋体"/>
                <w:color w:val="000000" w:themeColor="text1"/>
                <w:sz w:val="22"/>
                <w:szCs w:val="21"/>
                <w:lang w:val="zh-CN" w:bidi="zh-CN"/>
                <w14:textFill>
                  <w14:solidFill>
                    <w14:schemeClr w14:val="tx1"/>
                  </w14:solidFill>
                </w14:textFill>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Y＜100</w:t>
            </w:r>
            <w:r/>
          </w:p>
        </w:tc>
      </w:tr>
      <w:tr>
        <w:trPr>
          <w:jc w:val="center"/>
          <w:tblCellSpacing w:w="15" w:type="dxa"/>
          <w:trHeight w:val="652"/>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center"/>
            <w:vMerge w:val="restart"/>
            <w:textDirection w:val="lrTb"/>
            <w:noWrap w:val="false"/>
          </w:tcPr>
          <w:p>
            <w:pPr>
              <w:jc w:val="center"/>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X＜10</w:t>
            </w:r>
            <w:r/>
          </w:p>
        </w:tc>
      </w:tr>
      <w:tr>
        <w:trPr>
          <w:jc w:val="center"/>
          <w:tblCellSpacing w:w="15" w:type="dxa"/>
          <w:trHeight w:val="534"/>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center"/>
              <w:spacing w:line="360" w:lineRule="auto"/>
              <w:widowControl/>
              <w:rPr>
                <w:rFonts w:ascii="宋体" w:hAnsi="宋体" w:cs="宋体"/>
                <w:color w:val="000000" w:themeColor="text1"/>
                <w:sz w:val="22"/>
                <w:szCs w:val="21"/>
                <w:lang w:val="zh-CN" w:bidi="zh-CN"/>
                <w14:textFill>
                  <w14:solidFill>
                    <w14:schemeClr w14:val="tx1"/>
                  </w14:solidFill>
                </w14:textFill>
              </w:rPr>
            </w:pPr>
            <w:r>
              <w:rPr>
                <w:rFonts w:ascii="宋体" w:hAnsi="宋体" w:cs="宋体"/>
                <w:color w:val="000000" w:themeColor="text1"/>
                <w:sz w:val="22"/>
                <w:szCs w:val="21"/>
                <w:lang w:val="zh-CN" w:bidi="zh-CN"/>
                <w14:textFill>
                  <w14:solidFill>
                    <w14:schemeClr w14:val="tx1"/>
                  </w14:solidFill>
                </w14:textFill>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Y＜100</w:t>
            </w:r>
            <w:r/>
          </w:p>
        </w:tc>
      </w:tr>
      <w:tr>
        <w:trPr>
          <w:jc w:val="center"/>
          <w:tblCellSpacing w:w="15" w:type="dxa"/>
          <w:trHeight w:val="514"/>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center"/>
            <w:vMerge w:val="restart"/>
            <w:textDirection w:val="lrTb"/>
            <w:noWrap w:val="false"/>
          </w:tcPr>
          <w:p>
            <w:pPr>
              <w:jc w:val="center"/>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X＜10</w:t>
            </w:r>
            <w:r/>
          </w:p>
        </w:tc>
      </w:tr>
      <w:tr>
        <w:trPr>
          <w:jc w:val="center"/>
          <w:tblCellSpacing w:w="15" w:type="dxa"/>
          <w:trHeight w:val="664"/>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center"/>
              <w:spacing w:line="360" w:lineRule="auto"/>
              <w:widowControl/>
              <w:rPr>
                <w:rFonts w:ascii="宋体" w:hAnsi="宋体" w:cs="宋体"/>
                <w:color w:val="000000" w:themeColor="text1"/>
                <w:sz w:val="22"/>
                <w:szCs w:val="21"/>
                <w:lang w:val="zh-CN" w:bidi="zh-CN"/>
                <w14:textFill>
                  <w14:solidFill>
                    <w14:schemeClr w14:val="tx1"/>
                  </w14:solidFill>
                </w14:textFill>
              </w:rPr>
            </w:pPr>
            <w:r>
              <w:rPr>
                <w:rFonts w:ascii="宋体" w:hAnsi="宋体" w:cs="宋体"/>
                <w:color w:val="000000" w:themeColor="text1"/>
                <w:sz w:val="22"/>
                <w:szCs w:val="21"/>
                <w:lang w:val="zh-CN" w:bidi="zh-CN"/>
                <w14:textFill>
                  <w14:solidFill>
                    <w14:schemeClr w14:val="tx1"/>
                  </w14:solidFill>
                </w14:textFill>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Y＜100</w:t>
            </w:r>
            <w:r/>
          </w:p>
        </w:tc>
      </w:tr>
      <w:tr>
        <w:trPr>
          <w:jc w:val="center"/>
          <w:tblCellSpacing w:w="15" w:type="dxa"/>
          <w:trHeight w:val="532"/>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center"/>
            <w:vMerge w:val="restart"/>
            <w:textDirection w:val="lrTb"/>
            <w:noWrap w:val="false"/>
          </w:tcPr>
          <w:p>
            <w:pPr>
              <w:jc w:val="center"/>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X＜10</w:t>
            </w:r>
            <w:r/>
          </w:p>
        </w:tc>
      </w:tr>
      <w:tr>
        <w:trPr>
          <w:jc w:val="center"/>
          <w:tblCellSpacing w:w="15" w:type="dxa"/>
          <w:trHeight w:val="79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center"/>
              <w:spacing w:line="360" w:lineRule="auto"/>
              <w:widowControl/>
              <w:rPr>
                <w:rFonts w:ascii="宋体" w:hAnsi="宋体" w:cs="宋体"/>
                <w:color w:val="000000" w:themeColor="text1"/>
                <w:sz w:val="22"/>
                <w:szCs w:val="21"/>
                <w:lang w:val="zh-CN" w:bidi="zh-CN"/>
                <w14:textFill>
                  <w14:solidFill>
                    <w14:schemeClr w14:val="tx1"/>
                  </w14:solidFill>
                </w14:textFill>
              </w:rPr>
            </w:pPr>
            <w:r>
              <w:rPr>
                <w:rFonts w:ascii="宋体" w:hAnsi="宋体" w:cs="宋体"/>
                <w:color w:val="000000" w:themeColor="text1"/>
                <w:sz w:val="22"/>
                <w:szCs w:val="21"/>
                <w:lang w:val="zh-CN" w:bidi="zh-CN"/>
                <w14:textFill>
                  <w14:solidFill>
                    <w14:schemeClr w14:val="tx1"/>
                  </w14:solidFill>
                </w14:textFill>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Y＜50</w:t>
            </w:r>
            <w:r/>
          </w:p>
        </w:tc>
      </w:tr>
      <w:tr>
        <w:trPr>
          <w:jc w:val="center"/>
          <w:tblCellSpacing w:w="15" w:type="dxa"/>
          <w:trHeight w:val="57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center"/>
            <w:vMerge w:val="restart"/>
            <w:textDirection w:val="lrTb"/>
            <w:noWrap w:val="false"/>
          </w:tcPr>
          <w:p>
            <w:pPr>
              <w:jc w:val="center"/>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X＜100</w:t>
            </w:r>
            <w:r/>
          </w:p>
        </w:tc>
      </w:tr>
      <w:tr>
        <w:trPr>
          <w:jc w:val="center"/>
          <w:tblCellSpacing w:w="15" w:type="dxa"/>
          <w:trHeight w:val="663"/>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center"/>
              <w:spacing w:line="360" w:lineRule="auto"/>
              <w:widowControl/>
              <w:rPr>
                <w:rFonts w:ascii="宋体" w:hAnsi="宋体" w:cs="宋体"/>
                <w:color w:val="000000" w:themeColor="text1"/>
                <w:sz w:val="22"/>
                <w:szCs w:val="21"/>
                <w:lang w:val="zh-CN" w:bidi="zh-CN"/>
                <w14:textFill>
                  <w14:solidFill>
                    <w14:schemeClr w14:val="tx1"/>
                  </w14:solidFill>
                </w14:textFill>
              </w:rPr>
            </w:pPr>
            <w:r>
              <w:rPr>
                <w:rFonts w:ascii="宋体" w:hAnsi="宋体" w:cs="宋体"/>
                <w:color w:val="000000" w:themeColor="text1"/>
                <w:sz w:val="22"/>
                <w:szCs w:val="21"/>
                <w:lang w:val="zh-CN" w:bidi="zh-CN"/>
                <w14:textFill>
                  <w14:solidFill>
                    <w14:schemeClr w14:val="tx1"/>
                  </w14:solidFill>
                </w14:textFill>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Y＜2000</w:t>
            </w:r>
            <w:r/>
          </w:p>
        </w:tc>
      </w:tr>
      <w:tr>
        <w:trPr>
          <w:jc w:val="center"/>
          <w:tblCellSpacing w:w="15" w:type="dxa"/>
          <w:trHeight w:val="469"/>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center"/>
            <w:vMerge w:val="restart"/>
            <w:textDirection w:val="lrTb"/>
            <w:noWrap w:val="false"/>
          </w:tcPr>
          <w:p>
            <w:pPr>
              <w:jc w:val="center"/>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X＜100</w:t>
            </w:r>
            <w:r/>
          </w:p>
        </w:tc>
      </w:tr>
      <w:tr>
        <w:trPr>
          <w:jc w:val="center"/>
          <w:tblCellSpacing w:w="15" w:type="dxa"/>
          <w:trHeight w:val="723"/>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center"/>
              <w:spacing w:line="360" w:lineRule="auto"/>
              <w:widowControl/>
              <w:rPr>
                <w:rFonts w:ascii="宋体" w:hAnsi="宋体" w:cs="宋体"/>
                <w:color w:val="000000" w:themeColor="text1"/>
                <w:sz w:val="22"/>
                <w:szCs w:val="21"/>
                <w:lang w:val="zh-CN" w:bidi="zh-CN"/>
                <w14:textFill>
                  <w14:solidFill>
                    <w14:schemeClr w14:val="tx1"/>
                  </w14:solidFill>
                </w14:textFill>
              </w:rPr>
            </w:pPr>
            <w:r>
              <w:rPr>
                <w:rFonts w:ascii="宋体" w:hAnsi="宋体" w:cs="宋体"/>
                <w:color w:val="000000" w:themeColor="text1"/>
                <w:sz w:val="22"/>
                <w:szCs w:val="21"/>
                <w:lang w:val="zh-CN" w:bidi="zh-CN"/>
                <w14:textFill>
                  <w14:solidFill>
                    <w14:schemeClr w14:val="tx1"/>
                  </w14:solidFill>
                </w14:textFill>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Y＜500</w:t>
            </w:r>
            <w:r/>
          </w:p>
        </w:tc>
      </w:tr>
      <w:tr>
        <w:trPr>
          <w:jc w:val="center"/>
          <w:tblCellSpacing w:w="15" w:type="dxa"/>
          <w:trHeight w:val="663"/>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center"/>
            <w:vMerge w:val="restart"/>
            <w:textDirection w:val="lrTb"/>
            <w:noWrap w:val="false"/>
          </w:tcPr>
          <w:p>
            <w:pPr>
              <w:jc w:val="center"/>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X＜10</w:t>
            </w:r>
            <w:r/>
          </w:p>
        </w:tc>
      </w:tr>
      <w:tr>
        <w:trPr>
          <w:jc w:val="center"/>
          <w:tblCellSpacing w:w="15" w:type="dxa"/>
          <w:trHeight w:val="787"/>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center"/>
              <w:spacing w:line="360" w:lineRule="auto"/>
              <w:widowControl/>
              <w:rPr>
                <w:rFonts w:ascii="宋体" w:hAnsi="宋体" w:cs="宋体"/>
                <w:color w:val="000000" w:themeColor="text1"/>
                <w:sz w:val="22"/>
                <w:szCs w:val="21"/>
                <w:lang w:val="zh-CN" w:bidi="zh-CN"/>
                <w14:textFill>
                  <w14:solidFill>
                    <w14:schemeClr w14:val="tx1"/>
                  </w14:solidFill>
                </w14:textFill>
              </w:rPr>
            </w:pPr>
            <w:r>
              <w:rPr>
                <w:rFonts w:ascii="宋体" w:hAnsi="宋体" w:cs="宋体"/>
                <w:color w:val="000000" w:themeColor="text1"/>
                <w:sz w:val="22"/>
                <w:szCs w:val="21"/>
                <w:lang w:val="zh-CN" w:bidi="zh-CN"/>
                <w14:textFill>
                  <w14:solidFill>
                    <w14:schemeClr w14:val="tx1"/>
                  </w14:solidFill>
                </w14:textFill>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Y＜100</w:t>
            </w:r>
            <w:r/>
          </w:p>
        </w:tc>
      </w:tr>
      <w:tr>
        <w:trPr>
          <w:jc w:val="center"/>
          <w:tblCellSpacing w:w="15" w:type="dxa"/>
          <w:trHeight w:val="813"/>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center"/>
            <w:textDirection w:val="lrTb"/>
            <w:noWrap w:val="false"/>
          </w:tcPr>
          <w:p>
            <w:pPr>
              <w:jc w:val="center"/>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X＜10</w:t>
            </w:r>
            <w:r/>
          </w:p>
        </w:tc>
      </w:tr>
    </w:tbl>
    <w:p>
      <w:pPr>
        <w:ind w:firstLine="420"/>
        <w:jc w:val="left"/>
        <w:spacing w:before="100" w:beforeAutospacing="1" w:after="100" w:afterAutospacing="1" w:line="360" w:lineRule="auto"/>
        <w:widowControl/>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spacing w:line="360" w:lineRule="auto"/>
        <w:rPr>
          <w:rStyle w:val="985"/>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spacing w:line="360" w:lineRule="auto"/>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br w:type="page" w:clear="all"/>
      </w:r>
      <w:r/>
    </w:p>
    <w:p>
      <w:pPr>
        <w:pStyle w:val="983"/>
        <w:jc w:val="center"/>
        <w:spacing w:before="300" w:after="452" w:line="360" w:lineRule="auto"/>
        <w:widowControl/>
        <w:rPr>
          <w:rFonts w:ascii="宋体" w:hAnsi="宋体" w:cs="宋体"/>
          <w:b/>
          <w:bCs/>
          <w:color w:val="000000" w:themeColor="text1"/>
          <w:sz w:val="30"/>
          <w:szCs w:val="30"/>
          <w14:textFill>
            <w14:solidFill>
              <w14:schemeClr w14:val="tx1"/>
            </w14:solidFill>
          </w14:textFill>
        </w:rPr>
      </w:pPr>
      <w:r/>
      <w:bookmarkStart w:id="37" w:name="_Toc109304978"/>
      <w:r>
        <w:rPr>
          <w:rFonts w:hint="eastAsia" w:ascii="宋体" w:hAnsi="宋体" w:cs="宋体"/>
          <w:b/>
          <w:bCs/>
          <w:color w:val="000000" w:themeColor="text1"/>
          <w:sz w:val="30"/>
          <w:szCs w:val="30"/>
          <w14:textFill>
            <w14:solidFill>
              <w14:schemeClr w14:val="tx1"/>
            </w14:solidFill>
          </w14:textFill>
        </w:rPr>
        <w:t xml:space="preserve">残疾人福利性单位声明函</w:t>
      </w:r>
      <w:r/>
    </w:p>
    <w:p>
      <w:pPr>
        <w:pStyle w:val="983"/>
        <w:spacing w:line="360" w:lineRule="auto"/>
        <w:widowControl/>
        <w:rPr>
          <w:rFonts w:ascii="宋体" w:hAnsi="宋体" w:cs="宋体"/>
          <w:color w:val="000000" w:themeColor="text1"/>
          <w:sz w:val="21"/>
          <w:szCs w:val="21"/>
          <w14:textFill>
            <w14:solidFill>
              <w14:schemeClr w14:val="tx1"/>
            </w14:solidFill>
          </w14:textFill>
        </w:rPr>
      </w:pPr>
      <w:r>
        <w:rPr>
          <w:rFonts w:hint="eastAsia" w:ascii="宋体" w:hAnsi="宋体" w:cs="宋体"/>
          <w:b/>
          <w:bCs/>
          <w:color w:val="000000" w:themeColor="text1"/>
          <w:sz w:val="21"/>
          <w:szCs w:val="21"/>
          <w14:textFill>
            <w14:solidFill>
              <w14:schemeClr w14:val="tx1"/>
            </w14:solidFill>
          </w14:textFill>
        </w:rPr>
        <w:t xml:space="preserve">  </w:t>
      </w:r>
      <w:r>
        <w:rPr>
          <w:rFonts w:hint="eastAsia" w:ascii="宋体" w:hAnsi="宋体" w:cs="宋体"/>
          <w:color w:val="000000" w:themeColor="text1"/>
          <w:sz w:val="21"/>
          <w:szCs w:val="21"/>
          <w14:textFill>
            <w14:solidFill>
              <w14:schemeClr w14:val="tx1"/>
            </w14:solidFill>
          </w14:textFill>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cs="宋体"/>
          <w:color w:val="000000" w:themeColor="text1"/>
          <w:sz w:val="21"/>
          <w:szCs w:val="21"/>
          <w:u w:val="single"/>
          <w14:textFill>
            <w14:solidFill>
              <w14:schemeClr w14:val="tx1"/>
            </w14:solidFill>
          </w14:textFill>
        </w:rPr>
        <w:t xml:space="preserve">             </w:t>
      </w:r>
      <w:r>
        <w:rPr>
          <w:rFonts w:hint="eastAsia" w:ascii="宋体" w:hAnsi="宋体" w:cs="宋体"/>
          <w:color w:val="000000" w:themeColor="text1"/>
          <w:sz w:val="21"/>
          <w:szCs w:val="21"/>
          <w14:textFill>
            <w14:solidFill>
              <w14:schemeClr w14:val="tx1"/>
            </w14:solidFill>
          </w14:textFill>
        </w:rPr>
        <w:t xml:space="preserve">项目采购活动提供本单位制造的产品或服务（由本单位承担工程/提供服务），或者提供其他残疾人福利性单位制造的产品或服务（不包括使用非残疾人福利性单位注册商标的产品或服务）。</w:t>
      </w:r>
      <w:r/>
    </w:p>
    <w:p>
      <w:pPr>
        <w:pStyle w:val="983"/>
        <w:ind w:left="420"/>
        <w:spacing w:line="360" w:lineRule="auto"/>
        <w:widowControl/>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本单位在本次政府采购活动中提供的残疾人福利单位产品报价合计为人民币</w:t>
      </w:r>
      <w:r>
        <w:rPr>
          <w:rFonts w:hint="eastAsia" w:ascii="宋体" w:hAnsi="宋体" w:cs="宋体"/>
          <w:color w:val="000000" w:themeColor="text1"/>
          <w:sz w:val="21"/>
          <w:szCs w:val="21"/>
          <w:u w:val="single"/>
          <w14:textFill>
            <w14:solidFill>
              <w14:schemeClr w14:val="tx1"/>
            </w14:solidFill>
          </w14:textFill>
        </w:rPr>
        <w:t xml:space="preserve">（大写）</w:t>
      </w:r>
      <w:r>
        <w:rPr>
          <w:rFonts w:hint="eastAsia" w:ascii="宋体" w:hAnsi="宋体" w:cs="宋体"/>
          <w:color w:val="000000" w:themeColor="text1"/>
          <w:sz w:val="21"/>
          <w:szCs w:val="21"/>
          <w14:textFill>
            <w14:solidFill>
              <w14:schemeClr w14:val="tx1"/>
            </w14:solidFill>
          </w14:textFill>
        </w:rPr>
        <w:t xml:space="preserve"> 圆整（￥：</w:t>
      </w:r>
      <w:r>
        <w:rPr>
          <w:rFonts w:hint="eastAsia" w:ascii="宋体" w:hAnsi="宋体" w:cs="宋体"/>
          <w:color w:val="000000" w:themeColor="text1"/>
          <w:sz w:val="21"/>
          <w:szCs w:val="21"/>
          <w:u w:val="single"/>
          <w14:textFill>
            <w14:solidFill>
              <w14:schemeClr w14:val="tx1"/>
            </w14:solidFill>
          </w14:textFill>
        </w:rPr>
        <w:t xml:space="preserve">       </w:t>
      </w:r>
      <w:r>
        <w:rPr>
          <w:rFonts w:hint="eastAsia" w:ascii="宋体" w:hAnsi="宋体" w:cs="宋体"/>
          <w:color w:val="000000" w:themeColor="text1"/>
          <w:sz w:val="21"/>
          <w:szCs w:val="21"/>
          <w14:textFill>
            <w14:solidFill>
              <w14:schemeClr w14:val="tx1"/>
            </w14:solidFill>
          </w14:textFill>
        </w:rPr>
        <w:t xml:space="preserve">）。</w:t>
      </w:r>
      <w:r/>
    </w:p>
    <w:p>
      <w:pPr>
        <w:ind w:firstLine="420"/>
        <w:jc w:val="left"/>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本单位对上述声明的真实性负责。如有虚假，将依法承担相应责任。</w:t>
      </w:r>
      <w:r/>
    </w:p>
    <w:p>
      <w:pPr>
        <w:ind w:firstLine="420"/>
        <w:jc w:val="left"/>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ind w:firstLine="420"/>
        <w:jc w:val="left"/>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（备注：1、供应商如不提供此声明函，价格将不做相应扣除。2、成交供应商为残疾人福利单位的，此声明函将随成交结果同时公告，接受社会监督）</w:t>
      </w:r>
      <w:r/>
    </w:p>
    <w:p>
      <w:pPr>
        <w:ind w:firstLine="444"/>
        <w:spacing w:line="360" w:lineRule="auto"/>
        <w:rPr>
          <w:rFonts w:ascii="宋体" w:hAnsi="宋体" w:cs="宋体"/>
          <w:color w:val="000000" w:themeColor="text1"/>
          <w:spacing w:val="6"/>
          <w:szCs w:val="21"/>
          <w14:textFill>
            <w14:solidFill>
              <w14:schemeClr w14:val="tx1"/>
            </w14:solidFill>
          </w14:textFill>
        </w:rPr>
      </w:pPr>
      <w:r>
        <w:rPr>
          <w:rFonts w:ascii="宋体" w:hAnsi="宋体" w:cs="宋体"/>
          <w:color w:val="000000" w:themeColor="text1"/>
          <w:spacing w:val="6"/>
          <w:szCs w:val="21"/>
          <w14:textFill>
            <w14:solidFill>
              <w14:schemeClr w14:val="tx1"/>
            </w14:solidFill>
          </w14:textFill>
        </w:rPr>
      </w:r>
      <w:r/>
    </w:p>
    <w:p>
      <w:pPr>
        <w:ind w:firstLine="444"/>
        <w:spacing w:line="360" w:lineRule="auto"/>
        <w:rPr>
          <w:rFonts w:ascii="宋体" w:hAnsi="宋体" w:cs="宋体"/>
          <w:color w:val="000000" w:themeColor="text1"/>
          <w:spacing w:val="6"/>
          <w:szCs w:val="21"/>
          <w14:textFill>
            <w14:solidFill>
              <w14:schemeClr w14:val="tx1"/>
            </w14:solidFill>
          </w14:textFill>
        </w:rPr>
      </w:pPr>
      <w:r>
        <w:rPr>
          <w:rFonts w:ascii="宋体" w:hAnsi="宋体" w:cs="宋体"/>
          <w:color w:val="000000" w:themeColor="text1"/>
          <w:spacing w:val="6"/>
          <w:szCs w:val="21"/>
          <w14:textFill>
            <w14:solidFill>
              <w14:schemeClr w14:val="tx1"/>
            </w14:solidFill>
          </w14:textFill>
        </w:rPr>
      </w:r>
      <w:r/>
    </w:p>
    <w:p>
      <w:pPr>
        <w:ind w:right="1560" w:firstLine="420"/>
        <w:jc w:val="center"/>
        <w:spacing w:line="360" w:lineRule="auto"/>
        <w:tabs>
          <w:tab w:val="left" w:pos="4860"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供应商全称（盖章）：</w:t>
      </w:r>
      <w:r/>
    </w:p>
    <w:p>
      <w:pPr>
        <w:ind w:right="1560" w:firstLine="420"/>
        <w:jc w:val="center"/>
        <w:spacing w:line="360" w:lineRule="auto"/>
        <w:tabs>
          <w:tab w:val="left" w:pos="4860"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日期：</w:t>
      </w:r>
      <w:r/>
    </w:p>
    <w:p>
      <w:pPr>
        <w:spacing w:line="360" w:lineRule="auto"/>
        <w:rPr>
          <w:rFonts w:ascii="宋体" w:hAnsi="宋体" w:cs="宋体"/>
          <w:b/>
          <w:bCs/>
          <w:color w:val="000000" w:themeColor="text1"/>
          <w:sz w:val="32"/>
          <w:szCs w:val="32"/>
          <w14:textFill>
            <w14:solidFill>
              <w14:schemeClr w14:val="tx1"/>
            </w14:solidFill>
          </w14:textFill>
        </w:rPr>
      </w:pPr>
      <w:r>
        <w:rPr>
          <w:rFonts w:ascii="宋体" w:hAnsi="宋体" w:cs="宋体"/>
          <w:b/>
          <w:bCs/>
          <w:color w:val="000000" w:themeColor="text1"/>
          <w:sz w:val="32"/>
          <w:szCs w:val="32"/>
          <w14:textFill>
            <w14:solidFill>
              <w14:schemeClr w14:val="tx1"/>
            </w14:solidFill>
          </w14:textFill>
        </w:rPr>
      </w:r>
      <w:r/>
    </w:p>
    <w:p>
      <w:pPr>
        <w:pStyle w:val="962"/>
        <w:spacing w:line="360" w:lineRule="auto"/>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spacing w:line="360" w:lineRule="auto"/>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spacing w:line="360" w:lineRule="auto"/>
        <w:rPr>
          <w:rFonts w:ascii="宋体" w:hAnsi="宋体" w:cs="宋体"/>
          <w:b/>
          <w:bCs/>
          <w:color w:val="000000" w:themeColor="text1"/>
          <w:sz w:val="32"/>
          <w:szCs w:val="32"/>
          <w14:textFill>
            <w14:solidFill>
              <w14:schemeClr w14:val="tx1"/>
            </w14:solidFill>
          </w14:textFill>
        </w:rPr>
      </w:pPr>
      <w:r>
        <w:rPr>
          <w:rFonts w:ascii="宋体" w:hAnsi="宋体" w:cs="宋体"/>
          <w:b/>
          <w:bCs/>
          <w:color w:val="000000" w:themeColor="text1"/>
          <w:sz w:val="32"/>
          <w:szCs w:val="32"/>
          <w14:textFill>
            <w14:solidFill>
              <w14:schemeClr w14:val="tx1"/>
            </w14:solidFill>
          </w14:textFill>
        </w:rPr>
      </w:r>
      <w:r/>
    </w:p>
    <w:p>
      <w:pPr>
        <w:pStyle w:val="962"/>
        <w:spacing w:line="360" w:lineRule="auto"/>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spacing w:line="360" w:lineRule="auto"/>
        <w:rPr>
          <w:rFonts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br w:type="page" w:clear="all"/>
      </w:r>
      <w:r/>
    </w:p>
    <w:p>
      <w:pPr>
        <w:jc w:val="center"/>
        <w:spacing w:line="360" w:lineRule="auto"/>
        <w:rPr>
          <w:rFonts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t xml:space="preserve">四、磋商响应报价表</w:t>
      </w:r>
      <w:r/>
    </w:p>
    <w:p>
      <w:pPr>
        <w:spacing w:line="360" w:lineRule="auto"/>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975"/>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项目名称： </w:t>
      </w:r>
      <w:r/>
    </w:p>
    <w:p>
      <w:pPr>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项目编号：     </w:t>
      </w:r>
      <w:r/>
    </w:p>
    <w:p>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本次为首次报价                                                      </w:t>
      </w:r>
      <w:r/>
    </w:p>
    <w:tbl>
      <w:tblPr>
        <w:tblStyle w:val="96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8222"/>
      </w:tblGrid>
      <w:tr>
        <w:trPr>
          <w:cantSplit/>
          <w:jc w:val="center"/>
          <w:trHeight w:val="1849"/>
        </w:trPr>
        <w:tc>
          <w:tcPr>
            <w:tcBorders>
              <w:top w:val="single" w:color="auto" w:sz="4" w:space="0"/>
              <w:left w:val="single" w:color="auto" w:sz="4" w:space="0"/>
              <w:bottom w:val="single" w:color="auto" w:sz="4" w:space="0"/>
              <w:right w:val="single" w:color="auto" w:sz="4" w:space="0"/>
            </w:tcBorders>
            <w:tcW w:w="1242" w:type="dxa"/>
            <w:vAlign w:val="center"/>
            <w:textDirection w:val="lrTb"/>
            <w:noWrap/>
          </w:tcPr>
          <w:p>
            <w:pPr>
              <w:jc w:val="cente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名称</w:t>
            </w:r>
            <w:r/>
          </w:p>
        </w:tc>
        <w:tc>
          <w:tcPr>
            <w:tcBorders>
              <w:top w:val="single" w:color="auto" w:sz="4" w:space="0"/>
              <w:left w:val="single" w:color="auto" w:sz="4" w:space="0"/>
              <w:bottom w:val="single" w:color="auto" w:sz="4" w:space="0"/>
              <w:right w:val="single" w:color="auto" w:sz="4" w:space="0"/>
            </w:tcBorders>
            <w:tcW w:w="8222" w:type="dxa"/>
            <w:vAlign w:val="center"/>
            <w:textDirection w:val="lrTb"/>
            <w:noWrap/>
          </w:tcPr>
          <w:p>
            <w:pPr>
              <w:jc w:val="cente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第一轮报价</w:t>
            </w:r>
            <w:r/>
          </w:p>
        </w:tc>
      </w:tr>
      <w:tr>
        <w:trPr>
          <w:cantSplit/>
          <w:jc w:val="center"/>
          <w:trHeight w:val="1800"/>
        </w:trPr>
        <w:tc>
          <w:tcPr>
            <w:tcBorders>
              <w:top w:val="single" w:color="auto" w:sz="4" w:space="0"/>
              <w:left w:val="single" w:color="auto" w:sz="4" w:space="0"/>
              <w:bottom w:val="single" w:color="auto" w:sz="4" w:space="0"/>
              <w:right w:val="single" w:color="auto" w:sz="4" w:space="0"/>
            </w:tcBorders>
            <w:tcW w:w="1242" w:type="dxa"/>
            <w:vAlign w:val="center"/>
            <w:textDirection w:val="lrTb"/>
            <w:noWrap/>
          </w:tcPr>
          <w:p>
            <w:pPr>
              <w:jc w:val="cente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报价</w:t>
            </w:r>
            <w:r/>
          </w:p>
        </w:tc>
        <w:tc>
          <w:tcPr>
            <w:tcBorders>
              <w:top w:val="single" w:color="auto" w:sz="4" w:space="0"/>
              <w:left w:val="single" w:color="auto" w:sz="4" w:space="0"/>
              <w:bottom w:val="single" w:color="auto" w:sz="4" w:space="0"/>
              <w:right w:val="single" w:color="auto" w:sz="4" w:space="0"/>
            </w:tcBorders>
            <w:tcW w:w="8222" w:type="dxa"/>
            <w:vAlign w:val="center"/>
            <w:textDirection w:val="lrTb"/>
            <w:noWrap/>
          </w:tcPr>
          <w:p>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大写：</w:t>
            </w:r>
            <w:r/>
          </w:p>
          <w:p>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小写：            (人民币)元</w:t>
            </w:r>
            <w:r/>
          </w:p>
        </w:tc>
      </w:tr>
      <w:tr>
        <w:trPr>
          <w:cantSplit/>
          <w:jc w:val="center"/>
          <w:trHeight w:val="1849"/>
        </w:trPr>
        <w:tc>
          <w:tcPr>
            <w:tcBorders>
              <w:top w:val="single" w:color="auto" w:sz="4" w:space="0"/>
              <w:left w:val="single" w:color="auto" w:sz="4" w:space="0"/>
              <w:bottom w:val="single" w:color="auto" w:sz="4" w:space="0"/>
              <w:right w:val="single" w:color="auto" w:sz="4" w:space="0"/>
            </w:tcBorders>
            <w:tcW w:w="1242" w:type="dxa"/>
            <w:vAlign w:val="center"/>
            <w:textDirection w:val="lrTb"/>
            <w:noWrap/>
          </w:tcPr>
          <w:p>
            <w:pPr>
              <w:jc w:val="cente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备注</w:t>
            </w:r>
            <w:r/>
          </w:p>
        </w:tc>
        <w:tc>
          <w:tcPr>
            <w:tcBorders>
              <w:top w:val="single" w:color="auto" w:sz="4" w:space="0"/>
              <w:left w:val="single" w:color="auto" w:sz="4" w:space="0"/>
              <w:bottom w:val="single" w:color="auto" w:sz="4" w:space="0"/>
              <w:right w:val="single" w:color="auto" w:sz="4" w:space="0"/>
            </w:tcBorders>
            <w:tcW w:w="8222" w:type="dxa"/>
            <w:vAlign w:val="center"/>
            <w:textDirection w:val="lrTb"/>
            <w:noWrap/>
          </w:tcPr>
          <w:p>
            <w:pPr>
              <w:jc w:val="cente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bl>
    <w:p>
      <w:pPr>
        <w:spacing w:line="360" w:lineRule="auto"/>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jc w:val="center"/>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供应商全称（盖章）：</w:t>
      </w:r>
      <w:r/>
    </w:p>
    <w:p>
      <w:pPr>
        <w:jc w:val="center"/>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                                             日期：</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年</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月</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日</w:t>
      </w:r>
      <w:r/>
    </w:p>
    <w:p>
      <w:pPr>
        <w:jc w:val="center"/>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br w:type="page" w:clear="all"/>
      </w:r>
      <w:r>
        <w:rPr>
          <w:rFonts w:hint="eastAsia" w:ascii="宋体" w:hAnsi="宋体" w:cs="宋体"/>
          <w:b/>
          <w:bCs/>
          <w:color w:val="000000" w:themeColor="text1"/>
          <w:sz w:val="32"/>
          <w:szCs w:val="32"/>
          <w14:textFill>
            <w14:solidFill>
              <w14:schemeClr w14:val="tx1"/>
            </w14:solidFill>
          </w14:textFill>
        </w:rPr>
        <w:t xml:space="preserve">分项报价表</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本次为首轮报价</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供应商名称：</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  </w:t>
      </w:r>
      <w:r/>
    </w:p>
    <w:p>
      <w:pPr>
        <w:pStyle w:val="975"/>
        <w:ind w:firstLine="420"/>
        <w:spacing w:line="360" w:lineRule="auto"/>
        <w:rPr>
          <w:rFonts w:ascii="宋体" w:hAnsi="宋体" w:cs="宋体"/>
          <w:color w:val="000000" w:themeColor="text1"/>
          <w:sz w:val="21"/>
          <w:szCs w:val="22"/>
          <w:u w:val="single"/>
          <w14:textFill>
            <w14:solidFill>
              <w14:schemeClr w14:val="tx1"/>
            </w14:solidFill>
          </w14:textFill>
        </w:rPr>
      </w:pPr>
      <w:r>
        <w:rPr>
          <w:rFonts w:hint="eastAsia" w:ascii="宋体" w:hAnsi="宋体" w:cs="宋体"/>
          <w:color w:val="000000" w:themeColor="text1"/>
          <w:sz w:val="21"/>
          <w:szCs w:val="22"/>
          <w14:textFill>
            <w14:solidFill>
              <w14:schemeClr w14:val="tx1"/>
            </w14:solidFill>
          </w14:textFill>
        </w:rPr>
        <w:t xml:space="preserve">项目名称：</w:t>
      </w:r>
      <w:r>
        <w:rPr>
          <w:rFonts w:hint="eastAsia" w:ascii="宋体" w:hAnsi="宋体" w:cs="宋体"/>
          <w:color w:val="000000" w:themeColor="text1"/>
          <w:sz w:val="21"/>
          <w:szCs w:val="22"/>
          <w:u w:val="single"/>
          <w14:textFill>
            <w14:solidFill>
              <w14:schemeClr w14:val="tx1"/>
            </w14:solidFill>
          </w14:textFill>
        </w:rPr>
        <w:t xml:space="preserve">                               </w:t>
      </w:r>
      <w:r/>
    </w:p>
    <w:p>
      <w:pPr>
        <w:pStyle w:val="975"/>
        <w:ind w:firstLine="420"/>
        <w:spacing w:line="360" w:lineRule="auto"/>
        <w:rPr>
          <w:rFonts w:ascii="宋体" w:hAnsi="宋体" w:cs="宋体"/>
          <w:color w:val="000000" w:themeColor="text1"/>
          <w:sz w:val="21"/>
          <w:szCs w:val="22"/>
          <w:u w:val="single"/>
          <w14:textFill>
            <w14:solidFill>
              <w14:schemeClr w14:val="tx1"/>
            </w14:solidFill>
          </w14:textFill>
        </w:rPr>
      </w:pPr>
      <w:r>
        <w:rPr>
          <w:rFonts w:hint="eastAsia" w:ascii="宋体" w:hAnsi="宋体" w:cs="宋体"/>
          <w:color w:val="000000" w:themeColor="text1"/>
          <w:sz w:val="21"/>
          <w:szCs w:val="22"/>
          <w14:textFill>
            <w14:solidFill>
              <w14:schemeClr w14:val="tx1"/>
            </w14:solidFill>
          </w14:textFill>
        </w:rPr>
        <w:t xml:space="preserve">项目编号：</w:t>
      </w:r>
      <w:r>
        <w:rPr>
          <w:rFonts w:hint="eastAsia" w:ascii="宋体" w:hAnsi="宋体" w:cs="宋体"/>
          <w:color w:val="000000" w:themeColor="text1"/>
          <w:sz w:val="21"/>
          <w:szCs w:val="22"/>
          <w:u w:val="single"/>
          <w14:textFill>
            <w14:solidFill>
              <w14:schemeClr w14:val="tx1"/>
            </w14:solidFill>
          </w14:textFill>
        </w:rPr>
        <w:t xml:space="preserve">                               </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投标报价(小写)：</w:t>
      </w:r>
      <w:r>
        <w:rPr>
          <w:rFonts w:hint="eastAsia" w:ascii="宋体" w:hAnsi="宋体" w:cs="宋体"/>
          <w:color w:val="000000" w:themeColor="text1"/>
          <w:u w:val="single"/>
          <w14:textFill>
            <w14:solidFill>
              <w14:schemeClr w14:val="tx1"/>
            </w14:solidFill>
          </w14:textFill>
        </w:rPr>
        <w:t xml:space="preserve">                         </w:t>
      </w:r>
      <w:r/>
    </w:p>
    <w:p>
      <w:pPr>
        <w:ind w:firstLine="420"/>
        <w:spacing w:line="360" w:lineRule="auto"/>
        <w:rPr>
          <w:rFonts w:ascii="宋体" w:hAnsi="宋体" w:cs="宋体"/>
          <w:b/>
          <w:bCs/>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投标报价(大写)：</w:t>
      </w:r>
      <w:r>
        <w:rPr>
          <w:rFonts w:hint="eastAsia" w:ascii="宋体" w:hAnsi="宋体" w:cs="宋体"/>
          <w:color w:val="000000" w:themeColor="text1"/>
          <w:u w:val="single"/>
          <w14:textFill>
            <w14:solidFill>
              <w14:schemeClr w14:val="tx1"/>
            </w14:solidFill>
          </w14:textFill>
        </w:rPr>
        <w:t xml:space="preserve">                         </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法定代表人或授权代表签字：                </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盖 章（公章）：</w:t>
      </w:r>
      <w:r/>
    </w:p>
    <w:p>
      <w:pPr>
        <w:pStyle w:val="975"/>
        <w:ind w:firstLine="420"/>
        <w:spacing w:line="360" w:lineRule="auto"/>
        <w:rPr>
          <w:rFonts w:ascii="宋体" w:hAnsi="宋体" w:cs="宋体"/>
          <w:color w:val="000000" w:themeColor="text1"/>
          <w:sz w:val="21"/>
          <w:szCs w:val="22"/>
          <w14:textFill>
            <w14:solidFill>
              <w14:schemeClr w14:val="tx1"/>
            </w14:solidFill>
          </w14:textFill>
        </w:rPr>
      </w:pPr>
      <w:r>
        <w:rPr>
          <w:rFonts w:ascii="宋体" w:hAnsi="宋体" w:cs="宋体"/>
          <w:color w:val="000000" w:themeColor="text1"/>
          <w:sz w:val="21"/>
          <w:szCs w:val="22"/>
          <w14:textFill>
            <w14:solidFill>
              <w14:schemeClr w14:val="tx1"/>
            </w14:solidFill>
          </w14:textFill>
        </w:rPr>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备注：</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1、行数不够，可自行添加。</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供应商在报价时应按《建设工程工程量清单计价规范》（GB50500-2013）和采购文件规定的格式。分项报价表按照附件提供的工程量清单的格式进行填报，分别填报单价和合价，要求填报完整，漏报项视为价格已分摊到其他清单项中。</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供应商成交后根据本单位的最终总报价和首轮明细报价，自行调整各明细单价（原则上除不可竞争费外，其他各分项报价同比例下浮）直至合价和最终总报价（以元为单位，保留两位小数）相符，报采购人审核，审核通过后，后期根据审核后的明细报价，按实结算。</w:t>
      </w:r>
      <w:r/>
    </w:p>
    <w:p>
      <w:pP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pStyle w:val="962"/>
        <w:spacing w:line="360" w:lineRule="auto"/>
        <w:rPr>
          <w:rFonts w:ascii="宋体" w:hAnsi="宋体" w:cs="宋体"/>
          <w:b w:val="0"/>
          <w:bCs w:val="0"/>
          <w:color w:val="000000" w:themeColor="text1"/>
          <w:sz w:val="21"/>
          <w:szCs w:val="21"/>
          <w14:textFill>
            <w14:solidFill>
              <w14:schemeClr w14:val="tx1"/>
            </w14:solidFill>
          </w14:textFill>
        </w:rPr>
      </w:pPr>
      <w:r>
        <w:rPr>
          <w:rFonts w:ascii="宋体" w:hAnsi="宋体" w:cs="宋体"/>
          <w:b w:val="0"/>
          <w:bCs w:val="0"/>
          <w:color w:val="000000" w:themeColor="text1"/>
          <w:sz w:val="21"/>
          <w:szCs w:val="21"/>
          <w14:textFill>
            <w14:solidFill>
              <w14:schemeClr w14:val="tx1"/>
            </w14:solidFill>
          </w14:textFill>
        </w:rPr>
      </w:r>
      <w:r/>
    </w:p>
    <w:p>
      <w:pPr>
        <w:pStyle w:val="961"/>
        <w:jc w:val="center"/>
        <w:spacing w:line="360" w:lineRule="auto"/>
        <w:rPr>
          <w:rFonts w:ascii="宋体" w:hAnsi="宋体" w:cs="宋体"/>
          <w:bCs w:val="0"/>
          <w:color w:val="000000" w:themeColor="text1"/>
          <w14:textFill>
            <w14:solidFill>
              <w14:schemeClr w14:val="tx1"/>
            </w14:solidFill>
          </w14:textFill>
        </w:rPr>
      </w:pPr>
      <w:r>
        <w:rPr>
          <w:rFonts w:ascii="宋体" w:hAnsi="宋体" w:cs="宋体"/>
          <w:bCs w:val="0"/>
          <w:color w:val="000000" w:themeColor="text1"/>
          <w14:textFill>
            <w14:solidFill>
              <w14:schemeClr w14:val="tx1"/>
            </w14:solidFill>
          </w14:textFill>
        </w:rPr>
      </w:r>
      <w:r/>
    </w:p>
    <w:p>
      <w:pPr>
        <w:jc w:val="center"/>
        <w:spacing w:line="360" w:lineRule="auto"/>
        <w:rPr>
          <w:rFonts w:ascii="宋体" w:hAnsi="宋体" w:cs="宋体"/>
          <w:b/>
          <w:color w:val="000000" w:themeColor="text1"/>
          <w:sz w:val="32"/>
          <w:szCs w:val="32"/>
          <w14:textFill>
            <w14:solidFill>
              <w14:schemeClr w14:val="tx1"/>
            </w14:solidFill>
          </w14:textFill>
        </w:rPr>
      </w:pPr>
      <w:r>
        <w:rPr>
          <w:rFonts w:hint="eastAsia" w:ascii="宋体" w:hAnsi="宋体" w:cs="宋体"/>
          <w:bCs/>
          <w:color w:val="000000" w:themeColor="text1"/>
          <w14:textFill>
            <w14:solidFill>
              <w14:schemeClr w14:val="tx1"/>
            </w14:solidFill>
          </w14:textFill>
        </w:rPr>
        <w:br w:type="page" w:clear="all"/>
      </w:r>
      <w:r>
        <w:rPr>
          <w:rFonts w:hint="eastAsia" w:ascii="宋体" w:hAnsi="宋体" w:cs="宋体"/>
          <w:b/>
          <w:color w:val="000000" w:themeColor="text1"/>
          <w:sz w:val="32"/>
          <w:szCs w:val="32"/>
          <w14:textFill>
            <w14:solidFill>
              <w14:schemeClr w14:val="tx1"/>
            </w14:solidFill>
          </w14:textFill>
        </w:rPr>
        <w:t xml:space="preserve">五、技术参数响应及偏离表</w:t>
      </w:r>
      <w:bookmarkEnd w:id="37"/>
      <w:r/>
      <w:r/>
    </w:p>
    <w:p>
      <w:pPr>
        <w:jc w:val="left"/>
        <w:spacing w:line="360" w:lineRule="auto"/>
        <w:rPr>
          <w:rFonts w:ascii="宋体" w:hAnsi="宋体" w:cs="宋体"/>
          <w:bCs/>
          <w:color w:val="000000" w:themeColor="text1"/>
          <w14:textFill>
            <w14:solidFill>
              <w14:schemeClr w14:val="tx1"/>
            </w14:solidFill>
          </w14:textFill>
        </w:rPr>
      </w:pPr>
      <w:r>
        <w:rPr>
          <w:rFonts w:ascii="宋体" w:hAnsi="宋体" w:cs="宋体"/>
          <w:bCs/>
          <w:color w:val="000000" w:themeColor="text1"/>
          <w14:textFill>
            <w14:solidFill>
              <w14:schemeClr w14:val="tx1"/>
            </w14:solidFill>
          </w14:textFill>
        </w:rPr>
      </w:r>
      <w:r/>
    </w:p>
    <w:p>
      <w:pPr>
        <w:jc w:val="left"/>
        <w:spacing w:line="360" w:lineRule="auto"/>
        <w:rPr>
          <w:rFonts w:ascii="宋体" w:hAnsi="宋体" w:cs="宋体"/>
          <w:b/>
          <w:color w:val="000000" w:themeColor="text1"/>
          <w:sz w:val="32"/>
          <w:szCs w:val="32"/>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供应商全称（加盖公章）：</w:t>
      </w:r>
      <w:r/>
    </w:p>
    <w:tbl>
      <w:tblPr>
        <w:tblStyle w:val="96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tcPr>
          <w:p>
            <w:pPr>
              <w:jc w:val="cente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序号</w:t>
            </w:r>
            <w:r/>
          </w:p>
        </w:tc>
        <w:tc>
          <w:tcPr>
            <w:tcW w:w="2852" w:type="dxa"/>
            <w:vAlign w:val="center"/>
            <w:textDirection w:val="lrTb"/>
            <w:noWrap/>
          </w:tcPr>
          <w:p>
            <w:pPr>
              <w:jc w:val="cente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采购要求</w:t>
            </w:r>
            <w:r/>
          </w:p>
        </w:tc>
        <w:tc>
          <w:tcPr>
            <w:tcW w:w="2852" w:type="dxa"/>
            <w:vAlign w:val="center"/>
            <w:textDirection w:val="lrTb"/>
            <w:noWrap/>
          </w:tcPr>
          <w:p>
            <w:pPr>
              <w:jc w:val="cente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磋商响应</w:t>
            </w:r>
            <w:r/>
          </w:p>
        </w:tc>
        <w:tc>
          <w:tcPr>
            <w:tcW w:w="1308" w:type="dxa"/>
            <w:vAlign w:val="center"/>
            <w:textDirection w:val="lrTb"/>
            <w:noWrap/>
          </w:tcPr>
          <w:p>
            <w:pPr>
              <w:jc w:val="cente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超出、符合或偏离</w:t>
            </w:r>
            <w:r/>
          </w:p>
        </w:tc>
        <w:tc>
          <w:tcPr>
            <w:tcW w:w="1173" w:type="dxa"/>
            <w:vAlign w:val="center"/>
            <w:textDirection w:val="lrTb"/>
            <w:noWrap/>
          </w:tcPr>
          <w:p>
            <w:pPr>
              <w:jc w:val="cente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证明材料</w:t>
            </w:r>
            <w:r/>
          </w:p>
        </w:tc>
      </w:tr>
      <w:tr>
        <w:trPr>
          <w:cantSplit/>
          <w:trHeight w:val="640"/>
        </w:trPr>
        <w:tc>
          <w:tcPr>
            <w:tcW w:w="984" w:type="dxa"/>
            <w:textDirection w:val="lrTb"/>
            <w:noWrap/>
          </w:tcPr>
          <w:p>
            <w:pPr>
              <w:jc w:val="cente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2852" w:type="dxa"/>
            <w:textDirection w:val="lrTb"/>
            <w:noWrap/>
          </w:tcPr>
          <w:p>
            <w:pPr>
              <w:jc w:val="cente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2852" w:type="dxa"/>
            <w:textDirection w:val="lrTb"/>
            <w:noWrap/>
          </w:tcPr>
          <w:p>
            <w:pPr>
              <w:jc w:val="cente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1308" w:type="dxa"/>
            <w:textDirection w:val="lrTb"/>
            <w:noWrap/>
          </w:tcPr>
          <w:p>
            <w:pPr>
              <w:jc w:val="cente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1173" w:type="dxa"/>
            <w:textDirection w:val="lrTb"/>
            <w:noWrap/>
          </w:tcPr>
          <w:p>
            <w:pPr>
              <w:jc w:val="cente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cantSplit/>
          <w:trHeight w:val="640"/>
        </w:trPr>
        <w:tc>
          <w:tcPr>
            <w:tcW w:w="984" w:type="dxa"/>
            <w:textDirection w:val="lrTb"/>
            <w:noWrap/>
          </w:tcPr>
          <w:p>
            <w:pPr>
              <w:jc w:val="cente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2852" w:type="dxa"/>
            <w:textDirection w:val="lrTb"/>
            <w:noWrap/>
          </w:tcPr>
          <w:p>
            <w:pPr>
              <w:jc w:val="cente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2852" w:type="dxa"/>
            <w:textDirection w:val="lrTb"/>
            <w:noWrap/>
          </w:tcPr>
          <w:p>
            <w:pPr>
              <w:jc w:val="cente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1308" w:type="dxa"/>
            <w:textDirection w:val="lrTb"/>
            <w:noWrap/>
          </w:tcPr>
          <w:p>
            <w:pPr>
              <w:jc w:val="cente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1173" w:type="dxa"/>
            <w:textDirection w:val="lrTb"/>
            <w:noWrap/>
          </w:tcPr>
          <w:p>
            <w:pPr>
              <w:jc w:val="cente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cantSplit/>
          <w:trHeight w:val="640"/>
        </w:trPr>
        <w:tc>
          <w:tcPr>
            <w:tcW w:w="984" w:type="dxa"/>
            <w:textDirection w:val="lrTb"/>
            <w:noWrap/>
          </w:tcPr>
          <w:p>
            <w:pPr>
              <w:jc w:val="cente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2852" w:type="dxa"/>
            <w:textDirection w:val="lrTb"/>
            <w:noWrap/>
          </w:tcPr>
          <w:p>
            <w:pPr>
              <w:jc w:val="cente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2852" w:type="dxa"/>
            <w:textDirection w:val="lrTb"/>
            <w:noWrap/>
          </w:tcPr>
          <w:p>
            <w:pPr>
              <w:jc w:val="cente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1308" w:type="dxa"/>
            <w:textDirection w:val="lrTb"/>
            <w:noWrap/>
          </w:tcPr>
          <w:p>
            <w:pPr>
              <w:jc w:val="cente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1173" w:type="dxa"/>
            <w:textDirection w:val="lrTb"/>
            <w:noWrap/>
          </w:tcPr>
          <w:p>
            <w:pPr>
              <w:jc w:val="cente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cantSplit/>
          <w:trHeight w:val="640"/>
        </w:trPr>
        <w:tc>
          <w:tcPr>
            <w:tcW w:w="984" w:type="dxa"/>
            <w:textDirection w:val="lrTb"/>
            <w:noWrap/>
          </w:tcPr>
          <w:p>
            <w:pPr>
              <w:jc w:val="cente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2852" w:type="dxa"/>
            <w:textDirection w:val="lrTb"/>
            <w:noWrap/>
          </w:tcPr>
          <w:p>
            <w:pPr>
              <w:jc w:val="cente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2852" w:type="dxa"/>
            <w:textDirection w:val="lrTb"/>
            <w:noWrap/>
          </w:tcPr>
          <w:p>
            <w:pPr>
              <w:jc w:val="cente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1308" w:type="dxa"/>
            <w:textDirection w:val="lrTb"/>
            <w:noWrap/>
          </w:tcPr>
          <w:p>
            <w:pPr>
              <w:jc w:val="cente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1173" w:type="dxa"/>
            <w:textDirection w:val="lrTb"/>
            <w:noWrap/>
          </w:tcPr>
          <w:p>
            <w:pPr>
              <w:jc w:val="cente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cantSplit/>
          <w:trHeight w:val="640"/>
        </w:trPr>
        <w:tc>
          <w:tcPr>
            <w:tcW w:w="984" w:type="dxa"/>
            <w:textDirection w:val="lrTb"/>
            <w:noWrap/>
          </w:tcPr>
          <w:p>
            <w:pPr>
              <w:jc w:val="cente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2852" w:type="dxa"/>
            <w:textDirection w:val="lrTb"/>
            <w:noWrap/>
          </w:tcPr>
          <w:p>
            <w:pPr>
              <w:jc w:val="cente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2852" w:type="dxa"/>
            <w:textDirection w:val="lrTb"/>
            <w:noWrap/>
          </w:tcPr>
          <w:p>
            <w:pPr>
              <w:jc w:val="cente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1308" w:type="dxa"/>
            <w:textDirection w:val="lrTb"/>
            <w:noWrap/>
          </w:tcPr>
          <w:p>
            <w:pPr>
              <w:jc w:val="cente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1173" w:type="dxa"/>
            <w:textDirection w:val="lrTb"/>
            <w:noWrap/>
          </w:tcPr>
          <w:p>
            <w:pPr>
              <w:jc w:val="cente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cantSplit/>
          <w:trHeight w:val="640"/>
        </w:trPr>
        <w:tc>
          <w:tcPr>
            <w:tcW w:w="984" w:type="dxa"/>
            <w:textDirection w:val="lrTb"/>
            <w:noWrap/>
          </w:tcPr>
          <w:p>
            <w:pPr>
              <w:jc w:val="cente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2852" w:type="dxa"/>
            <w:textDirection w:val="lrTb"/>
            <w:noWrap/>
          </w:tcPr>
          <w:p>
            <w:pPr>
              <w:jc w:val="cente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2852" w:type="dxa"/>
            <w:textDirection w:val="lrTb"/>
            <w:noWrap/>
          </w:tcPr>
          <w:p>
            <w:pPr>
              <w:jc w:val="cente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1308" w:type="dxa"/>
            <w:textDirection w:val="lrTb"/>
            <w:noWrap/>
          </w:tcPr>
          <w:p>
            <w:pPr>
              <w:jc w:val="cente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1173" w:type="dxa"/>
            <w:textDirection w:val="lrTb"/>
            <w:noWrap/>
          </w:tcPr>
          <w:p>
            <w:pPr>
              <w:jc w:val="cente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cantSplit/>
          <w:trHeight w:val="640"/>
        </w:trPr>
        <w:tc>
          <w:tcPr>
            <w:tcW w:w="984" w:type="dxa"/>
            <w:textDirection w:val="lrTb"/>
            <w:noWrap/>
          </w:tcPr>
          <w:p>
            <w:pPr>
              <w:jc w:val="cente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2852" w:type="dxa"/>
            <w:textDirection w:val="lrTb"/>
            <w:noWrap/>
          </w:tcPr>
          <w:p>
            <w:pPr>
              <w:jc w:val="cente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2852" w:type="dxa"/>
            <w:textDirection w:val="lrTb"/>
            <w:noWrap/>
          </w:tcPr>
          <w:p>
            <w:pPr>
              <w:jc w:val="cente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1308" w:type="dxa"/>
            <w:textDirection w:val="lrTb"/>
            <w:noWrap/>
          </w:tcPr>
          <w:p>
            <w:pPr>
              <w:jc w:val="cente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1173" w:type="dxa"/>
            <w:textDirection w:val="lrTb"/>
            <w:noWrap/>
          </w:tcPr>
          <w:p>
            <w:pPr>
              <w:jc w:val="cente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cantSplit/>
          <w:trHeight w:val="640"/>
        </w:trPr>
        <w:tc>
          <w:tcPr>
            <w:tcW w:w="984" w:type="dxa"/>
            <w:textDirection w:val="lrTb"/>
            <w:noWrap/>
          </w:tcPr>
          <w:p>
            <w:pPr>
              <w:jc w:val="cente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2852" w:type="dxa"/>
            <w:textDirection w:val="lrTb"/>
            <w:noWrap/>
          </w:tcPr>
          <w:p>
            <w:pPr>
              <w:jc w:val="cente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2852" w:type="dxa"/>
            <w:textDirection w:val="lrTb"/>
            <w:noWrap/>
          </w:tcPr>
          <w:p>
            <w:pPr>
              <w:jc w:val="cente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1308" w:type="dxa"/>
            <w:textDirection w:val="lrTb"/>
            <w:noWrap/>
          </w:tcPr>
          <w:p>
            <w:pPr>
              <w:jc w:val="cente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1173" w:type="dxa"/>
            <w:textDirection w:val="lrTb"/>
            <w:noWrap/>
          </w:tcPr>
          <w:p>
            <w:pPr>
              <w:jc w:val="cente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bl>
    <w:p>
      <w:pP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jc w:val="left"/>
        <w:spacing w:line="360" w:lineRule="auto"/>
        <w:rPr>
          <w:rFonts w:ascii="宋体" w:hAnsi="宋体" w:cs="宋体"/>
          <w:bCs/>
          <w:color w:val="000000" w:themeColor="text1"/>
          <w14:textFill>
            <w14:solidFill>
              <w14:schemeClr w14:val="tx1"/>
            </w14:solidFill>
          </w14:textFill>
        </w:rPr>
      </w:pPr>
      <w:r/>
      <w:bookmarkStart w:id="38" w:name="_Hlt26955054"/>
      <w:r/>
      <w:bookmarkEnd w:id="38"/>
      <w:r/>
      <w:bookmarkStart w:id="39" w:name="_Toc109304979"/>
      <w:r>
        <w:rPr>
          <w:rFonts w:hint="eastAsia" w:ascii="宋体" w:hAnsi="宋体" w:cs="宋体"/>
          <w:bCs/>
          <w:color w:val="000000" w:themeColor="text1"/>
          <w14:textFill>
            <w14:solidFill>
              <w14:schemeClr w14:val="tx1"/>
            </w14:solidFill>
          </w14:textFill>
        </w:rPr>
        <w:t xml:space="preserve">法定代表人或授权代表人签字：</w:t>
      </w:r>
      <w:r/>
    </w:p>
    <w:p>
      <w:pPr>
        <w:jc w:val="left"/>
        <w:spacing w:line="360" w:lineRule="auto"/>
        <w:rPr>
          <w:rFonts w:ascii="宋体" w:hAnsi="宋体" w:cs="宋体"/>
          <w:bCs/>
          <w:color w:val="000000" w:themeColor="text1"/>
          <w14:textFill>
            <w14:solidFill>
              <w14:schemeClr w14:val="tx1"/>
            </w14:solidFill>
          </w14:textFill>
        </w:rPr>
      </w:pPr>
      <w:r>
        <w:rPr>
          <w:rFonts w:ascii="宋体" w:hAnsi="宋体" w:cs="宋体"/>
          <w:bCs/>
          <w:color w:val="000000" w:themeColor="text1"/>
          <w14:textFill>
            <w14:solidFill>
              <w14:schemeClr w14:val="tx1"/>
            </w14:solidFill>
          </w14:textFill>
        </w:rPr>
      </w:r>
      <w:r/>
    </w:p>
    <w:p>
      <w:pPr>
        <w:jc w:val="left"/>
        <w:spacing w:line="360" w:lineRule="auto"/>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注：1、按照基本技术要求详细填列。</w:t>
      </w:r>
      <w:r/>
    </w:p>
    <w:p>
      <w:pPr>
        <w:ind w:firstLine="420"/>
        <w:jc w:val="left"/>
        <w:spacing w:line="360" w:lineRule="auto"/>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2、行数不够，可自行添加。</w:t>
      </w:r>
      <w:r/>
    </w:p>
    <w:p>
      <w:pPr>
        <w:pStyle w:val="961"/>
        <w:jc w:val="center"/>
        <w:spacing w:line="360" w:lineRule="auto"/>
        <w:rPr>
          <w:rFonts w:ascii="宋体" w:hAnsi="宋体" w:cs="宋体"/>
          <w:bCs w:val="0"/>
          <w:color w:val="000000" w:themeColor="text1"/>
          <w14:textFill>
            <w14:solidFill>
              <w14:schemeClr w14:val="tx1"/>
            </w14:solidFill>
          </w14:textFill>
        </w:rPr>
      </w:pPr>
      <w:r>
        <w:rPr>
          <w:rFonts w:hint="eastAsia" w:ascii="宋体" w:hAnsi="宋体" w:cs="宋体"/>
          <w:bCs w:val="0"/>
          <w:color w:val="000000" w:themeColor="text1"/>
          <w14:textFill>
            <w14:solidFill>
              <w14:schemeClr w14:val="tx1"/>
            </w14:solidFill>
          </w14:textFill>
        </w:rPr>
        <w:br w:type="page" w:clear="all"/>
      </w:r>
      <w:r>
        <w:rPr>
          <w:rFonts w:hint="eastAsia" w:ascii="宋体" w:hAnsi="宋体" w:cs="宋体"/>
          <w:bCs w:val="0"/>
          <w:color w:val="000000" w:themeColor="text1"/>
          <w14:textFill>
            <w14:solidFill>
              <w14:schemeClr w14:val="tx1"/>
            </w14:solidFill>
          </w14:textFill>
        </w:rPr>
        <w:t xml:space="preserve">六、商务条款响应及偏离表</w:t>
      </w:r>
      <w:bookmarkEnd w:id="39"/>
      <w:r/>
      <w:r/>
    </w:p>
    <w:tbl>
      <w:tblPr>
        <w:tblStyle w:val="966"/>
        <w:tblW w:w="8789"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45"/>
        <w:gridCol w:w="2513"/>
        <w:gridCol w:w="1845"/>
        <w:gridCol w:w="2786"/>
      </w:tblGrid>
      <w:tr>
        <w:trPr>
          <w:trHeight w:val="704"/>
        </w:trPr>
        <w:tc>
          <w:tcPr>
            <w:tcBorders>
              <w:top w:val="single" w:color="auto" w:sz="4" w:space="0"/>
              <w:left w:val="single" w:color="auto" w:sz="4" w:space="0"/>
              <w:bottom w:val="single" w:color="auto" w:sz="4" w:space="0"/>
              <w:right w:val="single" w:color="auto" w:sz="4" w:space="0"/>
            </w:tcBorders>
            <w:tcW w:w="1645" w:type="dxa"/>
            <w:textDirection w:val="lrTb"/>
            <w:noWrap/>
          </w:tcPr>
          <w:p>
            <w:pPr>
              <w:jc w:val="center"/>
              <w:spacing w:before="156"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项目</w:t>
            </w:r>
            <w:r/>
          </w:p>
        </w:tc>
        <w:tc>
          <w:tcPr>
            <w:tcBorders>
              <w:top w:val="single" w:color="auto" w:sz="4" w:space="0"/>
              <w:left w:val="single" w:color="auto" w:sz="4" w:space="0"/>
              <w:bottom w:val="single" w:color="auto" w:sz="4" w:space="0"/>
              <w:right w:val="single" w:color="auto" w:sz="4" w:space="0"/>
            </w:tcBorders>
            <w:tcW w:w="2513" w:type="dxa"/>
            <w:textDirection w:val="lrTb"/>
            <w:noWrap/>
          </w:tcPr>
          <w:p>
            <w:pPr>
              <w:jc w:val="center"/>
              <w:spacing w:before="156"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采购文件要求</w:t>
            </w:r>
            <w:r/>
          </w:p>
        </w:tc>
        <w:tc>
          <w:tcPr>
            <w:tcBorders>
              <w:top w:val="single" w:color="auto" w:sz="4" w:space="0"/>
              <w:left w:val="single" w:color="auto" w:sz="4" w:space="0"/>
              <w:bottom w:val="single" w:color="auto" w:sz="4" w:space="0"/>
              <w:right w:val="single" w:color="auto" w:sz="4" w:space="0"/>
            </w:tcBorders>
            <w:tcW w:w="1845" w:type="dxa"/>
            <w:textDirection w:val="lrTb"/>
            <w:noWrap/>
          </w:tcPr>
          <w:p>
            <w:pPr>
              <w:jc w:val="center"/>
              <w:spacing w:before="156"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是否响应</w:t>
            </w:r>
            <w:r/>
          </w:p>
        </w:tc>
        <w:tc>
          <w:tcPr>
            <w:tcBorders>
              <w:top w:val="single" w:color="auto" w:sz="4" w:space="0"/>
              <w:left w:val="single" w:color="auto" w:sz="4" w:space="0"/>
              <w:bottom w:val="single" w:color="auto" w:sz="4" w:space="0"/>
              <w:right w:val="single" w:color="auto" w:sz="4" w:space="0"/>
            </w:tcBorders>
            <w:tcW w:w="2786" w:type="dxa"/>
            <w:textDirection w:val="lrTb"/>
            <w:noWrap/>
          </w:tcPr>
          <w:p>
            <w:pPr>
              <w:jc w:val="center"/>
              <w:spacing w:before="156"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供应商的承诺或说明</w:t>
            </w:r>
            <w:r/>
          </w:p>
        </w:tc>
      </w:tr>
      <w:tr>
        <w:trPr>
          <w:trHeight w:val="593"/>
        </w:trPr>
        <w:tc>
          <w:tcPr>
            <w:tcBorders>
              <w:top w:val="single" w:color="auto" w:sz="4" w:space="0"/>
              <w:left w:val="single" w:color="auto" w:sz="4" w:space="0"/>
              <w:bottom w:val="single" w:color="auto" w:sz="4" w:space="0"/>
              <w:right w:val="single" w:color="auto" w:sz="4" w:space="0"/>
            </w:tcBorders>
            <w:tcW w:w="1645" w:type="dxa"/>
            <w:textDirection w:val="lrTb"/>
            <w:noWrap/>
          </w:tcPr>
          <w:p>
            <w:pPr>
              <w:jc w:val="center"/>
              <w:spacing w:before="156"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施工工期</w:t>
            </w:r>
            <w:r/>
          </w:p>
        </w:tc>
        <w:tc>
          <w:tcPr>
            <w:tcBorders>
              <w:top w:val="single" w:color="auto" w:sz="4" w:space="0"/>
              <w:left w:val="single" w:color="auto" w:sz="4" w:space="0"/>
              <w:bottom w:val="single" w:color="auto" w:sz="4" w:space="0"/>
              <w:right w:val="single" w:color="auto" w:sz="4" w:space="0"/>
            </w:tcBorders>
            <w:tcW w:w="2513" w:type="dxa"/>
            <w:textDirection w:val="lrTb"/>
            <w:noWrap/>
          </w:tcPr>
          <w:p>
            <w:pPr>
              <w:jc w:val="center"/>
              <w:spacing w:before="156"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5" w:type="dxa"/>
            <w:textDirection w:val="lrTb"/>
            <w:noWrap/>
          </w:tcPr>
          <w:p>
            <w:pPr>
              <w:ind w:left="43"/>
              <w:jc w:val="center"/>
              <w:spacing w:before="156"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786" w:type="dxa"/>
            <w:textDirection w:val="lrTb"/>
            <w:noWrap/>
          </w:tcPr>
          <w:p>
            <w:pPr>
              <w:ind w:left="43"/>
              <w:jc w:val="center"/>
              <w:spacing w:before="156"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trHeight w:val="485"/>
        </w:trPr>
        <w:tc>
          <w:tcPr>
            <w:tcBorders>
              <w:top w:val="single" w:color="auto" w:sz="4" w:space="0"/>
              <w:left w:val="single" w:color="auto" w:sz="4" w:space="0"/>
              <w:bottom w:val="single" w:color="auto" w:sz="4" w:space="0"/>
              <w:right w:val="single" w:color="auto" w:sz="4" w:space="0"/>
            </w:tcBorders>
            <w:tcW w:w="1645" w:type="dxa"/>
            <w:textDirection w:val="lrTb"/>
            <w:noWrap/>
          </w:tcPr>
          <w:p>
            <w:pPr>
              <w:jc w:val="center"/>
              <w:spacing w:before="156"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施工地点</w:t>
            </w:r>
            <w:r/>
          </w:p>
        </w:tc>
        <w:tc>
          <w:tcPr>
            <w:tcBorders>
              <w:top w:val="single" w:color="auto" w:sz="4" w:space="0"/>
              <w:left w:val="single" w:color="auto" w:sz="4" w:space="0"/>
              <w:bottom w:val="single" w:color="auto" w:sz="4" w:space="0"/>
              <w:right w:val="single" w:color="auto" w:sz="4" w:space="0"/>
            </w:tcBorders>
            <w:tcW w:w="2513" w:type="dxa"/>
            <w:textDirection w:val="lrTb"/>
            <w:noWrap/>
          </w:tcPr>
          <w:p>
            <w:pPr>
              <w:spacing w:before="156"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5" w:type="dxa"/>
            <w:textDirection w:val="lrTb"/>
            <w:noWrap/>
          </w:tcPr>
          <w:p>
            <w:pPr>
              <w:ind w:left="43"/>
              <w:jc w:val="center"/>
              <w:spacing w:before="156"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786" w:type="dxa"/>
            <w:textDirection w:val="lrTb"/>
            <w:noWrap/>
          </w:tcPr>
          <w:p>
            <w:pPr>
              <w:ind w:left="43"/>
              <w:jc w:val="center"/>
              <w:spacing w:before="156"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trHeight w:val="507"/>
        </w:trPr>
        <w:tc>
          <w:tcPr>
            <w:tcBorders>
              <w:top w:val="single" w:color="auto" w:sz="4" w:space="0"/>
              <w:left w:val="single" w:color="auto" w:sz="4" w:space="0"/>
              <w:bottom w:val="single" w:color="auto" w:sz="4" w:space="0"/>
              <w:right w:val="single" w:color="auto" w:sz="4" w:space="0"/>
            </w:tcBorders>
            <w:tcW w:w="1645" w:type="dxa"/>
            <w:textDirection w:val="lrTb"/>
            <w:noWrap/>
          </w:tcPr>
          <w:p>
            <w:pPr>
              <w:jc w:val="center"/>
              <w:spacing w:before="156"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质量要求</w:t>
            </w:r>
            <w:r/>
          </w:p>
        </w:tc>
        <w:tc>
          <w:tcPr>
            <w:tcBorders>
              <w:top w:val="single" w:color="auto" w:sz="4" w:space="0"/>
              <w:left w:val="single" w:color="auto" w:sz="4" w:space="0"/>
              <w:bottom w:val="single" w:color="auto" w:sz="4" w:space="0"/>
              <w:right w:val="single" w:color="auto" w:sz="4" w:space="0"/>
            </w:tcBorders>
            <w:tcW w:w="2513" w:type="dxa"/>
            <w:textDirection w:val="lrTb"/>
            <w:noWrap/>
          </w:tcPr>
          <w:p>
            <w:pPr>
              <w:spacing w:before="156"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5" w:type="dxa"/>
            <w:textDirection w:val="lrTb"/>
            <w:noWrap/>
          </w:tcPr>
          <w:p>
            <w:pPr>
              <w:ind w:left="43"/>
              <w:jc w:val="center"/>
              <w:spacing w:before="156"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786" w:type="dxa"/>
            <w:textDirection w:val="lrTb"/>
            <w:noWrap/>
          </w:tcPr>
          <w:p>
            <w:pPr>
              <w:ind w:left="43"/>
              <w:jc w:val="center"/>
              <w:spacing w:before="156"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trHeight w:val="472"/>
        </w:trPr>
        <w:tc>
          <w:tcPr>
            <w:tcBorders>
              <w:top w:val="single" w:color="auto" w:sz="4" w:space="0"/>
              <w:left w:val="single" w:color="auto" w:sz="4" w:space="0"/>
              <w:bottom w:val="single" w:color="auto" w:sz="4" w:space="0"/>
              <w:right w:val="single" w:color="auto" w:sz="4" w:space="0"/>
            </w:tcBorders>
            <w:tcW w:w="1645" w:type="dxa"/>
            <w:textDirection w:val="lrTb"/>
            <w:noWrap/>
          </w:tcPr>
          <w:p>
            <w:pPr>
              <w:jc w:val="center"/>
              <w:spacing w:before="156"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付款方式</w:t>
            </w:r>
            <w:r/>
          </w:p>
        </w:tc>
        <w:tc>
          <w:tcPr>
            <w:tcBorders>
              <w:top w:val="single" w:color="auto" w:sz="4" w:space="0"/>
              <w:left w:val="single" w:color="auto" w:sz="4" w:space="0"/>
              <w:bottom w:val="single" w:color="auto" w:sz="4" w:space="0"/>
              <w:right w:val="single" w:color="auto" w:sz="4" w:space="0"/>
            </w:tcBorders>
            <w:tcW w:w="2513" w:type="dxa"/>
            <w:textDirection w:val="lrTb"/>
            <w:noWrap/>
          </w:tcPr>
          <w:p>
            <w:pPr>
              <w:spacing w:before="156"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5" w:type="dxa"/>
            <w:textDirection w:val="lrTb"/>
            <w:noWrap/>
          </w:tcPr>
          <w:p>
            <w:pPr>
              <w:jc w:val="center"/>
              <w:spacing w:before="156"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786" w:type="dxa"/>
            <w:textDirection w:val="lrTb"/>
            <w:noWrap/>
          </w:tcPr>
          <w:p>
            <w:pPr>
              <w:jc w:val="center"/>
              <w:spacing w:before="156"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trHeight w:val="483"/>
        </w:trPr>
        <w:tc>
          <w:tcPr>
            <w:tcBorders>
              <w:top w:val="single" w:color="auto" w:sz="4" w:space="0"/>
              <w:left w:val="single" w:color="auto" w:sz="4" w:space="0"/>
              <w:bottom w:val="single" w:color="auto" w:sz="4" w:space="0"/>
              <w:right w:val="single" w:color="auto" w:sz="4" w:space="0"/>
            </w:tcBorders>
            <w:tcW w:w="1645" w:type="dxa"/>
            <w:textDirection w:val="lrTb"/>
            <w:noWrap/>
          </w:tcPr>
          <w:p>
            <w:pPr>
              <w:jc w:val="center"/>
              <w:spacing w:before="156"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其他</w:t>
            </w:r>
            <w:r/>
          </w:p>
        </w:tc>
        <w:tc>
          <w:tcPr>
            <w:tcBorders>
              <w:top w:val="single" w:color="auto" w:sz="4" w:space="0"/>
              <w:left w:val="single" w:color="auto" w:sz="4" w:space="0"/>
              <w:bottom w:val="single" w:color="auto" w:sz="4" w:space="0"/>
              <w:right w:val="single" w:color="auto" w:sz="4" w:space="0"/>
            </w:tcBorders>
            <w:tcW w:w="2513" w:type="dxa"/>
            <w:textDirection w:val="lrTb"/>
            <w:noWrap/>
          </w:tcPr>
          <w:p>
            <w:pPr>
              <w:jc w:val="center"/>
              <w:spacing w:before="156"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1845" w:type="dxa"/>
            <w:textDirection w:val="lrTb"/>
            <w:noWrap/>
          </w:tcPr>
          <w:p>
            <w:pPr>
              <w:jc w:val="center"/>
              <w:spacing w:before="156"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786" w:type="dxa"/>
            <w:textDirection w:val="lrTb"/>
            <w:noWrap/>
          </w:tcPr>
          <w:p>
            <w:pPr>
              <w:jc w:val="center"/>
              <w:spacing w:before="156"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bl>
    <w:p>
      <w:pPr>
        <w:jc w:val="left"/>
        <w:spacing w:line="360" w:lineRule="auto"/>
        <w:widowControl/>
        <w:rPr>
          <w:rFonts w:ascii="宋体" w:hAnsi="宋体" w:cs="宋体"/>
          <w:b/>
          <w:color w:val="000000" w:themeColor="text1"/>
          <w14:textFill>
            <w14:solidFill>
              <w14:schemeClr w14:val="tx1"/>
            </w14:solidFill>
          </w14:textFill>
        </w:rPr>
      </w:pPr>
      <w:r/>
      <w:bookmarkStart w:id="40" w:name="_Hlt26671343"/>
      <w:r/>
      <w:bookmarkEnd w:id="40"/>
      <w:r/>
      <w:bookmarkStart w:id="41" w:name="_Hlt26609391"/>
      <w:r/>
      <w:bookmarkEnd w:id="41"/>
      <w:r/>
      <w:bookmarkStart w:id="42" w:name="_Hlt26580838"/>
      <w:r/>
      <w:bookmarkEnd w:id="42"/>
      <w:r/>
      <w:bookmarkStart w:id="43" w:name="_Hlt26671372"/>
      <w:r/>
      <w:bookmarkEnd w:id="43"/>
      <w:r/>
      <w:bookmarkStart w:id="44" w:name="_Hlt24879081"/>
      <w:r/>
      <w:bookmarkEnd w:id="44"/>
      <w:r/>
      <w:bookmarkStart w:id="45" w:name="_Hlt26955064"/>
      <w:r/>
      <w:bookmarkEnd w:id="45"/>
      <w:r/>
      <w:bookmarkStart w:id="46" w:name="_Hlt26955056"/>
      <w:r/>
      <w:bookmarkEnd w:id="46"/>
      <w:r/>
      <w:bookmarkStart w:id="47" w:name="_Hlt26782999"/>
      <w:r/>
      <w:bookmarkEnd w:id="47"/>
      <w:r>
        <w:rPr>
          <w:rFonts w:hint="eastAsia" w:ascii="宋体" w:hAnsi="宋体" w:cs="宋体"/>
          <w:b/>
          <w:color w:val="000000" w:themeColor="text1"/>
          <w14:textFill>
            <w14:solidFill>
              <w14:schemeClr w14:val="tx1"/>
            </w14:solidFill>
          </w14:textFill>
        </w:rPr>
        <w:br w:type="page" w:clear="all"/>
      </w:r>
      <w:r/>
    </w:p>
    <w:p>
      <w:pPr>
        <w:jc w:val="center"/>
        <w:spacing w:line="360" w:lineRule="auto"/>
        <w:rPr>
          <w:rFonts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t xml:space="preserve">项目负责人无在建工程承诺书 </w:t>
      </w:r>
      <w:r/>
    </w:p>
    <w:p>
      <w:pPr>
        <w:jc w:val="center"/>
        <w:spacing w:line="360" w:lineRule="auto"/>
        <w:widowControl/>
        <w:rPr>
          <w:rFonts w:ascii="宋体" w:hAnsi="宋体" w:cs="宋体"/>
          <w:b/>
          <w:color w:val="000000" w:themeColor="text1"/>
          <w:sz w:val="28"/>
          <w:szCs w:val="28"/>
          <w14:textFill>
            <w14:solidFill>
              <w14:schemeClr w14:val="tx1"/>
            </w14:solidFill>
          </w14:textFill>
        </w:rPr>
      </w:pPr>
      <w:r>
        <w:rPr>
          <w:rFonts w:ascii="宋体" w:hAnsi="宋体" w:cs="宋体"/>
          <w:b/>
          <w:color w:val="000000" w:themeColor="text1"/>
          <w:sz w:val="28"/>
          <w:szCs w:val="28"/>
          <w14:textFill>
            <w14:solidFill>
              <w14:schemeClr w14:val="tx1"/>
            </w14:solidFill>
          </w14:textFill>
        </w:rPr>
      </w:r>
      <w:r/>
    </w:p>
    <w:p>
      <w:pPr>
        <w:jc w:val="left"/>
        <w:spacing w:line="360" w:lineRule="auto"/>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致：</w:t>
      </w:r>
      <w:r>
        <w:rPr>
          <w:rFonts w:hint="eastAsia" w:ascii="宋体" w:hAnsi="宋体" w:cs="宋体"/>
          <w:bCs/>
          <w:color w:val="000000" w:themeColor="text1"/>
          <w:u w:val="single"/>
          <w14:textFill>
            <w14:solidFill>
              <w14:schemeClr w14:val="tx1"/>
            </w14:solidFill>
          </w14:textFill>
        </w:rPr>
        <w:t xml:space="preserve">                    </w:t>
      </w:r>
      <w:r>
        <w:rPr>
          <w:rFonts w:hint="eastAsia" w:ascii="宋体" w:hAnsi="宋体" w:cs="宋体"/>
          <w:bCs/>
          <w:color w:val="000000" w:themeColor="text1"/>
          <w14:textFill>
            <w14:solidFill>
              <w14:schemeClr w14:val="tx1"/>
            </w14:solidFill>
          </w14:textFill>
        </w:rPr>
        <w:t xml:space="preserve">（采购人名称）</w:t>
      </w:r>
      <w:r/>
    </w:p>
    <w:p>
      <w:pPr>
        <w:ind w:firstLine="420"/>
        <w:jc w:val="left"/>
        <w:spacing w:line="360" w:lineRule="auto"/>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我公司自愿参加贵单位采购编号为</w:t>
      </w:r>
      <w:r>
        <w:rPr>
          <w:rFonts w:hint="eastAsia" w:ascii="宋体" w:hAnsi="宋体" w:cs="宋体"/>
          <w:bCs/>
          <w:color w:val="000000" w:themeColor="text1"/>
          <w:u w:val="single"/>
          <w14:textFill>
            <w14:solidFill>
              <w14:schemeClr w14:val="tx1"/>
            </w14:solidFill>
          </w14:textFill>
        </w:rPr>
        <w:t xml:space="preserve">        </w:t>
      </w:r>
      <w:r>
        <w:rPr>
          <w:rFonts w:hint="eastAsia" w:ascii="宋体" w:hAnsi="宋体" w:cs="宋体"/>
          <w:bCs/>
          <w:color w:val="000000" w:themeColor="text1"/>
          <w14:textFill>
            <w14:solidFill>
              <w14:schemeClr w14:val="tx1"/>
            </w14:solidFill>
          </w14:textFill>
        </w:rPr>
        <w:t xml:space="preserve">的</w:t>
      </w:r>
      <w:r>
        <w:rPr>
          <w:rFonts w:hint="eastAsia" w:ascii="宋体" w:hAnsi="宋体" w:cs="宋体"/>
          <w:bCs/>
          <w:color w:val="000000" w:themeColor="text1"/>
          <w:u w:val="single"/>
          <w14:textFill>
            <w14:solidFill>
              <w14:schemeClr w14:val="tx1"/>
            </w14:solidFill>
          </w14:textFill>
        </w:rPr>
        <w:t xml:space="preserve">        （项目名称）</w:t>
      </w:r>
      <w:r>
        <w:rPr>
          <w:rFonts w:hint="eastAsia" w:ascii="宋体" w:hAnsi="宋体" w:cs="宋体"/>
          <w:bCs/>
          <w:color w:val="000000" w:themeColor="text1"/>
          <w14:textFill>
            <w14:solidFill>
              <w14:schemeClr w14:val="tx1"/>
            </w14:solidFill>
          </w14:textFill>
        </w:rPr>
        <w:t xml:space="preserve">的磋商，并接受对我公司的资格审查，我公司承诺：根据贵单位（公司）提出的条件标准和要求，本公司没有因骗取中标或者严重违约以及发生重大工程质量、安全生产事故等问题，被有关部门暂停投标资格并在暂停期内。</w:t>
      </w:r>
      <w:r/>
    </w:p>
    <w:p>
      <w:pPr>
        <w:ind w:firstLine="420"/>
        <w:jc w:val="left"/>
        <w:spacing w:line="360" w:lineRule="auto"/>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拟任项目负责人</w:t>
      </w:r>
      <w:r>
        <w:rPr>
          <w:rFonts w:hint="eastAsia" w:ascii="宋体" w:hAnsi="宋体" w:cs="宋体"/>
          <w:bCs/>
          <w:color w:val="000000" w:themeColor="text1"/>
          <w:u w:val="single"/>
          <w14:textFill>
            <w14:solidFill>
              <w14:schemeClr w14:val="tx1"/>
            </w14:solidFill>
          </w14:textFill>
        </w:rPr>
        <w:t xml:space="preserve">          </w:t>
      </w:r>
      <w:r>
        <w:rPr>
          <w:rFonts w:hint="eastAsia" w:ascii="宋体" w:hAnsi="宋体" w:cs="宋体"/>
          <w:bCs/>
          <w:color w:val="000000" w:themeColor="text1"/>
          <w14:textFill>
            <w14:solidFill>
              <w14:schemeClr w14:val="tx1"/>
            </w14:solidFill>
          </w14:textFill>
        </w:rPr>
        <w:t xml:space="preserve">身份证号码</w:t>
      </w:r>
      <w:r>
        <w:rPr>
          <w:rFonts w:hint="eastAsia" w:ascii="宋体" w:hAnsi="宋体" w:cs="宋体"/>
          <w:bCs/>
          <w:color w:val="000000" w:themeColor="text1"/>
          <w:u w:val="single"/>
          <w14:textFill>
            <w14:solidFill>
              <w14:schemeClr w14:val="tx1"/>
            </w14:solidFill>
          </w14:textFill>
        </w:rPr>
        <w:t xml:space="preserve">              </w:t>
      </w:r>
      <w:r>
        <w:rPr>
          <w:rFonts w:hint="eastAsia" w:ascii="宋体" w:hAnsi="宋体" w:cs="宋体"/>
          <w:bCs/>
          <w:color w:val="000000" w:themeColor="text1"/>
          <w14:textFill>
            <w14:solidFill>
              <w14:schemeClr w14:val="tx1"/>
            </w14:solidFill>
          </w14:textFill>
        </w:rPr>
        <w:t xml:space="preserve">注册证书号</w:t>
      </w:r>
      <w:r>
        <w:rPr>
          <w:rFonts w:hint="eastAsia" w:ascii="宋体" w:hAnsi="宋体" w:cs="宋体"/>
          <w:bCs/>
          <w:color w:val="000000" w:themeColor="text1"/>
          <w:u w:val="single"/>
          <w14:textFill>
            <w14:solidFill>
              <w14:schemeClr w14:val="tx1"/>
            </w14:solidFill>
          </w14:textFill>
        </w:rPr>
        <w:t xml:space="preserve">         </w:t>
      </w:r>
      <w:r>
        <w:rPr>
          <w:rFonts w:hint="eastAsia" w:ascii="宋体" w:hAnsi="宋体" w:cs="宋体"/>
          <w:bCs/>
          <w:color w:val="000000" w:themeColor="text1"/>
          <w14:textFill>
            <w14:solidFill>
              <w14:schemeClr w14:val="tx1"/>
            </w14:solidFill>
          </w14:textFill>
        </w:rPr>
        <w:t xml:space="preserve">无任何在建工程项目。本公司递交的采购文件中的内容没有隐瞒、虚假、伪造等弄虚作假行为。发现该行为，贵公司可以拒绝我公司投标，如已中标，可取消我公司中标资格，并接受对我公司弄虚作假、违反公平和诚实信用原则做出的任何处理。</w:t>
      </w:r>
      <w:r/>
    </w:p>
    <w:p>
      <w:pPr>
        <w:jc w:val="left"/>
        <w:spacing w:line="360" w:lineRule="auto"/>
        <w:rPr>
          <w:rFonts w:ascii="宋体" w:hAnsi="宋体" w:cs="宋体"/>
          <w:bCs/>
          <w:color w:val="000000" w:themeColor="text1"/>
          <w14:textFill>
            <w14:solidFill>
              <w14:schemeClr w14:val="tx1"/>
            </w14:solidFill>
          </w14:textFill>
        </w:rPr>
      </w:pPr>
      <w:r>
        <w:rPr>
          <w:rFonts w:ascii="宋体" w:hAnsi="宋体" w:cs="宋体"/>
          <w:bCs/>
          <w:color w:val="000000" w:themeColor="text1"/>
          <w14:textFill>
            <w14:solidFill>
              <w14:schemeClr w14:val="tx1"/>
            </w14:solidFill>
          </w14:textFill>
        </w:rPr>
      </w:r>
      <w:r/>
    </w:p>
    <w:p>
      <w:pPr>
        <w:jc w:val="left"/>
        <w:spacing w:line="360" w:lineRule="auto"/>
        <w:rPr>
          <w:rFonts w:ascii="宋体" w:hAnsi="宋体" w:cs="宋体"/>
          <w:bCs/>
          <w:color w:val="000000" w:themeColor="text1"/>
          <w14:textFill>
            <w14:solidFill>
              <w14:schemeClr w14:val="tx1"/>
            </w14:solidFill>
          </w14:textFill>
        </w:rPr>
      </w:pPr>
      <w:r>
        <w:rPr>
          <w:rFonts w:ascii="宋体" w:hAnsi="宋体" w:cs="宋体"/>
          <w:bCs/>
          <w:color w:val="000000" w:themeColor="text1"/>
          <w14:textFill>
            <w14:solidFill>
              <w14:schemeClr w14:val="tx1"/>
            </w14:solidFill>
          </w14:textFill>
        </w:rPr>
      </w:r>
      <w:r/>
    </w:p>
    <w:p>
      <w:pPr>
        <w:jc w:val="left"/>
        <w:spacing w:line="360" w:lineRule="auto"/>
        <w:rPr>
          <w:rFonts w:ascii="宋体" w:hAnsi="宋体" w:cs="宋体"/>
          <w:bCs/>
          <w:color w:val="000000" w:themeColor="text1"/>
          <w14:textFill>
            <w14:solidFill>
              <w14:schemeClr w14:val="tx1"/>
            </w14:solidFill>
          </w14:textFill>
        </w:rPr>
      </w:pPr>
      <w:r>
        <w:rPr>
          <w:rFonts w:ascii="宋体" w:hAnsi="宋体" w:cs="宋体"/>
          <w:bCs/>
          <w:color w:val="000000" w:themeColor="text1"/>
          <w14:textFill>
            <w14:solidFill>
              <w14:schemeClr w14:val="tx1"/>
            </w14:solidFill>
          </w14:textFill>
        </w:rPr>
      </w:r>
      <w:r/>
    </w:p>
    <w:p>
      <w:pPr>
        <w:ind w:firstLine="4410"/>
        <w:jc w:val="left"/>
        <w:spacing w:line="360" w:lineRule="auto"/>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企业名称（盖章）：</w:t>
      </w:r>
      <w:r/>
    </w:p>
    <w:p>
      <w:pPr>
        <w:jc w:val="left"/>
        <w:spacing w:line="360" w:lineRule="auto"/>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                                          法定代表人签名：</w:t>
      </w:r>
      <w:r/>
    </w:p>
    <w:p>
      <w:pPr>
        <w:ind w:firstLine="4410"/>
        <w:jc w:val="left"/>
        <w:spacing w:line="360" w:lineRule="auto"/>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项目负责人签名：</w:t>
      </w:r>
      <w:r/>
    </w:p>
    <w:p>
      <w:pPr>
        <w:spacing w:line="360" w:lineRule="auto"/>
        <w:rPr>
          <w:rFonts w:ascii="宋体" w:hAnsi="宋体" w:cs="宋体"/>
          <w:b/>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                                                                   年   月  日</w:t>
      </w:r>
      <w:r>
        <w:rPr>
          <w:rFonts w:hint="eastAsia" w:ascii="宋体" w:hAnsi="宋体" w:cs="宋体"/>
          <w:b/>
          <w:color w:val="000000" w:themeColor="text1"/>
          <w14:textFill>
            <w14:solidFill>
              <w14:schemeClr w14:val="tx1"/>
            </w14:solidFill>
          </w14:textFill>
        </w:rPr>
        <w:br w:type="page" w:clear="all"/>
      </w:r>
      <w:r/>
    </w:p>
    <w:p>
      <w:pPr>
        <w:jc w:val="center"/>
        <w:spacing w:after="312" w:line="360" w:lineRule="auto"/>
        <w:rPr>
          <w:rFonts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t xml:space="preserve">主要标的信息（成交后将公示）</w:t>
      </w:r>
      <w:r/>
    </w:p>
    <w:p>
      <w:pPr>
        <w:spacing w:after="312" w:line="360" w:lineRule="auto"/>
        <w:rPr>
          <w:rFonts w:ascii="宋体" w:hAnsi="宋体" w:cs="宋体"/>
          <w:b/>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供应商全称：</w:t>
      </w:r>
      <w:r/>
    </w:p>
    <w:tbl>
      <w:tblPr>
        <w:tblStyle w:val="96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49"/>
      </w:tblGrid>
      <w:tr>
        <w:trPr>
          <w:trHeight w:val="326"/>
        </w:trPr>
        <w:tc>
          <w:tcPr>
            <w:tcW w:w="8149" w:type="dxa"/>
            <w:textDirection w:val="lrTb"/>
            <w:noWrap/>
          </w:tcPr>
          <w:p>
            <w:pPr>
              <w:jc w:val="center"/>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工程类</w:t>
            </w:r>
            <w:r/>
          </w:p>
        </w:tc>
      </w:tr>
      <w:tr>
        <w:trPr>
          <w:trHeight w:val="3884"/>
        </w:trPr>
        <w:tc>
          <w:tcPr>
            <w:tcW w:w="8149" w:type="dxa"/>
            <w:textDirection w:val="lrTb"/>
            <w:noWrap/>
          </w:tcPr>
          <w:p>
            <w:pPr>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名称：</w:t>
            </w:r>
            <w:r/>
          </w:p>
          <w:p>
            <w:pPr>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施工范围：</w:t>
            </w:r>
            <w:r/>
          </w:p>
          <w:p>
            <w:pPr>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施工工期：</w:t>
            </w:r>
            <w:r/>
          </w:p>
          <w:p>
            <w:pPr>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项目经理：</w:t>
            </w:r>
            <w:r/>
          </w:p>
          <w:p>
            <w:pPr>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执业证书信息：</w:t>
            </w:r>
            <w:r/>
          </w:p>
        </w:tc>
      </w:tr>
    </w:tbl>
    <w:p>
      <w:pPr>
        <w:jc w:val="left"/>
        <w:spacing w:line="360" w:lineRule="auto"/>
        <w:widowControl/>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962"/>
        <w:spacing w:line="360" w:lineRule="auto"/>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spacing w:line="360" w:lineRule="auto"/>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962"/>
        <w:spacing w:line="360" w:lineRule="auto"/>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spacing w:line="360" w:lineRule="auto"/>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962"/>
        <w:spacing w:line="360" w:lineRule="auto"/>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spacing w:line="360" w:lineRule="auto"/>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962"/>
        <w:spacing w:line="360" w:lineRule="auto"/>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spacing w:line="360" w:lineRule="auto"/>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962"/>
        <w:spacing w:line="360" w:lineRule="auto"/>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jc w:val="center"/>
        <w:spacing w:line="360" w:lineRule="auto"/>
        <w:rPr>
          <w:rFonts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t xml:space="preserve">联合体协议（如有）</w:t>
      </w:r>
      <w:r/>
    </w:p>
    <w:p>
      <w:pPr>
        <w:jc w:val="center"/>
        <w:spacing w:line="360" w:lineRule="auto"/>
        <w:rPr>
          <w:rFonts w:ascii="宋体" w:hAnsi="宋体" w:cs="宋体"/>
          <w:b/>
          <w:color w:val="000000" w:themeColor="text1"/>
          <w14:textFill>
            <w14:solidFill>
              <w14:schemeClr w14:val="tx1"/>
            </w14:solidFill>
          </w14:textFill>
        </w:rPr>
      </w:pPr>
      <w:r>
        <w:rPr>
          <w:rFonts w:ascii="宋体" w:hAnsi="宋体" w:cs="宋体"/>
          <w:b/>
          <w:color w:val="000000" w:themeColor="text1"/>
          <w14:textFill>
            <w14:solidFill>
              <w14:schemeClr w14:val="tx1"/>
            </w14:solidFill>
          </w14:textFill>
        </w:rPr>
      </w:r>
      <w:r/>
    </w:p>
    <w:p>
      <w:pPr>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（联合体中各供应商全称）在此达成以下协议：</w:t>
      </w:r>
      <w:r/>
    </w:p>
    <w:p>
      <w:pPr>
        <w:ind w:firstLine="645"/>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1、我们自愿组成联合体，参加（代理公司）组织的采购编号为（项目编号）（项目全称）的政府采购活动。</w:t>
      </w:r>
      <w:r/>
    </w:p>
    <w:p>
      <w:pPr>
        <w:ind w:firstLine="645"/>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ind w:firstLine="46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所有供应商全称：</w:t>
      </w:r>
      <w:r/>
    </w:p>
    <w:p>
      <w:pPr>
        <w:ind w:firstLine="645"/>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                                      法定代表人：  </w:t>
      </w:r>
      <w:r/>
    </w:p>
    <w:p>
      <w:pPr>
        <w:ind w:firstLine="46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日       期：</w:t>
      </w:r>
      <w:r/>
    </w:p>
    <w:p>
      <w:pPr>
        <w:spacing w:line="360" w:lineRule="auto"/>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sectPr>
      <w:footerReference w:type="default" r:id="rId17"/>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Courier New">
    <w:panose1 w:val="02070309020205020404"/>
  </w:font>
  <w:font w:name="楷体_GB2312">
    <w:panose1 w:val="02010609060101010101"/>
  </w:font>
  <w:font w:name="仿宋">
    <w:panose1 w:val="02010609060101010101"/>
  </w:font>
  <w:font w:name="仿宋_GB2312">
    <w:panose1 w:val="02010609060101010101"/>
  </w:font>
  <w:font w:name="黑体">
    <w:panose1 w:val="02010609060101010101"/>
  </w:font>
  <w:font w:name="Cambria">
    <w:panose1 w:val="0204050305040603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31445"/>
              <wp:effectExtent l="0" t="0" r="0" b="0"/>
              <wp:wrapNone/>
              <wp:docPr id="1" name="文本框 4"/>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57785" cy="131445"/>
                      </a:xfrm>
                      <a:prstGeom prst="rect">
                        <a:avLst/>
                      </a:prstGeom>
                      <a:noFill/>
                      <a:ln>
                        <a:noFill/>
                      </a:ln>
                      <a:effectLst/>
                    </wps:spPr>
                    <wps:txbx>
                      <w:txbxContent>
                        <w:p>
                          <w:pPr>
                            <w:pStyle w:val="978"/>
                          </w:pPr>
                          <w:r>
                            <w:fldChar w:fldCharType="begin"/>
                          </w:r>
                          <w:r>
                            <w:instrText xml:space="preserve"> PAGE  \* MERGEFORMAT </w:instrText>
                          </w:r>
                          <w:r>
                            <w:fldChar w:fldCharType="separate"/>
                          </w:r>
                          <w:r>
                            <w:t xml:space="preserve">18</w:t>
                          </w:r>
                          <w:r>
                            <w:fldChar w:fldCharType="end"/>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text-anchor:top;visibility:visible;" filled="f" stroked="f">
              <v:textbox inset="0,0,0,0">
                <w:txbxContent>
                  <w:p>
                    <w:pPr>
                      <w:pStyle w:val="978"/>
                    </w:pPr>
                    <w:r>
                      <w:fldChar w:fldCharType="begin"/>
                    </w:r>
                    <w:r>
                      <w:instrText xml:space="preserve"> PAGE  \* MERGEFORMAT </w:instrText>
                    </w:r>
                    <w:r>
                      <w:fldChar w:fldCharType="separate"/>
                    </w:r>
                    <w:r>
                      <w:t xml:space="preserve">18</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文本框 3"/>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57785" cy="131445"/>
                      </a:xfrm>
                      <a:prstGeom prst="rect">
                        <a:avLst/>
                      </a:prstGeom>
                      <a:noFill/>
                      <a:ln>
                        <a:noFill/>
                      </a:ln>
                      <a:effectLst/>
                    </wps:spPr>
                    <wps:txbx>
                      <w:txbxContent>
                        <w:p>
                          <w:pPr>
                            <w:pStyle w:val="978"/>
                          </w:pPr>
                          <w:r>
                            <w:fldChar w:fldCharType="begin"/>
                          </w:r>
                          <w:r>
                            <w:instrText xml:space="preserve"> PAGE  \* MERGEFORMAT </w:instrText>
                          </w:r>
                          <w:r>
                            <w:fldChar w:fldCharType="separate"/>
                          </w:r>
                          <w:r>
                            <w:t xml:space="preserve">1</w:t>
                          </w:r>
                          <w:r>
                            <w:fldChar w:fldCharType="end"/>
                          </w:r>
                          <w:r/>
                        </w:p>
                      </w:txbxContent>
                    </wps:txbx>
                    <wps:bodyPr rot="0" vert="horz" wrap="none" lIns="0" tIns="0" rIns="0" bIns="0" anchor="t" anchorCtr="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text-anchor:top;visibility:visible;" filled="f" stroked="f">
              <v:textbox inset="0,0,0,0">
                <w:txbxContent>
                  <w:p>
                    <w:pPr>
                      <w:pStyle w:val="97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jc w:val="center"/>
    </w:pPr>
    <w:r>
      <w:fldChar w:fldCharType="begin"/>
    </w:r>
    <w:r>
      <w:instrText xml:space="preserve">PAGE   \* MERGEFORMAT</w:instrText>
    </w:r>
    <w:r>
      <w:fldChar w:fldCharType="separate"/>
    </w:r>
    <w:r>
      <w:rPr>
        <w:lang w:val="zh-CN"/>
      </w:rPr>
      <w:t xml:space="preserve">33</w:t>
    </w:r>
    <w:r>
      <w:rPr>
        <w:lang w:val="zh-CN"/>
      </w:rPr>
      <w:fldChar w:fldCharType="end"/>
    </w:r>
    <w:r/>
  </w:p>
  <w:p>
    <w:pPr>
      <w:pStyle w:val="978"/>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jc w:val="center"/>
    </w:pPr>
    <w:r>
      <w:fldChar w:fldCharType="begin"/>
    </w:r>
    <w:r>
      <w:instrText xml:space="preserve">PAGE   \* MERGEFORMAT</w:instrText>
    </w:r>
    <w:r>
      <w:fldChar w:fldCharType="separate"/>
    </w:r>
    <w:r>
      <w:rPr>
        <w:lang w:val="zh-CN"/>
      </w:rPr>
      <w:t xml:space="preserve">48</w:t>
    </w:r>
    <w:r>
      <w:rPr>
        <w:lang w:val="zh-CN"/>
      </w:rPr>
      <w:fldChar w:fldCharType="end"/>
    </w:r>
    <w:r/>
  </w:p>
  <w:p>
    <w:pPr>
      <w:pStyle w:val="97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jc w:val="both"/>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jc w:val="right"/>
      <w:pBdr>
        <w:bottom w:val="none" w:color="000000" w:sz="0" w:space="1"/>
      </w:pBdr>
    </w:pPr>
    <w:r/>
    <w:r/>
  </w:p>
  <w:p>
    <w:pPr>
      <w:pStyle w:val="1017"/>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080" w:hanging="108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94">
    <w:name w:val="Heading 1 Char"/>
    <w:basedOn w:val="965"/>
    <w:link w:val="960"/>
    <w:uiPriority w:val="9"/>
    <w:rPr>
      <w:rFonts w:ascii="Arial" w:hAnsi="Arial" w:eastAsia="Arial" w:cs="Arial"/>
      <w:sz w:val="40"/>
      <w:szCs w:val="40"/>
    </w:rPr>
  </w:style>
  <w:style w:type="character" w:styleId="795">
    <w:name w:val="Heading 2 Char"/>
    <w:basedOn w:val="965"/>
    <w:link w:val="961"/>
    <w:uiPriority w:val="9"/>
    <w:rPr>
      <w:rFonts w:ascii="Arial" w:hAnsi="Arial" w:eastAsia="Arial" w:cs="Arial"/>
      <w:sz w:val="34"/>
    </w:rPr>
  </w:style>
  <w:style w:type="character" w:styleId="796">
    <w:name w:val="Heading 3 Char"/>
    <w:basedOn w:val="965"/>
    <w:link w:val="962"/>
    <w:uiPriority w:val="9"/>
    <w:rPr>
      <w:rFonts w:ascii="Arial" w:hAnsi="Arial" w:eastAsia="Arial" w:cs="Arial"/>
      <w:sz w:val="30"/>
      <w:szCs w:val="30"/>
    </w:rPr>
  </w:style>
  <w:style w:type="character" w:styleId="797">
    <w:name w:val="Heading 4 Char"/>
    <w:basedOn w:val="965"/>
    <w:link w:val="963"/>
    <w:uiPriority w:val="9"/>
    <w:rPr>
      <w:rFonts w:ascii="Arial" w:hAnsi="Arial" w:eastAsia="Arial" w:cs="Arial"/>
      <w:b/>
      <w:bCs/>
      <w:sz w:val="26"/>
      <w:szCs w:val="26"/>
    </w:rPr>
  </w:style>
  <w:style w:type="paragraph" w:styleId="798">
    <w:name w:val="Heading 5"/>
    <w:basedOn w:val="959"/>
    <w:next w:val="959"/>
    <w:link w:val="799"/>
    <w:uiPriority w:val="9"/>
    <w:unhideWhenUsed/>
    <w:qFormat/>
    <w:pPr>
      <w:keepLines/>
      <w:keepNext/>
      <w:spacing w:before="320" w:after="200"/>
      <w:outlineLvl w:val="4"/>
    </w:pPr>
    <w:rPr>
      <w:rFonts w:ascii="Arial" w:hAnsi="Arial" w:eastAsia="Arial" w:cs="Arial"/>
      <w:b/>
      <w:bCs/>
      <w:sz w:val="24"/>
      <w:szCs w:val="24"/>
    </w:rPr>
  </w:style>
  <w:style w:type="character" w:styleId="799">
    <w:name w:val="Heading 5 Char"/>
    <w:basedOn w:val="965"/>
    <w:link w:val="798"/>
    <w:uiPriority w:val="9"/>
    <w:rPr>
      <w:rFonts w:ascii="Arial" w:hAnsi="Arial" w:eastAsia="Arial" w:cs="Arial"/>
      <w:b/>
      <w:bCs/>
      <w:sz w:val="24"/>
      <w:szCs w:val="24"/>
    </w:rPr>
  </w:style>
  <w:style w:type="paragraph" w:styleId="800">
    <w:name w:val="Heading 6"/>
    <w:basedOn w:val="959"/>
    <w:next w:val="959"/>
    <w:link w:val="801"/>
    <w:uiPriority w:val="9"/>
    <w:unhideWhenUsed/>
    <w:qFormat/>
    <w:pPr>
      <w:keepLines/>
      <w:keepNext/>
      <w:spacing w:before="320" w:after="200"/>
      <w:outlineLvl w:val="5"/>
    </w:pPr>
    <w:rPr>
      <w:rFonts w:ascii="Arial" w:hAnsi="Arial" w:eastAsia="Arial" w:cs="Arial"/>
      <w:b/>
      <w:bCs/>
      <w:sz w:val="22"/>
      <w:szCs w:val="22"/>
    </w:rPr>
  </w:style>
  <w:style w:type="character" w:styleId="801">
    <w:name w:val="Heading 6 Char"/>
    <w:basedOn w:val="965"/>
    <w:link w:val="800"/>
    <w:uiPriority w:val="9"/>
    <w:rPr>
      <w:rFonts w:ascii="Arial" w:hAnsi="Arial" w:eastAsia="Arial" w:cs="Arial"/>
      <w:b/>
      <w:bCs/>
      <w:sz w:val="22"/>
      <w:szCs w:val="22"/>
    </w:rPr>
  </w:style>
  <w:style w:type="paragraph" w:styleId="802">
    <w:name w:val="Heading 7"/>
    <w:basedOn w:val="959"/>
    <w:next w:val="959"/>
    <w:link w:val="803"/>
    <w:uiPriority w:val="9"/>
    <w:unhideWhenUsed/>
    <w:qFormat/>
    <w:pPr>
      <w:keepLines/>
      <w:keepNext/>
      <w:spacing w:before="320" w:after="200"/>
      <w:outlineLvl w:val="6"/>
    </w:pPr>
    <w:rPr>
      <w:rFonts w:ascii="Arial" w:hAnsi="Arial" w:eastAsia="Arial" w:cs="Arial"/>
      <w:b/>
      <w:bCs/>
      <w:i/>
      <w:iCs/>
      <w:sz w:val="22"/>
      <w:szCs w:val="22"/>
    </w:rPr>
  </w:style>
  <w:style w:type="character" w:styleId="803">
    <w:name w:val="Heading 7 Char"/>
    <w:basedOn w:val="965"/>
    <w:link w:val="802"/>
    <w:uiPriority w:val="9"/>
    <w:rPr>
      <w:rFonts w:ascii="Arial" w:hAnsi="Arial" w:eastAsia="Arial" w:cs="Arial"/>
      <w:b/>
      <w:bCs/>
      <w:i/>
      <w:iCs/>
      <w:sz w:val="22"/>
      <w:szCs w:val="22"/>
    </w:rPr>
  </w:style>
  <w:style w:type="character" w:styleId="804">
    <w:name w:val="Heading 8 Char"/>
    <w:basedOn w:val="965"/>
    <w:link w:val="964"/>
    <w:uiPriority w:val="9"/>
    <w:rPr>
      <w:rFonts w:ascii="Arial" w:hAnsi="Arial" w:eastAsia="Arial" w:cs="Arial"/>
      <w:i/>
      <w:iCs/>
      <w:sz w:val="22"/>
      <w:szCs w:val="22"/>
    </w:rPr>
  </w:style>
  <w:style w:type="paragraph" w:styleId="805">
    <w:name w:val="Heading 9"/>
    <w:basedOn w:val="959"/>
    <w:next w:val="959"/>
    <w:link w:val="806"/>
    <w:uiPriority w:val="9"/>
    <w:unhideWhenUsed/>
    <w:qFormat/>
    <w:pPr>
      <w:keepLines/>
      <w:keepNext/>
      <w:spacing w:before="320" w:after="200"/>
      <w:outlineLvl w:val="8"/>
    </w:pPr>
    <w:rPr>
      <w:rFonts w:ascii="Arial" w:hAnsi="Arial" w:eastAsia="Arial" w:cs="Arial"/>
      <w:i/>
      <w:iCs/>
      <w:sz w:val="21"/>
      <w:szCs w:val="21"/>
    </w:rPr>
  </w:style>
  <w:style w:type="character" w:styleId="806">
    <w:name w:val="Heading 9 Char"/>
    <w:basedOn w:val="965"/>
    <w:link w:val="805"/>
    <w:uiPriority w:val="9"/>
    <w:rPr>
      <w:rFonts w:ascii="Arial" w:hAnsi="Arial" w:eastAsia="Arial" w:cs="Arial"/>
      <w:i/>
      <w:iCs/>
      <w:sz w:val="21"/>
      <w:szCs w:val="21"/>
    </w:rPr>
  </w:style>
  <w:style w:type="paragraph" w:styleId="807">
    <w:name w:val="Title"/>
    <w:basedOn w:val="959"/>
    <w:next w:val="959"/>
    <w:link w:val="808"/>
    <w:uiPriority w:val="10"/>
    <w:qFormat/>
    <w:pPr>
      <w:contextualSpacing/>
      <w:spacing w:before="300" w:after="200"/>
    </w:pPr>
    <w:rPr>
      <w:sz w:val="48"/>
      <w:szCs w:val="48"/>
    </w:rPr>
  </w:style>
  <w:style w:type="character" w:styleId="808">
    <w:name w:val="Title Char"/>
    <w:basedOn w:val="965"/>
    <w:link w:val="807"/>
    <w:uiPriority w:val="10"/>
    <w:rPr>
      <w:sz w:val="48"/>
      <w:szCs w:val="48"/>
    </w:rPr>
  </w:style>
  <w:style w:type="paragraph" w:styleId="809">
    <w:name w:val="Subtitle"/>
    <w:basedOn w:val="959"/>
    <w:next w:val="959"/>
    <w:link w:val="810"/>
    <w:uiPriority w:val="11"/>
    <w:qFormat/>
    <w:pPr>
      <w:spacing w:before="200" w:after="200"/>
    </w:pPr>
    <w:rPr>
      <w:sz w:val="24"/>
      <w:szCs w:val="24"/>
    </w:rPr>
  </w:style>
  <w:style w:type="character" w:styleId="810">
    <w:name w:val="Subtitle Char"/>
    <w:basedOn w:val="965"/>
    <w:link w:val="809"/>
    <w:uiPriority w:val="11"/>
    <w:rPr>
      <w:sz w:val="24"/>
      <w:szCs w:val="24"/>
    </w:rPr>
  </w:style>
  <w:style w:type="paragraph" w:styleId="811">
    <w:name w:val="Quote"/>
    <w:basedOn w:val="959"/>
    <w:next w:val="959"/>
    <w:link w:val="812"/>
    <w:uiPriority w:val="29"/>
    <w:qFormat/>
    <w:pPr>
      <w:ind w:left="720" w:right="720"/>
    </w:pPr>
    <w:rPr>
      <w:i/>
    </w:rPr>
  </w:style>
  <w:style w:type="character" w:styleId="812">
    <w:name w:val="Quote Char"/>
    <w:link w:val="811"/>
    <w:uiPriority w:val="29"/>
    <w:rPr>
      <w:i/>
    </w:rPr>
  </w:style>
  <w:style w:type="paragraph" w:styleId="813">
    <w:name w:val="Intense Quote"/>
    <w:basedOn w:val="959"/>
    <w:next w:val="959"/>
    <w:link w:val="81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4">
    <w:name w:val="Intense Quote Char"/>
    <w:link w:val="813"/>
    <w:uiPriority w:val="30"/>
    <w:rPr>
      <w:i/>
    </w:rPr>
  </w:style>
  <w:style w:type="character" w:styleId="815">
    <w:name w:val="Header Char"/>
    <w:basedOn w:val="965"/>
    <w:link w:val="979"/>
    <w:uiPriority w:val="99"/>
  </w:style>
  <w:style w:type="character" w:styleId="816">
    <w:name w:val="Footer Char"/>
    <w:basedOn w:val="965"/>
    <w:link w:val="978"/>
    <w:uiPriority w:val="99"/>
  </w:style>
  <w:style w:type="paragraph" w:styleId="817">
    <w:name w:val="Caption"/>
    <w:basedOn w:val="959"/>
    <w:next w:val="959"/>
    <w:uiPriority w:val="35"/>
    <w:semiHidden/>
    <w:unhideWhenUsed/>
    <w:qFormat/>
    <w:pPr>
      <w:spacing w:line="276" w:lineRule="auto"/>
    </w:pPr>
    <w:rPr>
      <w:b/>
      <w:bCs/>
      <w:color w:val="4f81bd" w:themeColor="accent1"/>
      <w:sz w:val="18"/>
      <w:szCs w:val="18"/>
    </w:rPr>
  </w:style>
  <w:style w:type="character" w:styleId="818">
    <w:name w:val="Caption Char"/>
    <w:basedOn w:val="817"/>
    <w:link w:val="978"/>
    <w:uiPriority w:val="99"/>
  </w:style>
  <w:style w:type="table" w:styleId="819">
    <w:name w:val="Table Grid"/>
    <w:basedOn w:val="966"/>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20">
    <w:name w:val="Table Grid Light"/>
    <w:basedOn w:val="9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1">
    <w:name w:val="Plain Table 1"/>
    <w:basedOn w:val="9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2">
    <w:name w:val="Plain Table 2"/>
    <w:basedOn w:val="96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3">
    <w:name w:val="Plain Table 3"/>
    <w:basedOn w:val="9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4">
    <w:name w:val="Plain Table 4"/>
    <w:basedOn w:val="9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5">
    <w:name w:val="Plain Table 5"/>
    <w:basedOn w:val="9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6">
    <w:name w:val="Grid Table 1 Light"/>
    <w:basedOn w:val="96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7">
    <w:name w:val="Grid Table 1 Light - Accent 1"/>
    <w:basedOn w:val="96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8">
    <w:name w:val="Grid Table 1 Light - Accent 2"/>
    <w:basedOn w:val="96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9">
    <w:name w:val="Grid Table 1 Light - Accent 3"/>
    <w:basedOn w:val="96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0">
    <w:name w:val="Grid Table 1 Light - Accent 4"/>
    <w:basedOn w:val="96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1">
    <w:name w:val="Grid Table 1 Light - Accent 5"/>
    <w:basedOn w:val="96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2">
    <w:name w:val="Grid Table 1 Light - Accent 6"/>
    <w:basedOn w:val="96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3">
    <w:name w:val="Grid Table 2"/>
    <w:basedOn w:val="9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4">
    <w:name w:val="Grid Table 2 - Accent 1"/>
    <w:basedOn w:val="96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5">
    <w:name w:val="Grid Table 2 - Accent 2"/>
    <w:basedOn w:val="96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6">
    <w:name w:val="Grid Table 2 - Accent 3"/>
    <w:basedOn w:val="96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7">
    <w:name w:val="Grid Table 2 - Accent 4"/>
    <w:basedOn w:val="96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8">
    <w:name w:val="Grid Table 2 - Accent 5"/>
    <w:basedOn w:val="96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9">
    <w:name w:val="Grid Table 2 - Accent 6"/>
    <w:basedOn w:val="96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0">
    <w:name w:val="Grid Table 3"/>
    <w:basedOn w:val="9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3 - Accent 1"/>
    <w:basedOn w:val="96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3 - Accent 2"/>
    <w:basedOn w:val="96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3 - Accent 3"/>
    <w:basedOn w:val="96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3 - Accent 4"/>
    <w:basedOn w:val="96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3 - Accent 5"/>
    <w:basedOn w:val="96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3 - Accent 6"/>
    <w:basedOn w:val="96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7">
    <w:name w:val="Grid Table 4"/>
    <w:basedOn w:val="96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8">
    <w:name w:val="Grid Table 4 - Accent 1"/>
    <w:basedOn w:val="96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9">
    <w:name w:val="Grid Table 4 - Accent 2"/>
    <w:basedOn w:val="96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0">
    <w:name w:val="Grid Table 4 - Accent 3"/>
    <w:basedOn w:val="96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1">
    <w:name w:val="Grid Table 4 - Accent 4"/>
    <w:basedOn w:val="96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2">
    <w:name w:val="Grid Table 4 - Accent 5"/>
    <w:basedOn w:val="96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3">
    <w:name w:val="Grid Table 4 - Accent 6"/>
    <w:basedOn w:val="96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4">
    <w:name w:val="Grid Table 5 Dark"/>
    <w:basedOn w:val="9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5">
    <w:name w:val="Grid Table 5 Dark- Accent 1"/>
    <w:basedOn w:val="9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6">
    <w:name w:val="Grid Table 5 Dark - Accent 2"/>
    <w:basedOn w:val="9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7">
    <w:name w:val="Grid Table 5 Dark - Accent 3"/>
    <w:basedOn w:val="9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8">
    <w:name w:val="Grid Table 5 Dark- Accent 4"/>
    <w:basedOn w:val="9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9">
    <w:name w:val="Grid Table 5 Dark - Accent 5"/>
    <w:basedOn w:val="9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60">
    <w:name w:val="Grid Table 5 Dark - Accent 6"/>
    <w:basedOn w:val="9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1">
    <w:name w:val="Grid Table 6 Colorful"/>
    <w:basedOn w:val="96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2">
    <w:name w:val="Grid Table 6 Colorful - Accent 1"/>
    <w:basedOn w:val="96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3">
    <w:name w:val="Grid Table 6 Colorful - Accent 2"/>
    <w:basedOn w:val="96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4">
    <w:name w:val="Grid Table 6 Colorful - Accent 3"/>
    <w:basedOn w:val="96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5">
    <w:name w:val="Grid Table 6 Colorful - Accent 4"/>
    <w:basedOn w:val="96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6">
    <w:name w:val="Grid Table 6 Colorful - Accent 5"/>
    <w:basedOn w:val="96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7">
    <w:name w:val="Grid Table 6 Colorful - Accent 6"/>
    <w:basedOn w:val="96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8">
    <w:name w:val="Grid Table 7 Colorful"/>
    <w:basedOn w:val="96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9">
    <w:name w:val="Grid Table 7 Colorful - Accent 1"/>
    <w:basedOn w:val="96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0">
    <w:name w:val="Grid Table 7 Colorful - Accent 2"/>
    <w:basedOn w:val="96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1">
    <w:name w:val="Grid Table 7 Colorful - Accent 3"/>
    <w:basedOn w:val="96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2">
    <w:name w:val="Grid Table 7 Colorful - Accent 4"/>
    <w:basedOn w:val="96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3">
    <w:name w:val="Grid Table 7 Colorful - Accent 5"/>
    <w:basedOn w:val="96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4">
    <w:name w:val="Grid Table 7 Colorful - Accent 6"/>
    <w:basedOn w:val="96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5">
    <w:name w:val="List Table 1 Light"/>
    <w:basedOn w:val="96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6">
    <w:name w:val="List Table 1 Light - Accent 1"/>
    <w:basedOn w:val="96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7">
    <w:name w:val="List Table 1 Light - Accent 2"/>
    <w:basedOn w:val="96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8">
    <w:name w:val="List Table 1 Light - Accent 3"/>
    <w:basedOn w:val="96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9">
    <w:name w:val="List Table 1 Light - Accent 4"/>
    <w:basedOn w:val="96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0">
    <w:name w:val="List Table 1 Light - Accent 5"/>
    <w:basedOn w:val="96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1">
    <w:name w:val="List Table 1 Light - Accent 6"/>
    <w:basedOn w:val="96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2">
    <w:name w:val="List Table 2"/>
    <w:basedOn w:val="96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3">
    <w:name w:val="List Table 2 - Accent 1"/>
    <w:basedOn w:val="96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4">
    <w:name w:val="List Table 2 - Accent 2"/>
    <w:basedOn w:val="96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5">
    <w:name w:val="List Table 2 - Accent 3"/>
    <w:basedOn w:val="96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6">
    <w:name w:val="List Table 2 - Accent 4"/>
    <w:basedOn w:val="96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7">
    <w:name w:val="List Table 2 - Accent 5"/>
    <w:basedOn w:val="96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8">
    <w:name w:val="List Table 2 - Accent 6"/>
    <w:basedOn w:val="96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9">
    <w:name w:val="List Table 3"/>
    <w:basedOn w:val="9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0">
    <w:name w:val="List Table 3 - Accent 1"/>
    <w:basedOn w:val="96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1">
    <w:name w:val="List Table 3 - Accent 2"/>
    <w:basedOn w:val="96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2">
    <w:name w:val="List Table 3 - Accent 3"/>
    <w:basedOn w:val="96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3">
    <w:name w:val="List Table 3 - Accent 4"/>
    <w:basedOn w:val="96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4">
    <w:name w:val="List Table 3 - Accent 5"/>
    <w:basedOn w:val="96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5">
    <w:name w:val="List Table 3 - Accent 6"/>
    <w:basedOn w:val="96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6">
    <w:name w:val="List Table 4"/>
    <w:basedOn w:val="9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7">
    <w:name w:val="List Table 4 - Accent 1"/>
    <w:basedOn w:val="96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8">
    <w:name w:val="List Table 4 - Accent 2"/>
    <w:basedOn w:val="96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9">
    <w:name w:val="List Table 4 - Accent 3"/>
    <w:basedOn w:val="96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00">
    <w:name w:val="List Table 4 - Accent 4"/>
    <w:basedOn w:val="96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1">
    <w:name w:val="List Table 4 - Accent 5"/>
    <w:basedOn w:val="96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2">
    <w:name w:val="List Table 4 - Accent 6"/>
    <w:basedOn w:val="96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3">
    <w:name w:val="List Table 5 Dark"/>
    <w:basedOn w:val="96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5 Dark - Accent 1"/>
    <w:basedOn w:val="96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5 Dark - Accent 2"/>
    <w:basedOn w:val="96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5 Dark - Accent 3"/>
    <w:basedOn w:val="96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5 Dark - Accent 4"/>
    <w:basedOn w:val="96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5 Dark - Accent 5"/>
    <w:basedOn w:val="96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9">
    <w:name w:val="List Table 5 Dark - Accent 6"/>
    <w:basedOn w:val="96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0">
    <w:name w:val="List Table 6 Colorful"/>
    <w:basedOn w:val="96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1">
    <w:name w:val="List Table 6 Colorful - Accent 1"/>
    <w:basedOn w:val="96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2">
    <w:name w:val="List Table 6 Colorful - Accent 2"/>
    <w:basedOn w:val="96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3">
    <w:name w:val="List Table 6 Colorful - Accent 3"/>
    <w:basedOn w:val="96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4">
    <w:name w:val="List Table 6 Colorful - Accent 4"/>
    <w:basedOn w:val="96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5">
    <w:name w:val="List Table 6 Colorful - Accent 5"/>
    <w:basedOn w:val="96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6">
    <w:name w:val="List Table 6 Colorful - Accent 6"/>
    <w:basedOn w:val="96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7">
    <w:name w:val="List Table 7 Colorful"/>
    <w:basedOn w:val="96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8">
    <w:name w:val="List Table 7 Colorful - Accent 1"/>
    <w:basedOn w:val="96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9">
    <w:name w:val="List Table 7 Colorful - Accent 2"/>
    <w:basedOn w:val="96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20">
    <w:name w:val="List Table 7 Colorful - Accent 3"/>
    <w:basedOn w:val="96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1">
    <w:name w:val="List Table 7 Colorful - Accent 4"/>
    <w:basedOn w:val="96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2">
    <w:name w:val="List Table 7 Colorful - Accent 5"/>
    <w:basedOn w:val="96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3">
    <w:name w:val="List Table 7 Colorful - Accent 6"/>
    <w:basedOn w:val="96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4">
    <w:name w:val="Lined - Accent"/>
    <w:basedOn w:val="9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5">
    <w:name w:val="Lined - Accent 1"/>
    <w:basedOn w:val="9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6">
    <w:name w:val="Lined - Accent 2"/>
    <w:basedOn w:val="9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7">
    <w:name w:val="Lined - Accent 3"/>
    <w:basedOn w:val="9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8">
    <w:name w:val="Lined - Accent 4"/>
    <w:basedOn w:val="9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9">
    <w:name w:val="Lined - Accent 5"/>
    <w:basedOn w:val="9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0">
    <w:name w:val="Lined - Accent 6"/>
    <w:basedOn w:val="9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1">
    <w:name w:val="Bordered &amp; Lined - Accent"/>
    <w:basedOn w:val="96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2">
    <w:name w:val="Bordered &amp; Lined - Accent 1"/>
    <w:basedOn w:val="96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3">
    <w:name w:val="Bordered &amp; Lined - Accent 2"/>
    <w:basedOn w:val="96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4">
    <w:name w:val="Bordered &amp; Lined - Accent 3"/>
    <w:basedOn w:val="96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5">
    <w:name w:val="Bordered &amp; Lined - Accent 4"/>
    <w:basedOn w:val="96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6">
    <w:name w:val="Bordered &amp; Lined - Accent 5"/>
    <w:basedOn w:val="96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7">
    <w:name w:val="Bordered &amp; Lined - Accent 6"/>
    <w:basedOn w:val="96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8">
    <w:name w:val="Bordered"/>
    <w:basedOn w:val="96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9">
    <w:name w:val="Bordered - Accent 1"/>
    <w:basedOn w:val="96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0">
    <w:name w:val="Bordered - Accent 2"/>
    <w:basedOn w:val="96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1">
    <w:name w:val="Bordered - Accent 3"/>
    <w:basedOn w:val="96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2">
    <w:name w:val="Bordered - Accent 4"/>
    <w:basedOn w:val="96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3">
    <w:name w:val="Bordered - Accent 5"/>
    <w:basedOn w:val="96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4">
    <w:name w:val="Bordered - Accent 6"/>
    <w:basedOn w:val="96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45">
    <w:name w:val="footnote text"/>
    <w:basedOn w:val="959"/>
    <w:link w:val="946"/>
    <w:uiPriority w:val="99"/>
    <w:semiHidden/>
    <w:unhideWhenUsed/>
    <w:pPr>
      <w:spacing w:after="40" w:line="240" w:lineRule="auto"/>
    </w:pPr>
    <w:rPr>
      <w:sz w:val="18"/>
    </w:rPr>
  </w:style>
  <w:style w:type="character" w:styleId="946">
    <w:name w:val="Footnote Text Char"/>
    <w:link w:val="945"/>
    <w:uiPriority w:val="99"/>
    <w:rPr>
      <w:sz w:val="18"/>
    </w:rPr>
  </w:style>
  <w:style w:type="character" w:styleId="947">
    <w:name w:val="footnote reference"/>
    <w:basedOn w:val="965"/>
    <w:uiPriority w:val="99"/>
    <w:unhideWhenUsed/>
    <w:rPr>
      <w:vertAlign w:val="superscript"/>
    </w:rPr>
  </w:style>
  <w:style w:type="paragraph" w:styleId="948">
    <w:name w:val="endnote text"/>
    <w:basedOn w:val="959"/>
    <w:link w:val="949"/>
    <w:uiPriority w:val="99"/>
    <w:semiHidden/>
    <w:unhideWhenUsed/>
    <w:pPr>
      <w:spacing w:after="0" w:line="240" w:lineRule="auto"/>
    </w:pPr>
    <w:rPr>
      <w:sz w:val="20"/>
    </w:rPr>
  </w:style>
  <w:style w:type="character" w:styleId="949">
    <w:name w:val="Endnote Text Char"/>
    <w:link w:val="948"/>
    <w:uiPriority w:val="99"/>
    <w:rPr>
      <w:sz w:val="20"/>
    </w:rPr>
  </w:style>
  <w:style w:type="character" w:styleId="950">
    <w:name w:val="endnote reference"/>
    <w:basedOn w:val="965"/>
    <w:uiPriority w:val="99"/>
    <w:semiHidden/>
    <w:unhideWhenUsed/>
    <w:rPr>
      <w:vertAlign w:val="superscript"/>
    </w:rPr>
  </w:style>
  <w:style w:type="paragraph" w:styleId="951">
    <w:name w:val="toc 3"/>
    <w:basedOn w:val="959"/>
    <w:next w:val="959"/>
    <w:uiPriority w:val="39"/>
    <w:unhideWhenUsed/>
    <w:pPr>
      <w:ind w:left="567" w:right="0" w:firstLine="0"/>
      <w:spacing w:after="57"/>
    </w:pPr>
  </w:style>
  <w:style w:type="paragraph" w:styleId="952">
    <w:name w:val="toc 4"/>
    <w:basedOn w:val="959"/>
    <w:next w:val="959"/>
    <w:uiPriority w:val="39"/>
    <w:unhideWhenUsed/>
    <w:pPr>
      <w:ind w:left="850" w:right="0" w:firstLine="0"/>
      <w:spacing w:after="57"/>
    </w:pPr>
  </w:style>
  <w:style w:type="paragraph" w:styleId="953">
    <w:name w:val="toc 5"/>
    <w:basedOn w:val="959"/>
    <w:next w:val="959"/>
    <w:uiPriority w:val="39"/>
    <w:unhideWhenUsed/>
    <w:pPr>
      <w:ind w:left="1134" w:right="0" w:firstLine="0"/>
      <w:spacing w:after="57"/>
    </w:pPr>
  </w:style>
  <w:style w:type="paragraph" w:styleId="954">
    <w:name w:val="toc 6"/>
    <w:basedOn w:val="959"/>
    <w:next w:val="959"/>
    <w:uiPriority w:val="39"/>
    <w:unhideWhenUsed/>
    <w:pPr>
      <w:ind w:left="1417" w:right="0" w:firstLine="0"/>
      <w:spacing w:after="57"/>
    </w:pPr>
  </w:style>
  <w:style w:type="paragraph" w:styleId="955">
    <w:name w:val="toc 7"/>
    <w:basedOn w:val="959"/>
    <w:next w:val="959"/>
    <w:uiPriority w:val="39"/>
    <w:unhideWhenUsed/>
    <w:pPr>
      <w:ind w:left="1701" w:right="0" w:firstLine="0"/>
      <w:spacing w:after="57"/>
    </w:pPr>
  </w:style>
  <w:style w:type="paragraph" w:styleId="956">
    <w:name w:val="toc 9"/>
    <w:basedOn w:val="959"/>
    <w:next w:val="959"/>
    <w:uiPriority w:val="39"/>
    <w:unhideWhenUsed/>
    <w:pPr>
      <w:ind w:left="2268" w:right="0" w:firstLine="0"/>
      <w:spacing w:after="57"/>
    </w:pPr>
  </w:style>
  <w:style w:type="paragraph" w:styleId="957">
    <w:name w:val="TOC Heading"/>
    <w:uiPriority w:val="39"/>
    <w:unhideWhenUsed/>
  </w:style>
  <w:style w:type="paragraph" w:styleId="958">
    <w:name w:val="table of figures"/>
    <w:basedOn w:val="959"/>
    <w:next w:val="959"/>
    <w:uiPriority w:val="99"/>
    <w:unhideWhenUsed/>
    <w:pPr>
      <w:spacing w:after="0" w:afterAutospacing="0"/>
    </w:pPr>
  </w:style>
  <w:style w:type="paragraph" w:styleId="959" w:default="1">
    <w:name w:val="Normal"/>
    <w:next w:val="967"/>
    <w:uiPriority w:val="0"/>
    <w:qFormat/>
    <w:pPr>
      <w:jc w:val="both"/>
      <w:widowControl w:val="off"/>
    </w:pPr>
    <w:rPr>
      <w:rFonts w:ascii="Times New Roman" w:hAnsi="Times New Roman" w:eastAsia="宋体" w:cs="Times New Roman"/>
      <w:sz w:val="21"/>
      <w:szCs w:val="22"/>
      <w:lang w:val="en-US" w:eastAsia="zh-CN" w:bidi="ar-SA"/>
    </w:rPr>
  </w:style>
  <w:style w:type="paragraph" w:styleId="960">
    <w:name w:val="Heading 1"/>
    <w:basedOn w:val="959"/>
    <w:next w:val="959"/>
    <w:link w:val="989"/>
    <w:uiPriority w:val="99"/>
    <w:qFormat/>
    <w:pPr>
      <w:keepLines/>
      <w:keepNext/>
      <w:spacing w:before="340" w:after="330" w:line="578" w:lineRule="auto"/>
      <w:outlineLvl w:val="0"/>
    </w:pPr>
    <w:rPr>
      <w:rFonts w:ascii="Calibri" w:hAnsi="Calibri"/>
      <w:b/>
      <w:bCs/>
      <w:sz w:val="44"/>
      <w:szCs w:val="44"/>
    </w:rPr>
  </w:style>
  <w:style w:type="paragraph" w:styleId="961">
    <w:name w:val="Heading 2"/>
    <w:basedOn w:val="959"/>
    <w:next w:val="968"/>
    <w:link w:val="990"/>
    <w:uiPriority w:val="9"/>
    <w:qFormat/>
    <w:pPr>
      <w:keepLines/>
      <w:keepNext/>
      <w:spacing w:before="260" w:after="260" w:line="416" w:lineRule="auto"/>
      <w:outlineLvl w:val="1"/>
    </w:pPr>
    <w:rPr>
      <w:rFonts w:ascii="Cambria" w:hAnsi="Cambria"/>
      <w:b/>
      <w:bCs/>
      <w:sz w:val="32"/>
      <w:szCs w:val="32"/>
    </w:rPr>
  </w:style>
  <w:style w:type="paragraph" w:styleId="962">
    <w:name w:val="Heading 3"/>
    <w:basedOn w:val="959"/>
    <w:next w:val="959"/>
    <w:link w:val="988"/>
    <w:uiPriority w:val="0"/>
    <w:qFormat/>
    <w:pPr>
      <w:keepLines/>
      <w:keepNext/>
      <w:spacing w:before="260" w:after="260" w:line="416" w:lineRule="auto"/>
      <w:outlineLvl w:val="2"/>
    </w:pPr>
    <w:rPr>
      <w:rFonts w:ascii="Calibri" w:hAnsi="Calibri"/>
      <w:b/>
      <w:bCs/>
      <w:sz w:val="32"/>
      <w:szCs w:val="32"/>
    </w:rPr>
  </w:style>
  <w:style w:type="paragraph" w:styleId="963">
    <w:name w:val="Heading 4"/>
    <w:basedOn w:val="959"/>
    <w:next w:val="968"/>
    <w:link w:val="992"/>
    <w:uiPriority w:val="0"/>
    <w:qFormat/>
    <w:pPr>
      <w:spacing w:before="280" w:after="290" w:line="377" w:lineRule="auto"/>
      <w:outlineLvl w:val="3"/>
    </w:pPr>
    <w:rPr>
      <w:rFonts w:ascii="Arial" w:hAnsi="Arial" w:eastAsia="黑体"/>
      <w:b/>
      <w:bCs/>
      <w:sz w:val="28"/>
      <w:szCs w:val="28"/>
    </w:rPr>
  </w:style>
  <w:style w:type="paragraph" w:styleId="964">
    <w:name w:val="Heading 8"/>
    <w:basedOn w:val="959"/>
    <w:next w:val="959"/>
    <w:link w:val="993"/>
    <w:uiPriority w:val="9"/>
    <w:unhideWhenUsed/>
    <w:qFormat/>
    <w:pPr>
      <w:keepLines/>
      <w:keepNext/>
      <w:spacing w:before="240" w:after="64" w:line="320" w:lineRule="auto"/>
      <w:outlineLvl w:val="7"/>
    </w:pPr>
    <w:rPr>
      <w:rFonts w:ascii="Cambria" w:hAnsi="Cambria"/>
      <w:sz w:val="24"/>
      <w:szCs w:val="24"/>
    </w:rPr>
  </w:style>
  <w:style w:type="character" w:styleId="965" w:default="1">
    <w:name w:val="Default Paragraph Font"/>
    <w:uiPriority w:val="1"/>
    <w:semiHidden/>
    <w:unhideWhenUsed/>
    <w:qFormat/>
  </w:style>
  <w:style w:type="table" w:styleId="966" w:default="1">
    <w:name w:val="Normal Table"/>
    <w:uiPriority w:val="99"/>
    <w:semiHidden/>
    <w:unhideWhenUsed/>
    <w:qFormat/>
    <w:tblPr>
      <w:tblCellMar>
        <w:left w:w="108" w:type="dxa"/>
        <w:top w:w="0" w:type="dxa"/>
        <w:right w:w="108" w:type="dxa"/>
        <w:bottom w:w="0" w:type="dxa"/>
      </w:tblCellMar>
    </w:tblPr>
  </w:style>
  <w:style w:type="paragraph" w:styleId="967">
    <w:name w:val="Document Map"/>
    <w:basedOn w:val="959"/>
    <w:link w:val="994"/>
    <w:uiPriority w:val="99"/>
    <w:unhideWhenUsed/>
    <w:qFormat/>
    <w:rPr>
      <w:rFonts w:ascii="宋体"/>
      <w:sz w:val="18"/>
      <w:szCs w:val="18"/>
    </w:rPr>
  </w:style>
  <w:style w:type="paragraph" w:styleId="968">
    <w:name w:val="Normal Indent"/>
    <w:basedOn w:val="959"/>
    <w:link w:val="991"/>
    <w:uiPriority w:val="0"/>
    <w:unhideWhenUsed/>
    <w:qFormat/>
    <w:pPr>
      <w:ind w:firstLine="420"/>
    </w:pPr>
    <w:rPr>
      <w:rFonts w:ascii="Calibri" w:hAnsi="Calibri"/>
    </w:rPr>
  </w:style>
  <w:style w:type="paragraph" w:styleId="969">
    <w:name w:val="List 3"/>
    <w:basedOn w:val="959"/>
    <w:uiPriority w:val="0"/>
    <w:qFormat/>
    <w:pPr>
      <w:ind w:left="100" w:hanging="200"/>
      <w:spacing w:line="360" w:lineRule="auto"/>
    </w:pPr>
    <w:rPr>
      <w:rFonts w:ascii="宋体" w:eastAsia="仿宋"/>
      <w:sz w:val="28"/>
      <w:szCs w:val="21"/>
    </w:rPr>
  </w:style>
  <w:style w:type="paragraph" w:styleId="970">
    <w:name w:val="Body Text"/>
    <w:basedOn w:val="959"/>
    <w:next w:val="971"/>
    <w:uiPriority w:val="0"/>
    <w:qFormat/>
    <w:rPr>
      <w:rFonts w:ascii="楷体_GB2312" w:hAnsi="Arial" w:eastAsia="楷体_GB2312"/>
      <w:sz w:val="28"/>
      <w:szCs w:val="28"/>
    </w:rPr>
  </w:style>
  <w:style w:type="paragraph" w:styleId="971">
    <w:name w:val="toc 8"/>
    <w:basedOn w:val="959"/>
    <w:next w:val="959"/>
    <w:uiPriority w:val="39"/>
    <w:unhideWhenUsed/>
    <w:qFormat/>
    <w:pPr>
      <w:ind w:left="1984"/>
      <w:spacing w:after="57"/>
    </w:pPr>
  </w:style>
  <w:style w:type="paragraph" w:styleId="972">
    <w:name w:val="Body Text Indent"/>
    <w:basedOn w:val="959"/>
    <w:next w:val="959"/>
    <w:link w:val="995"/>
    <w:uiPriority w:val="99"/>
    <w:unhideWhenUsed/>
    <w:qFormat/>
    <w:pPr>
      <w:ind w:left="420"/>
      <w:spacing w:after="120"/>
    </w:pPr>
  </w:style>
  <w:style w:type="paragraph" w:styleId="973">
    <w:name w:val="Block Text"/>
    <w:basedOn w:val="959"/>
    <w:uiPriority w:val="99"/>
    <w:unhideWhenUsed/>
    <w:qFormat/>
    <w:pPr>
      <w:ind w:left="567" w:right="454" w:firstLine="498"/>
      <w:jc w:val="left"/>
    </w:pPr>
    <w:rPr>
      <w:rFonts w:ascii="仿宋_GB2312" w:eastAsia="仿宋_GB2312"/>
      <w:sz w:val="30"/>
      <w:szCs w:val="20"/>
    </w:rPr>
  </w:style>
  <w:style w:type="paragraph" w:styleId="974">
    <w:name w:val="Plain Text"/>
    <w:basedOn w:val="959"/>
    <w:link w:val="996"/>
    <w:uiPriority w:val="99"/>
    <w:unhideWhenUsed/>
    <w:qFormat/>
    <w:rPr>
      <w:rFonts w:ascii="宋体" w:hAnsi="Courier New"/>
      <w:sz w:val="20"/>
      <w:szCs w:val="20"/>
    </w:rPr>
  </w:style>
  <w:style w:type="paragraph" w:styleId="975">
    <w:name w:val="Date"/>
    <w:basedOn w:val="959"/>
    <w:next w:val="959"/>
    <w:link w:val="997"/>
    <w:uiPriority w:val="0"/>
    <w:qFormat/>
    <w:rPr>
      <w:sz w:val="24"/>
      <w:szCs w:val="20"/>
    </w:rPr>
  </w:style>
  <w:style w:type="paragraph" w:styleId="976">
    <w:name w:val="Body Text Indent 2"/>
    <w:basedOn w:val="959"/>
    <w:uiPriority w:val="99"/>
    <w:unhideWhenUsed/>
    <w:qFormat/>
    <w:pPr>
      <w:ind w:firstLine="562"/>
      <w:spacing w:line="480" w:lineRule="exact"/>
    </w:pPr>
    <w:rPr>
      <w:b/>
      <w:bCs/>
      <w:sz w:val="28"/>
      <w:szCs w:val="28"/>
    </w:rPr>
  </w:style>
  <w:style w:type="paragraph" w:styleId="977">
    <w:name w:val="Balloon Text"/>
    <w:basedOn w:val="959"/>
    <w:link w:val="1029"/>
    <w:uiPriority w:val="99"/>
    <w:semiHidden/>
    <w:unhideWhenUsed/>
    <w:qFormat/>
    <w:rPr>
      <w:sz w:val="18"/>
      <w:szCs w:val="18"/>
    </w:rPr>
  </w:style>
  <w:style w:type="paragraph" w:styleId="978">
    <w:name w:val="Footer"/>
    <w:basedOn w:val="959"/>
    <w:link w:val="998"/>
    <w:uiPriority w:val="0"/>
    <w:unhideWhenUsed/>
    <w:qFormat/>
    <w:pPr>
      <w:jc w:val="left"/>
      <w:tabs>
        <w:tab w:val="center" w:pos="4153" w:leader="none"/>
        <w:tab w:val="right" w:pos="8306" w:leader="none"/>
      </w:tabs>
    </w:pPr>
    <w:rPr>
      <w:sz w:val="18"/>
      <w:szCs w:val="18"/>
    </w:rPr>
  </w:style>
  <w:style w:type="paragraph" w:styleId="979">
    <w:name w:val="Header"/>
    <w:basedOn w:val="959"/>
    <w:link w:val="999"/>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80">
    <w:name w:val="toc 1"/>
    <w:basedOn w:val="959"/>
    <w:next w:val="959"/>
    <w:uiPriority w:val="39"/>
    <w:unhideWhenUsed/>
    <w:qFormat/>
    <w:rPr>
      <w:rFonts w:ascii="Calibri" w:hAnsi="Calibri"/>
    </w:rPr>
  </w:style>
  <w:style w:type="paragraph" w:styleId="981">
    <w:name w:val="toc 2"/>
    <w:basedOn w:val="959"/>
    <w:next w:val="959"/>
    <w:uiPriority w:val="39"/>
    <w:unhideWhenUsed/>
    <w:qFormat/>
    <w:pPr>
      <w:ind w:left="420"/>
    </w:pPr>
  </w:style>
  <w:style w:type="paragraph" w:styleId="982">
    <w:name w:val="Body Text 2"/>
    <w:basedOn w:val="959"/>
    <w:link w:val="1000"/>
    <w:uiPriority w:val="0"/>
    <w:qFormat/>
    <w:pPr>
      <w:spacing w:after="120" w:line="480" w:lineRule="auto"/>
    </w:pPr>
    <w:rPr>
      <w:rFonts w:ascii="宋体" w:eastAsia="仿宋"/>
      <w:sz w:val="28"/>
      <w:szCs w:val="21"/>
    </w:rPr>
  </w:style>
  <w:style w:type="paragraph" w:styleId="983">
    <w:name w:val="Normal (Web)"/>
    <w:basedOn w:val="959"/>
    <w:uiPriority w:val="99"/>
    <w:unhideWhenUsed/>
    <w:qFormat/>
    <w:pPr>
      <w:jc w:val="left"/>
    </w:pPr>
    <w:rPr>
      <w:rFonts w:ascii="Calibri" w:hAnsi="Calibri"/>
      <w:sz w:val="24"/>
      <w:szCs w:val="24"/>
    </w:rPr>
  </w:style>
  <w:style w:type="paragraph" w:styleId="984">
    <w:name w:val="Body Text First Indent 2"/>
    <w:basedOn w:val="972"/>
    <w:link w:val="1001"/>
    <w:uiPriority w:val="99"/>
    <w:unhideWhenUsed/>
    <w:qFormat/>
    <w:pPr>
      <w:ind w:firstLine="420"/>
    </w:pPr>
  </w:style>
  <w:style w:type="character" w:styleId="985">
    <w:name w:val="Strong"/>
    <w:uiPriority w:val="0"/>
    <w:qFormat/>
    <w:rPr>
      <w:b/>
    </w:rPr>
  </w:style>
  <w:style w:type="character" w:styleId="986">
    <w:name w:val="Emphasis"/>
    <w:basedOn w:val="965"/>
    <w:uiPriority w:val="20"/>
    <w:qFormat/>
    <w:rPr>
      <w:i/>
      <w:iCs/>
    </w:rPr>
  </w:style>
  <w:style w:type="character" w:styleId="987">
    <w:name w:val="Hyperlink"/>
    <w:uiPriority w:val="99"/>
    <w:qFormat/>
    <w:rPr>
      <w:color w:val="0000ff"/>
      <w:u w:val="single"/>
    </w:rPr>
  </w:style>
  <w:style w:type="character" w:styleId="988" w:customStyle="1">
    <w:name w:val="标题 3 Char"/>
    <w:link w:val="962"/>
    <w:uiPriority w:val="0"/>
    <w:qFormat/>
    <w:rPr>
      <w:rFonts w:ascii="Calibri" w:hAnsi="Calibri" w:eastAsia="宋体" w:cs="Times New Roman"/>
      <w:b/>
      <w:bCs/>
      <w:sz w:val="32"/>
      <w:szCs w:val="32"/>
    </w:rPr>
  </w:style>
  <w:style w:type="character" w:styleId="989" w:customStyle="1">
    <w:name w:val="标题 1 Char"/>
    <w:link w:val="960"/>
    <w:uiPriority w:val="99"/>
    <w:qFormat/>
    <w:rPr>
      <w:rFonts w:ascii="Calibri" w:hAnsi="Calibri" w:eastAsia="宋体" w:cs="Times New Roman"/>
      <w:b/>
      <w:bCs/>
      <w:sz w:val="44"/>
      <w:szCs w:val="44"/>
    </w:rPr>
  </w:style>
  <w:style w:type="character" w:styleId="990" w:customStyle="1">
    <w:name w:val="标题 2 Char"/>
    <w:link w:val="961"/>
    <w:uiPriority w:val="9"/>
    <w:qFormat/>
    <w:rPr>
      <w:rFonts w:ascii="Cambria" w:hAnsi="Cambria" w:eastAsia="宋体" w:cs="Times New Roman"/>
      <w:b/>
      <w:bCs/>
      <w:sz w:val="32"/>
      <w:szCs w:val="32"/>
    </w:rPr>
  </w:style>
  <w:style w:type="character" w:styleId="991" w:customStyle="1">
    <w:name w:val="正文缩进 Char"/>
    <w:link w:val="968"/>
    <w:uiPriority w:val="0"/>
    <w:qFormat/>
    <w:rPr>
      <w:rFonts w:ascii="Calibri" w:hAnsi="Calibri"/>
      <w:sz w:val="21"/>
      <w:szCs w:val="22"/>
    </w:rPr>
  </w:style>
  <w:style w:type="character" w:styleId="992" w:customStyle="1">
    <w:name w:val="标题 4 Char"/>
    <w:link w:val="963"/>
    <w:uiPriority w:val="0"/>
    <w:qFormat/>
    <w:rPr>
      <w:rFonts w:ascii="Arial" w:hAnsi="Arial" w:eastAsia="黑体" w:cs="Times New Roman"/>
      <w:b/>
      <w:bCs/>
      <w:sz w:val="28"/>
      <w:szCs w:val="28"/>
    </w:rPr>
  </w:style>
  <w:style w:type="character" w:styleId="993" w:customStyle="1">
    <w:name w:val="标题 8 Char"/>
    <w:basedOn w:val="965"/>
    <w:link w:val="964"/>
    <w:uiPriority w:val="99"/>
    <w:qFormat/>
    <w:rPr>
      <w:rFonts w:ascii="Cambria" w:hAnsi="Cambria" w:eastAsia="宋体" w:cs="Times New Roman"/>
      <w:sz w:val="24"/>
      <w:szCs w:val="24"/>
    </w:rPr>
  </w:style>
  <w:style w:type="character" w:styleId="994" w:customStyle="1">
    <w:name w:val="文档结构图 Char"/>
    <w:link w:val="967"/>
    <w:uiPriority w:val="99"/>
    <w:qFormat/>
    <w:rPr>
      <w:rFonts w:ascii="宋体"/>
      <w:sz w:val="18"/>
      <w:szCs w:val="18"/>
    </w:rPr>
  </w:style>
  <w:style w:type="character" w:styleId="995" w:customStyle="1">
    <w:name w:val="正文文本缩进 Char"/>
    <w:basedOn w:val="965"/>
    <w:link w:val="972"/>
    <w:uiPriority w:val="99"/>
    <w:semiHidden/>
    <w:qFormat/>
    <w:rPr>
      <w:sz w:val="21"/>
      <w:szCs w:val="22"/>
    </w:rPr>
  </w:style>
  <w:style w:type="character" w:styleId="996" w:customStyle="1">
    <w:name w:val="纯文本 Char"/>
    <w:link w:val="974"/>
    <w:uiPriority w:val="99"/>
    <w:qFormat/>
    <w:rPr>
      <w:rFonts w:ascii="宋体" w:hAnsi="Courier New"/>
    </w:rPr>
  </w:style>
  <w:style w:type="character" w:styleId="997" w:customStyle="1">
    <w:name w:val="日期 Char"/>
    <w:link w:val="975"/>
    <w:uiPriority w:val="0"/>
    <w:qFormat/>
    <w:rPr>
      <w:rFonts w:ascii="Times New Roman" w:hAnsi="Times New Roman"/>
      <w:sz w:val="24"/>
    </w:rPr>
  </w:style>
  <w:style w:type="character" w:styleId="998" w:customStyle="1">
    <w:name w:val="页脚 Char"/>
    <w:link w:val="978"/>
    <w:uiPriority w:val="99"/>
    <w:qFormat/>
    <w:rPr>
      <w:sz w:val="18"/>
      <w:szCs w:val="18"/>
    </w:rPr>
  </w:style>
  <w:style w:type="character" w:styleId="999" w:customStyle="1">
    <w:name w:val="页眉 Char"/>
    <w:link w:val="979"/>
    <w:uiPriority w:val="99"/>
    <w:qFormat/>
    <w:rPr>
      <w:sz w:val="18"/>
      <w:szCs w:val="18"/>
    </w:rPr>
  </w:style>
  <w:style w:type="character" w:styleId="1000" w:customStyle="1">
    <w:name w:val="正文文本 2 Char"/>
    <w:basedOn w:val="965"/>
    <w:link w:val="982"/>
    <w:uiPriority w:val="0"/>
    <w:qFormat/>
    <w:rPr>
      <w:rFonts w:ascii="宋体" w:eastAsia="仿宋"/>
      <w:sz w:val="28"/>
      <w:szCs w:val="21"/>
    </w:rPr>
  </w:style>
  <w:style w:type="character" w:styleId="1001" w:customStyle="1">
    <w:name w:val="正文首行缩进 2 Char"/>
    <w:basedOn w:val="995"/>
    <w:link w:val="984"/>
    <w:uiPriority w:val="99"/>
    <w:semiHidden/>
    <w:qFormat/>
    <w:rPr>
      <w:sz w:val="21"/>
      <w:szCs w:val="22"/>
    </w:rPr>
  </w:style>
  <w:style w:type="character" w:styleId="1002" w:customStyle="1">
    <w:name w:val="htd0"/>
    <w:uiPriority w:val="0"/>
    <w:qFormat/>
  </w:style>
  <w:style w:type="character" w:styleId="1003" w:customStyle="1">
    <w:name w:val="页脚 Char1"/>
    <w:uiPriority w:val="99"/>
    <w:semiHidden/>
    <w:qFormat/>
    <w:rPr>
      <w:sz w:val="18"/>
      <w:szCs w:val="18"/>
    </w:rPr>
  </w:style>
  <w:style w:type="character" w:styleId="1004" w:customStyle="1">
    <w:name w:val="纯文本 Char1"/>
    <w:uiPriority w:val="99"/>
    <w:semiHidden/>
    <w:qFormat/>
    <w:rPr>
      <w:rFonts w:ascii="宋体" w:hAnsi="Courier New" w:eastAsia="宋体" w:cs="Courier New"/>
      <w:szCs w:val="21"/>
    </w:rPr>
  </w:style>
  <w:style w:type="character" w:styleId="1005" w:customStyle="1">
    <w:name w:val="批注引用1"/>
    <w:link w:val="1006"/>
    <w:uiPriority w:val="0"/>
    <w:qFormat/>
    <w:rPr>
      <w:rFonts w:ascii="Calibri" w:hAnsi="Calibri"/>
      <w:sz w:val="21"/>
      <w:szCs w:val="24"/>
      <w:lang w:val="en-US" w:eastAsia="zh-CN" w:bidi="ar-SA"/>
    </w:rPr>
  </w:style>
  <w:style w:type="paragraph" w:styleId="1006" w:customStyle="1">
    <w:name w:val="正文111"/>
    <w:next w:val="1007"/>
    <w:link w:val="1005"/>
    <w:uiPriority w:val="0"/>
    <w:qFormat/>
    <w:pPr>
      <w:jc w:val="both"/>
      <w:widowControl w:val="off"/>
    </w:pPr>
    <w:rPr>
      <w:rFonts w:ascii="Calibri" w:hAnsi="Calibri" w:eastAsia="宋体" w:cs="Times New Roman"/>
      <w:sz w:val="21"/>
      <w:szCs w:val="24"/>
      <w:lang w:val="en-US" w:eastAsia="zh-CN" w:bidi="ar-SA"/>
    </w:rPr>
  </w:style>
  <w:style w:type="paragraph" w:styleId="1007" w:customStyle="1">
    <w:name w:val="文本块1"/>
    <w:basedOn w:val="1006"/>
    <w:uiPriority w:val="0"/>
    <w:qFormat/>
    <w:pPr>
      <w:ind w:left="567" w:right="454" w:firstLine="498"/>
      <w:jc w:val="left"/>
      <w:widowControl/>
    </w:pPr>
    <w:rPr>
      <w:rFonts w:ascii="仿宋_GB2312" w:eastAsia="仿宋_GB2312"/>
      <w:sz w:val="30"/>
      <w:szCs w:val="20"/>
    </w:rPr>
  </w:style>
  <w:style w:type="character" w:styleId="1008" w:customStyle="1">
    <w:name w:val="页眉 Char1"/>
    <w:uiPriority w:val="99"/>
    <w:semiHidden/>
    <w:qFormat/>
    <w:rPr>
      <w:sz w:val="18"/>
      <w:szCs w:val="18"/>
    </w:rPr>
  </w:style>
  <w:style w:type="character" w:styleId="1009" w:customStyle="1">
    <w:name w:val="日期 Char1"/>
    <w:uiPriority w:val="99"/>
    <w:semiHidden/>
    <w:qFormat/>
  </w:style>
  <w:style w:type="paragraph" w:styleId="1010" w:customStyle="1">
    <w:name w:val="一级条标题"/>
    <w:basedOn w:val="1011"/>
    <w:next w:val="101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11" w:customStyle="1">
    <w:name w:val="章标题"/>
    <w:next w:val="959"/>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012" w:customStyle="1">
    <w:name w:val="段"/>
    <w:basedOn w:val="1013"/>
    <w:next w:val="959"/>
    <w:uiPriority w:val="0"/>
    <w:qFormat/>
    <w:pPr>
      <w:ind w:firstLine="200"/>
      <w:widowControl/>
    </w:pPr>
    <w:rPr>
      <w:sz w:val="20"/>
    </w:rPr>
  </w:style>
  <w:style w:type="paragraph" w:styleId="1013" w:customStyle="1">
    <w:name w:val="正文1"/>
    <w:basedOn w:val="959"/>
    <w:next w:val="1014"/>
    <w:uiPriority w:val="0"/>
    <w:qFormat/>
    <w:pPr>
      <w:jc w:val="left"/>
      <w:spacing w:line="360" w:lineRule="atLeast"/>
    </w:pPr>
    <w:rPr>
      <w:rFonts w:ascii="宋体" w:hAnsi="Calibri"/>
      <w:sz w:val="24"/>
      <w:szCs w:val="20"/>
    </w:rPr>
  </w:style>
  <w:style w:type="paragraph" w:styleId="1014" w:customStyle="1">
    <w:name w:val="正文文本1"/>
    <w:basedOn w:val="1013"/>
    <w:next w:val="1010"/>
    <w:uiPriority w:val="0"/>
    <w:qFormat/>
    <w:pPr>
      <w:spacing w:after="120"/>
    </w:pPr>
    <w:rPr>
      <w:lang w:eastAsia="en-US"/>
    </w:rPr>
  </w:style>
  <w:style w:type="paragraph" w:styleId="1015" w:customStyle="1">
    <w:name w:val="纯文本1"/>
    <w:basedOn w:val="1006"/>
    <w:uiPriority w:val="0"/>
    <w:qFormat/>
    <w:rPr>
      <w:rFonts w:ascii="宋体" w:hAnsi="Courier New"/>
      <w:szCs w:val="21"/>
    </w:rPr>
  </w:style>
  <w:style w:type="paragraph" w:styleId="1016" w:customStyle="1">
    <w:name w:val="正文（缩进）"/>
    <w:basedOn w:val="959"/>
    <w:next w:val="959"/>
    <w:uiPriority w:val="0"/>
    <w:qFormat/>
    <w:pPr>
      <w:ind w:firstLine="480"/>
    </w:pPr>
    <w:rPr>
      <w:rFonts w:ascii="Calibri" w:hAnsi="Calibri"/>
      <w:szCs w:val="24"/>
    </w:rPr>
  </w:style>
  <w:style w:type="paragraph" w:styleId="1017" w:customStyle="1">
    <w:name w:val="页眉1"/>
    <w:basedOn w:val="1006"/>
    <w:uiPriority w:val="0"/>
    <w:qFormat/>
    <w:pPr>
      <w:jc w:val="center"/>
      <w:tabs>
        <w:tab w:val="center" w:pos="4153" w:leader="none"/>
        <w:tab w:val="right" w:pos="8306" w:leader="none"/>
      </w:tabs>
      <w:pBdr>
        <w:bottom w:val="single" w:color="000000" w:sz="6" w:space="1"/>
      </w:pBdr>
    </w:pPr>
    <w:rPr>
      <w:sz w:val="18"/>
      <w:szCs w:val="18"/>
    </w:rPr>
  </w:style>
  <w:style w:type="paragraph" w:styleId="1018" w:customStyle="1">
    <w:name w:val="普通正文"/>
    <w:basedOn w:val="959"/>
    <w:uiPriority w:val="0"/>
    <w:qFormat/>
    <w:pPr>
      <w:ind w:firstLine="480"/>
      <w:jc w:val="left"/>
      <w:spacing w:before="120" w:after="120" w:line="360" w:lineRule="auto"/>
    </w:pPr>
    <w:rPr>
      <w:rFonts w:ascii="Arial" w:hAnsi="Arial"/>
      <w:sz w:val="24"/>
      <w:szCs w:val="24"/>
    </w:rPr>
  </w:style>
  <w:style w:type="paragraph" w:styleId="1019" w:customStyle="1">
    <w:name w:val="默认段落字体 Para Char Char Char Char Char Char Char"/>
    <w:basedOn w:val="959"/>
    <w:next w:val="959"/>
    <w:uiPriority w:val="99"/>
    <w:qFormat/>
    <w:pPr>
      <w:ind w:firstLine="200"/>
    </w:pPr>
    <w:rPr>
      <w:rFonts w:ascii="Calibri" w:hAnsi="Calibri" w:cs="Arial"/>
      <w:szCs w:val="24"/>
    </w:rPr>
  </w:style>
  <w:style w:type="paragraph" w:styleId="1020" w:customStyle="1">
    <w:name w:val="Default"/>
    <w:uiPriority w:val="0"/>
    <w:qFormat/>
    <w:pPr>
      <w:widowControl w:val="off"/>
    </w:pPr>
    <w:rPr>
      <w:rFonts w:ascii="宋体" w:hAnsi="宋体" w:eastAsia="宋体" w:cs="Times New Roman"/>
      <w:color w:val="000000"/>
      <w:sz w:val="24"/>
      <w:szCs w:val="22"/>
      <w:lang w:val="en-US" w:eastAsia="zh-CN" w:bidi="ar-SA"/>
    </w:rPr>
  </w:style>
  <w:style w:type="paragraph" w:styleId="1021" w:customStyle="1">
    <w:name w:val="Char"/>
    <w:basedOn w:val="959"/>
    <w:uiPriority w:val="0"/>
    <w:qFormat/>
    <w:pPr>
      <w:ind w:firstLine="200"/>
      <w:tabs>
        <w:tab w:val="left" w:pos="360" w:leader="none"/>
      </w:tabs>
    </w:pPr>
    <w:rPr>
      <w:sz w:val="28"/>
      <w:szCs w:val="30"/>
    </w:rPr>
  </w:style>
  <w:style w:type="paragraph" w:styleId="1022">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1023"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1024" w:customStyle="1">
    <w:name w:val="正文_0_0"/>
    <w:uiPriority w:val="0"/>
    <w:qFormat/>
    <w:pPr>
      <w:jc w:val="both"/>
      <w:widowControl w:val="off"/>
    </w:pPr>
    <w:rPr>
      <w:rFonts w:ascii="Times New Roman" w:hAnsi="Times New Roman" w:eastAsia="宋体" w:cs="Times New Roman"/>
      <w:sz w:val="21"/>
      <w:szCs w:val="22"/>
      <w:lang w:val="en-US" w:eastAsia="zh-CN" w:bidi="ar-SA"/>
    </w:rPr>
  </w:style>
  <w:style w:type="paragraph" w:styleId="1025" w:customStyle="1">
    <w:name w:val="页脚1"/>
    <w:basedOn w:val="1006"/>
    <w:uiPriority w:val="0"/>
    <w:qFormat/>
    <w:pPr>
      <w:jc w:val="left"/>
      <w:tabs>
        <w:tab w:val="center" w:pos="4153" w:leader="none"/>
        <w:tab w:val="right" w:pos="8306" w:leader="none"/>
      </w:tabs>
    </w:pPr>
    <w:rPr>
      <w:sz w:val="18"/>
      <w:szCs w:val="18"/>
    </w:rPr>
  </w:style>
  <w:style w:type="paragraph" w:styleId="1026" w:customStyle="1">
    <w:name w:val="正文缩进 Char Char"/>
    <w:basedOn w:val="959"/>
    <w:uiPriority w:val="0"/>
    <w:qFormat/>
    <w:pPr>
      <w:ind w:left="1"/>
      <w:jc w:val="left"/>
      <w:spacing w:before="102" w:after="102" w:line="408" w:lineRule="auto"/>
    </w:pPr>
    <w:rPr>
      <w:rFonts w:ascii="宋体" w:hAnsi="宋体"/>
      <w:color w:val="000000"/>
      <w:sz w:val="24"/>
      <w:szCs w:val="20"/>
    </w:rPr>
  </w:style>
  <w:style w:type="table" w:styleId="1027" w:customStyle="1">
    <w:name w:val="Table Normal"/>
    <w:uiPriority w:val="0"/>
    <w:unhideWhenUsed/>
    <w:qFormat/>
    <w:tblPr>
      <w:tblCellMar>
        <w:left w:w="0" w:type="dxa"/>
        <w:top w:w="0" w:type="dxa"/>
        <w:right w:w="0" w:type="dxa"/>
        <w:bottom w:w="0" w:type="dxa"/>
      </w:tblCellMar>
    </w:tblPr>
  </w:style>
  <w:style w:type="paragraph" w:styleId="1028">
    <w:name w:val="List Paragraph"/>
    <w:basedOn w:val="959"/>
    <w:link w:val="1032"/>
    <w:uiPriority w:val="34"/>
    <w:qFormat/>
    <w:pPr>
      <w:ind w:firstLine="420"/>
      <w:jc w:val="left"/>
      <w:widowControl/>
    </w:pPr>
    <w:rPr>
      <w:rFonts w:ascii="宋体" w:hAnsi="宋体" w:cs="宋体"/>
      <w:sz w:val="24"/>
      <w:szCs w:val="24"/>
    </w:rPr>
  </w:style>
  <w:style w:type="character" w:styleId="1029" w:customStyle="1">
    <w:name w:val="批注框文本 Char"/>
    <w:basedOn w:val="965"/>
    <w:link w:val="977"/>
    <w:uiPriority w:val="99"/>
    <w:semiHidden/>
    <w:qFormat/>
    <w:rPr>
      <w:sz w:val="18"/>
      <w:szCs w:val="18"/>
    </w:rPr>
  </w:style>
  <w:style w:type="character" w:styleId="1030" w:customStyle="1">
    <w:name w:val="max-address"/>
    <w:basedOn w:val="965"/>
    <w:uiPriority w:val="0"/>
    <w:qFormat/>
  </w:style>
  <w:style w:type="character" w:styleId="1031" w:customStyle="1">
    <w:name w:val="页脚 字符"/>
    <w:uiPriority w:val="0"/>
    <w:qFormat/>
    <w:rPr>
      <w:rFonts w:eastAsia="Calibri"/>
      <w:sz w:val="18"/>
      <w:szCs w:val="18"/>
      <w:lang w:eastAsia="en-US"/>
    </w:rPr>
  </w:style>
  <w:style w:type="character" w:styleId="1032" w:customStyle="1">
    <w:name w:val="列出段落 Char"/>
    <w:link w:val="1028"/>
    <w:uiPriority w:val="34"/>
    <w:qFormat/>
    <w:rPr>
      <w:rFonts w:ascii="宋体" w:hAnsi="宋体" w:cs="宋体"/>
      <w:sz w:val="24"/>
      <w:szCs w:val="24"/>
    </w:rPr>
  </w:style>
  <w:style w:type="paragraph" w:styleId="1033" w:customStyle="1">
    <w:name w:val="纯文本11"/>
    <w:basedOn w:val="959"/>
    <w:uiPriority w:val="99"/>
    <w:qFormat/>
    <w:rPr>
      <w:rFonts w:ascii="宋体" w:hAnsi="Courier New"/>
      <w:sz w:val="20"/>
      <w:szCs w:val="21"/>
    </w:rPr>
  </w:style>
  <w:style w:type="numbering" w:styleId="103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蛋蛋。</dc:creator>
  <cp:lastModifiedBy>扬州市盛业工程咨询</cp:lastModifiedBy>
  <cp:revision>169</cp:revision>
  <dcterms:created xsi:type="dcterms:W3CDTF">2024-09-05T12:35:00Z</dcterms:created>
  <dcterms:modified xsi:type="dcterms:W3CDTF">2026-04-29T08:56:38Z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98DDCF2DBB544891A8FB411084576D05_13</vt:lpwstr>
  </property>
  <property fmtid="{D5CDD505-2E9C-101B-9397-08002B2CF9AE}" pid="4" name="KSOTemplateDocerSaveRecord">
    <vt:lpwstr>eyJoZGlkIjoiMDZhNTk5MjQzMjM1MzE3OTg5ZWVlMTdhMDI2ZDlkMTQiLCJ1c2VySWQiOiIxMTk5MDg2MTQ0In0=</vt:lpwstr>
  </property>
</Properties>
</file>