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苏州工业园区政府采购</w:t>
      </w:r>
      <w:r/>
    </w:p>
    <w:p>
      <w:pPr>
        <w:pStyle w:val="934"/>
        <w:jc w:val="center"/>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 </w:t>
      </w:r>
      <w:r>
        <w:rPr>
          <w:sz w:val="36"/>
          <w:szCs w:val="36"/>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竞争性谈判文件</w:t>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ind w:left="2904" w:hanging="1534"/>
        <w:spacing w:line="360" w:lineRule="auto"/>
        <w:rPr>
          <w:rFonts w:hint="eastAsia" w:eastAsia="宋体"/>
          <w:spacing w:val="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采购编号：</w:t>
      </w:r>
      <w:r>
        <w:rPr>
          <w:rFonts w:hint="eastAsia" w:ascii="宋体" w:hAnsi="宋体" w:eastAsia="宋体" w:cs="宋体"/>
          <w:b/>
          <w:color w:val="000000"/>
          <w:spacing w:val="0"/>
          <w:sz w:val="32"/>
          <w:lang w:eastAsia="zh-CN"/>
        </w:rPr>
        <w:t xml:space="preserve">JSZC-320591-HXZJ-T2026-0012</w:t>
      </w:r>
      <w:r>
        <w:rPr>
          <w:rFonts w:hint="eastAsia" w:eastAsia="宋体"/>
          <w:spacing w:val="0"/>
          <w:lang w:eastAsia="zh-CN"/>
        </w:rPr>
      </w:r>
      <w:r/>
    </w:p>
    <w:p>
      <w:pPr>
        <w:pStyle w:val="934"/>
        <w:ind w:left="2904" w:hanging="1534"/>
        <w:spacing w:line="360" w:lineRule="auto"/>
        <w:rPr>
          <w:rFonts w:hint="eastAsia" w:eastAsia="宋体"/>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采购名称：</w:t>
      </w:r>
      <w:r>
        <w:rPr>
          <w:rFonts w:hint="eastAsia" w:ascii="宋体" w:hAnsi="宋体" w:eastAsia="宋体" w:cs="宋体"/>
          <w:b/>
          <w:color w:val="000000"/>
          <w:spacing w:val="0"/>
          <w:sz w:val="32"/>
        </w:rPr>
        <w:t xml:space="preserve">2026年园区绿化养护应急服务</w:t>
      </w:r>
      <w:r>
        <w:rPr>
          <w:rFonts w:hint="eastAsia" w:eastAsia="宋体"/>
          <w:spacing w:val="0"/>
        </w:rPr>
      </w:r>
      <w:r/>
    </w:p>
    <w:p>
      <w:pPr>
        <w:pStyle w:val="934"/>
        <w:ind w:firstLine="1379"/>
        <w:spacing w:line="360" w:lineRule="auto"/>
        <w:rPr>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采购人：苏州工业园区综合行政执法局</w:t>
      </w:r>
      <w:r>
        <w:rPr>
          <w:spacing w:val="0"/>
        </w:rPr>
      </w:r>
      <w:r/>
    </w:p>
    <w:p>
      <w:pPr>
        <w:pStyle w:val="934"/>
        <w:ind w:firstLine="1379"/>
        <w:spacing w:line="360" w:lineRule="auto"/>
        <w:rPr>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32"/>
        </w:rPr>
        <w:t xml:space="preserve">采购类别：</w:t>
      </w:r>
      <w:r>
        <w:rPr>
          <w:rFonts w:hint="eastAsia" w:ascii="宋体" w:hAnsi="宋体" w:eastAsia="宋体" w:cs="宋体"/>
          <w:b/>
          <w:color w:val="000000"/>
          <w:spacing w:val="0"/>
          <w:sz w:val="32"/>
        </w:rPr>
        <w:t xml:space="preserve">服务</w:t>
      </w:r>
      <w:r>
        <w:rPr>
          <w:rFonts w:ascii="宋体" w:hAnsi="宋体" w:eastAsia="宋体" w:cs="宋体"/>
          <w:b/>
          <w:color w:val="000000"/>
          <w:spacing w:val="0"/>
          <w:sz w:val="32"/>
        </w:rPr>
        <w:t xml:space="preserve">类</w:t>
      </w:r>
      <w:r>
        <w:rPr>
          <w:spacing w:val="0"/>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34"/>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rFonts w:eastAsia="宋体"/>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2"/>
        </w:rPr>
        <w:t xml:space="preserve"> </w:t>
      </w:r>
      <w:r/>
    </w:p>
    <w:p>
      <w:pPr>
        <w:pStyle w:val="934"/>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苏州华星工程造价咨询有限公司</w:t>
      </w:r>
      <w:r/>
    </w:p>
    <w:p>
      <w:pPr>
        <w:pStyle w:val="934"/>
        <w:jc w:val="center"/>
        <w:spacing w:line="360" w:lineRule="auto"/>
        <w:rPr>
          <w:rFonts w:ascii="宋体" w:hAnsi="宋体" w:eastAsia="宋体" w:cs="宋体"/>
          <w:b/>
          <w:bCs/>
          <w:color w:val="000000"/>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二○二</w:t>
      </w:r>
      <w:r>
        <w:rPr>
          <w:rFonts w:hint="eastAsia" w:ascii="宋体" w:hAnsi="宋体" w:eastAsia="宋体" w:cs="宋体"/>
          <w:b/>
          <w:color w:val="000000"/>
          <w:sz w:val="32"/>
        </w:rPr>
        <w:t xml:space="preserve">六</w:t>
      </w:r>
      <w:r>
        <w:rPr>
          <w:rFonts w:ascii="宋体" w:hAnsi="宋体" w:eastAsia="宋体" w:cs="宋体"/>
          <w:b/>
          <w:color w:val="000000"/>
          <w:sz w:val="32"/>
        </w:rPr>
        <w:t xml:space="preserve">年</w:t>
      </w:r>
      <w:r>
        <w:rPr>
          <w:rFonts w:hint="eastAsia" w:ascii="宋体" w:hAnsi="宋体" w:eastAsia="宋体" w:cs="宋体"/>
          <w:b/>
          <w:color w:val="000000"/>
          <w:sz w:val="32"/>
        </w:rPr>
        <w:t xml:space="preserve">五</w:t>
      </w:r>
      <w:r>
        <w:rPr>
          <w:rFonts w:ascii="宋体" w:hAnsi="宋体" w:eastAsia="宋体" w:cs="宋体"/>
          <w:b/>
          <w:color w:val="000000"/>
          <w:sz w:val="32"/>
        </w:rPr>
        <w:t xml:space="preserve">月</w:t>
      </w:r>
      <w:r>
        <w:rPr>
          <w:rFonts w:ascii="宋体" w:hAnsi="宋体" w:eastAsia="宋体" w:cs="宋体"/>
          <w:b/>
          <w:bCs/>
          <w:color w:val="000000"/>
          <w:sz w:val="52"/>
          <w:szCs w:val="52"/>
        </w:rPr>
      </w:r>
      <w:r/>
    </w:p>
    <w:p>
      <w:pPr>
        <w:pStyle w:val="934"/>
        <w:jc w:val="center"/>
        <w:rPr>
          <w:rFonts w:ascii="宋体" w:hAnsi="宋体" w:eastAsia="宋体" w:cs="宋体"/>
          <w:b/>
          <w:color w:val="000000"/>
          <w:sz w:val="52"/>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418" w:right="1418" w:bottom="1418" w:left="1418" w:header="851" w:footer="992" w:gutter="0"/>
          <w:cols w:num="1" w:sep="0" w:space="1701" w:equalWidth="1"/>
          <w:docGrid w:linePitch="360"/>
        </w:sectPr>
      </w:pPr>
      <w:r>
        <w:rPr>
          <w:rFonts w:ascii="宋体" w:hAnsi="宋体" w:eastAsia="宋体" w:cs="宋体"/>
          <w:b/>
          <w:color w:val="000000"/>
          <w:sz w:val="52"/>
        </w:rPr>
      </w:r>
      <w:r/>
    </w:p>
    <w:p>
      <w:pPr>
        <w:pStyle w:val="934"/>
        <w:jc w:val="center"/>
        <w:rPr>
          <w:rFonts w:ascii="宋体" w:hAnsi="宋体" w:eastAsia="宋体" w:cs="宋体"/>
          <w:b/>
          <w:bCs/>
          <w:color w:val="000000"/>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目</w:t>
      </w:r>
      <w:r>
        <w:rPr>
          <w:rFonts w:hint="eastAsia" w:ascii="宋体" w:hAnsi="宋体" w:eastAsia="宋体" w:cs="宋体"/>
          <w:b/>
          <w:color w:val="000000"/>
          <w:sz w:val="52"/>
        </w:rPr>
        <w:t xml:space="preserve">  </w:t>
      </w:r>
      <w:r>
        <w:rPr>
          <w:rFonts w:ascii="宋体" w:hAnsi="宋体" w:eastAsia="宋体" w:cs="宋体"/>
          <w:b/>
          <w:color w:val="000000"/>
          <w:sz w:val="52"/>
        </w:rPr>
        <w:t xml:space="preserve">录</w:t>
      </w:r>
      <w:r>
        <w:rPr>
          <w:rFonts w:ascii="宋体" w:hAnsi="宋体" w:eastAsia="宋体" w:cs="宋体"/>
          <w:b/>
          <w:bCs/>
          <w:color w:val="000000"/>
          <w:sz w:val="52"/>
          <w:szCs w:val="52"/>
        </w:rPr>
      </w:r>
      <w:r/>
    </w:p>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_Toc23059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前附表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_Toc23059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_Toc27100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第一章 竞争性谈判公告</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_Toc27100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_Toc17346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第二章 谈判供应商须知</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_Toc17346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_Toc6722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第三章 响应文件格式</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_Toc6722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_Toc10842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1、法定代表人授权委托书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_Toc10842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_Toc16056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2、谈判响应承诺书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_Toc16056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_Toc30049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3、谈判报价表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_Toc30049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_Toc28944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4、</w:t>
      </w:r>
      <w:r>
        <w:rPr>
          <w:rFonts w:ascii="Times New Roman" w:hAnsi="Times New Roman" w:eastAsia="宋体" w:cs="Times New Roman"/>
          <w:sz w:val="24"/>
          <w:szCs w:val="24"/>
          <w:shd w:val="clear" w:color="auto" w:fill="ffffff"/>
        </w:rPr>
        <w:t xml:space="preserve">报价明细表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_Toc28944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_Toc28212 </w:instrText>
      </w:r>
      <w:r>
        <w:rPr>
          <w:rFonts w:ascii="Times New Roman" w:hAnsi="Times New Roman" w:cs="Times New Roman"/>
          <w:sz w:val="24"/>
          <w:szCs w:val="24"/>
        </w:rPr>
        <w:fldChar w:fldCharType="separate"/>
      </w:r>
      <w:r>
        <w:rPr>
          <w:rFonts w:ascii="Times New Roman" w:hAnsi="Times New Roman" w:eastAsia="宋体" w:cs="Times New Roman"/>
          <w:sz w:val="24"/>
          <w:szCs w:val="24"/>
          <w:shd w:val="clear" w:color="auto" w:fill="ffffff"/>
        </w:rPr>
        <w:t xml:space="preserve">5</w:t>
      </w:r>
      <w:r>
        <w:rPr>
          <w:rFonts w:ascii="Times New Roman" w:hAnsi="Times New Roman" w:eastAsia="宋体" w:cs="Times New Roman"/>
          <w:sz w:val="24"/>
          <w:szCs w:val="24"/>
          <w:highlight w:val="white"/>
        </w:rPr>
        <w:t xml:space="preserve">、商务条款偏离表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_Toc28212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_Toc30882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lang w:val="en-US" w:eastAsia="zh-CN"/>
        </w:rPr>
        <w:t xml:space="preserve">6</w:t>
      </w:r>
      <w:r>
        <w:rPr>
          <w:rFonts w:ascii="Times New Roman" w:hAnsi="Times New Roman" w:eastAsia="宋体" w:cs="Times New Roman"/>
          <w:sz w:val="24"/>
          <w:szCs w:val="24"/>
          <w:highlight w:val="white"/>
        </w:rPr>
        <w:t xml:space="preserve">、</w:t>
      </w:r>
      <w:r>
        <w:rPr>
          <w:rFonts w:ascii="Times New Roman" w:hAnsi="Times New Roman" w:eastAsia="宋体" w:cs="Times New Roman"/>
          <w:bCs/>
          <w:sz w:val="24"/>
          <w:szCs w:val="24"/>
          <w:lang w:val="en-US" w:eastAsia="zh-CN"/>
        </w:rPr>
        <w:t xml:space="preserve">服务</w:t>
      </w:r>
      <w:r>
        <w:rPr>
          <w:rFonts w:ascii="Times New Roman" w:hAnsi="Times New Roman" w:eastAsia="宋体" w:cs="Times New Roman"/>
          <w:bCs/>
          <w:sz w:val="24"/>
          <w:szCs w:val="24"/>
        </w:rPr>
        <w:t xml:space="preserve">和技术要求偏离表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_Toc30882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_Toc7288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7、拟投入项目组人员一览表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_Toc7288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29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_Toc19845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8</w:t>
      </w:r>
      <w:r>
        <w:rPr>
          <w:rFonts w:ascii="Times New Roman" w:hAnsi="Times New Roman" w:eastAsia="宋体" w:cs="Times New Roman"/>
          <w:sz w:val="24"/>
          <w:szCs w:val="24"/>
          <w:highlight w:val="white"/>
        </w:rPr>
        <w:t xml:space="preserve">、拟投入其他服务人员配备承诺书（作业人员）</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_Toc19845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_Toc29410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9、拟投入设备承诺书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_Toc29410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_Toc28327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10、拟投入人员不与其他项目重复承诺书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_Toc28327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_Toc14196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11、供应商类似业绩情况表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_Toc14196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_Toc27052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12、中小企业声明函</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_Toc27052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_Toc10844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13、残疾人福利性单位声明函</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_Toc10844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_Toc10934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14、资格证明文件</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_Toc10934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39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_Toc18713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15、供应商与其他单位存在直接控股、管理关系情况表</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_Toc18713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9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_Toc7049 </w:instrText>
      </w:r>
      <w:r>
        <w:rPr>
          <w:rFonts w:ascii="Times New Roman" w:hAnsi="Times New Roman" w:cs="Times New Roman"/>
          <w:sz w:val="24"/>
          <w:szCs w:val="24"/>
        </w:rPr>
        <w:fldChar w:fldCharType="separate"/>
      </w:r>
      <w:r>
        <w:rPr>
          <w:rFonts w:ascii="Times New Roman" w:hAnsi="Times New Roman" w:eastAsia="宋体" w:cs="Times New Roman"/>
          <w:sz w:val="24"/>
          <w:szCs w:val="24"/>
          <w:highlight w:val="white"/>
        </w:rPr>
        <w:t xml:space="preserve">1</w:t>
      </w:r>
      <w:r>
        <w:rPr>
          <w:rFonts w:ascii="Times New Roman" w:hAnsi="Times New Roman" w:eastAsia="宋体" w:cs="Times New Roman"/>
          <w:sz w:val="24"/>
          <w:szCs w:val="24"/>
          <w:highlight w:val="white"/>
          <w:lang w:val="en-US" w:eastAsia="zh-CN"/>
        </w:rPr>
        <w:t xml:space="preserve">6</w:t>
      </w:r>
      <w:r>
        <w:rPr>
          <w:rFonts w:ascii="Times New Roman" w:hAnsi="Times New Roman" w:eastAsia="宋体" w:cs="Times New Roman"/>
          <w:sz w:val="24"/>
          <w:szCs w:val="24"/>
          <w:highlight w:val="white"/>
        </w:rPr>
        <w:t xml:space="preserve">、</w:t>
      </w:r>
      <w:r>
        <w:rPr>
          <w:rFonts w:ascii="Times New Roman" w:hAnsi="Times New Roman" w:eastAsia="宋体" w:cs="Times New Roman"/>
          <w:sz w:val="24"/>
          <w:szCs w:val="24"/>
          <w:highlight w:val="white"/>
          <w:lang w:val="en-US" w:eastAsia="zh-CN"/>
        </w:rPr>
        <w:t xml:space="preserve">响应保证承诺书</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_Toc7049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_Toc14237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第四章 谈判采购内容</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_Toc14237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_Toc5284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第五章 合同条款</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_Toc5284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48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_Toc26485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第六章 评审办法</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_Toc26485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64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88"/>
        <w:keepLines w:val="0"/>
        <w:keepNext w:val="0"/>
        <w:pageBreakBefore w:val="0"/>
        <w:spacing w:line="360" w:lineRule="auto"/>
        <w:widowControl w:val="off"/>
        <w:tabs>
          <w:tab w:val="right" w:pos="9071" w:leader="dot"/>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\l _Toc30789 </w:instrText>
      </w:r>
      <w:r>
        <w:rPr>
          <w:rFonts w:ascii="Times New Roman" w:hAnsi="Times New Roman" w:cs="Times New Roman"/>
          <w:sz w:val="24"/>
          <w:szCs w:val="24"/>
        </w:rPr>
        <w:fldChar w:fldCharType="separate"/>
      </w:r>
      <w:r>
        <w:rPr>
          <w:rFonts w:ascii="Times New Roman" w:hAnsi="Times New Roman" w:eastAsia="宋体" w:cs="Times New Roman"/>
          <w:sz w:val="24"/>
          <w:szCs w:val="24"/>
        </w:rPr>
        <w:t xml:space="preserve">第七章 附件</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_Toc30789 \h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67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r>
      <w:r/>
    </w:p>
    <w:p>
      <w:pPr>
        <w:pStyle w:val="934"/>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fldChar w:fldCharType="end"/>
      </w:r>
      <w:r>
        <w:rPr>
          <w:rFonts w:eastAsia="Times New Roman"/>
          <w:color w:val="000000"/>
          <w:sz w:val="24"/>
        </w:rPr>
        <w:t xml:space="preserve"> </w:t>
      </w:r>
      <w:r/>
    </w:p>
    <w:p>
      <w:pPr>
        <w:pStyle w:val="935"/>
        <w:jc w:val="center"/>
        <w:spacing w:before="120" w:after="0" w:line="360" w:lineRule="auto"/>
        <w:rPr>
          <w:rFonts w:ascii="宋体" w:hAnsi="宋体" w:eastAsia="宋体" w:cs="宋体"/>
          <w:color w:val="000000"/>
          <w:sz w:val="52"/>
        </w:rPr>
        <w:pBdr>
          <w:top w:val="none" w:color="000000" w:sz="0" w:space="0"/>
          <w:left w:val="none" w:color="000000" w:sz="0" w:space="0"/>
          <w:bottom w:val="none" w:color="000000" w:sz="0" w:space="0"/>
          <w:right w:val="none" w:color="000000" w:sz="0" w:space="0"/>
        </w:pBdr>
        <w:sectPr>
          <w:footerReference w:type="default" r:id="rId20"/>
          <w:footnotePr/>
          <w:endnotePr/>
          <w:type w:val="nextPage"/>
          <w:pgSz w:w="11907" w:h="16840" w:orient="portrait"/>
          <w:pgMar w:top="1418" w:right="1418" w:bottom="1418" w:left="1418" w:header="851" w:footer="992" w:gutter="0"/>
          <w:cols w:num="1" w:sep="0" w:space="1701" w:equalWidth="1"/>
          <w:docGrid w:linePitch="360"/>
        </w:sectPr>
      </w:pPr>
      <w:r>
        <w:rPr>
          <w:rFonts w:ascii="宋体" w:hAnsi="宋体" w:eastAsia="宋体" w:cs="宋体"/>
          <w:color w:val="000000"/>
          <w:sz w:val="52"/>
        </w:rPr>
      </w:r>
      <w:r/>
    </w:p>
    <w:p>
      <w:pPr>
        <w:pStyle w:val="935"/>
        <w:jc w:val="center"/>
        <w:spacing w:before="120" w:after="0" w:line="360" w:lineRule="auto"/>
        <w:rPr>
          <w:rFonts w:ascii="宋体" w:hAnsi="宋体" w:eastAsia="宋体" w:cs="宋体"/>
          <w:color w:val="000000"/>
          <w:sz w:val="52"/>
        </w:rPr>
        <w:pBdr>
          <w:top w:val="none" w:color="000000" w:sz="0" w:space="0"/>
          <w:left w:val="none" w:color="000000" w:sz="0" w:space="0"/>
          <w:bottom w:val="none" w:color="000000" w:sz="0" w:space="0"/>
          <w:right w:val="none" w:color="000000" w:sz="0" w:space="0"/>
        </w:pBdr>
      </w:pPr>
      <w:r/>
      <w:bookmarkStart w:id="0" w:name="_Toc23059"/>
      <w:r>
        <w:rPr>
          <w:rFonts w:ascii="宋体" w:hAnsi="宋体" w:eastAsia="宋体" w:cs="宋体"/>
          <w:color w:val="000000"/>
          <w:sz w:val="52"/>
        </w:rPr>
        <w:t xml:space="preserve">前附表</w:t>
      </w:r>
      <w:bookmarkEnd w:id="0"/>
      <w:r>
        <w:rPr>
          <w:rFonts w:ascii="宋体" w:hAnsi="宋体" w:eastAsia="宋体" w:cs="宋体"/>
          <w:color w:val="000000"/>
          <w:sz w:val="52"/>
        </w:rPr>
      </w:r>
      <w:r/>
    </w:p>
    <w:tbl>
      <w:tblPr>
        <w:tblW w:w="0" w:type="auto"/>
        <w:tblInd w:w="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7906"/>
      </w:tblGrid>
      <w:tr>
        <w:trPr>
          <w:trHeight w:val="495"/>
        </w:trPr>
        <w:tc>
          <w:tcPr>
            <w:tcMar>
              <w:left w:w="108" w:type="dxa"/>
              <w:top w:w="0" w:type="dxa"/>
              <w:right w:w="108" w:type="dxa"/>
              <w:bottom w:w="0" w:type="dxa"/>
            </w:tcMar>
            <w:tcW w:w="1190" w:type="dxa"/>
            <w:vAlign w:val="center"/>
            <w:textDirection w:val="lrTb"/>
            <w:noWrap w:val="false"/>
          </w:tcPr>
          <w:p>
            <w:pPr>
              <w:pStyle w:val="934"/>
              <w:jc w:val="center"/>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项号</w:t>
            </w:r>
            <w:r/>
          </w:p>
        </w:tc>
        <w:tc>
          <w:tcPr>
            <w:tcMar>
              <w:top w:w="0" w:type="dxa"/>
              <w:bottom w:w="0" w:type="dxa"/>
            </w:tcMar>
            <w:tcW w:w="7906" w:type="dxa"/>
            <w:vAlign w:val="center"/>
            <w:textDirection w:val="lrTb"/>
            <w:noWrap w:val="false"/>
          </w:tcPr>
          <w:p>
            <w:pPr>
              <w:pStyle w:val="934"/>
              <w:jc w:val="center"/>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top w:w="0" w:type="dxa"/>
              <w:bottom w:w="0" w:type="dxa"/>
            </w:tcMar>
            <w:tcW w:w="7906" w:type="dxa"/>
            <w:vAlign w:val="center"/>
            <w:textDirection w:val="lrTb"/>
            <w:noWrap w:val="false"/>
          </w:tcPr>
          <w:p>
            <w:pPr>
              <w:pStyle w:val="934"/>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采购内容：</w:t>
            </w:r>
            <w:r>
              <w:rPr>
                <w:rFonts w:hint="eastAsia" w:ascii="宋体" w:hAnsi="宋体" w:eastAsia="宋体" w:cs="宋体"/>
                <w:color w:val="000000"/>
                <w:sz w:val="24"/>
              </w:rPr>
              <w:t xml:space="preserve">2026年园区绿化养护应急服务</w:t>
            </w:r>
            <w:r>
              <w:rPr>
                <w:rFonts w:hint="eastAsia" w:eastAsia="宋体"/>
              </w:rPr>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标段数：</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个标段</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响应文件有效期为</w:t>
            </w:r>
            <w:r>
              <w:rPr>
                <w:rFonts w:hint="eastAsia" w:ascii="宋体" w:hAnsi="宋体" w:eastAsia="宋体" w:cs="宋体"/>
                <w:color w:val="000000"/>
                <w:sz w:val="24"/>
              </w:rPr>
              <w:t xml:space="preserve">9</w:t>
            </w:r>
            <w:r>
              <w:rPr>
                <w:rFonts w:ascii="宋体" w:hAnsi="宋体" w:eastAsia="宋体" w:cs="宋体"/>
                <w:color w:val="000000"/>
                <w:sz w:val="24"/>
              </w:rPr>
              <w:t xml:space="preserve">0天（日历日）</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谈判保证金：不提交，本项目谈判文件内关于谈判保证金的相关规定均不适用。</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现场考察：不组织，自行考察</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资金来源：财政资金</w:t>
            </w:r>
            <w:r/>
          </w:p>
        </w:tc>
      </w:tr>
      <w:tr>
        <w:trPr>
          <w:trHeight w:val="1744"/>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w:t>
            </w:r>
            <w:r>
              <w:rPr>
                <w:rFonts w:ascii="宋体" w:hAnsi="宋体" w:eastAsia="宋体" w:cs="宋体"/>
                <w:color w:val="000000"/>
                <w:sz w:val="24"/>
                <w:szCs w:val="24"/>
              </w:rPr>
              <w:t xml:space="preserve">金：</w:t>
            </w:r>
            <w:r>
              <w:rPr>
                <w:rFonts w:hint="eastAsia" w:ascii="宋体" w:hAnsi="宋体" w:eastAsia="宋体"/>
                <w:sz w:val="24"/>
                <w:szCs w:val="24"/>
                <w:shd w:val="clear" w:color="auto" w:fill="ffffff"/>
              </w:rPr>
              <w:t xml:space="preserve">成交金额的5%。</w:t>
            </w:r>
            <w:r>
              <w:rPr>
                <w:rFonts w:hint="eastAsia" w:ascii="宋体" w:hAnsi="宋体" w:eastAsia="宋体"/>
                <w:b/>
                <w:bCs/>
                <w:sz w:val="24"/>
                <w:szCs w:val="24"/>
                <w:shd w:val="clear" w:color="auto" w:fill="ffffff"/>
              </w:rPr>
              <w:t xml:space="preserve">（可提供符合《关于在全省政府采购领域推行电子履约保函（保险）的通知》（苏财购〔2023〕150 号）要求的电子履约保函，履约保函的金额、担保方式等实质性内容需满足采购文件附件《履约保函》的要求，否则采购人不予认可，由此带来的后果均由成交供应商承担。）</w:t>
            </w:r>
            <w:r/>
          </w:p>
        </w:tc>
      </w:tr>
      <w:tr>
        <w:trPr>
          <w:trHeight w:val="495"/>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谈判响应文件提交、上传截止时间：</w:t>
            </w:r>
            <w:r/>
          </w:p>
          <w:p>
            <w:pPr>
              <w:pStyle w:val="934"/>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本项目为不见面开标项目，开标阶段供应商在【供应商解密】环节必须使用 CA证书解密电子投标（响应）文件，如在系统规定的解密时间内未能完成解密的视为放弃投标（响应）。</w:t>
            </w:r>
            <w:r/>
          </w:p>
          <w:p>
            <w:pPr>
              <w:pStyle w:val="934"/>
              <w:ind w:firstLine="48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请供应商确保电脑、系统及其他设备（视频输入输出设备等）无误，且开启直至项目结束始终保持系统在线状态。</w:t>
            </w:r>
            <w:r/>
          </w:p>
        </w:tc>
      </w:tr>
      <w:tr>
        <w:trPr>
          <w:trHeight w:val="789"/>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谈判响应文件开启时间：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谈判地点：“苏采云”系统</w:t>
            </w:r>
            <w:r/>
          </w:p>
        </w:tc>
      </w:tr>
      <w:tr>
        <w:trPr>
          <w:trHeight w:val="1110"/>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询问：获取谈判文件成功的谈判供应商在下载谈判文件后，对谈判文件有疑问的，可通过邮件（</w:t>
            </w:r>
            <w:r>
              <w:rPr>
                <w:rFonts w:hint="eastAsia" w:ascii="宋体" w:hAnsi="宋体" w:eastAsia="宋体" w:cs="宋体"/>
                <w:color w:val="000000"/>
                <w:sz w:val="24"/>
                <w:lang w:val="en-US" w:eastAsia="zh-CN"/>
              </w:rPr>
              <w:t xml:space="preserve">hxzbdl</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126</w:t>
            </w:r>
            <w:r>
              <w:rPr>
                <w:rFonts w:ascii="宋体" w:hAnsi="宋体" w:eastAsia="宋体" w:cs="宋体"/>
                <w:color w:val="000000"/>
                <w:sz w:val="24"/>
              </w:rPr>
              <w:t xml:space="preserve">.com）进行询问。采购代理机构通过邮件予以解答，询问人自行在邮件中查看解答信息。</w:t>
            </w:r>
            <w:r/>
          </w:p>
        </w:tc>
      </w:tr>
      <w:tr>
        <w:trPr>
          <w:trHeight w:val="506"/>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认为本谈判文件条款使自己的权益受到损害的，应在知道或者应知权益受到损害之日起七个工作日内，以书面形式向采购代理机构提出质疑。采购代理机构应当在收到谈判供应商书面质疑后七个工作日内作出答复。质疑应符合政府采购质疑和投诉办法(中华人民共和国财政部令第94号)。</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依照采购公告要求获取谈判文件的谈判供应商，视为未参加该项政府采购活动，不具备对该项目提出质疑的法定权利。但因谈判供应商资格条件或获取时间设定不符合有关法律法规规定等原因使谈判供应商权益受损的除外。</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谈判供应商如对本项目提出质疑须在法定质疑期内一次性提出针对同一采购程序环节的质疑。</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接受质疑函的方式：当场送达或邮寄方式。</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联系单位：苏州华星工程造价咨询有限公司</w:t>
            </w:r>
            <w:r/>
          </w:p>
          <w:p>
            <w:pPr>
              <w:pStyle w:val="934"/>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收件人：</w:t>
            </w:r>
            <w:r>
              <w:rPr>
                <w:rFonts w:hint="eastAsia" w:ascii="宋体" w:hAnsi="宋体" w:eastAsia="宋体" w:cs="宋体"/>
                <w:color w:val="000000"/>
                <w:sz w:val="24"/>
                <w:lang w:eastAsia="zh-CN"/>
              </w:rPr>
              <w:t xml:space="preserve">周燕萍</w:t>
            </w:r>
            <w:r>
              <w:rPr>
                <w:rFonts w:hint="eastAsia" w:eastAsia="宋体"/>
                <w:lang w:eastAsia="zh-CN"/>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联系电话：0512-65200462</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通讯地址：苏州工业园区苏雅路388号新天翔商业广场A座12楼1206室</w:t>
            </w:r>
            <w:r/>
          </w:p>
        </w:tc>
      </w:tr>
      <w:tr>
        <w:trPr>
          <w:trHeight w:val="5791"/>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top w:w="0" w:type="dxa"/>
              <w:bottom w:w="0" w:type="dxa"/>
            </w:tcMar>
            <w:tcW w:w="7906" w:type="dxa"/>
            <w:vAlign w:val="center"/>
            <w:textDirection w:val="lrTb"/>
            <w:noWrap w:val="false"/>
          </w:tcPr>
          <w:p>
            <w:pPr>
              <w:pStyle w:val="934"/>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代理服务费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4"/>
              </w:rPr>
              <w:t xml:space="preserve">¨</w:t>
            </w:r>
            <w:r>
              <w:rPr>
                <w:rFonts w:hint="eastAsia" w:ascii="宋体" w:hAnsi="宋体" w:eastAsia="宋体" w:cs="宋体"/>
                <w:color w:val="000000"/>
                <w:sz w:val="24"/>
              </w:rPr>
              <w:t xml:space="preserve">由采购人承担并直接支付，采购文件中有关代理服务费的规定均不适用。</w:t>
            </w:r>
            <w:r>
              <w:rPr>
                <w:rFonts w:ascii="宋体" w:hAnsi="宋体" w:eastAsia="宋体" w:cs="宋体"/>
                <w:color w:val="000000"/>
                <w:sz w:val="24"/>
              </w:rPr>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4"/>
              </w:rPr>
              <w:t xml:space="preserve">þ</w:t>
            </w:r>
            <w:r>
              <w:rPr>
                <w:rFonts w:hint="eastAsia" w:ascii="宋体" w:hAnsi="宋体" w:eastAsia="宋体" w:cs="宋体"/>
                <w:color w:val="000000"/>
                <w:sz w:val="24"/>
              </w:rPr>
              <w:t xml:space="preserve">由中标（成交）供应商承担并支付：</w:t>
            </w:r>
            <w:r>
              <w:rPr>
                <w:rFonts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rPr>
                <w:rFonts w:hint="eastAsia"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代理服务费按以下收费标</w:t>
            </w:r>
            <w:r>
              <w:rPr>
                <w:rFonts w:ascii="宋体" w:hAnsi="宋体" w:eastAsia="宋体" w:cs="宋体"/>
                <w:color w:val="000000"/>
                <w:sz w:val="24"/>
              </w:rPr>
              <w:t xml:space="preserve">准*60%收取，由成交供应商在领取成交通知书时付清：</w:t>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预算金额100万元以下部分，费率为该部分预算金额的1.5%；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预算金额100万元（含）－500万元部分，费率为该部分预算金额的0.8%；</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预算金额500万元（含）-1000万元部分，费率为该部分预算金额的0.45%；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预算金额1000万元（含）-5000万元部分，费率为该部分预算金额的0.25%；</w:t>
            </w:r>
            <w:r>
              <w:rPr>
                <w:rFonts w:hint="eastAsia" w:ascii="宋体" w:hAnsi="宋体" w:eastAsia="宋体" w:cs="宋体"/>
                <w:color w:val="000000"/>
                <w:sz w:val="24"/>
              </w:rPr>
            </w:r>
            <w:r/>
          </w:p>
          <w:p>
            <w:pPr>
              <w:pStyle w:val="934"/>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预算金额5000万元（含）-10000万元部分，费率为该部分预算金额的0.1%；</w:t>
            </w:r>
            <w:r>
              <w:rPr>
                <w:rFonts w:hint="eastAsia"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预算金额10000万元以上部分，费率为该部分预算金额的0.05%。</w:t>
            </w:r>
            <w:r>
              <w:rPr>
                <w:rFonts w:ascii="宋体" w:hAnsi="宋体" w:eastAsia="宋体" w:cs="宋体"/>
                <w:color w:val="000000"/>
                <w:sz w:val="24"/>
              </w:rPr>
              <w:t xml:space="preserve"> </w:t>
            </w:r>
            <w:r/>
          </w:p>
          <w:p>
            <w:pPr>
              <w:pStyle w:val="934"/>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说明：代理服务费以采购预算金额为基数依据，按以上规定的标准和差额定率累进法进行计算收取。 例：如预算金额为 150 万元，则代理服务费＝[100 万元以下部</w:t>
            </w:r>
            <w:r>
              <w:rPr>
                <w:rFonts w:ascii="宋体" w:hAnsi="宋体" w:eastAsia="宋体" w:cs="宋体"/>
                <w:color w:val="000000"/>
                <w:sz w:val="24"/>
              </w:rPr>
              <w:t xml:space="preserve">分×1.5%＋（150 万元－100 万元以下 部分）×0.8%]×0.6。如按上述方法计算的金额低于人民币 3000 元整的，则本项目代理服务费按人民币 3000 元整计收。</w:t>
            </w:r>
            <w:r>
              <w:rPr>
                <w:rFonts w:ascii="宋体" w:hAnsi="宋体" w:eastAsia="宋体" w:cs="宋体"/>
                <w:color w:val="000000"/>
                <w:sz w:val="2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本项目代理费金额：</w:t>
            </w:r>
            <w:r>
              <w:rPr>
                <w:rFonts w:hint="eastAsia" w:ascii="宋体" w:hAnsi="宋体" w:eastAsia="宋体" w:cs="宋体"/>
                <w:color w:val="000000"/>
                <w:sz w:val="24"/>
              </w:rPr>
              <w:t xml:space="preserve">17784</w:t>
            </w:r>
            <w:r>
              <w:rPr>
                <w:rFonts w:ascii="宋体" w:hAnsi="宋体" w:eastAsia="宋体" w:cs="宋体"/>
                <w:color w:val="000000"/>
                <w:sz w:val="24"/>
              </w:rPr>
              <w:t xml:space="preserve">元。</w:t>
            </w:r>
            <w:r/>
          </w:p>
        </w:tc>
      </w:tr>
      <w:tr>
        <w:trPr>
          <w:trHeight w:val="2396"/>
        </w:trPr>
        <w:tc>
          <w:tcPr>
            <w:tcMar>
              <w:left w:w="108" w:type="dxa"/>
              <w:top w:w="0" w:type="dxa"/>
              <w:right w:w="108" w:type="dxa"/>
              <w:bottom w:w="0" w:type="dxa"/>
            </w:tcMar>
            <w:tcW w:w="1190"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Mar>
              <w:top w:w="0" w:type="dxa"/>
              <w:bottom w:w="0" w:type="dxa"/>
            </w:tcMar>
            <w:tcW w:w="7906" w:type="dxa"/>
            <w:vAlign w:val="center"/>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1、本项目支持网上不见面开标，供应商不需到现场参加谈判。</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934"/>
        <w:jc w:val="center"/>
        <w:pBdr>
          <w:top w:val="none" w:color="000000" w:sz="0" w:space="0"/>
          <w:left w:val="none" w:color="000000" w:sz="0" w:space="0"/>
          <w:bottom w:val="none" w:color="000000" w:sz="0" w:space="0"/>
          <w:right w:val="none" w:color="000000" w:sz="0" w:space="0"/>
        </w:pBdr>
      </w:pPr>
      <w:r/>
      <w:r/>
    </w:p>
    <w:p>
      <w:pPr>
        <w:pStyle w:val="934"/>
        <w:jc w:val="center"/>
        <w:pBdr>
          <w:top w:val="none" w:color="000000" w:sz="0" w:space="0"/>
          <w:left w:val="none" w:color="000000" w:sz="0" w:space="0"/>
          <w:bottom w:val="none" w:color="000000" w:sz="0" w:space="0"/>
          <w:right w:val="none" w:color="000000" w:sz="0" w:space="0"/>
        </w:pBdr>
      </w:p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1" w:name="_Toc27100"/>
      <w:r>
        <w:rPr>
          <w:rFonts w:ascii="宋体" w:hAnsi="宋体" w:eastAsia="宋体" w:cs="宋体"/>
          <w:color w:val="000000"/>
          <w:szCs w:val="44"/>
        </w:rPr>
        <w:t xml:space="preserve">第一章</w:t>
      </w:r>
      <w:r>
        <w:rPr>
          <w:rFonts w:hint="eastAsia" w:ascii="宋体" w:hAnsi="宋体" w:eastAsia="宋体" w:cs="宋体"/>
          <w:color w:val="000000"/>
          <w:szCs w:val="44"/>
        </w:rPr>
        <w:t xml:space="preserve"> </w:t>
      </w:r>
      <w:r>
        <w:rPr>
          <w:rFonts w:ascii="宋体" w:hAnsi="宋体" w:eastAsia="宋体" w:cs="宋体"/>
          <w:color w:val="000000"/>
          <w:szCs w:val="44"/>
        </w:rPr>
        <w:t xml:space="preserve">竞争性谈判公告</w:t>
      </w:r>
      <w:bookmarkEnd w:id="1"/>
      <w:r>
        <w:rPr>
          <w:rFonts w:ascii="宋体" w:hAnsi="宋体" w:eastAsia="宋体" w:cs="宋体"/>
          <w:color w:val="000000"/>
          <w:szCs w:val="44"/>
        </w:rPr>
      </w:r>
      <w:r/>
    </w:p>
    <w:p>
      <w:pPr>
        <w:pStyle w:val="934"/>
        <w:spacing w:line="360" w:lineRule="auto"/>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pStyle w:val="934"/>
        <w:ind w:firstLine="480"/>
        <w:spacing w:line="360" w:lineRule="auto"/>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rPr>
        <w:t xml:space="preserve">2026年园区绿化养护应急服务</w:t>
      </w:r>
      <w:r>
        <w:rPr>
          <w:rFonts w:hint="eastAsia" w:ascii="宋体" w:hAnsi="宋体" w:eastAsia="宋体" w:cs="宋体"/>
          <w:color w:val="000000"/>
          <w:sz w:val="24"/>
          <w:lang w:eastAsia="zh-CN"/>
        </w:rPr>
        <w:t xml:space="preserve">JSZC-320591-HXZJ-T2026-0012</w:t>
      </w:r>
      <w:r>
        <w:rPr>
          <w:rFonts w:ascii="宋体" w:hAnsi="宋体" w:eastAsia="宋体" w:cs="宋体"/>
          <w:color w:val="000000"/>
          <w:sz w:val="24"/>
        </w:rPr>
        <w:t xml:space="preserve">采购项目的潜在供应商应在苏采云系统获取采购文件，并于</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05月29日14:00</w:t>
      </w:r>
      <w:r>
        <w:rPr>
          <w:rFonts w:ascii="宋体" w:hAnsi="宋体" w:eastAsia="宋体" w:cs="宋体"/>
          <w:color w:val="000000"/>
          <w:sz w:val="24"/>
        </w:rPr>
        <w:t xml:space="preserve">（北京时间）前提交响应文件。</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pStyle w:val="934"/>
        <w:ind w:firstLine="48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w:t>
      </w:r>
      <w:r>
        <w:rPr>
          <w:rFonts w:hint="eastAsia" w:ascii="宋体" w:hAnsi="宋体" w:eastAsia="宋体" w:cs="宋体"/>
          <w:color w:val="000000"/>
          <w:sz w:val="24"/>
          <w:lang w:eastAsia="zh-CN"/>
        </w:rPr>
        <w:t xml:space="preserve">JSZC-320591-HXZJ-T2026-0012</w:t>
      </w:r>
      <w:r>
        <w:rPr>
          <w:rFonts w:hint="eastAsia" w:eastAsia="宋体"/>
          <w:lang w:eastAsia="zh-CN"/>
        </w:rPr>
      </w:r>
      <w:r/>
    </w:p>
    <w:p>
      <w:pPr>
        <w:pStyle w:val="934"/>
        <w:ind w:firstLine="480"/>
        <w:spacing w:line="360" w:lineRule="auto"/>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rPr>
        <w:t xml:space="preserve">2026年园区绿化养护应急服务</w:t>
      </w:r>
      <w:r>
        <w:rPr>
          <w:rFonts w:hint="eastAsia" w:eastAsia="宋体"/>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采购方式：竞争性谈判</w:t>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w:t>
      </w:r>
      <w:r>
        <w:rPr>
          <w:rFonts w:hint="eastAsia" w:ascii="宋体" w:hAnsi="宋体" w:eastAsia="宋体" w:cs="宋体"/>
          <w:color w:val="000000"/>
          <w:sz w:val="24"/>
        </w:rPr>
        <w:t xml:space="preserve">金额</w:t>
      </w:r>
      <w:r>
        <w:rPr>
          <w:rFonts w:ascii="宋体" w:hAnsi="宋体" w:eastAsia="宋体" w:cs="宋体"/>
          <w:color w:val="000000"/>
          <w:sz w:val="24"/>
        </w:rPr>
        <w:t xml:space="preserve">：</w:t>
      </w:r>
      <w:r>
        <w:rPr>
          <w:rFonts w:hint="eastAsia" w:ascii="宋体" w:hAnsi="宋体" w:eastAsia="宋体" w:cs="宋体"/>
          <w:color w:val="000000"/>
          <w:sz w:val="24"/>
        </w:rPr>
        <w:t xml:space="preserve">人民币</w:t>
      </w:r>
      <w:r>
        <w:rPr>
          <w:rFonts w:ascii="宋体" w:hAnsi="宋体" w:eastAsia="宋体" w:cs="宋体"/>
          <w:color w:val="000000"/>
          <w:sz w:val="24"/>
        </w:rPr>
        <w:t xml:space="preserve">（大写）</w:t>
      </w:r>
      <w:r>
        <w:rPr>
          <w:rFonts w:hint="eastAsia" w:ascii="宋体" w:hAnsi="宋体" w:eastAsia="宋体" w:cs="宋体"/>
          <w:color w:val="000000"/>
          <w:sz w:val="24"/>
        </w:rPr>
        <w:t xml:space="preserve">贰佰捌拾叁万元整，人民币</w:t>
      </w:r>
      <w:r>
        <w:rPr>
          <w:rFonts w:ascii="宋体" w:hAnsi="宋体" w:eastAsia="宋体" w:cs="宋体"/>
          <w:color w:val="000000"/>
          <w:sz w:val="24"/>
        </w:rPr>
        <w:t xml:space="preserve">（小写）</w:t>
      </w:r>
      <w:r>
        <w:rPr>
          <w:rFonts w:hint="eastAsia" w:ascii="宋体" w:hAnsi="宋体" w:eastAsia="宋体" w:cs="宋体"/>
          <w:color w:val="000000"/>
          <w:sz w:val="24"/>
        </w:rPr>
        <w:t xml:space="preserve">￥2,830,000.00</w:t>
      </w:r>
      <w:r>
        <w:rPr>
          <w:rFonts w:hint="eastAsia" w:ascii="宋体" w:hAnsi="宋体" w:eastAsia="宋体" w:cs="宋体"/>
          <w:color w:val="000000"/>
          <w:sz w:val="24"/>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eastAsia="宋体" w:cs="宋体"/>
          <w:color w:val="000000"/>
          <w:sz w:val="24"/>
        </w:rPr>
        <w:t xml:space="preserve">同预算金额</w:t>
      </w:r>
      <w:r>
        <w:rPr>
          <w:rFonts w:hint="eastAsia" w:ascii="宋体" w:hAnsi="宋体" w:eastAsia="宋体" w:cs="宋体"/>
          <w:color w:val="000000"/>
          <w:sz w:val="24"/>
        </w:rPr>
      </w:r>
      <w:r/>
    </w:p>
    <w:p>
      <w:pPr>
        <w:pStyle w:val="934"/>
        <w:ind w:firstLine="48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ascii="宋体" w:hAnsi="宋体" w:eastAsia="宋体" w:cs="宋体"/>
          <w:color w:val="000000"/>
          <w:sz w:val="24"/>
        </w:rPr>
      </w:r>
      <w:r/>
    </w:p>
    <w:tbl>
      <w:tblPr>
        <w:tblW w:w="9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515"/>
        <w:gridCol w:w="5567"/>
      </w:tblGrid>
      <w:tr>
        <w:trPr>
          <w:trHeight w:val="463"/>
        </w:trPr>
        <w:tc>
          <w:tcPr>
            <w:tcW w:w="856"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序号</w:t>
            </w:r>
            <w:r>
              <w:rPr>
                <w:rFonts w:ascii="宋体" w:hAnsi="宋体" w:eastAsia="宋体" w:cs="宋体"/>
                <w:sz w:val="24"/>
                <w:szCs w:val="24"/>
              </w:rPr>
            </w:r>
            <w:r/>
          </w:p>
        </w:tc>
        <w:tc>
          <w:tcPr>
            <w:tcW w:w="1075"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标段</w:t>
            </w:r>
            <w:r>
              <w:rPr>
                <w:rFonts w:ascii="宋体" w:hAnsi="宋体" w:eastAsia="宋体" w:cs="宋体"/>
                <w:sz w:val="24"/>
                <w:szCs w:val="24"/>
              </w:rPr>
            </w:r>
            <w:r/>
          </w:p>
        </w:tc>
        <w:tc>
          <w:tcPr>
            <w:tcW w:w="1515"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所属街道</w:t>
            </w:r>
            <w:r>
              <w:rPr>
                <w:rFonts w:ascii="宋体" w:hAnsi="宋体" w:eastAsia="宋体" w:cs="宋体"/>
                <w:sz w:val="24"/>
                <w:szCs w:val="24"/>
              </w:rPr>
            </w:r>
            <w:r/>
          </w:p>
        </w:tc>
        <w:tc>
          <w:tcPr>
            <w:tcW w:w="5567"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b/>
                <w:bCs/>
                <w:sz w:val="24"/>
                <w:szCs w:val="24"/>
              </w:rPr>
              <w:t xml:space="preserve">服务范围</w:t>
            </w:r>
            <w:r>
              <w:rPr>
                <w:rFonts w:ascii="宋体" w:hAnsi="宋体" w:eastAsia="宋体" w:cs="宋体"/>
                <w:sz w:val="24"/>
                <w:szCs w:val="24"/>
              </w:rPr>
            </w:r>
            <w:r/>
          </w:p>
        </w:tc>
      </w:tr>
      <w:tr>
        <w:trPr>
          <w:trHeight w:val="486"/>
        </w:trPr>
        <w:tc>
          <w:tcPr>
            <w:tcW w:w="856" w:type="dxa"/>
            <w:vAlign w:val="center"/>
            <w:textDirection w:val="lrTb"/>
            <w:noWrap/>
          </w:tcPr>
          <w:p>
            <w:pPr>
              <w:pStyle w:val="934"/>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075"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一标</w:t>
            </w:r>
            <w:r>
              <w:rPr>
                <w:rFonts w:hint="eastAsia" w:ascii="宋体" w:hAnsi="宋体" w:eastAsia="宋体" w:cs="宋体"/>
                <w:sz w:val="24"/>
                <w:szCs w:val="24"/>
              </w:rPr>
            </w:r>
            <w:r/>
          </w:p>
        </w:tc>
        <w:tc>
          <w:tcPr>
            <w:tcW w:w="1515" w:type="dxa"/>
            <w:vAlign w:val="center"/>
            <w:textDirection w:val="lrTb"/>
            <w:noWrap/>
          </w:tcPr>
          <w:p>
            <w:pPr>
              <w:pStyle w:val="934"/>
              <w:jc w:val="left"/>
              <w:rPr>
                <w:rFonts w:ascii="宋体" w:hAnsi="宋体" w:eastAsia="宋体" w:cs="宋体"/>
                <w:sz w:val="24"/>
                <w:szCs w:val="24"/>
              </w:rPr>
            </w:pPr>
            <w:r>
              <w:rPr>
                <w:rFonts w:hint="eastAsia" w:ascii="宋体" w:hAnsi="宋体" w:eastAsia="宋体" w:cs="宋体"/>
                <w:sz w:val="24"/>
                <w:szCs w:val="24"/>
              </w:rPr>
              <w:t xml:space="preserve">金鸡湖街道</w:t>
            </w:r>
            <w:r>
              <w:rPr>
                <w:rFonts w:ascii="宋体" w:hAnsi="宋体" w:eastAsia="宋体" w:cs="宋体"/>
                <w:sz w:val="24"/>
                <w:szCs w:val="24"/>
              </w:rPr>
            </w:r>
            <w:r/>
          </w:p>
        </w:tc>
        <w:tc>
          <w:tcPr>
            <w:tcW w:w="5567" w:type="dxa"/>
            <w:vAlign w:val="center"/>
            <w:textDirection w:val="lrTb"/>
            <w:noWrap/>
          </w:tcPr>
          <w:p>
            <w:pPr>
              <w:pStyle w:val="934"/>
              <w:jc w:val="left"/>
              <w:rPr>
                <w:rFonts w:ascii="宋体" w:hAnsi="宋体" w:eastAsia="宋体" w:cs="宋体"/>
                <w:sz w:val="24"/>
                <w:szCs w:val="24"/>
              </w:rPr>
            </w:pPr>
            <w:r>
              <w:rPr>
                <w:rFonts w:hint="eastAsia" w:ascii="宋体" w:hAnsi="宋体" w:eastAsia="宋体" w:cs="宋体"/>
                <w:sz w:val="24"/>
                <w:szCs w:val="24"/>
              </w:rPr>
              <w:t xml:space="preserve">金鸡湖街道范围内的公共绿地绿化养护应急服务。</w:t>
            </w:r>
            <w:r>
              <w:rPr>
                <w:rFonts w:ascii="宋体" w:hAnsi="宋体" w:eastAsia="宋体" w:cs="宋体"/>
                <w:sz w:val="24"/>
                <w:szCs w:val="24"/>
              </w:rPr>
            </w:r>
            <w:r/>
          </w:p>
        </w:tc>
      </w:tr>
    </w:tbl>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负责服务范围内的绿化修剪、施肥、浇水等相关工作，具体采购需求详见采购文件。</w:t>
      </w:r>
      <w:r>
        <w:rPr>
          <w:rFonts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w:t>
      </w:r>
      <w:r>
        <w:rPr>
          <w:rFonts w:hint="eastAsia" w:ascii="宋体" w:hAnsi="宋体" w:eastAsia="宋体" w:cs="宋体"/>
          <w:sz w:val="24"/>
          <w:szCs w:val="24"/>
        </w:rPr>
        <w:t xml:space="preserve">限：暂定5个月（计划进场日期为</w:t>
      </w:r>
      <w:r>
        <w:rPr>
          <w:rFonts w:hint="eastAsia" w:ascii="宋体" w:hAnsi="宋体" w:eastAsia="宋体" w:cs="宋体"/>
          <w:sz w:val="24"/>
          <w:szCs w:val="24"/>
          <w:lang w:eastAsia="zh-CN"/>
        </w:rPr>
        <w:t xml:space="preserve">2026年6月15日至2026年11月14日</w:t>
      </w:r>
      <w:r>
        <w:rPr>
          <w:rFonts w:hint="eastAsia" w:ascii="宋体" w:hAnsi="宋体" w:eastAsia="宋体" w:cs="宋体"/>
          <w:sz w:val="24"/>
          <w:szCs w:val="24"/>
        </w:rPr>
        <w:t xml:space="preserve">，实际进场时间以采购人书面通知为准）。</w:t>
      </w:r>
      <w:r>
        <w:rPr>
          <w:rFonts w:hint="eastAsia" w:ascii="宋体" w:hAnsi="宋体" w:eastAsia="宋体" w:cs="宋体"/>
          <w:sz w:val="24"/>
          <w:szCs w:val="24"/>
        </w:rPr>
      </w:r>
      <w:r/>
    </w:p>
    <w:p>
      <w:pPr>
        <w:pStyle w:val="934"/>
        <w:ind w:firstLine="480"/>
        <w:spacing w:line="360" w:lineRule="auto"/>
      </w:pPr>
      <w:r>
        <w:rPr>
          <w:rFonts w:hint="eastAsia" w:ascii="宋体" w:hAnsi="宋体" w:eastAsia="宋体" w:cs="宋体"/>
          <w:sz w:val="24"/>
          <w:szCs w:val="24"/>
        </w:rPr>
        <w:t xml:space="preserve">本项目（是/否）接受</w:t>
      </w:r>
      <w:r>
        <w:rPr>
          <w:rFonts w:ascii="宋体" w:hAnsi="宋体" w:eastAsia="宋体" w:cs="宋体"/>
          <w:color w:val="000000"/>
          <w:sz w:val="24"/>
        </w:rPr>
        <w:t xml:space="preserve">联合体：否</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满足《中华人民共和国政府采购法》第二十二条规定；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1.1具有独立承担民事责任的能力；</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1.2具有良好的商业信誉和健全的财务会计制度；</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1.3具有履行合同所</w:t>
      </w:r>
      <w:r>
        <w:rPr>
          <w:rFonts w:hint="eastAsia" w:ascii="宋体" w:hAnsi="宋体" w:eastAsia="宋体" w:cs="宋体"/>
          <w:color w:val="000000"/>
          <w:sz w:val="24"/>
        </w:rPr>
        <w:t xml:space="preserve">必需的设备</w:t>
      </w:r>
      <w:r>
        <w:rPr>
          <w:rFonts w:ascii="宋体" w:hAnsi="宋体" w:eastAsia="宋体" w:cs="宋体"/>
          <w:color w:val="000000"/>
          <w:sz w:val="24"/>
        </w:rPr>
        <w:t xml:space="preserve">和专业技术能力；</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1.4有依法缴纳税收和社会保障资金的良好记录；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1.5参加政府采购活动前三年内，在经营活动中没有重大违法记录；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1.6法律、行政法规规定的其他条件。</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落实政府采购政策需满足的资格要求：根据《政府采购促进中小企业发展管理办法》的相关规定，本项目专门面向中小企业，所属行业为</w:t>
      </w:r>
      <w:r>
        <w:rPr>
          <w:rFonts w:hint="eastAsia" w:ascii="宋体" w:hAnsi="宋体" w:eastAsia="宋体" w:cs="宋体"/>
          <w:color w:val="000000"/>
          <w:sz w:val="24"/>
        </w:rPr>
        <w:t xml:space="preserve">其他未列明行业</w:t>
      </w:r>
      <w:r>
        <w:rPr>
          <w:rFonts w:ascii="宋体" w:hAnsi="宋体" w:eastAsia="宋体" w:cs="宋体"/>
          <w:color w:val="000000"/>
          <w:sz w:val="24"/>
        </w:rPr>
        <w:t xml:space="preserve">，供应商应为中小微企业或监狱企业或残疾人福利性单位。</w:t>
      </w:r>
      <w:r/>
    </w:p>
    <w:p>
      <w:pPr>
        <w:pStyle w:val="934"/>
        <w:ind w:right="-39"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本项目的特定资格要求：</w:t>
      </w:r>
      <w:r>
        <w:rPr>
          <w:rFonts w:hint="eastAsia" w:eastAsia="宋体"/>
        </w:rPr>
        <w:t xml:space="preserve">无</w:t>
      </w:r>
      <w:r>
        <w:rPr>
          <w:rFonts w:ascii="宋体" w:hAnsi="宋体" w:eastAsia="宋体" w:cs="宋体"/>
          <w:color w:val="000000"/>
          <w:sz w:val="24"/>
        </w:rPr>
        <w:t xml:space="preserve">。</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时间：自谈判文件公告发布之日起3个工作日</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方式：在“苏采云”系统获取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四、响应文件提交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截止时间：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 05月29日14:00</w:t>
      </w:r>
      <w:r>
        <w:rPr>
          <w:rFonts w:ascii="宋体" w:hAnsi="宋体" w:eastAsia="宋体" w:cs="宋体"/>
          <w:color w:val="000000"/>
          <w:sz w:val="24"/>
        </w:rPr>
        <w:t xml:space="preserve">（北京时间）</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 </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五、开启</w:t>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rPr>
        <w:t xml:space="preserve">2026年</w:t>
      </w:r>
      <w:r>
        <w:rPr>
          <w:rFonts w:hint="eastAsia" w:ascii="宋体" w:hAnsi="宋体" w:eastAsia="宋体" w:cs="宋体"/>
          <w:color w:val="000000"/>
          <w:sz w:val="24"/>
          <w:lang w:eastAsia="zh-CN"/>
        </w:rPr>
        <w:t xml:space="preserve">05月29</w:t>
      </w:r>
      <w:r>
        <w:rPr>
          <w:rFonts w:hint="eastAsia" w:ascii="宋体" w:hAnsi="宋体" w:eastAsia="宋体" w:cs="宋体"/>
          <w:color w:val="000000"/>
          <w:sz w:val="24"/>
          <w:lang w:eastAsia="zh-CN"/>
        </w:rPr>
        <w:t xml:space="preserve">日</w:t>
      </w:r>
      <w:r>
        <w:rPr>
          <w:rFonts w:hint="eastAsia" w:ascii="宋体" w:hAnsi="宋体" w:eastAsia="宋体" w:cs="宋体"/>
          <w:color w:val="000000"/>
          <w:sz w:val="24"/>
        </w:rPr>
        <w:t xml:space="preserve">14:00（北京时间）</w:t>
      </w:r>
      <w:r>
        <w:rPr>
          <w:rFonts w:hint="eastAsia" w:ascii="宋体" w:hAnsi="宋体" w:eastAsia="宋体" w:cs="宋体"/>
          <w:color w:val="000000"/>
          <w:sz w:val="24"/>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地点：苏州工业园区公共资源</w:t>
      </w:r>
      <w:r>
        <w:rPr>
          <w:rFonts w:hint="eastAsia" w:ascii="宋体" w:hAnsi="宋体" w:eastAsia="宋体" w:cs="宋体"/>
          <w:color w:val="000000" w:themeColor="text1"/>
          <w:sz w:val="24"/>
        </w:rPr>
        <w:t xml:space="preserve">交易中心</w:t>
      </w:r>
      <w:r>
        <w:rPr>
          <w:rFonts w:hint="eastAsia" w:ascii="宋体" w:hAnsi="宋体" w:eastAsia="宋体" w:cs="宋体"/>
          <w:color w:val="000000" w:themeColor="text1"/>
          <w:sz w:val="24"/>
        </w:rPr>
        <w:t xml:space="preserve">开标室（</w:t>
      </w:r>
      <w:r>
        <w:rPr>
          <w:rFonts w:hint="eastAsia" w:ascii="宋体" w:hAnsi="宋体" w:eastAsia="宋体" w:cs="宋体"/>
          <w:color w:val="000000" w:themeColor="text1"/>
          <w:sz w:val="24"/>
        </w:rPr>
        <w:t xml:space="preserve">五</w:t>
      </w:r>
      <w:r>
        <w:rPr>
          <w:rFonts w:hint="eastAsia" w:ascii="宋体" w:hAnsi="宋体" w:eastAsia="宋体" w:cs="宋体"/>
          <w:color w:val="000000" w:themeColor="text1"/>
          <w:sz w:val="24"/>
        </w:rPr>
        <w:t xml:space="preserve">）</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自本公告发布之日起3个工作日。</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七、其他补充事宜</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评审结果会在谈判会结束的同时通过苏采云系统告知供应商。供应商应及时登陆苏采云系统进行查看，否则导致的对供应商不利的后果由供应商自行承担。</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公告在苏州市政府采购网、江苏政府采购网上发布。</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苏州工业园区财政审计局政府采购监督电话：0512-66681110。</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4.方式：（1）CA办理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4"/>
        </w:rPr>
        <w:t xml:space="preserve">苏州高新区邓尉路105号狮山科技馆1楼服务大厅，咨询电话：0512-65737699</w:t>
      </w:r>
      <w:r>
        <w:rPr>
          <w:rFonts w:hint="eastAsia" w:ascii="Times New Roman" w:hAnsi="Times New Roman" w:eastAsia="宋体" w:cs="Times New Roman"/>
          <w:color w:val="000000"/>
          <w:szCs w:val="24"/>
          <w:highlight w:val="none"/>
          <w:lang w:val="zh-CN"/>
        </w:rPr>
        <w:t xml:space="preserve">。</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（2）依法获取采购文件</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考虑到熟悉“苏采云”系统、办理CA证书都需要一定的时间，请提早准备以免耽误采购采购活动。</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5.未依照采购公告要求获取谈判文件的供应商，视为未参加该项政府采购活动，不具备对该政府采购项目提出质疑的法定权利。</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rPr>
          <w:rFonts w:hint="eastAsia" w:ascii="宋体" w:hAnsi="宋体" w:eastAsia="宋体" w:cs="宋体"/>
          <w:color w:val="000000"/>
          <w:sz w:val="24"/>
        </w:rPr>
        <w:t xml:space="preserve">.</w:t>
      </w:r>
      <w:r>
        <w:rPr>
          <w:rFonts w:ascii="宋体" w:hAnsi="宋体" w:eastAsia="宋体" w:cs="宋体"/>
          <w:color w:val="000000"/>
          <w:sz w:val="24"/>
        </w:rPr>
        <w:t xml:space="preserve">制作电子投标（响应）文件：</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本项目采用电子网上招投标，请供应商插入CA 证书登陆“苏采云”系统下载客户端（参与项目页面可下载客户端及客户端使用说明），在客户端编制电子投标（响应）文件并进行CA加密，操作步骤详见“苏采云”系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4"/>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rPr>
          <w:rFonts w:hint="eastAsia" w:ascii="宋体" w:hAnsi="宋体" w:eastAsia="宋体" w:cs="宋体"/>
          <w:color w:val="000000"/>
          <w:sz w:val="24"/>
        </w:rPr>
        <w:t xml:space="preserve">.</w:t>
      </w:r>
      <w:r>
        <w:rPr>
          <w:rFonts w:ascii="宋体" w:hAnsi="宋体" w:eastAsia="宋体" w:cs="宋体"/>
          <w:color w:val="000000"/>
          <w:sz w:val="24"/>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rPr>
          <w:rFonts w:hint="eastAsia" w:ascii="宋体" w:hAnsi="宋体" w:eastAsia="宋体" w:cs="宋体"/>
          <w:color w:val="000000"/>
          <w:sz w:val="24"/>
        </w:rPr>
        <w:t xml:space="preserve">.</w:t>
      </w:r>
      <w:r>
        <w:rPr>
          <w:rFonts w:ascii="宋体" w:hAnsi="宋体" w:eastAsia="宋体" w:cs="宋体"/>
          <w:color w:val="000000"/>
          <w:sz w:val="24"/>
        </w:rPr>
        <w:t xml:space="preserve">本项目获取采购文件截止日期之后仍可以下载采购文件，但截止日期之后下载的采购文件，视为非有效方式且不作为供应商权益受到损害的证明材料和依据。</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rPr>
          <w:rFonts w:hint="eastAsia" w:ascii="宋体" w:hAnsi="宋体" w:eastAsia="宋体" w:cs="宋体"/>
          <w:color w:val="000000"/>
          <w:sz w:val="24"/>
        </w:rPr>
        <w:t xml:space="preserve">.</w:t>
      </w:r>
      <w:r>
        <w:rPr>
          <w:rFonts w:ascii="宋体" w:hAnsi="宋体" w:eastAsia="宋体" w:cs="宋体"/>
          <w:color w:val="000000"/>
          <w:sz w:val="24"/>
        </w:rPr>
        <w:t xml:space="preserve">技术支持</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CA技术咨询服务电话：400-608-6099</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电子签章技术咨询服务电话：15380932027、15371015030 、13675197356、 13675197221</w:t>
      </w:r>
      <w:r/>
    </w:p>
    <w:p>
      <w:pPr>
        <w:pStyle w:val="93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“苏采云”平台技术咨询电话：0512-69820854、0519-86722802、13914088964、18261002950</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rPr>
          <w:rFonts w:hint="eastAsia" w:ascii="宋体" w:hAnsi="宋体" w:eastAsia="宋体" w:cs="宋体"/>
          <w:color w:val="000000"/>
          <w:sz w:val="24"/>
        </w:rPr>
        <w:t xml:space="preserve">.</w:t>
      </w:r>
      <w:r>
        <w:rPr>
          <w:rFonts w:ascii="宋体" w:hAnsi="宋体" w:eastAsia="宋体" w:cs="宋体"/>
          <w:color w:val="000000"/>
          <w:sz w:val="24"/>
        </w:rPr>
        <w:t xml:space="preserve">本项目支持政府采购合同信用融资。</w:t>
      </w:r>
      <w:r/>
    </w:p>
    <w:p>
      <w:pPr>
        <w:pStyle w:val="934"/>
        <w:ind w:firstLine="482"/>
        <w:spacing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rPr>
          <w:rFonts w:ascii="宋体" w:hAnsi="宋体" w:eastAsia="宋体" w:cs="宋体"/>
          <w:b/>
          <w:color w:val="000000"/>
          <w:sz w:val="24"/>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采购人信息</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名称：苏州工业园区综合行政执法局</w:t>
      </w:r>
      <w:r/>
    </w:p>
    <w:p>
      <w:pPr>
        <w:pStyle w:val="934"/>
        <w:ind w:firstLine="480"/>
        <w:spacing w:line="360" w:lineRule="auto"/>
        <w:rPr>
          <w:rFonts w:hint="eastAsia"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苏州工业园区现代大道999号现代大厦六楼</w:t>
      </w:r>
      <w:r>
        <w:rPr>
          <w:rFonts w:hint="eastAsia" w:eastAsia="宋体"/>
        </w:rPr>
      </w:r>
      <w:r/>
    </w:p>
    <w:p>
      <w:pPr>
        <w:pStyle w:val="934"/>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蒋美蓉</w:t>
      </w:r>
      <w:r>
        <w:rPr>
          <w:rFonts w:hint="eastAsia"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联系方式：0512-</w:t>
      </w:r>
      <w:r>
        <w:rPr>
          <w:rFonts w:hint="eastAsia" w:ascii="宋体" w:hAnsi="宋体" w:eastAsia="宋体" w:cs="宋体"/>
          <w:color w:val="000000"/>
          <w:sz w:val="24"/>
        </w:rPr>
        <w:t xml:space="preserve">62838430</w:t>
      </w:r>
      <w:r>
        <w:rPr>
          <w:rFonts w:ascii="宋体" w:hAnsi="宋体" w:eastAsia="宋体" w:cs="宋体"/>
          <w:color w:val="000000"/>
          <w:sz w:val="24"/>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采购代理机构信息</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名称：苏州华星工程造价咨询有限公司</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址：苏州工业园区苏雅路388号新天翔商业广场A座12楼1206室</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联系方式：0512-65200462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项目联系方式</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eastAsia="zh-CN"/>
        </w:rPr>
        <w:t xml:space="preserve">周燕萍</w:t>
      </w:r>
      <w:r>
        <w:rPr>
          <w:rFonts w:ascii="宋体" w:hAnsi="宋体" w:eastAsia="宋体" w:cs="宋体"/>
          <w:color w:val="000000"/>
          <w:sz w:val="24"/>
        </w:rPr>
        <w:t xml:space="preserve">、吴皓东</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 0512-65200462</w:t>
      </w:r>
      <w:r/>
    </w:p>
    <w:p>
      <w:pPr>
        <w:pStyle w:val="934"/>
        <w:ind w:firstLine="4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4"/>
        <w:ind w:firstLine="48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rPr>
          <w:rFonts w:hint="eastAsia"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2" w:name="_Toc17346"/>
      <w:r>
        <w:rPr>
          <w:rFonts w:ascii="宋体" w:hAnsi="宋体" w:eastAsia="宋体" w:cs="宋体"/>
          <w:color w:val="000000"/>
          <w:szCs w:val="44"/>
        </w:rPr>
        <w:t xml:space="preserve">第二章</w:t>
      </w:r>
      <w:r>
        <w:rPr>
          <w:rFonts w:hint="eastAsia" w:ascii="宋体" w:hAnsi="宋体" w:eastAsia="宋体" w:cs="宋体"/>
          <w:color w:val="000000"/>
          <w:szCs w:val="44"/>
        </w:rPr>
        <w:t xml:space="preserve"> </w:t>
      </w:r>
      <w:r>
        <w:rPr>
          <w:rFonts w:ascii="宋体" w:hAnsi="宋体" w:eastAsia="宋体" w:cs="宋体"/>
          <w:color w:val="000000"/>
          <w:szCs w:val="44"/>
        </w:rPr>
        <w:t xml:space="preserve">谈判供应商须知</w:t>
      </w:r>
      <w:bookmarkEnd w:id="2"/>
      <w:r>
        <w:rPr>
          <w:rFonts w:ascii="宋体" w:hAnsi="宋体" w:eastAsia="宋体" w:cs="宋体"/>
          <w:color w:val="000000"/>
          <w:szCs w:val="44"/>
        </w:rPr>
      </w:r>
      <w:r/>
    </w:p>
    <w:p>
      <w:pPr>
        <w:pStyle w:val="934"/>
        <w:ind w:firstLine="482"/>
        <w:spacing w:line="360" w:lineRule="auto"/>
        <w:tabs>
          <w:tab w:val="left" w:pos="851"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1.总则</w:t>
      </w:r>
      <w:r>
        <w:rPr>
          <w:rFonts w:ascii="宋体" w:hAnsi="宋体" w:eastAsia="宋体" w:cs="宋体"/>
          <w:b/>
          <w:color w:val="000000"/>
          <w:sz w:val="24"/>
        </w:rPr>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1.1供应商资格要求</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1.1.1详见第一章竞争性谈判公告中“二、申请人的资格要求”。</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1.1.2供应商不得存在下列情形之一：</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（1）苏州市财政局《关于印发苏州市市级政府采购信用记录查询和使用工作试行办法的通知》（苏财购（2017）11号）文件规定应拒绝的失信信息。</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（2）为采购项目提供整体设计、规范编制或者项目管理、监理、监测等服务的供应商，不得再参加该采购项目的其他采购活动；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（3）单位负责人为同一人或者存在直接控股、管理关系的不同供应商，不得参加同一合同项下的政府采购活动。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1.1.3联合体投标：第一章竞争性谈判公告规定接受联合体投标的，联合体除应符合上述资格要求外，还应遵守以下规定：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（1）联合体各方应当向采购人提交联合体协议书，载明联合体各方承担的工作和义务，否则投标无效。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（2）联合体中有同类资质的供应商按照联合体分工承担相同工作的，应当按照资质等级较低的供应商确定资质等级。</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（3）联合体各方不得再单独参加或者与其他供应商另外组成联合体参加同一合同项下的政府采购活动，否则各相关投标均无效。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（4）联合体各方应当共同与采购人签订采购合同，就采购合同约定的事项对采购人承担连带责任。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1.2分包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本项目☑不允许分包</w:t>
      </w:r>
      <w:r/>
    </w:p>
    <w:p>
      <w:pPr>
        <w:pStyle w:val="934"/>
        <w:ind w:firstLine="120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□允许分包，分包要求：</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1.3代理服务费用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1.3.1供应商应自行承担所有准备及参加谈判的相关费用。不论谈判结果如何，采购代理机构在任何情况下均无义务也无责任承担这些费用。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1.3.2代理服务费：详见前附表。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服务费交纳账户：苏州华星工程造价咨询有限公司</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开户行：</w:t>
      </w:r>
      <w:r>
        <w:rPr>
          <w:rFonts w:hint="eastAsia" w:ascii="宋体" w:hAnsi="宋体" w:eastAsia="宋体" w:cs="宋体"/>
          <w:color w:val="000000"/>
          <w:sz w:val="24"/>
        </w:rPr>
        <w:t xml:space="preserve">中国银行苏州</w:t>
      </w:r>
      <w:r>
        <w:rPr>
          <w:rFonts w:ascii="宋体" w:hAnsi="宋体" w:eastAsia="宋体" w:cs="宋体"/>
          <w:color w:val="000000"/>
          <w:sz w:val="24"/>
        </w:rPr>
        <w:t xml:space="preserve">东环路支行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账户：520958193351</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1.4保密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参与采购活动的各方应对采购文件和响应文件中的商业和技术等秘密保密，否则应承担相应的法律责任。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1.5语言文字</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谈判文件响应文件使用的语言文字为中文。使用外文的，应附有中文注释或译本，对不同文本响应文件的解释发生异议的，以中文文本为准。因未附注释或译本引起的对供应商不利的后果由供应商自行承担。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1.6计量单位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除谈判文件有特殊要求外，所有计量均采用中华人民共和国法定计量单位。</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1.7扫描件</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扫描件是指原件的各种彩色复制件，包括扫描、照片等。</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1.8知识产权</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1.9现场踏勘</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供应商可自行对有关现场和周围环境进行踏勘，以获取编制投标文件和签署合同所需的信息，踏勘现场所发生的费用由供应商自己承担。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1.10集中现场考察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本项目按以下第</w:t>
      </w:r>
      <w:r>
        <w:rPr>
          <w:rFonts w:ascii="宋体" w:hAnsi="宋体" w:eastAsia="宋体" w:cs="宋体"/>
          <w:color w:val="000000"/>
          <w:sz w:val="24"/>
          <w:u w:val="single"/>
        </w:rPr>
        <w:t xml:space="preserve">①</w:t>
      </w:r>
      <w:r>
        <w:rPr>
          <w:rFonts w:ascii="宋体" w:hAnsi="宋体" w:eastAsia="宋体" w:cs="宋体"/>
          <w:color w:val="000000"/>
          <w:sz w:val="24"/>
        </w:rPr>
        <w:t xml:space="preserve">种方式组织集中现场考察：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①采购人不组织集中现场考察；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②采购人组织集中现场考察，请供应商持在“苏采云”系统中下载本项目采购文件的</w:t>
      </w:r>
      <w:r>
        <w:rPr>
          <w:rFonts w:ascii="宋体" w:hAnsi="宋体" w:eastAsia="宋体" w:cs="宋体"/>
          <w:b/>
          <w:color w:val="000000"/>
          <w:sz w:val="24"/>
        </w:rPr>
        <w:t xml:space="preserve">《投标供应商确认函》</w:t>
      </w:r>
      <w:r>
        <w:rPr>
          <w:rFonts w:ascii="宋体" w:hAnsi="宋体" w:eastAsia="宋体" w:cs="宋体"/>
          <w:color w:val="000000"/>
          <w:sz w:val="24"/>
        </w:rPr>
        <w:t xml:space="preserve">，按以下时间地点参加集中现场考察：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集合时间：</w:t>
      </w:r>
      <w:r>
        <w:rPr>
          <w:rFonts w:ascii="宋体" w:hAnsi="宋体" w:eastAsia="宋体" w:cs="宋体"/>
          <w:color w:val="000000"/>
          <w:sz w:val="24"/>
          <w:u w:val="single"/>
        </w:rPr>
        <w:t xml:space="preserve"> /年/月/日/时/分（北京时间）</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集合地点：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     </w:t>
      </w:r>
      <w:r>
        <w:rPr>
          <w:rFonts w:ascii="宋体" w:hAnsi="宋体" w:eastAsia="宋体" w:cs="宋体"/>
          <w:color w:val="000000"/>
          <w:sz w:val="24"/>
        </w:rPr>
        <w:t xml:space="preserve">；联系电话：</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请供应商安排好行程，不得迟到。未提供《投标供应商确认函》或迟到者，恕不接待。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（1）根据自身投标需要，供应商可对项目相关情况进行考察，以获取编制投标文件和签署合同所需的信息。考察现场所发生的费用由供应商自己承担。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（3）经采购人允许，供应商可为考察目的进入采购人的项目现场，但供应商不得因此使采购人承担有关的责任和蒙受损失。供应商应承担考察现场的责任和风险。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（5）由于未进行现场考察造成的任何问题由供应商自行承担。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1.11法律适用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本次采购活动及因本次采购产生的合同受中华人民共和国有关的法律法规制约和保护。</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谈判文件的说明</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2.1谈判文件的获取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见第一章竞争性谈判公告</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2.2谈判文件的询问</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供应商在收到谈判文件后，若有问题需要询问，应于下载谈判文件后，可通过公告和前附表中的联系方式及时提出，采购人或采购代理机构将予以解答，但答复内容不得涉及商业秘密。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2.3谈判文件的澄清或修改</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2.3.2为保证供应商有足够时间修正响应文件，或出于其他合理原因，采购代理机构可依法顺延提交响应文件截止之日和谈判时间。</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2.3.2供应商应及时关注政府采购信息发布媒体上发布的更正（补充）公告，同时在“苏采云”系统中下载更正（补充）资料，</w:t>
      </w:r>
      <w:r>
        <w:rPr>
          <w:rFonts w:ascii="宋体" w:hAnsi="宋体" w:eastAsia="宋体" w:cs="宋体"/>
          <w:b/>
          <w:color w:val="000000"/>
          <w:sz w:val="24"/>
        </w:rPr>
        <w:t xml:space="preserve">如有遗漏（包括但不限于文件未下载或下载不完整），可能无法解密投标（响应）文件，由此所造成的投标失败或损失由供应商自行负责。</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2.4响应文件的约束力</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2.4.1供应商一旦参加本项目采购活动，即被认为接受了本采购文件的规定和约束。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响应文件说明</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供应商应详细阅读谈判文件的全部内容，不按谈判文件的要求提供的响应文件和资料，其风险由供应商自行承担，并根据有关条款规定，可能导致响应无效。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3.1响应文件的组成</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.1</w:t>
      </w:r>
      <w:r>
        <w:rPr>
          <w:rFonts w:hint="eastAsia" w:ascii="宋体" w:hAnsi="宋体" w:eastAsia="宋体" w:cs="宋体"/>
          <w:color w:val="000000"/>
          <w:sz w:val="24"/>
        </w:rPr>
        <w:t xml:space="preserve">谈判报价表</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1.2资格性审查文件</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1.2.1具</w:t>
      </w:r>
      <w:r>
        <w:rPr>
          <w:rFonts w:hint="eastAsia" w:ascii="宋体" w:hAnsi="宋体" w:eastAsia="宋体" w:cs="宋体"/>
          <w:color w:val="000000"/>
          <w:sz w:val="24"/>
        </w:rPr>
        <w:t xml:space="preserve">有独立承担民事责任的能力的材料：包括法人或者其他组织的营业执照等证明文件，自然人的</w:t>
      </w:r>
      <w:r>
        <w:rPr>
          <w:rFonts w:hint="eastAsia" w:ascii="宋体" w:hAnsi="宋体" w:eastAsia="宋体" w:cs="宋体"/>
          <w:color w:val="000000"/>
          <w:sz w:val="24"/>
        </w:rPr>
        <w:t xml:space="preserve">身份证明；</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3.1.2.2具有良好的商业信誉和健全的财务会计制度证明：法人应提供最近一期财务报告【财务报告必须有会计师事务所的盖章及注册会计师的签字盖章且至少包含四表一注（资产负债表、利润表、现金流量表、所有者权益变动表及其附注，执行《小企业会计准则》的小微企业，需要提供所有者权益变动表或提供书面说明“格式见第三章”）】，其他组织、自然人及成立未满一年的法人应提供银行出具的资信证明；</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3.1.2.3具有履行合同所必需的设备和专业技术能力的证明材料：提供承诺函或证</w:t>
      </w:r>
      <w:r>
        <w:rPr>
          <w:rFonts w:hint="eastAsia" w:ascii="宋体" w:hAnsi="宋体" w:eastAsia="宋体" w:cs="宋体"/>
          <w:color w:val="000000"/>
          <w:sz w:val="24"/>
        </w:rPr>
        <w:t xml:space="preserve">明材料</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宋体" w:hAnsi="宋体" w:eastAsia="宋体" w:cs="宋体"/>
          <w:b/>
          <w:color w:val="000000"/>
          <w:sz w:val="24"/>
        </w:rPr>
        <w:t xml:space="preserve">否则不予认可；</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1.2.5参加政府采购活动前三年内，在经营活动中没有出现重大违法记录的书面声明函（格式见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3.1.2.6中小企业声明函（如有）（格式见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rPr>
          <w:rFonts w:ascii="宋体" w:hAnsi="宋体" w:eastAsia="宋体" w:cs="宋体"/>
          <w:b/>
          <w:color w:val="000000"/>
          <w:sz w:val="24"/>
        </w:rPr>
        <w:t xml:space="preserve">未提供不享受中小企业扶持政策；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hint="eastAsia" w:ascii="宋体" w:hAnsi="宋体" w:eastAsia="宋体" w:cs="宋体"/>
          <w:color w:val="000000"/>
          <w:sz w:val="24"/>
        </w:rPr>
        <w:t xml:space="preserve">7</w:t>
      </w:r>
      <w:r>
        <w:rPr>
          <w:rFonts w:ascii="宋体" w:hAnsi="宋体" w:eastAsia="宋体" w:cs="宋体"/>
          <w:color w:val="000000"/>
          <w:sz w:val="24"/>
        </w:rPr>
        <w:t xml:space="preserve">残疾人福利性单位声明函（如有）（格式见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rPr>
          <w:rFonts w:ascii="宋体" w:hAnsi="宋体" w:eastAsia="宋体" w:cs="宋体"/>
          <w:b/>
          <w:color w:val="000000"/>
          <w:sz w:val="24"/>
        </w:rPr>
        <w:t xml:space="preserve">未提供视为非残疾人福利性单位，不视同小微企业，不享受残疾人福利性单位政策；</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hint="eastAsia" w:ascii="宋体" w:hAnsi="宋体" w:eastAsia="宋体" w:cs="宋体"/>
          <w:color w:val="000000"/>
          <w:sz w:val="24"/>
        </w:rPr>
        <w:t xml:space="preserve">8</w:t>
      </w:r>
      <w:r>
        <w:rPr>
          <w:rFonts w:ascii="宋体" w:hAnsi="宋体" w:eastAsia="宋体" w:cs="宋体"/>
          <w:color w:val="000000"/>
          <w:sz w:val="24"/>
        </w:rPr>
        <w:t xml:space="preserve">监狱企业证明文件（如有），由省级以上监狱管理局、戒毒管理局（含新疆生产建设兵团）出具，</w:t>
      </w:r>
      <w:r>
        <w:rPr>
          <w:rFonts w:ascii="宋体" w:hAnsi="宋体" w:eastAsia="宋体" w:cs="宋体"/>
          <w:b/>
          <w:color w:val="000000"/>
          <w:sz w:val="24"/>
        </w:rPr>
        <w:t xml:space="preserve">未提供视为非监狱企业，不视同小微企业，不享受监狱企业政策；</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以上3.1.2.1---3.1.2.</w:t>
      </w:r>
      <w:r>
        <w:rPr>
          <w:rFonts w:hint="eastAsia" w:ascii="宋体" w:hAnsi="宋体" w:eastAsia="宋体" w:cs="宋体"/>
          <w:b/>
          <w:color w:val="000000"/>
          <w:sz w:val="24"/>
        </w:rPr>
        <w:t xml:space="preserve">5</w:t>
      </w:r>
      <w:r>
        <w:rPr>
          <w:rFonts w:ascii="宋体" w:hAnsi="宋体" w:eastAsia="宋体" w:cs="宋体"/>
          <w:b/>
          <w:color w:val="000000"/>
          <w:sz w:val="24"/>
        </w:rPr>
        <w:t xml:space="preserve">项是资格审查要求必须提供的材料，专门面向中小企业的项目还必须提供3</w:t>
      </w:r>
      <w:r>
        <w:rPr>
          <w:rFonts w:hint="eastAsia" w:ascii="宋体" w:hAnsi="宋体" w:eastAsia="宋体" w:cs="宋体"/>
          <w:b/>
          <w:color w:val="000000"/>
          <w:sz w:val="24"/>
        </w:rPr>
        <w:t xml:space="preserve">.</w:t>
      </w:r>
      <w:r>
        <w:rPr>
          <w:rFonts w:ascii="宋体" w:hAnsi="宋体" w:eastAsia="宋体" w:cs="宋体"/>
          <w:b/>
          <w:color w:val="000000"/>
          <w:sz w:val="24"/>
        </w:rPr>
        <w:t xml:space="preserve">1.2.</w:t>
      </w:r>
      <w:r>
        <w:rPr>
          <w:rFonts w:hint="eastAsia" w:ascii="宋体" w:hAnsi="宋体" w:eastAsia="宋体" w:cs="宋体"/>
          <w:b/>
          <w:color w:val="000000"/>
          <w:sz w:val="24"/>
        </w:rPr>
        <w:t xml:space="preserve">6</w:t>
      </w:r>
      <w:r>
        <w:rPr>
          <w:rFonts w:ascii="宋体" w:hAnsi="宋体" w:eastAsia="宋体" w:cs="宋体"/>
          <w:b/>
          <w:color w:val="000000"/>
          <w:sz w:val="24"/>
        </w:rPr>
        <w:t xml:space="preserve">或3.1.2.</w:t>
      </w:r>
      <w:r>
        <w:rPr>
          <w:rFonts w:hint="eastAsia" w:ascii="宋体" w:hAnsi="宋体" w:eastAsia="宋体" w:cs="宋体"/>
          <w:b/>
          <w:color w:val="000000"/>
          <w:sz w:val="24"/>
        </w:rPr>
        <w:t xml:space="preserve">7</w:t>
      </w:r>
      <w:r>
        <w:rPr>
          <w:rFonts w:ascii="宋体" w:hAnsi="宋体" w:eastAsia="宋体" w:cs="宋体"/>
          <w:b/>
          <w:color w:val="000000"/>
          <w:sz w:val="24"/>
        </w:rPr>
        <w:t xml:space="preserve">或3</w:t>
      </w:r>
      <w:r>
        <w:rPr>
          <w:rFonts w:hint="eastAsia" w:ascii="宋体" w:hAnsi="宋体" w:eastAsia="宋体" w:cs="宋体"/>
          <w:b/>
          <w:color w:val="000000"/>
          <w:sz w:val="24"/>
        </w:rPr>
        <w:t xml:space="preserve">.</w:t>
      </w:r>
      <w:r>
        <w:rPr>
          <w:rFonts w:ascii="宋体" w:hAnsi="宋体" w:eastAsia="宋体" w:cs="宋体"/>
          <w:b/>
          <w:color w:val="000000"/>
          <w:sz w:val="24"/>
        </w:rPr>
        <w:t xml:space="preserve">1.2.</w:t>
      </w:r>
      <w:r>
        <w:rPr>
          <w:rFonts w:hint="eastAsia" w:ascii="宋体" w:hAnsi="宋体" w:eastAsia="宋体" w:cs="宋体"/>
          <w:b/>
          <w:color w:val="000000"/>
          <w:sz w:val="24"/>
        </w:rPr>
        <w:t xml:space="preserve">8</w:t>
      </w:r>
      <w:r>
        <w:rPr>
          <w:rFonts w:ascii="宋体" w:hAnsi="宋体" w:eastAsia="宋体" w:cs="宋体"/>
          <w:b/>
          <w:color w:val="000000"/>
          <w:sz w:val="24"/>
        </w:rPr>
        <w:t xml:space="preserve">项资料，否则响应无效。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rPr>
        <w:t xml:space="preserve">.</w:t>
      </w:r>
      <w:r>
        <w:rPr>
          <w:rFonts w:ascii="宋体" w:hAnsi="宋体" w:eastAsia="宋体" w:cs="宋体"/>
          <w:b/>
          <w:color w:val="000000"/>
          <w:sz w:val="24"/>
        </w:rPr>
        <w:t xml:space="preserve">1.3响应性审查文件</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.3.1响应函（格式见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1.</w:t>
      </w:r>
      <w:r>
        <w:rPr>
          <w:rFonts w:ascii="宋体" w:hAnsi="宋体" w:eastAsia="宋体" w:cs="宋体"/>
          <w:color w:val="000000"/>
          <w:sz w:val="24"/>
        </w:rPr>
        <w:t xml:space="preserve">3.2</w:t>
      </w:r>
      <w:r>
        <w:rPr>
          <w:rFonts w:ascii="宋体" w:hAnsi="宋体" w:eastAsia="宋体" w:cs="宋体"/>
          <w:b/>
          <w:color w:val="000000"/>
          <w:sz w:val="24"/>
        </w:rPr>
        <w:t xml:space="preserve">报价明细表</w:t>
      </w:r>
      <w:r>
        <w:rPr>
          <w:rFonts w:hint="eastAsia" w:ascii="宋体" w:hAnsi="宋体" w:eastAsia="宋体" w:cs="宋体"/>
          <w:b/>
          <w:color w:val="000000"/>
          <w:sz w:val="24"/>
        </w:rPr>
        <w:t xml:space="preserve">（格式见第三章）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3.1.3.3《资格文件的声明函》（格式见第三章）；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3.1.3.4《商务条款偏离表》（格式见第三章）；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3.1.3.5《服务和技术要求偏离表》（格式见第三章）；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3.1.3.6《拟投入项目组人员一览表》、《拟投入其他服务人员配备承诺书》、《供应商类似业绩情况表》（格式见第三章）；</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3.1.3.7《拟投入设备承诺书》、《拟投入人员不与其他项目重复承诺书》（格式见第三章）；</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1.3.</w:t>
      </w:r>
      <w:r>
        <w:rPr>
          <w:rFonts w:hint="eastAsia" w:ascii="宋体" w:hAnsi="宋体" w:eastAsia="宋体" w:cs="宋体"/>
          <w:color w:val="000000"/>
          <w:sz w:val="24"/>
        </w:rPr>
        <w:t xml:space="preserve">8供应商与其他单位存在直接控股、管理关系情况表</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w:t>
      </w:r>
      <w:r>
        <w:rPr>
          <w:rFonts w:hint="eastAsia" w:ascii="宋体" w:hAnsi="宋体" w:eastAsia="宋体" w:cs="宋体"/>
          <w:color w:val="000000"/>
          <w:sz w:val="24"/>
        </w:rPr>
        <w:t xml:space="preserve">9</w:t>
      </w:r>
      <w:r>
        <w:rPr>
          <w:rFonts w:ascii="宋体" w:hAnsi="宋体" w:eastAsia="宋体" w:cs="宋体"/>
          <w:color w:val="000000"/>
          <w:sz w:val="24"/>
        </w:rPr>
        <w:t xml:space="preserve">采购需求中所涉及到的或响应单位认为需加以说明或证明的其他材料、证明（如有）；</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1.3.</w:t>
      </w:r>
      <w:r>
        <w:rPr>
          <w:rFonts w:hint="eastAsia" w:ascii="宋体" w:hAnsi="宋体" w:eastAsia="宋体" w:cs="宋体"/>
          <w:color w:val="000000"/>
          <w:sz w:val="24"/>
        </w:rPr>
        <w:t xml:space="preserve">10</w:t>
      </w:r>
      <w:r>
        <w:rPr>
          <w:rFonts w:ascii="宋体" w:hAnsi="宋体" w:eastAsia="宋体" w:cs="宋体"/>
          <w:color w:val="000000"/>
          <w:sz w:val="24"/>
        </w:rPr>
        <w:t xml:space="preserve">法人授权委托书（如有授权委托，格式见</w:t>
      </w:r>
      <w:r>
        <w:rPr>
          <w:rFonts w:hint="eastAsia" w:ascii="宋体" w:hAnsi="宋体" w:eastAsia="宋体" w:cs="宋体"/>
          <w:color w:val="000000"/>
          <w:sz w:val="24"/>
        </w:rPr>
        <w:t xml:space="preserve">第三章</w:t>
      </w:r>
      <w:r>
        <w:rPr>
          <w:rFonts w:ascii="宋体" w:hAnsi="宋体" w:eastAsia="宋体" w:cs="宋体"/>
          <w:color w:val="000000"/>
          <w:sz w:val="24"/>
        </w:rPr>
        <w:t xml:space="preserve">）或法定代表人身份证；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3.1.3.1</w:t>
      </w:r>
      <w:r>
        <w:rPr>
          <w:rFonts w:hint="eastAsia" w:ascii="宋体" w:hAnsi="宋体" w:eastAsia="宋体" w:cs="宋体"/>
          <w:color w:val="000000"/>
          <w:sz w:val="24"/>
        </w:rPr>
        <w:t xml:space="preserve">1</w:t>
      </w:r>
      <w:r>
        <w:rPr>
          <w:rFonts w:ascii="宋体" w:hAnsi="宋体" w:eastAsia="宋体" w:cs="宋体"/>
          <w:color w:val="000000"/>
          <w:sz w:val="24"/>
        </w:rPr>
        <w:t xml:space="preserve">代理人身份证（如有授权委托）；</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以上3</w:t>
      </w:r>
      <w:r>
        <w:rPr>
          <w:rFonts w:hint="eastAsia" w:ascii="宋体" w:hAnsi="宋体" w:eastAsia="宋体" w:cs="宋体"/>
          <w:b/>
          <w:color w:val="000000"/>
          <w:sz w:val="24"/>
          <w:u w:val="single"/>
        </w:rPr>
        <w:t xml:space="preserve">.</w:t>
      </w:r>
      <w:r>
        <w:rPr>
          <w:rFonts w:ascii="宋体" w:hAnsi="宋体" w:eastAsia="宋体" w:cs="宋体"/>
          <w:b/>
          <w:color w:val="000000"/>
          <w:sz w:val="24"/>
          <w:u w:val="single"/>
        </w:rPr>
        <w:t xml:space="preserve">1.3.1-3.1.3.</w:t>
      </w:r>
      <w:r>
        <w:rPr>
          <w:rFonts w:hint="eastAsia" w:ascii="宋体" w:hAnsi="宋体" w:eastAsia="宋体" w:cs="宋体"/>
          <w:b/>
          <w:color w:val="000000"/>
          <w:sz w:val="24"/>
          <w:u w:val="single"/>
        </w:rPr>
        <w:t xml:space="preserve">10</w:t>
      </w:r>
      <w:r>
        <w:rPr>
          <w:rFonts w:ascii="宋体" w:hAnsi="宋体" w:eastAsia="宋体" w:cs="宋体"/>
          <w:b/>
          <w:color w:val="000000"/>
          <w:sz w:val="24"/>
          <w:u w:val="single"/>
        </w:rPr>
        <w:t xml:space="preserve">为响应性审查必须提供的资料，如有授权委托，还必须提供3.3.1</w:t>
      </w:r>
      <w:r>
        <w:rPr>
          <w:rFonts w:hint="eastAsia" w:ascii="宋体" w:hAnsi="宋体" w:eastAsia="宋体" w:cs="宋体"/>
          <w:b/>
          <w:color w:val="000000"/>
          <w:sz w:val="24"/>
          <w:u w:val="single"/>
        </w:rPr>
        <w:t xml:space="preserve">1</w:t>
      </w:r>
      <w:r>
        <w:rPr>
          <w:rFonts w:ascii="宋体" w:hAnsi="宋体" w:eastAsia="宋体" w:cs="宋体"/>
          <w:b/>
          <w:color w:val="000000"/>
          <w:sz w:val="24"/>
          <w:u w:val="single"/>
        </w:rPr>
        <w:t xml:space="preserve">项材料，否则响应无效。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响应单位必须保证全部响应资料的真实性，如有虚假或对采购文件所要求说明的情况故意隐瞒或虚报，视为不实质性响应谈判文件，响应无效。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如供应商响应文件中某些条款不响应谈判文件提出的全部服务内容与要求，须在偏离表中逐条列出，未列出的视同响应。</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3.2响应报价</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1</w:t>
      </w:r>
      <w:r>
        <w:rPr>
          <w:rFonts w:ascii="宋体" w:hAnsi="宋体" w:eastAsia="宋体" w:cs="宋体"/>
          <w:color w:val="000000"/>
          <w:sz w:val="24"/>
        </w:rPr>
        <w:t xml:space="preserve">如果谈判文件要求分标段投标的，则供应商可以根据自身经营许可范围，选择响应其中部分或者全部标段，但各标段应分别计算填写单价和总价。</w:t>
      </w:r>
      <w:r/>
    </w:p>
    <w:p>
      <w:pPr>
        <w:pStyle w:val="934"/>
        <w:ind w:firstLine="482"/>
        <w:spacing w:line="360" w:lineRule="auto"/>
        <w:tabs>
          <w:tab w:val="left" w:pos="0" w:leader="none"/>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w:t>
      </w:r>
      <w:r>
        <w:rPr>
          <w:rFonts w:hint="eastAsia" w:ascii="宋体" w:hAnsi="宋体" w:eastAsia="宋体" w:cs="宋体"/>
          <w:b/>
          <w:color w:val="000000"/>
          <w:sz w:val="24"/>
        </w:rPr>
        <w:t xml:space="preserve">2</w:t>
      </w:r>
      <w:r>
        <w:rPr>
          <w:rFonts w:ascii="宋体" w:hAnsi="宋体" w:eastAsia="宋体" w:cs="宋体"/>
          <w:b/>
          <w:color w:val="000000"/>
          <w:sz w:val="24"/>
        </w:rPr>
        <w:t xml:space="preserve">供应商应对谈判文件内所要采购的的全部内容进行报价，只对其中部分内容报价的，响应无效。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w:t>
      </w:r>
      <w:r>
        <w:rPr>
          <w:rFonts w:hint="eastAsia" w:ascii="宋体" w:hAnsi="宋体" w:eastAsia="宋体" w:cs="宋体"/>
          <w:b/>
          <w:color w:val="000000"/>
          <w:sz w:val="24"/>
        </w:rPr>
        <w:t xml:space="preserve">3</w:t>
      </w:r>
      <w:r>
        <w:rPr>
          <w:rFonts w:ascii="宋体" w:hAnsi="宋体" w:eastAsia="宋体" w:cs="宋体"/>
          <w:b/>
          <w:color w:val="000000"/>
          <w:sz w:val="24"/>
        </w:rPr>
        <w:t xml:space="preserve">一项采购内容只允许一个报价，任何有选择性响应报价的，其响应无效。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4</w:t>
      </w:r>
      <w:r>
        <w:rPr>
          <w:rFonts w:ascii="宋体" w:hAnsi="宋体" w:eastAsia="宋体" w:cs="宋体"/>
          <w:color w:val="000000"/>
          <w:sz w:val="24"/>
        </w:rPr>
        <w:t xml:space="preserve">任意一次报价（包括首次报价、多轮报价）超过谈判文件中规定的预算金额或者最高限价的，包括报的各标的物的单价超过预算单价的（针对采购文件标明预算单价的项目），</w:t>
      </w:r>
      <w:r>
        <w:rPr>
          <w:rFonts w:ascii="宋体" w:hAnsi="宋体" w:eastAsia="宋体" w:cs="宋体"/>
          <w:b/>
          <w:color w:val="000000"/>
          <w:sz w:val="24"/>
        </w:rPr>
        <w:t xml:space="preserve">其响应文件按无效文件处理。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5</w:t>
      </w:r>
      <w:r>
        <w:rPr>
          <w:rFonts w:ascii="宋体" w:hAnsi="宋体" w:eastAsia="宋体" w:cs="宋体"/>
          <w:color w:val="000000"/>
          <w:sz w:val="24"/>
        </w:rPr>
        <w:t xml:space="preserve">除因谈判文件修改导致成本增加外，</w:t>
      </w:r>
      <w:r>
        <w:rPr>
          <w:rFonts w:hint="eastAsia" w:ascii="宋体" w:hAnsi="宋体" w:eastAsia="宋体" w:cs="宋体"/>
          <w:color w:val="000000"/>
          <w:sz w:val="24"/>
        </w:rPr>
        <w:t xml:space="preserve">供应商</w:t>
      </w:r>
      <w:r>
        <w:rPr>
          <w:rFonts w:ascii="宋体" w:hAnsi="宋体" w:eastAsia="宋体" w:cs="宋体"/>
          <w:color w:val="000000"/>
          <w:sz w:val="24"/>
        </w:rPr>
        <w:t xml:space="preserve">二次报价超过第一次报价的，</w:t>
      </w:r>
      <w:r>
        <w:rPr>
          <w:rFonts w:ascii="宋体" w:hAnsi="宋体" w:eastAsia="宋体" w:cs="宋体"/>
          <w:b/>
          <w:color w:val="000000"/>
          <w:sz w:val="24"/>
        </w:rPr>
        <w:t xml:space="preserve">其响应文件按无效处理。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6</w:t>
      </w:r>
      <w:r>
        <w:rPr>
          <w:rFonts w:ascii="宋体" w:hAnsi="宋体" w:eastAsia="宋体" w:cs="宋体"/>
          <w:color w:val="000000"/>
          <w:sz w:val="24"/>
        </w:rPr>
        <w:t xml:space="preserve">报价的大写</w:t>
      </w:r>
      <w:r>
        <w:rPr>
          <w:rFonts w:hint="eastAsia" w:ascii="宋体" w:hAnsi="宋体" w:eastAsia="宋体" w:cs="宋体"/>
          <w:color w:val="000000"/>
          <w:sz w:val="24"/>
        </w:rPr>
        <w:t xml:space="preserve">金额</w:t>
      </w:r>
      <w:r>
        <w:rPr>
          <w:rFonts w:ascii="宋体" w:hAnsi="宋体" w:eastAsia="宋体" w:cs="宋体"/>
          <w:color w:val="000000"/>
          <w:sz w:val="24"/>
        </w:rPr>
        <w:t xml:space="preserve">和小写金额不一致的，以大写金额为准。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7</w:t>
      </w:r>
      <w:r>
        <w:rPr>
          <w:rFonts w:ascii="宋体" w:hAnsi="宋体" w:eastAsia="宋体" w:cs="宋体"/>
          <w:color w:val="000000"/>
          <w:sz w:val="24"/>
        </w:rPr>
        <w:t xml:space="preserve">单价金额</w:t>
      </w:r>
      <w:r>
        <w:rPr>
          <w:rFonts w:hint="eastAsia" w:ascii="宋体" w:hAnsi="宋体" w:eastAsia="宋体" w:cs="宋体"/>
          <w:color w:val="000000"/>
          <w:sz w:val="24"/>
        </w:rPr>
        <w:t xml:space="preserve">小数点</w:t>
      </w:r>
      <w:r>
        <w:rPr>
          <w:rFonts w:ascii="宋体" w:hAnsi="宋体" w:eastAsia="宋体" w:cs="宋体"/>
          <w:color w:val="000000"/>
          <w:sz w:val="24"/>
        </w:rPr>
        <w:t xml:space="preserve">或者百分比有明显错位的，以该次报价总价为准。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8</w:t>
      </w:r>
      <w:r>
        <w:rPr>
          <w:rFonts w:ascii="宋体" w:hAnsi="宋体" w:eastAsia="宋体" w:cs="宋体"/>
          <w:color w:val="000000"/>
          <w:sz w:val="24"/>
        </w:rPr>
        <w:t xml:space="preserve">总价金额与按单价汇总金额不一致的，以单价金额计算结果为准。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hint="eastAsia" w:ascii="宋体" w:hAnsi="宋体" w:eastAsia="宋体" w:cs="宋体"/>
          <w:color w:val="000000"/>
          <w:sz w:val="24"/>
        </w:rPr>
        <w:t xml:space="preserve">9</w:t>
      </w:r>
      <w:r>
        <w:rPr>
          <w:rFonts w:ascii="宋体" w:hAnsi="宋体" w:eastAsia="宋体" w:cs="宋体"/>
          <w:color w:val="000000"/>
          <w:sz w:val="24"/>
        </w:rPr>
        <w:t xml:space="preserve">响应文件报价中的单价和总价全部采用人民币表示，除非另有规定。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3.3谈判保证金：</w:t>
      </w:r>
      <w:r>
        <w:rPr>
          <w:rFonts w:ascii="宋体" w:hAnsi="宋体" w:eastAsia="宋体" w:cs="宋体"/>
          <w:color w:val="000000"/>
          <w:sz w:val="24"/>
        </w:rPr>
        <w:t xml:space="preserve">无</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3.4电子投标（响应）文件的编制与递交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3.4.2电子投标（响应)文件递交：供应商应当按照《操作手册》指引，</w:t>
      </w:r>
      <w:r>
        <w:rPr>
          <w:rFonts w:ascii="宋体" w:hAnsi="宋体" w:eastAsia="宋体" w:cs="宋体"/>
          <w:b/>
          <w:color w:val="000000"/>
          <w:sz w:val="24"/>
        </w:rPr>
        <w:t xml:space="preserve">在投标（响应）文件提交截止时间前完成电子投标（响应）文件的上传，未按要求成功上传的投标（响应）文件视为未递交</w:t>
      </w:r>
      <w:r>
        <w:rPr>
          <w:rFonts w:ascii="宋体" w:hAnsi="宋体" w:eastAsia="宋体" w:cs="宋体"/>
          <w:color w:val="000000"/>
          <w:sz w:val="24"/>
        </w:rPr>
        <w:t xml:space="preserve">。供应商应充分考虑到网络环境、网络带宽等风险因素，如因供应商自身原因造成的电子投标（响应）文件上传不成功由供应商自行承担全部责任。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（2）如本项目在政府采购信息发布媒体上发布了更正（补充）公告，请供应商务必在“苏采云”系统中下载</w:t>
      </w:r>
      <w:r>
        <w:rPr>
          <w:rFonts w:hint="eastAsia" w:ascii="宋体" w:hAnsi="宋体" w:eastAsia="宋体" w:cs="宋体"/>
          <w:color w:val="000000"/>
          <w:sz w:val="24"/>
        </w:rPr>
        <w:t xml:space="preserve">更正</w:t>
      </w:r>
      <w:r>
        <w:rPr>
          <w:rFonts w:ascii="宋体" w:hAnsi="宋体" w:eastAsia="宋体" w:cs="宋体"/>
          <w:color w:val="000000"/>
          <w:sz w:val="24"/>
        </w:rPr>
        <w:t xml:space="preserve">（补充）资料，根据更正后的采购文件重新编制电子投标（响应）文件并递交，否则可能无法解密，因此导致的响应失败等不利后果由供应商自行承担。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3.4.3</w:t>
      </w:r>
      <w:r>
        <w:rPr>
          <w:rFonts w:ascii="宋体" w:hAnsi="宋体" w:eastAsia="宋体" w:cs="宋体"/>
          <w:b/>
          <w:color w:val="000000"/>
          <w:sz w:val="24"/>
        </w:rPr>
        <w:t xml:space="preserve">响应文件未按照谈判文件要求加盖CA电子公章的，响应无效。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w:t>
      </w:r>
      <w:r>
        <w:rPr>
          <w:rFonts w:hint="eastAsia" w:ascii="宋体" w:hAnsi="宋体" w:eastAsia="宋体" w:cs="宋体"/>
          <w:color w:val="000000"/>
          <w:sz w:val="24"/>
        </w:rPr>
        <w:t xml:space="preserve">4</w:t>
      </w:r>
      <w:r>
        <w:rPr>
          <w:rFonts w:ascii="宋体" w:hAnsi="宋体" w:eastAsia="宋体" w:cs="宋体"/>
          <w:color w:val="000000"/>
          <w:sz w:val="24"/>
        </w:rPr>
        <w:t xml:space="preserve">联合体投标：如招标（采购）公告中允许联合体投标，联合体投标的投标（响应）文件制作上传操作如下：</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第一步：在投标（响应）文件中上传联合体投标协议书。</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第二步；在投标（响应）文件中，由联合体中的牵头人制作投标（响应）文件。</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w:t>
      </w:r>
      <w:r>
        <w:rPr>
          <w:rFonts w:hint="eastAsia" w:ascii="宋体" w:hAnsi="宋体" w:eastAsia="宋体" w:cs="宋体"/>
          <w:b/>
          <w:color w:val="000000"/>
          <w:sz w:val="24"/>
        </w:rPr>
        <w:t xml:space="preserve">5</w:t>
      </w:r>
      <w:r>
        <w:rPr>
          <w:rFonts w:ascii="宋体" w:hAnsi="宋体" w:eastAsia="宋体" w:cs="宋体"/>
          <w:b/>
          <w:color w:val="000000"/>
          <w:sz w:val="24"/>
        </w:rPr>
        <w:t xml:space="preserve">如投标（响应）文件制作机器码信息一致，视为不同投标供应商使用同一台电脑编制投标（响应）文件，投标（响应）无效。</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3.5响应文件开启（解密）、评标（评审）</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3.5.1本项目为不见面开标（开启）项目，</w:t>
      </w:r>
      <w:r>
        <w:rPr>
          <w:rFonts w:ascii="宋体" w:hAnsi="宋体" w:eastAsia="宋体" w:cs="宋体"/>
          <w:b/>
          <w:color w:val="000000"/>
          <w:sz w:val="24"/>
        </w:rPr>
        <w:t xml:space="preserve">开启阶段供应商在【解密环节】必须使用 CA证书解密电子投标（响应）文件，请供应商确保电脑、系统及其他设备（视频输入输出设备等）无误，且开启直至项目结束始终保持系统在线状态。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3.5.2线上参加（观看）开标（开启）会方式：登录“苏采云”系统，点击“开标大厅”，选择对应项目，点击进入不见面开标系统。</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3.5.3响应文件开启时，</w:t>
      </w:r>
      <w:r>
        <w:rPr>
          <w:rFonts w:hint="eastAsia" w:ascii="宋体" w:hAnsi="宋体" w:eastAsia="宋体" w:cs="宋体"/>
          <w:color w:val="000000"/>
          <w:sz w:val="24"/>
        </w:rPr>
        <w:t xml:space="preserve">供应商</w:t>
      </w:r>
      <w:r>
        <w:rPr>
          <w:rFonts w:ascii="宋体" w:hAnsi="宋体" w:eastAsia="宋体" w:cs="宋体"/>
          <w:color w:val="000000"/>
          <w:sz w:val="24"/>
        </w:rPr>
        <w:t xml:space="preserve">应当按照《操作手册》规定，在“苏采云”系统规定的时间内对谈判响应文件进行解密。等待开标流程进入“解锁环境”，点击“点击立即解密”进行标书解密，解锁完成后及时关注开标大厅，等待后续响应、二次报价、答疑澄清等提示，</w:t>
      </w:r>
      <w:r>
        <w:rPr>
          <w:rFonts w:ascii="宋体" w:hAnsi="宋体" w:eastAsia="宋体" w:cs="宋体"/>
          <w:b/>
          <w:color w:val="000000"/>
          <w:sz w:val="24"/>
        </w:rPr>
        <w:t xml:space="preserve">否则导致的对供应商不利的后果由供应商自行承担。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3.5.4供应商在“苏采云”系统规定的时间内未成功解密电子响应文件的，</w:t>
      </w:r>
      <w:r>
        <w:rPr>
          <w:rFonts w:ascii="宋体" w:hAnsi="宋体" w:eastAsia="宋体" w:cs="宋体"/>
          <w:b/>
          <w:color w:val="000000"/>
          <w:sz w:val="24"/>
        </w:rPr>
        <w:t xml:space="preserve">响应无效</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3.5.5供应商电脑环境最低要求：谷歌浏览器，版本可直接网上下载最新版本即可。如需收听现场语音需配置放音设备，如视频直播、互动交流使用异常，请刷新网页，如仍无法解决，请联系技术支持。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3.5.6开标大厅系统出现故障、断电断网等特殊情形导致无法直播时，交易中心将通过微信直播对外公布相关情况，供应商可登录微信直播平台（微信-发现-直播-搜索视频号“园小易直播”）观看现场实况。</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3.6技术支持</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3.6.1CA技术咨询</w:t>
      </w:r>
      <w:r>
        <w:rPr>
          <w:rFonts w:hint="eastAsia" w:ascii="宋体" w:hAnsi="宋体" w:eastAsia="宋体" w:cs="宋体"/>
          <w:color w:val="000000"/>
          <w:sz w:val="24"/>
        </w:rPr>
        <w:t xml:space="preserve">服务</w:t>
      </w:r>
      <w:r>
        <w:rPr>
          <w:rFonts w:ascii="宋体" w:hAnsi="宋体" w:eastAsia="宋体" w:cs="宋体"/>
          <w:color w:val="000000"/>
          <w:sz w:val="24"/>
        </w:rPr>
        <w:t xml:space="preserve">电话：400-608-6099</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电子签章技术咨询服务电话：15380932027、15371015030 、13675197356、 13675197221 </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w:t>
      </w:r>
      <w:r>
        <w:rPr>
          <w:rFonts w:hint="eastAsia" w:ascii="宋体" w:hAnsi="宋体" w:eastAsia="宋体" w:cs="宋体"/>
          <w:color w:val="000000"/>
          <w:sz w:val="24"/>
        </w:rPr>
        <w:t xml:space="preserve">技术</w:t>
      </w:r>
      <w:r>
        <w:rPr>
          <w:rFonts w:ascii="宋体" w:hAnsi="宋体" w:eastAsia="宋体" w:cs="宋体"/>
          <w:color w:val="000000"/>
          <w:sz w:val="24"/>
        </w:rPr>
        <w:t xml:space="preserve">咨询电话：0512-69820854、0519-86722802、13914088964、18261002950</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3.6.2网络中断故障技术支持：园区公共资源交易中心</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服务时间及方式：8:00-21:00 X7天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0512-66605052；手机： 17315885859</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3.7响应文件的修改和撤回</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谈判小组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4.1谈判小组由采购人</w:t>
      </w:r>
      <w:r>
        <w:rPr>
          <w:rFonts w:hint="eastAsia" w:ascii="宋体" w:hAnsi="宋体" w:eastAsia="宋体" w:cs="宋体"/>
          <w:color w:val="000000"/>
          <w:sz w:val="24"/>
        </w:rPr>
        <w:t xml:space="preserve">代表</w:t>
      </w:r>
      <w:r>
        <w:rPr>
          <w:rFonts w:ascii="宋体" w:hAnsi="宋体" w:eastAsia="宋体" w:cs="宋体"/>
          <w:color w:val="000000"/>
          <w:sz w:val="24"/>
        </w:rPr>
        <w:t xml:space="preserve">和评审专家共3人以上单数组成。如某一评审项出现评审专家意见不一致时，则按少数服从多数的原则确定该评审项结论。</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4.2谈判小组与参加采购活动的供应商存在下列利害关系之一的，应当回避：</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(一)参加采购活动</w:t>
      </w:r>
      <w:r>
        <w:rPr>
          <w:rFonts w:hint="eastAsia" w:ascii="宋体" w:hAnsi="宋体" w:eastAsia="宋体" w:cs="宋体"/>
          <w:color w:val="000000"/>
          <w:sz w:val="24"/>
        </w:rPr>
        <w:t xml:space="preserve">前</w:t>
      </w:r>
      <w:r>
        <w:rPr>
          <w:rFonts w:ascii="宋体" w:hAnsi="宋体" w:eastAsia="宋体" w:cs="宋体"/>
          <w:color w:val="000000"/>
          <w:sz w:val="24"/>
        </w:rPr>
        <w:t xml:space="preserve">三年内,与供应商存在劳动关系,或者担任过供应商的董事、监事,或者是供应商的控股股东或实际控制人;</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(二)与供应商的</w:t>
      </w:r>
      <w:r>
        <w:rPr>
          <w:rFonts w:hint="eastAsia" w:ascii="宋体" w:hAnsi="宋体" w:eastAsia="宋体" w:cs="宋体"/>
          <w:color w:val="000000"/>
          <w:sz w:val="24"/>
        </w:rPr>
        <w:t xml:space="preserve">法定</w:t>
      </w:r>
      <w:r>
        <w:rPr>
          <w:rFonts w:ascii="宋体" w:hAnsi="宋体" w:eastAsia="宋体" w:cs="宋体"/>
          <w:color w:val="000000"/>
          <w:sz w:val="24"/>
        </w:rPr>
        <w:t xml:space="preserve">代表人或者负责人有夫妻、直系血亲、三代以内旁系血亲或者近姻亲关系;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(三)与供应商有</w:t>
      </w:r>
      <w:r>
        <w:rPr>
          <w:rFonts w:hint="eastAsia" w:ascii="宋体" w:hAnsi="宋体" w:eastAsia="宋体" w:cs="宋体"/>
          <w:color w:val="000000"/>
          <w:sz w:val="24"/>
        </w:rPr>
        <w:t xml:space="preserve">其他</w:t>
      </w:r>
      <w:r>
        <w:rPr>
          <w:rFonts w:ascii="宋体" w:hAnsi="宋体" w:eastAsia="宋体" w:cs="宋体"/>
          <w:color w:val="000000"/>
          <w:sz w:val="24"/>
        </w:rPr>
        <w:t xml:space="preserve">可能影响政府采购活动公平、公正进行的关系。</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谈判小组发现本人与参加采购活动的供应商有利害关系的,应当主动提出回避。采购人或者采购代理机构发现谈判小组与参加采购活动的供应商有利害关系的，应当要求其回避。</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4.3评审专家应当遵守</w:t>
      </w:r>
      <w:r>
        <w:rPr>
          <w:rFonts w:hint="eastAsia" w:ascii="宋体" w:hAnsi="宋体" w:eastAsia="宋体" w:cs="宋体"/>
          <w:color w:val="000000"/>
          <w:sz w:val="24"/>
        </w:rPr>
        <w:t xml:space="preserve">评审</w:t>
      </w:r>
      <w:r>
        <w:rPr>
          <w:rFonts w:ascii="宋体" w:hAnsi="宋体" w:eastAsia="宋体" w:cs="宋体"/>
          <w:color w:val="000000"/>
          <w:sz w:val="24"/>
        </w:rPr>
        <w:t xml:space="preserve">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4.4谈判小组成员应当按照客观、公正、审慎的原则，根据谈判文件规定的评审程序、评审方法和评审标准进行独立评审。</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rPr>
        <w:t xml:space="preserve">.</w:t>
      </w:r>
      <w:r>
        <w:rPr>
          <w:rFonts w:ascii="宋体" w:hAnsi="宋体" w:eastAsia="宋体" w:cs="宋体"/>
          <w:b/>
          <w:color w:val="000000"/>
          <w:sz w:val="24"/>
        </w:rPr>
        <w:t xml:space="preserve">谈判程序</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5.1至响应文件提交截止时间，</w:t>
      </w:r>
      <w:r>
        <w:rPr>
          <w:rFonts w:ascii="宋体" w:hAnsi="宋体" w:eastAsia="宋体" w:cs="宋体"/>
          <w:b/>
          <w:color w:val="000000"/>
          <w:sz w:val="24"/>
        </w:rPr>
        <w:t xml:space="preserve">提交响应文件的供应商不足三家的，项目终止。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5.2谈判小组对响应文件进行实质性响应评审。</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5.3.1查询时间：</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文件递交截止时间。</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5.3.2查询渠道：通过“信用中国”、“信用江苏”及“中国政府采购网”上的信用信息查询供应商的信用记录。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5.3.3查询证据留存方式：对存在失信信息的供应商，谈判小组应填写《苏州市级政府采购供应商失信信息确认函》，由失信供应商签名（章）确认。同时，采购代理机构工作人员应根据谈判小组确认的失信信息，登陆到来源网站页面进行复核并打印，作为证据留存。</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5.3.4信用记录使用规则：谈判小组在对供应商进行资格性审查时，应根据查询结果对供应商的不良信用记录逐项甄别确认。按照《中华人民共和国政府采购法》第二十二条规定，</w:t>
      </w:r>
      <w:r>
        <w:rPr>
          <w:rFonts w:ascii="宋体" w:hAnsi="宋体" w:eastAsia="宋体" w:cs="宋体"/>
          <w:b/>
          <w:color w:val="000000"/>
          <w:sz w:val="24"/>
        </w:rPr>
        <w:t xml:space="preserve">下列信用记录属于应依法拒绝供应商参加政府采购的失信信息，存在此类失信信息的供应商的响应文件按无效处理：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（一）政府采购严重违法记录，即供应商被全国各级财政部门列入“政府采购严重违法失信行为记录名单”，且在处罚有效期内的。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（二）财政部门与法院、工商、税务等部门联合惩戒的失信信息，包括：</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被列入失信被执行人名单；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被列入重大税收违法案件当事人名单；</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5.3.5接受联合体的项目，两个以上的自然人、法人或者其他组织组成一个联合体，以一个供应商的身份共同参加政府采购活动的，联合体成员其中一名成员存在失信信息的，视同联合体存在失信信息。</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5.4谈判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5.4.1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5.4.2谈判小组认为有必要与供应商进行谈判的，谈判供应商按顺序进行谈判。谈判小组所有成员应当集中与单一供应商分别进行谈判，并给予所有参加谈判的供应商平等的谈判机会。</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5.4.3在谈判过程中，</w:t>
      </w:r>
      <w:r>
        <w:rPr>
          <w:rFonts w:hint="eastAsia" w:ascii="宋体" w:hAnsi="宋体" w:eastAsia="宋体" w:cs="宋体"/>
          <w:color w:val="000000"/>
          <w:sz w:val="24"/>
        </w:rPr>
        <w:t xml:space="preserve">谈判</w:t>
      </w:r>
      <w:r>
        <w:rPr>
          <w:rFonts w:ascii="宋体" w:hAnsi="宋体" w:eastAsia="宋体" w:cs="宋体"/>
          <w:color w:val="000000"/>
          <w:sz w:val="24"/>
        </w:rPr>
        <w:t xml:space="preserve">小组可以根据谈判文件和谈判情况实质性变动采购需求中的技术、服务要求以及合同草案条款，但不得变动谈判文件中的其他内容。实质性变动的内容，须经采购人代表确认。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5.4.4对谈判文件作出的实质性变动是谈判文件的有效组成部分，谈判小组应以书面形式记录具体变动内容并经采购人代表签字确认后及时以书面形式（通过“苏采云”系统）同时通知所有参加谈判的供应商。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5.5供应商应当在规定时间内按照谈判文件的变动情况和谈判小组的要求通过“苏采云”系统重新提交响应文件，并加盖CA电子公章。重新提交的响应文件按谈判文件进行评审。</w:t>
      </w:r>
      <w:r>
        <w:rPr>
          <w:rFonts w:ascii="宋体" w:hAnsi="宋体" w:eastAsia="宋体" w:cs="宋体"/>
          <w:b/>
          <w:color w:val="000000"/>
          <w:sz w:val="24"/>
        </w:rPr>
        <w:t xml:space="preserve">未按要求重新提交响应文件的按响应无效处理。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5.6澄清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5.6.2本项目采用线上澄清。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rPr>
        <w:t xml:space="preserve">未加盖CA电子公章的澄清无效。</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5.6.4接到谈判小组澄清、说明和更正要求的供应商如未按规定做出澄清、说明和更正，其风险由供应商自行承担。</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5.7最后报价</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5.7.1谈判结束后，谈判</w:t>
      </w:r>
      <w:r>
        <w:rPr>
          <w:rFonts w:hint="eastAsia" w:ascii="宋体" w:hAnsi="宋体" w:eastAsia="宋体" w:cs="宋体"/>
          <w:color w:val="000000"/>
          <w:sz w:val="24"/>
        </w:rPr>
        <w:t xml:space="preserve">小组</w:t>
      </w:r>
      <w:r>
        <w:rPr>
          <w:rFonts w:ascii="宋体" w:hAnsi="宋体" w:eastAsia="宋体" w:cs="宋体"/>
          <w:color w:val="000000"/>
          <w:sz w:val="24"/>
        </w:rPr>
        <w:t xml:space="preserve">应当要求所有继续参加谈判的供应商在规定时间内提交最后报价（</w:t>
      </w:r>
      <w:r>
        <w:rPr>
          <w:rFonts w:ascii="宋体" w:hAnsi="宋体" w:eastAsia="宋体" w:cs="宋体"/>
          <w:b/>
          <w:color w:val="000000"/>
          <w:sz w:val="24"/>
        </w:rPr>
        <w:t xml:space="preserve">除因谈判文件修改导致成本增加外，二次报价不得超过第一次报价，否则为无效响应报价</w:t>
      </w:r>
      <w:r>
        <w:rPr>
          <w:rFonts w:ascii="宋体" w:hAnsi="宋体" w:eastAsia="宋体" w:cs="宋体"/>
          <w:color w:val="000000"/>
          <w:sz w:val="24"/>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5.7.2本项目采用线上最后报价：</w:t>
      </w:r>
      <w:r>
        <w:rPr>
          <w:rFonts w:ascii="宋体" w:hAnsi="宋体" w:eastAsia="宋体" w:cs="宋体"/>
          <w:color w:val="000000"/>
          <w:sz w:val="24"/>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eastAsia="宋体" w:cs="宋体"/>
          <w:b/>
          <w:color w:val="000000"/>
          <w:sz w:val="24"/>
        </w:rPr>
        <w:t xml:space="preserve">供应商未在谈判小组规定的时间内在“苏采云”系统中提交最后报价的视为放弃谈判，其响应文件按无效响应处理，提交最后报价须加盖CA电子签章,否则视为未提交最后报价。</w:t>
      </w:r>
      <w:r>
        <w:rPr>
          <w:rFonts w:ascii="宋体" w:hAnsi="宋体" w:eastAsia="宋体" w:cs="宋体"/>
          <w:color w:val="000000"/>
          <w:sz w:val="24"/>
        </w:rPr>
        <w:t xml:space="preserve">在提交最后报价之前，可以根据谈判情况退出谈判，并在“苏采云”系统中提交“退出谈判函”并加盖CA电子公章。</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5.7.3供应商应提前熟悉线上</w:t>
      </w:r>
      <w:r>
        <w:rPr>
          <w:rFonts w:hint="eastAsia" w:ascii="宋体" w:hAnsi="宋体" w:eastAsia="宋体" w:cs="宋体"/>
          <w:color w:val="000000"/>
          <w:sz w:val="24"/>
        </w:rPr>
        <w:t xml:space="preserve">报价</w:t>
      </w:r>
      <w:r>
        <w:rPr>
          <w:rFonts w:ascii="宋体" w:hAnsi="宋体" w:eastAsia="宋体" w:cs="宋体"/>
          <w:color w:val="000000"/>
          <w:sz w:val="24"/>
        </w:rPr>
        <w:t xml:space="preserve">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5.7.4谈判小组认为某最后报价明显低于其他供应商的最后报价，有可能影响产品质量或者不能诚信履约的，应当要求其在谈判/谈判现场合理的时间内提供书面说明（线上开评标项目可通过“苏采云”系统要求其提供），</w:t>
      </w:r>
      <w:r>
        <w:rPr>
          <w:rFonts w:ascii="宋体" w:hAnsi="宋体" w:eastAsia="宋体" w:cs="宋体"/>
          <w:b/>
          <w:color w:val="000000"/>
          <w:sz w:val="24"/>
        </w:rPr>
        <w:t xml:space="preserve">必要时提交相关证明材料，供应商不能证明其报价合理性的，谈判小组应当将其响应文件按无效处理</w:t>
      </w:r>
      <w:r>
        <w:rPr>
          <w:rFonts w:ascii="宋体" w:hAnsi="宋体" w:eastAsia="宋体" w:cs="宋体"/>
          <w:color w:val="000000"/>
          <w:sz w:val="24"/>
        </w:rPr>
        <w:t xml:space="preserve">。</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5.7.</w:t>
      </w:r>
      <w:r>
        <w:rPr>
          <w:rFonts w:hint="eastAsia" w:ascii="宋体" w:hAnsi="宋体" w:eastAsia="宋体" w:cs="宋体"/>
          <w:b/>
          <w:color w:val="000000"/>
          <w:sz w:val="24"/>
        </w:rPr>
        <w:t xml:space="preserve">5</w:t>
      </w:r>
      <w:r>
        <w:rPr>
          <w:rFonts w:ascii="宋体" w:hAnsi="宋体" w:eastAsia="宋体" w:cs="宋体"/>
          <w:b/>
          <w:color w:val="000000"/>
          <w:sz w:val="24"/>
        </w:rPr>
        <w:t xml:space="preserve">未在规定时间提交最后报价的，响应文件按无效处理。</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5.7.6在规定时间内提交最后报价的供应商少于3家的，项目终止。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5.7.7如谈判过程中出现本谈判文件未尽事宜，由谈判小组根据政府</w:t>
      </w:r>
      <w:r>
        <w:rPr>
          <w:rFonts w:hint="eastAsia" w:ascii="宋体" w:hAnsi="宋体" w:eastAsia="宋体" w:cs="宋体"/>
          <w:color w:val="000000"/>
          <w:sz w:val="24"/>
        </w:rPr>
        <w:t xml:space="preserve">采购</w:t>
      </w:r>
      <w:r>
        <w:rPr>
          <w:rFonts w:ascii="宋体" w:hAnsi="宋体" w:eastAsia="宋体" w:cs="宋体"/>
          <w:color w:val="000000"/>
          <w:sz w:val="24"/>
        </w:rPr>
        <w:t xml:space="preserve">有关法律、法规讨论决定。</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w:t>
      </w:r>
      <w:r>
        <w:rPr>
          <w:rFonts w:hint="eastAsia" w:ascii="宋体" w:hAnsi="宋体" w:eastAsia="宋体" w:cs="宋体"/>
          <w:b/>
          <w:color w:val="000000"/>
          <w:sz w:val="24"/>
        </w:rPr>
        <w:t xml:space="preserve">.</w:t>
      </w:r>
      <w:r>
        <w:rPr>
          <w:rFonts w:ascii="宋体" w:hAnsi="宋体" w:eastAsia="宋体" w:cs="宋体"/>
          <w:b/>
          <w:color w:val="000000"/>
          <w:sz w:val="24"/>
        </w:rPr>
        <w:t xml:space="preserve">项目终止</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出现下列情形之一的，采购人或者采购代理机构应当终止竞争性谈判采购活动，发布项目终止公告并说明原因，重新开展采购活动：</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w:t>
      </w:r>
      <w:r>
        <w:rPr>
          <w:rFonts w:ascii="宋体" w:hAnsi="宋体" w:eastAsia="宋体" w:cs="宋体"/>
          <w:color w:val="000000"/>
          <w:sz w:val="24"/>
        </w:rPr>
        <w:t xml:space="preserve">因情况变化，不再符合规</w:t>
      </w:r>
      <w:r>
        <w:rPr>
          <w:rFonts w:hint="eastAsia" w:ascii="宋体" w:hAnsi="宋体" w:eastAsia="宋体" w:cs="宋体"/>
          <w:color w:val="000000"/>
          <w:sz w:val="24"/>
        </w:rPr>
        <w:t xml:space="preserve">定的竞争性谈判采购方式适用情形的；</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6.2出现影响采购公正的违法、违规行为的；</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6.3在采购过程中符合竞争要求的供应商或者报价未超过采购预算的供应商不足3家的，但《政府采购非招标采购方式管理办法》第二十七条第二款规定的情形除外。</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项目终止后，采购代理机构应</w:t>
      </w:r>
      <w:r>
        <w:rPr>
          <w:rFonts w:ascii="宋体" w:hAnsi="宋体" w:eastAsia="宋体" w:cs="宋体"/>
          <w:color w:val="000000"/>
          <w:sz w:val="24"/>
        </w:rPr>
        <w:t xml:space="preserve">当将项目终止的理由告知所有供应商。</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w:t>
      </w:r>
      <w:r>
        <w:rPr>
          <w:rFonts w:hint="eastAsia" w:ascii="宋体" w:hAnsi="宋体" w:eastAsia="宋体" w:cs="宋体"/>
          <w:b/>
          <w:color w:val="000000"/>
          <w:sz w:val="24"/>
        </w:rPr>
        <w:t xml:space="preserve">.</w:t>
      </w:r>
      <w:r>
        <w:rPr>
          <w:rFonts w:ascii="宋体" w:hAnsi="宋体" w:eastAsia="宋体" w:cs="宋体"/>
          <w:b/>
          <w:color w:val="000000"/>
          <w:sz w:val="24"/>
        </w:rPr>
        <w:t xml:space="preserve">成交</w:t>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7.1谈判小组</w:t>
      </w:r>
      <w:r>
        <w:rPr>
          <w:rFonts w:hint="eastAsia" w:ascii="宋体" w:hAnsi="宋体" w:eastAsia="宋体" w:cs="宋体"/>
          <w:color w:val="000000"/>
          <w:sz w:val="24"/>
        </w:rPr>
        <w:t xml:space="preserve">应当</w:t>
      </w:r>
      <w:r>
        <w:rPr>
          <w:rFonts w:ascii="宋体" w:hAnsi="宋体" w:eastAsia="宋体" w:cs="宋体"/>
          <w:color w:val="000000"/>
          <w:sz w:val="24"/>
        </w:rPr>
        <w:t xml:space="preserve">从质量和服务均能满足采购文件实质性响应要求的供应商中，按照最后报价由低到高的顺序提出3名成交候选人，并编写评审报告。最后报价相同的，按照谈判文件规定的方式确定</w:t>
      </w:r>
      <w:r>
        <w:rPr>
          <w:rFonts w:hint="eastAsia" w:ascii="宋体" w:hAnsi="宋体" w:eastAsia="宋体" w:cs="宋体"/>
          <w:color w:val="000000"/>
          <w:sz w:val="24"/>
        </w:rPr>
        <w:t xml:space="preserve">排序；谈判文件未规定的，采取随机抽取的方式确定排序。</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7.2采购代理机构应当在评审结束后2个工作日内将评审报告送采购人确认。</w:t>
      </w:r>
      <w:r>
        <w:rPr>
          <w:rFonts w:hint="eastAsia"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7.3采购人或采购代理机构应当在成交供应商确定后的2个工作日内，在政府采购信息媒体上发布成交结果，成交公告期限为1个工作日。</w:t>
      </w:r>
      <w:r>
        <w:rPr>
          <w:rFonts w:hint="eastAsia"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采购人或采购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w:t>
      </w:r>
      <w:r>
        <w:rPr>
          <w:rFonts w:ascii="宋体" w:hAnsi="宋体" w:eastAsia="宋体" w:cs="宋体"/>
          <w:color w:val="000000"/>
          <w:sz w:val="24"/>
        </w:rPr>
        <w:t xml:space="preserve">未成交通知书》的电子邮件地址，未按时提供电子邮件地址或提供信息有误的，视为自动放弃并自行承担相应后果。</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7.5成交通知书发出后，采购人不得违法改变成交结果，成交供应商无正当理由不得放弃成交。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7.6采购合同履行中，采购人需追加与合同标的相同的服务或货物的，在不改变合同其他条款的前提下，可以与供应商协商签订补充合同，但所有补充合同的采购金额不得超过原合同采购金额的百分之十。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w:t>
      </w:r>
      <w:r>
        <w:rPr>
          <w:rFonts w:hint="eastAsia" w:ascii="宋体" w:hAnsi="宋体" w:eastAsia="宋体" w:cs="宋体"/>
          <w:b/>
          <w:color w:val="000000"/>
          <w:sz w:val="24"/>
        </w:rPr>
        <w:t xml:space="preserve">.</w:t>
      </w:r>
      <w:r>
        <w:rPr>
          <w:rFonts w:ascii="宋体" w:hAnsi="宋体" w:eastAsia="宋体" w:cs="宋体"/>
          <w:b/>
          <w:color w:val="000000"/>
          <w:sz w:val="24"/>
        </w:rPr>
        <w:t xml:space="preserve">履约保证金</w:t>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4"/>
        </w:rPr>
      </w:r>
      <w:r/>
    </w:p>
    <w:p>
      <w:pPr>
        <w:pStyle w:val="934"/>
        <w:ind w:firstLine="480"/>
        <w:spacing w:line="360" w:lineRule="auto"/>
        <w:tabs>
          <w:tab w:val="left" w:pos="851" w:leader="none"/>
        </w:tabs>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8.2成交的供应商应按成</w:t>
      </w:r>
      <w:r>
        <w:rPr>
          <w:rFonts w:hint="eastAsia" w:ascii="宋体" w:hAnsi="宋体" w:eastAsia="宋体" w:cs="宋体"/>
          <w:color w:val="000000"/>
          <w:sz w:val="24"/>
        </w:rPr>
        <w:t xml:space="preserve">交价的5%提交履约保证金。</w:t>
      </w:r>
      <w:r>
        <w:rPr>
          <w:rFonts w:hint="eastAsia"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在成交通知书发出的七天内</w:t>
      </w:r>
      <w:r>
        <w:rPr>
          <w:rFonts w:ascii="宋体" w:hAnsi="宋体" w:eastAsia="宋体" w:cs="宋体"/>
          <w:color w:val="000000"/>
          <w:sz w:val="24"/>
        </w:rPr>
        <w:t xml:space="preserve">，</w:t>
      </w:r>
      <w:r>
        <w:rPr>
          <w:rFonts w:hint="eastAsia" w:ascii="宋体" w:hAnsi="宋体" w:eastAsia="宋体" w:cs="宋体"/>
          <w:color w:val="000000"/>
          <w:sz w:val="24"/>
        </w:rPr>
        <w:t xml:space="preserve">成交供应商应当以支票、汇票、本票或者金融机构、担保机构出具的保函（如选择保函，履约保函的金额、担保方式等实质性内容需满足采购文件附件《履约保函》的要求，否则采购人不予认可，由此带来的后果均由成交供应商承担）等非现金形式提交履约保证金。如选择转账方式提交履约保证金的，款项转入以下账户：</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  户：苏州工业园区综合行政执法局</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开户行：农行苏州工业园区支行营业部</w:t>
      </w:r>
      <w:r>
        <w:rPr>
          <w:rFonts w:ascii="宋体" w:hAnsi="宋体" w:eastAsia="宋体" w:cs="宋体"/>
          <w:color w:val="000000"/>
          <w:sz w:val="24"/>
        </w:rPr>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  号：105501010401324740001900102</w:t>
      </w:r>
      <w:r>
        <w:rPr>
          <w:rFonts w:ascii="宋体" w:hAnsi="宋体" w:eastAsia="宋体" w:cs="宋体"/>
          <w:color w:val="000000"/>
          <w:sz w:val="24"/>
        </w:rPr>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成交单位无故拖延或拒不提交履约保证金的，视为拒绝与采购人签订合同，采购人可以按照评审报告推荐的成交候选人名单排序，确定下一候选人为成交单位或者重新开展政府采购活动。</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无息）在服务期满且服务缺陷更正后，成交单位配合采购人和新成交单位办理移交手续，由采购人签发《政府采购履约验收书》后退还。如成交单位对服务缺陷不予更正，采购人有权另请其他单位更正，所发生的费用在履约保证金中扣除。</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w:t>
      </w:r>
      <w:r>
        <w:rPr>
          <w:rFonts w:hint="eastAsia" w:ascii="宋体" w:hAnsi="宋体" w:eastAsia="宋体" w:cs="宋体"/>
          <w:b/>
          <w:color w:val="000000"/>
          <w:sz w:val="24"/>
        </w:rPr>
        <w:t xml:space="preserve">.</w:t>
      </w:r>
      <w:r>
        <w:rPr>
          <w:rFonts w:ascii="宋体" w:hAnsi="宋体" w:eastAsia="宋体" w:cs="宋体"/>
          <w:b/>
          <w:color w:val="000000"/>
          <w:sz w:val="24"/>
        </w:rPr>
        <w:t xml:space="preserve">合同</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9.1采购人</w:t>
      </w:r>
      <w:r>
        <w:rPr>
          <w:rFonts w:hint="eastAsia" w:ascii="宋体" w:hAnsi="宋体" w:eastAsia="宋体" w:cs="宋体"/>
          <w:color w:val="000000"/>
          <w:sz w:val="24"/>
        </w:rPr>
        <w:t xml:space="preserve">原则</w:t>
      </w:r>
      <w:r>
        <w:rPr>
          <w:rFonts w:ascii="宋体" w:hAnsi="宋体" w:eastAsia="宋体" w:cs="宋体"/>
          <w:color w:val="000000"/>
          <w:sz w:val="24"/>
        </w:rPr>
        <w:t xml:space="preserve">上应当自中标通知书发出之日起15日内（最迟30日内），按照谈判文件确定的合同文本以及采购标的、规格型号、采购金额、采购数量、技术和服务要求等事项签订政府采购</w:t>
      </w:r>
      <w:r>
        <w:rPr>
          <w:rFonts w:hint="eastAsia" w:ascii="宋体" w:hAnsi="宋体" w:eastAsia="宋体" w:cs="宋体"/>
          <w:color w:val="000000"/>
          <w:sz w:val="24"/>
        </w:rPr>
        <w:t xml:space="preserve">合同</w:t>
      </w:r>
      <w:r>
        <w:rPr>
          <w:rFonts w:ascii="宋体" w:hAnsi="宋体" w:eastAsia="宋体" w:cs="宋体"/>
          <w:color w:val="000000"/>
          <w:sz w:val="24"/>
        </w:rPr>
        <w:t xml:space="preserve">。</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9.2采购人不得向</w:t>
      </w:r>
      <w:r>
        <w:rPr>
          <w:rFonts w:hint="eastAsia" w:ascii="宋体" w:hAnsi="宋体" w:eastAsia="宋体" w:cs="宋体"/>
          <w:color w:val="000000"/>
          <w:sz w:val="24"/>
        </w:rPr>
        <w:t xml:space="preserve">成交</w:t>
      </w:r>
      <w:r>
        <w:rPr>
          <w:rFonts w:ascii="宋体" w:hAnsi="宋体" w:eastAsia="宋体" w:cs="宋体"/>
          <w:color w:val="000000"/>
          <w:sz w:val="24"/>
        </w:rPr>
        <w:t xml:space="preserve">供应商提出超出谈判文件以外的任何要求作为签订合同的条件，不得与成交供应商订立背离谈判文件确定的合同文本以及采购标的、规格型号、采购金额、采购数量、技术和服务要求等实质性内容的协议。</w:t>
      </w:r>
      <w:r/>
    </w:p>
    <w:p>
      <w:pPr>
        <w:pStyle w:val="934"/>
        <w:ind w:firstLine="480"/>
        <w:spacing w:line="360" w:lineRule="auto"/>
        <w:tabs>
          <w:tab w:val="left" w:pos="851"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9.3采购合同的双方当事人不得擅自变更、中止或者终止合同。合同继续履行将损害国家利益和社会公共利益的，双</w:t>
      </w:r>
      <w:r>
        <w:rPr>
          <w:rFonts w:ascii="宋体" w:hAnsi="宋体" w:eastAsia="宋体" w:cs="宋体"/>
          <w:color w:val="000000"/>
          <w:sz w:val="24"/>
        </w:rPr>
        <w:t xml:space="preserve">方当事人应当变更、中止或者终止合同。有过错的一方应当承担赔偿责任，双方都有过错的，各自承担相应责任。</w:t>
      </w:r>
      <w:r>
        <w:rPr>
          <w:rFonts w:ascii="宋体" w:hAnsi="宋体" w:eastAsia="宋体" w:cs="宋体"/>
          <w:color w:val="000000"/>
          <w:sz w:val="24"/>
        </w:rPr>
      </w:r>
      <w:r/>
    </w:p>
    <w:p>
      <w:pPr>
        <w:ind w:firstLine="480"/>
        <w:spacing w:line="360" w:lineRule="auto"/>
        <w:tabs>
          <w:tab w:val="left" w:pos="851" w:leader="none"/>
        </w:tabs>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rFonts w:ascii="宋体" w:hAnsi="宋体" w:eastAsia="宋体" w:cs="宋体"/>
          <w:color w:val="000000" w:themeColor="text1"/>
          <w:sz w:val="24"/>
          <w:highlight w:val="none"/>
        </w:rPr>
        <w:t xml:space="preserve">9.4本项目为采购编号JSZC-320591-HXZJ-T2026-0006号一标重新采购项目，拒绝签订政府采购合同的成交供应商不得参加对该项目重新开展的采购活动。</w:t>
      </w:r>
      <w:r>
        <w:rPr>
          <w:color w:val="000000" w:themeColor="text1"/>
        </w:rPr>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w:t>
      </w:r>
      <w:r>
        <w:rPr>
          <w:rFonts w:hint="eastAsia" w:ascii="宋体" w:hAnsi="宋体" w:eastAsia="宋体" w:cs="宋体"/>
          <w:b/>
          <w:color w:val="000000"/>
          <w:sz w:val="24"/>
        </w:rPr>
        <w:t xml:space="preserve">.</w:t>
      </w:r>
      <w:r>
        <w:rPr>
          <w:rFonts w:ascii="宋体" w:hAnsi="宋体" w:eastAsia="宋体" w:cs="宋体"/>
          <w:b/>
          <w:color w:val="000000"/>
          <w:sz w:val="24"/>
        </w:rPr>
        <w:t xml:space="preserve">质疑</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10.1质疑及答复</w:t>
      </w:r>
      <w:r>
        <w:rPr>
          <w:rFonts w:hint="eastAsia" w:ascii="宋体" w:hAnsi="宋体" w:eastAsia="宋体" w:cs="宋体"/>
          <w:color w:val="000000"/>
          <w:sz w:val="24"/>
        </w:rPr>
        <w:t xml:space="preserve">遵守</w:t>
      </w:r>
      <w:r>
        <w:rPr>
          <w:rFonts w:ascii="宋体" w:hAnsi="宋体" w:eastAsia="宋体" w:cs="宋体"/>
          <w:color w:val="000000"/>
          <w:sz w:val="24"/>
        </w:rPr>
        <w:t xml:space="preserve">《政府采购质疑和投诉办法》（中华人民共和国财政部令第94号）规定。</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10.2供应商认为</w:t>
      </w:r>
      <w:r>
        <w:rPr>
          <w:rFonts w:hint="eastAsia" w:ascii="宋体" w:hAnsi="宋体" w:eastAsia="宋体" w:cs="宋体"/>
          <w:color w:val="000000"/>
          <w:sz w:val="24"/>
        </w:rPr>
        <w:t xml:space="preserve">采购</w:t>
      </w:r>
      <w:r>
        <w:rPr>
          <w:rFonts w:ascii="宋体" w:hAnsi="宋体" w:eastAsia="宋体" w:cs="宋体"/>
          <w:color w:val="000000"/>
          <w:sz w:val="24"/>
        </w:rPr>
        <w:t xml:space="preserve">文件、采购过程和采购结果使自己的权益受到损害的，可以在知道或应知其权益受到损害之日起七个工作日内，以书面形式代理机构提出质疑。上述应知其权益受到损害之日，是指：</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①对可以质疑的采购文件提出质疑的，为收到采购文件之日或者采购文件公告期限届满之日；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②对采购过程提出</w:t>
      </w:r>
      <w:r>
        <w:rPr>
          <w:rFonts w:hint="eastAsia" w:ascii="宋体" w:hAnsi="宋体" w:eastAsia="宋体" w:cs="宋体"/>
          <w:color w:val="000000"/>
          <w:sz w:val="24"/>
        </w:rPr>
        <w:t xml:space="preserve">质疑</w:t>
      </w:r>
      <w:r>
        <w:rPr>
          <w:rFonts w:ascii="宋体" w:hAnsi="宋体" w:eastAsia="宋体" w:cs="宋体"/>
          <w:color w:val="000000"/>
          <w:sz w:val="24"/>
        </w:rPr>
        <w:t xml:space="preserve">的，为各采购程序环节结束之日；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③对中标或者成交</w:t>
      </w:r>
      <w:r>
        <w:rPr>
          <w:rFonts w:hint="eastAsia" w:ascii="宋体" w:hAnsi="宋体" w:eastAsia="宋体" w:cs="宋体"/>
          <w:color w:val="000000"/>
          <w:sz w:val="24"/>
        </w:rPr>
        <w:t xml:space="preserve">结果</w:t>
      </w:r>
      <w:r>
        <w:rPr>
          <w:rFonts w:ascii="宋体" w:hAnsi="宋体" w:eastAsia="宋体" w:cs="宋体"/>
          <w:color w:val="000000"/>
          <w:sz w:val="24"/>
        </w:rPr>
        <w:t xml:space="preserve">提出质疑的，为中标或者成交结果公告期限届满之日。</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10.3供应商应当在法定质疑期内一次性提出针对同一采购程序环节的质疑。供应商如在法定期限内对同一采购程序环节提出多次质疑的，代理机构将只对供应商第一次质疑作出答复。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10.4提出质疑的供应商应当是参与所质疑项目采购活动的供应商，未依照采购公告要求获取采购文件的供应商，视为未参与该项政府采购活动，不具备对该政府采购项目提出质疑的法定权利。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对采购文件内容质疑时，需提供在“苏采云”系统中下载本项目谈判文件的《投标供应商确认函》，未提供的视为未依照采购公告要求获取谈判文件的供应商，不具备对该政府采购项目提出质疑的法定权利。</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10.5供应商（含</w:t>
      </w:r>
      <w:r>
        <w:rPr>
          <w:rFonts w:hint="eastAsia" w:ascii="宋体" w:hAnsi="宋体" w:eastAsia="宋体" w:cs="宋体"/>
          <w:color w:val="000000"/>
          <w:sz w:val="24"/>
        </w:rPr>
        <w:t xml:space="preserve">潜在</w:t>
      </w:r>
      <w:r>
        <w:rPr>
          <w:rFonts w:ascii="宋体" w:hAnsi="宋体" w:eastAsia="宋体" w:cs="宋体"/>
          <w:color w:val="000000"/>
          <w:sz w:val="24"/>
        </w:rPr>
        <w:t xml:space="preserve">供应商）询问、质疑请向采购代理机构提出，由采购代理机构负责答复。</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联系单位：苏州</w:t>
      </w:r>
      <w:r>
        <w:rPr>
          <w:rFonts w:hint="eastAsia" w:ascii="宋体" w:hAnsi="宋体" w:eastAsia="宋体" w:cs="宋体"/>
          <w:color w:val="000000"/>
          <w:sz w:val="24"/>
        </w:rPr>
        <w:t xml:space="preserve">华星</w:t>
      </w:r>
      <w:r>
        <w:rPr>
          <w:rFonts w:ascii="宋体" w:hAnsi="宋体" w:eastAsia="宋体" w:cs="宋体"/>
          <w:color w:val="000000"/>
          <w:sz w:val="24"/>
        </w:rPr>
        <w:t xml:space="preserve">工程造价咨询有限公司</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rPr>
          <w:rFonts w:hint="eastAsia" w:ascii="宋体" w:hAnsi="宋体" w:eastAsia="宋体" w:cs="宋体"/>
          <w:color w:val="000000"/>
          <w:sz w:val="24"/>
          <w:lang w:eastAsia="zh-CN"/>
        </w:rPr>
        <w:t xml:space="preserve">周燕萍</w:t>
      </w:r>
      <w:r>
        <w:rPr>
          <w:rFonts w:ascii="宋体" w:hAnsi="宋体" w:eastAsia="宋体" w:cs="宋体"/>
          <w:color w:val="000000"/>
          <w:sz w:val="24"/>
        </w:rPr>
        <w:t xml:space="preserve">0512-65200462</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通讯地址：苏州工业园区苏雅路388号新天翔商业广场A座12楼1206室</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Style w:val="934"/>
        <w:ind w:firstLine="480"/>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10.7供应商提出书面质疑必须有理、有据，不得捏造事实、提供虚假材料进行恶意质疑。否则，一经查实，代理机构有权依据政府采购的有关规定，报请政府采购监管部门对该供应商进行</w:t>
      </w:r>
      <w:r>
        <w:rPr>
          <w:rFonts w:hint="eastAsia" w:ascii="宋体" w:hAnsi="宋体" w:eastAsia="宋体" w:cs="宋体"/>
          <w:color w:val="000000"/>
          <w:sz w:val="24"/>
        </w:rPr>
        <w:t xml:space="preserve">相应</w:t>
      </w:r>
      <w:r>
        <w:rPr>
          <w:rFonts w:ascii="宋体" w:hAnsi="宋体" w:eastAsia="宋体" w:cs="宋体"/>
          <w:color w:val="000000"/>
          <w:sz w:val="24"/>
        </w:rPr>
        <w:t xml:space="preserve">的行政处罚和记录该供应商的失信信息。</w:t>
      </w:r>
      <w:r/>
    </w:p>
    <w:p>
      <w:pPr>
        <w:pStyle w:val="934"/>
        <w:ind w:firstLine="482"/>
        <w:spacing w:line="360" w:lineRule="auto"/>
        <w:tabs>
          <w:tab w:val="left" w:pos="85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w:t>
      </w:r>
      <w:r>
        <w:rPr>
          <w:rFonts w:hint="eastAsia" w:ascii="宋体" w:hAnsi="宋体" w:eastAsia="宋体" w:cs="宋体"/>
          <w:b/>
          <w:color w:val="000000"/>
          <w:sz w:val="24"/>
        </w:rPr>
        <w:t xml:space="preserve">.</w:t>
      </w:r>
      <w:r>
        <w:rPr>
          <w:rFonts w:ascii="宋体" w:hAnsi="宋体" w:eastAsia="宋体" w:cs="宋体"/>
          <w:b/>
          <w:color w:val="000000"/>
          <w:sz w:val="24"/>
        </w:rPr>
        <w:t xml:space="preserve">未尽事宜</w:t>
      </w:r>
      <w:r/>
    </w:p>
    <w:p>
      <w:pPr>
        <w:pStyle w:val="934"/>
        <w:ind w:firstLine="480"/>
        <w:spacing w:line="360" w:lineRule="auto"/>
        <w:tabs>
          <w:tab w:val="left" w:pos="851"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按《中华人民共和国政府采购法》及其他有关法律法规的规定执行。</w:t>
      </w:r>
      <w:r>
        <w:rPr>
          <w:rFonts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3" w:name="_Toc6722"/>
      <w:r>
        <w:rPr>
          <w:rFonts w:ascii="宋体" w:hAnsi="宋体" w:eastAsia="宋体" w:cs="宋体"/>
          <w:color w:val="000000"/>
          <w:szCs w:val="44"/>
        </w:rPr>
        <w:t xml:space="preserve">第三章</w:t>
      </w:r>
      <w:r>
        <w:rPr>
          <w:rFonts w:hint="eastAsia" w:ascii="宋体" w:hAnsi="宋体" w:eastAsia="宋体" w:cs="宋体"/>
          <w:color w:val="000000"/>
          <w:szCs w:val="44"/>
        </w:rPr>
        <w:t xml:space="preserve"> </w:t>
      </w:r>
      <w:r>
        <w:rPr>
          <w:rFonts w:ascii="宋体" w:hAnsi="宋体" w:eastAsia="宋体" w:cs="宋体"/>
          <w:color w:val="000000"/>
          <w:szCs w:val="44"/>
        </w:rPr>
        <w:t xml:space="preserve">响应文件格式</w:t>
      </w:r>
      <w:bookmarkEnd w:id="3"/>
      <w:r>
        <w:rPr>
          <w:rFonts w:ascii="宋体" w:hAnsi="宋体" w:eastAsia="宋体" w:cs="宋体"/>
          <w:color w:val="000000"/>
          <w:szCs w:val="44"/>
        </w:rPr>
      </w:r>
      <w:r/>
    </w:p>
    <w:p>
      <w:pPr>
        <w:pStyle w:val="934"/>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对本章所有的格式，谈判供应商可根据自身情况进行补充和修改，但补充和修改不得造成与本格式内容有实质性的违背。</w:t>
      </w:r>
      <w:r/>
    </w:p>
    <w:p>
      <w:pPr>
        <w:pStyle w:val="934"/>
        <w:spacing w:line="360" w:lineRule="auto"/>
        <w:rPr>
          <w:highlight w:val="white"/>
        </w:rPr>
        <w:outlineLvl w:val="1"/>
      </w:pPr>
      <w:r>
        <w:br w:type="page" w:clear="all"/>
      </w:r>
      <w:bookmarkStart w:id="4" w:name="_Toc10842"/>
      <w:r>
        <w:rPr>
          <w:rFonts w:ascii="宋体" w:hAnsi="宋体" w:eastAsia="宋体" w:cs="宋体"/>
          <w:b/>
          <w:color w:val="000000"/>
          <w:sz w:val="24"/>
          <w:highlight w:val="white"/>
        </w:rPr>
        <w:t xml:space="preserve">1、法定代表人授权委托书</w:t>
      </w:r>
      <w:bookmarkEnd w:id="4"/>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法定代表人授权委托书</w:t>
      </w:r>
      <w:r>
        <w:rPr>
          <w:rFonts w:hint="eastAsia" w:ascii="宋体" w:hAnsi="宋体" w:eastAsia="宋体" w:cs="宋体"/>
          <w:b/>
          <w:color w:val="000000"/>
          <w:sz w:val="32"/>
          <w:szCs w:val="32"/>
          <w:highlight w:val="white"/>
        </w:rPr>
      </w:r>
      <w:r/>
    </w:p>
    <w:p>
      <w:pPr>
        <w:pStyle w:val="934"/>
        <w:ind w:firstLine="482"/>
        <w:spacing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本授权委托书声明：我（姓名</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系（供应商名称）</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的法定代表人，现授权委托（姓名+手机号码）</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为我公司代理人，以本公司的名义参加（采购人名称）</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组织实施的编号为</w:t>
      </w:r>
      <w:r>
        <w:rPr>
          <w:rFonts w:ascii="宋体" w:hAnsi="宋体" w:eastAsia="宋体" w:cs="宋体"/>
          <w:color w:val="000000"/>
          <w:sz w:val="24"/>
          <w:szCs w:val="24"/>
          <w:highlight w:val="white"/>
          <w:u w:val="single"/>
        </w:rPr>
        <w:t xml:space="preserve">        </w:t>
      </w:r>
      <w:r>
        <w:rPr>
          <w:rFonts w:ascii="宋体" w:hAnsi="宋体" w:eastAsia="宋体" w:cs="宋体"/>
          <w:color w:val="000000"/>
          <w:sz w:val="24"/>
          <w:szCs w:val="24"/>
          <w:highlight w:val="white"/>
        </w:rPr>
        <w:t xml:space="preserve">号的招标（采购）活动。代理人在投标、开标、评标、合同订立和履行过程中所签署的一切文件和处理与这有关的一切事务，我均予以承认。</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代理人无转委托权。特此委托。  </w:t>
      </w:r>
      <w:r>
        <w:rPr>
          <w:sz w:val="24"/>
          <w:szCs w:val="24"/>
          <w:highlight w:val="white"/>
        </w:rPr>
      </w:r>
      <w:r/>
    </w:p>
    <w:p>
      <w:pPr>
        <w:pStyle w:val="934"/>
        <w:ind w:firstLine="482"/>
        <w:spacing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供应商(盖章）：</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法定代表人（盖章或签字）：</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代理人（盖章或签字）：</w:t>
      </w:r>
      <w:r>
        <w:rPr>
          <w:sz w:val="24"/>
          <w:szCs w:val="24"/>
          <w:highlight w:val="white"/>
        </w:rPr>
      </w:r>
      <w:r/>
    </w:p>
    <w:p>
      <w:pPr>
        <w:pStyle w:val="934"/>
        <w:ind w:firstLine="482"/>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 期： </w:t>
      </w:r>
      <w:r>
        <w:rPr>
          <w:sz w:val="24"/>
          <w:szCs w:val="24"/>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82"/>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后附法定代表人身份证扫描件、代理人身份证扫描件（如有授权）；</w:t>
      </w:r>
      <w:r>
        <w:rPr>
          <w:highlight w:val="white"/>
        </w:rPr>
      </w:r>
      <w:r/>
    </w:p>
    <w:p>
      <w:pPr>
        <w:pStyle w:val="934"/>
        <w:spacing w:line="360" w:lineRule="auto"/>
        <w:rPr>
          <w:highlight w:val="white"/>
        </w:rPr>
        <w:outlineLvl w:val="1"/>
      </w:pPr>
      <w:r>
        <w:rPr>
          <w:highlight w:val="white"/>
        </w:rPr>
        <w:br w:type="page" w:clear="all"/>
      </w:r>
      <w:bookmarkStart w:id="5" w:name="_Toc16056"/>
      <w:r>
        <w:rPr>
          <w:rFonts w:ascii="宋体" w:hAnsi="宋体" w:eastAsia="宋体" w:cs="宋体"/>
          <w:b/>
          <w:color w:val="000000"/>
          <w:sz w:val="24"/>
          <w:highlight w:val="white"/>
        </w:rPr>
        <w:t xml:space="preserve">2、谈判响应承诺书</w:t>
      </w:r>
      <w:bookmarkEnd w:id="5"/>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谈判响应承诺书</w:t>
      </w:r>
      <w:r>
        <w:rPr>
          <w:rFonts w:hint="eastAsia" w:ascii="宋体" w:hAnsi="宋体" w:eastAsia="宋体" w:cs="宋体"/>
          <w:b/>
          <w:color w:val="000000"/>
          <w:sz w:val="32"/>
          <w:szCs w:val="32"/>
          <w:highlight w:val="white"/>
        </w:rPr>
      </w:r>
      <w:r/>
    </w:p>
    <w:p>
      <w:pPr>
        <w:pStyle w:val="93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我们收到贵公司号谈判文件，经仔细阅读和研究，我们决定参加谈判活动。</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rFonts w:hint="eastAsia" w:ascii="宋体" w:hAnsi="宋体" w:eastAsia="宋体" w:cs="宋体"/>
          <w:color w:val="000000"/>
          <w:sz w:val="21"/>
          <w:highlight w:val="white"/>
        </w:rPr>
        <w:t xml:space="preserve">我们愿意按照采购文件的一切要求，提供完成该项目的全部内容，我们的投标报价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2、如果我们的谈判响应文件被接受，我们将严格履行谈判文件中规定的每一项要求，按期、按质、按量履行合同的义务。</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3、我们已详细阅读全部谈判文件，包括更正公告(如有)，对谈判文件及更正公告(如有)无任何异议。我们完全理解并同意放弃对这方面有不明及误解的权力。</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4、我们同意按谈判文件中的规定，本响应文件的有效期限自提交响应文件截止时间之日起60天。</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5、我们愿意提供谈判采购单位在谈判文件中要求的所有资料。</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6、我们愿意遵守谈判文件中所列的收费标准。</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7、我们承诺该响应文件在谈判开始后的全过程中保持有效，不作任何更改和变动。</w:t>
      </w:r>
      <w:r>
        <w:rPr>
          <w:highlight w:val="white"/>
        </w:rPr>
      </w:r>
      <w:r/>
    </w:p>
    <w:p>
      <w:pPr>
        <w:pStyle w:val="934"/>
        <w:ind w:firstLine="420"/>
        <w:spacing w:before="80" w:after="240" w:line="85" w:lineRule="atLeast"/>
        <w:rPr>
          <w:rFonts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w:t>
      </w:r>
      <w:r>
        <w:rPr>
          <w:rFonts w:hint="eastAsia" w:ascii="宋体" w:hAnsi="宋体" w:eastAsia="宋体" w:cs="宋体"/>
          <w:color w:val="000000"/>
          <w:sz w:val="21"/>
          <w:highlight w:val="white"/>
        </w:rPr>
        <w:t xml:space="preserve">我们同意并接受采购人在采购文件、签约合同以及未来合同履行过程中设定的所有日常考核及综合考核制度，并无条件接受及承担因考核不达标或不合格产生的一切责任及后果。</w:t>
      </w:r>
      <w:r>
        <w:rPr>
          <w:rFonts w:ascii="宋体" w:hAnsi="宋体" w:eastAsia="宋体" w:cs="宋体"/>
          <w:color w:val="000000"/>
          <w:sz w:val="21"/>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9、</w:t>
      </w:r>
      <w:r>
        <w:rPr>
          <w:rFonts w:ascii="宋体" w:hAnsi="宋体" w:eastAsia="宋体" w:cs="宋体"/>
          <w:color w:val="000000"/>
          <w:sz w:val="21"/>
          <w:highlight w:val="white"/>
        </w:rPr>
        <w:t xml:space="preserve">我们承诺我公司符合谈判文件供应商须知中“合格供应商的基本、特定条件”的要求，若与真实情况不符，本公司愿意承担由此而产生的一切后果。</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rPr>
        <w:t xml:space="preserve">10</w:t>
      </w:r>
      <w:r>
        <w:rPr>
          <w:rFonts w:ascii="宋体" w:hAnsi="宋体" w:eastAsia="宋体" w:cs="宋体"/>
          <w:color w:val="000000"/>
          <w:sz w:val="21"/>
          <w:highlight w:val="white"/>
        </w:rPr>
        <w:t xml:space="preserve">、我们声明：我们在参加本次政府采购活动前3年内在经营活动中没有重大违法记录。 </w:t>
      </w:r>
      <w:r>
        <w:rPr>
          <w:highlight w:val="white"/>
        </w:rPr>
      </w:r>
      <w:r/>
    </w:p>
    <w:p>
      <w:pPr>
        <w:pStyle w:val="934"/>
        <w:ind w:firstLine="420"/>
        <w:spacing w:before="8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所有有关响应文件的函电，可按下列地址联系：</w:t>
      </w:r>
      <w:r>
        <w:rPr>
          <w:highlight w:val="whit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联系人：</w:t>
      </w:r>
      <w:r>
        <w:rPr>
          <w:rFonts w:ascii="宋体" w:hAnsi="宋体" w:eastAsia="宋体" w:cs="宋体"/>
          <w:color w:val="000000"/>
          <w:sz w:val="21"/>
          <w:highlight w:val="white"/>
          <w:u w:val="single"/>
        </w:rPr>
        <w:t xml:space="preserve">   </w:t>
      </w:r>
      <w:r>
        <w:rPr>
          <w:rFonts w:hint="eastAsia" w:ascii="宋体" w:hAnsi="宋体" w:eastAsia="宋体" w:cs="宋体"/>
          <w:color w:val="000000"/>
          <w:sz w:val="21"/>
          <w:highlight w:val="white"/>
          <w:u w:val="single"/>
        </w:rPr>
        <w:t xml:space="preserve">     </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联系电话（手机）：</w:t>
      </w:r>
      <w:r>
        <w:rPr>
          <w:rFonts w:ascii="宋体" w:hAnsi="宋体" w:eastAsia="宋体" w:cs="宋体"/>
          <w:color w:val="000000"/>
          <w:sz w:val="21"/>
          <w:highlight w:val="white"/>
          <w:u w:val="single"/>
        </w:rPr>
        <w:t xml:space="preserve">      </w:t>
      </w:r>
      <w:r>
        <w:rPr>
          <w:highlight w:val="white"/>
        </w:rPr>
      </w:r>
      <w:r/>
    </w:p>
    <w:p>
      <w:pPr>
        <w:pStyle w:val="934"/>
        <w:ind w:firstLine="420"/>
        <w:spacing w:before="80" w:line="85" w:lineRule="atLeast"/>
        <w:rPr>
          <w:rFonts w:ascii="宋体" w:hAnsi="宋体" w:eastAsia="宋体" w:cs="宋体"/>
          <w:color w:val="000000"/>
          <w:sz w:val="21"/>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地址：</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u w:val="singl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邮政编码：</w:t>
      </w:r>
      <w:r>
        <w:rPr>
          <w:rFonts w:ascii="宋体" w:hAnsi="宋体" w:eastAsia="宋体" w:cs="宋体"/>
          <w:color w:val="000000"/>
          <w:sz w:val="21"/>
          <w:highlight w:val="white"/>
          <w:u w:val="single"/>
        </w:rPr>
        <w:t xml:space="preserve">        </w:t>
      </w:r>
      <w:r>
        <w:rPr>
          <w:highlight w:val="white"/>
        </w:rPr>
      </w:r>
      <w:r/>
    </w:p>
    <w:p>
      <w:pPr>
        <w:pStyle w:val="934"/>
        <w:ind w:firstLine="420"/>
        <w:spacing w:before="8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电子邮箱：</w:t>
      </w:r>
      <w:r>
        <w:rPr>
          <w:rFonts w:ascii="宋体" w:hAnsi="宋体" w:eastAsia="宋体" w:cs="宋体"/>
          <w:color w:val="000000"/>
          <w:sz w:val="21"/>
          <w:highlight w:val="white"/>
          <w:u w:val="single"/>
        </w:rPr>
        <w:t xml:space="preserve">        </w:t>
      </w:r>
      <w:r>
        <w:rPr>
          <w:highlight w:val="white"/>
        </w:rPr>
      </w:r>
      <w:r/>
    </w:p>
    <w:p>
      <w:pPr>
        <w:pStyle w:val="934"/>
        <w:spacing w:line="38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8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pStyle w:val="934"/>
        <w:spacing w:line="360" w:lineRule="auto"/>
        <w:rPr>
          <w:rFonts w:ascii="宋体" w:hAnsi="宋体" w:eastAsia="宋体" w:cs="宋体"/>
          <w:b/>
          <w:color w:val="000000"/>
          <w:sz w:val="24"/>
          <w:highlight w:val="white"/>
        </w:rPr>
        <w:outlineLvl w:val="1"/>
      </w:pPr>
      <w:r>
        <w:rPr>
          <w:rFonts w:ascii="宋体" w:hAnsi="宋体" w:eastAsia="宋体" w:cs="宋体"/>
          <w:b/>
          <w:color w:val="000000"/>
          <w:sz w:val="24"/>
          <w:highlight w:val="white"/>
        </w:rPr>
        <w:br w:type="page" w:clear="all"/>
      </w:r>
      <w:bookmarkStart w:id="6" w:name="_Toc30049"/>
      <w:r>
        <w:rPr>
          <w:rFonts w:ascii="宋体" w:hAnsi="宋体" w:eastAsia="宋体" w:cs="宋体"/>
          <w:b/>
          <w:color w:val="000000"/>
          <w:sz w:val="24"/>
          <w:highlight w:val="white"/>
        </w:rPr>
        <w:t xml:space="preserve">3、谈判报价表</w:t>
      </w:r>
      <w:bookmarkEnd w:id="6"/>
      <w:r>
        <w:rPr>
          <w:rFonts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谈判报价表</w:t>
      </w:r>
      <w:r>
        <w:rPr>
          <w:rFonts w:hint="eastAsia" w:ascii="宋体" w:hAnsi="宋体" w:eastAsia="宋体" w:cs="宋体"/>
          <w:b/>
          <w:color w:val="000000"/>
          <w:sz w:val="32"/>
          <w:szCs w:val="32"/>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本次为首次报价</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货币单位：人民币元</w:t>
      </w:r>
      <w:r>
        <w:rPr>
          <w:highlight w:val="white"/>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48"/>
        <w:gridCol w:w="2662"/>
        <w:gridCol w:w="2955"/>
        <w:gridCol w:w="1229"/>
      </w:tblGrid>
      <w:tr>
        <w:trPr/>
        <w:tc>
          <w:tcPr>
            <w:tcMar>
              <w:left w:w="15" w:type="dxa"/>
              <w:top w:w="15" w:type="dxa"/>
              <w:right w:w="15" w:type="dxa"/>
              <w:bottom w:w="15" w:type="dxa"/>
            </w:tcMar>
            <w:tcW w:w="2387"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highlight w:val="white"/>
              </w:rPr>
            </w:r>
            <w:r/>
          </w:p>
        </w:tc>
        <w:tc>
          <w:tcPr>
            <w:tcW w:w="2710"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项目内容</w:t>
            </w:r>
            <w:r>
              <w:rPr>
                <w:highlight w:val="white"/>
              </w:rPr>
            </w:r>
            <w:r/>
          </w:p>
        </w:tc>
        <w:tc>
          <w:tcPr>
            <w:tcW w:w="3010"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报价（小写）</w:t>
            </w:r>
            <w:r>
              <w:rPr>
                <w:highlight w:val="white"/>
              </w:rPr>
            </w:r>
            <w:r/>
          </w:p>
        </w:tc>
        <w:tc>
          <w:tcPr>
            <w:tcW w:w="1247" w:type="dxa"/>
            <w:vAlign w:val="center"/>
            <w:textDirection w:val="lrTb"/>
            <w:noWrap w:val="false"/>
          </w:tcPr>
          <w:p>
            <w:pPr>
              <w:pStyle w:val="934"/>
              <w:jc w:val="cente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tc>
      </w:tr>
      <w:tr>
        <w:trPr/>
        <w:tc>
          <w:tcPr>
            <w:tcMar>
              <w:left w:w="15" w:type="dxa"/>
              <w:top w:w="15" w:type="dxa"/>
              <w:right w:w="15" w:type="dxa"/>
              <w:bottom w:w="15" w:type="dxa"/>
            </w:tcMar>
            <w:tcW w:w="238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highlight w:val="white"/>
              </w:rPr>
            </w:r>
            <w:r/>
          </w:p>
        </w:tc>
        <w:tc>
          <w:tcPr>
            <w:tcW w:w="2710"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详见《谈判文件》</w:t>
            </w:r>
            <w:r>
              <w:rPr>
                <w:highlight w:val="white"/>
              </w:rPr>
            </w:r>
            <w:r/>
          </w:p>
        </w:tc>
        <w:tc>
          <w:tcPr>
            <w:tcW w:w="3010" w:type="dxa"/>
            <w:vAlign w:val="center"/>
            <w:textDirection w:val="lrTb"/>
            <w:noWrap w:val="false"/>
          </w:tcPr>
          <w:p>
            <w:pPr>
              <w:pStyle w:val="934"/>
              <w:jc w:val="right"/>
              <w:spacing w:before="100" w:after="100"/>
              <w:rPr>
                <w:highlight w:val="white"/>
              </w:rPr>
              <w:pBdr>
                <w:top w:val="none" w:color="000000" w:sz="0" w:space="0"/>
                <w:left w:val="none" w:color="000000" w:sz="0" w:space="0"/>
                <w:bottom w:val="none" w:color="000000" w:sz="0" w:space="0"/>
                <w:right w:val="none" w:color="000000" w:sz="0" w:space="0"/>
              </w:pBdr>
            </w:pPr>
            <w:r>
              <w:rPr>
                <w:highlight w:val="white"/>
              </w:rPr>
            </w:r>
            <w:r>
              <w:rPr>
                <w:rFonts w:ascii="宋体" w:hAnsi="宋体" w:eastAsia="宋体" w:cs="宋体"/>
                <w:color w:val="000000"/>
                <w:sz w:val="24"/>
                <w:highlight w:val="white"/>
              </w:rPr>
              <w:t xml:space="preserve">  </w:t>
            </w:r>
            <w:r>
              <w:rPr>
                <w:highlight w:val="white"/>
              </w:rPr>
            </w:r>
            <w:r/>
          </w:p>
        </w:tc>
        <w:tc>
          <w:tcPr>
            <w:tcW w:w="124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5" w:type="dxa"/>
              <w:top w:w="15" w:type="dxa"/>
              <w:right w:w="15" w:type="dxa"/>
              <w:bottom w:w="15" w:type="dxa"/>
            </w:tcMar>
            <w:tcW w:w="2387"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报价（大写）：</w:t>
            </w:r>
            <w:r>
              <w:rPr>
                <w:highlight w:val="white"/>
              </w:rPr>
            </w:r>
            <w:r/>
          </w:p>
        </w:tc>
        <w:tc>
          <w:tcPr>
            <w:gridSpan w:val="3"/>
            <w:tcW w:w="6968" w:type="dxa"/>
            <w:vAlign w:val="center"/>
            <w:textDirection w:val="lrTb"/>
            <w:noWrap w:val="false"/>
          </w:tcPr>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金额大写 </w:t>
            </w:r>
            <w:r>
              <w:rPr>
                <w:highlight w:val="white"/>
              </w:rPr>
            </w:r>
            <w:r/>
          </w:p>
        </w:tc>
      </w:tr>
    </w:tbl>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供应商报价说明：</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1、采购人不需再支付报价以外的任何费用。</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2、偏离说明：详见《偏离表》。</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3、报价大小写不一致以大写为准。</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p>
      <w:pPr>
        <w:pStyle w:val="934"/>
        <w:spacing w:line="360" w:lineRule="auto"/>
        <w:rPr>
          <w:rFonts w:ascii="宋体" w:hAnsi="宋体" w:eastAsia="宋体" w:cs="宋体"/>
          <w:b/>
          <w:sz w:val="24"/>
          <w:szCs w:val="24"/>
          <w:shd w:val="clear" w:color="auto" w:fill="ffffff"/>
        </w:rPr>
        <w:outlineLvl w:val="1"/>
      </w:pPr>
      <w:r>
        <w:rPr>
          <w:rFonts w:ascii="宋体" w:hAnsi="宋体" w:eastAsia="宋体" w:cs="宋体"/>
          <w:b/>
          <w:color w:val="000000"/>
          <w:sz w:val="24"/>
          <w:highlight w:val="white"/>
        </w:rPr>
        <w:br w:type="page" w:clear="all"/>
      </w:r>
      <w:bookmarkStart w:id="7" w:name="_Toc28944"/>
      <w:r>
        <w:rPr>
          <w:rFonts w:ascii="宋体" w:hAnsi="宋体" w:eastAsia="宋体" w:cs="宋体"/>
          <w:b/>
          <w:color w:val="000000"/>
          <w:sz w:val="24"/>
          <w:highlight w:val="white"/>
        </w:rPr>
        <w:t xml:space="preserve">4、</w:t>
      </w:r>
      <w:r>
        <w:rPr>
          <w:rFonts w:hint="eastAsia" w:ascii="宋体" w:hAnsi="宋体" w:eastAsia="宋体" w:cs="宋体"/>
          <w:b/>
          <w:sz w:val="24"/>
          <w:szCs w:val="24"/>
          <w:shd w:val="clear" w:color="auto" w:fill="ffffff"/>
        </w:rPr>
        <w:t xml:space="preserve">报价明细表</w:t>
      </w:r>
      <w:bookmarkEnd w:id="7"/>
      <w:r>
        <w:rPr>
          <w:rFonts w:ascii="宋体" w:hAnsi="宋体" w:eastAsia="宋体" w:cs="宋体"/>
          <w:b/>
          <w:sz w:val="24"/>
          <w:szCs w:val="24"/>
          <w:shd w:val="clear" w:color="auto" w:fill="ffffff"/>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2026年园区绿化养护应急服务一标（金鸡湖街道）报价明细表</w:t>
      </w:r>
      <w:r>
        <w:rPr>
          <w:rFonts w:ascii="宋体" w:hAnsi="宋体" w:eastAsia="宋体" w:cs="宋体"/>
          <w:b/>
          <w:color w:val="000000"/>
          <w:sz w:val="32"/>
          <w:szCs w:val="32"/>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168"/>
        <w:gridCol w:w="3969"/>
        <w:gridCol w:w="710"/>
        <w:gridCol w:w="851"/>
        <w:gridCol w:w="994"/>
        <w:gridCol w:w="957"/>
      </w:tblGrid>
      <w:tr>
        <w:trPr>
          <w:trHeight w:val="861"/>
        </w:trPr>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项目名称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具体内容/要求</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34"/>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数量A</w:t>
            </w:r>
            <w:r>
              <w:rPr>
                <w:rFonts w:hint="eastAsia" w:ascii="宋体" w:hAnsi="宋体" w:eastAsia="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综合单价B（元/单位）</w:t>
            </w:r>
            <w:r>
              <w:rPr>
                <w:rFonts w:hint="eastAsia" w:ascii="宋体" w:hAnsi="宋体" w:eastAsia="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934"/>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合价（元）C=A*B</w:t>
            </w:r>
            <w:r>
              <w:rPr>
                <w:rFonts w:hint="eastAsia" w:ascii="宋体" w:hAnsi="宋体" w:eastAsia="宋体" w:cs="宋体"/>
                <w:b/>
                <w:bCs/>
                <w:color w:val="000000"/>
                <w:sz w:val="21"/>
                <w:szCs w:val="21"/>
                <w:lang w:bidi="ar"/>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一</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人员费用</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根据区域内养护任务和苗木迁移工作量，合理配置作业人员，人员数量提前报甲方审核批准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工日</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18000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其他费用</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1.种植色块（如：金边黄杨、红花继木、毛鹃等，规格H35cm P25cm，密度36棵/㎡）</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restart"/>
            <w:textDirection w:val="lrTb"/>
            <w:noWrap/>
          </w:tcPr>
          <w:p>
            <w:pPr>
              <w:pStyle w:val="934"/>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1650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45"/>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 种植地被（如麦冬、吉祥草等，密度49棵/㎡）</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1000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 种植草坪（如百慕大草坪等，满铺）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ascii="等线" w:hAnsi="等线" w:eastAsia="等线" w:cs="等线"/>
                <w:sz w:val="21"/>
                <w:szCs w:val="21"/>
              </w:rPr>
            </w:pPr>
            <w:r>
              <w:rPr>
                <w:rFonts w:hint="eastAsia" w:ascii="等线" w:hAnsi="等线" w:eastAsia="等线" w:cs="等线"/>
                <w:sz w:val="21"/>
                <w:szCs w:val="21"/>
                <w:lang w:bidi="ar"/>
              </w:rPr>
              <w:t xml:space="preserve">1900</w:t>
            </w:r>
            <w:r>
              <w:rPr>
                <w:rFonts w:ascii="等线" w:hAnsi="等线" w:eastAsia="等线" w:cs="等线"/>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110"/>
        </w:trPr>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934"/>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934"/>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rPr>
                <w:rFonts w:hint="eastAsia"/>
              </w:rPr>
              <w:t xml:space="preserve"> </w:t>
            </w:r>
            <w:r>
              <w:rPr>
                <w:rFonts w:hint="eastAsia" w:ascii="宋体" w:hAnsi="宋体" w:eastAsia="宋体" w:cs="宋体"/>
                <w:color w:val="000000"/>
                <w:sz w:val="21"/>
                <w:szCs w:val="21"/>
                <w:lang w:bidi="ar"/>
              </w:rPr>
              <w:t xml:space="preserve">更新花境（如大吴风草、朱蕉、蓝羊茅、火焰南天竹、金叶石菖蒲、羽扇豆、佛甲草、绣球、栀子花、翠芦莉、千鸟花、小兔子狼尾草、蓝羊茅、五色梅、美女樱、草花、园艺覆盖物等，密植，不露土）</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pStyle w:val="934"/>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9"/>
        </w:trPr>
        <w:tc>
          <w:tcPr>
            <w:gridSpan w:val="6"/>
            <w:tcBorders>
              <w:top w:val="single" w:color="000000" w:sz="4" w:space="0"/>
              <w:left w:val="single" w:color="000000" w:sz="4" w:space="0"/>
              <w:bottom w:val="single" w:color="000000" w:sz="4" w:space="0"/>
              <w:right w:val="single" w:color="000000" w:sz="4" w:space="0"/>
            </w:tcBorders>
            <w:tcW w:w="8330" w:type="dxa"/>
            <w:vAlign w:val="center"/>
            <w:textDirection w:val="lrTb"/>
            <w:noWrap/>
          </w:tcPr>
          <w:p>
            <w:pPr>
              <w:pStyle w:val="934"/>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小计</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93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934"/>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注：</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1、本表</w:t>
      </w:r>
      <w:r>
        <w:rPr>
          <w:rFonts w:hint="eastAsia" w:ascii="宋体" w:hAnsi="宋体" w:eastAsia="宋体" w:cs="宋体"/>
          <w:sz w:val="21"/>
          <w:szCs w:val="21"/>
        </w:rPr>
        <w:t xml:space="preserve">小计</w:t>
      </w:r>
      <w:r>
        <w:rPr>
          <w:rFonts w:hint="eastAsia" w:ascii="宋体" w:hAnsi="宋体" w:eastAsia="宋体" w:cs="宋体"/>
          <w:sz w:val="21"/>
          <w:szCs w:val="21"/>
          <w:lang w:val="zh-CN"/>
        </w:rPr>
        <w:t xml:space="preserve">应与《</w:t>
      </w:r>
      <w:r>
        <w:rPr>
          <w:rFonts w:hint="eastAsia" w:ascii="宋体" w:hAnsi="宋体" w:eastAsia="宋体" w:cs="宋体"/>
          <w:sz w:val="21"/>
          <w:szCs w:val="21"/>
        </w:rPr>
        <w:t xml:space="preserve">谈判报价表</w:t>
      </w:r>
      <w:r>
        <w:rPr>
          <w:rFonts w:hint="eastAsia" w:ascii="宋体" w:hAnsi="宋体" w:eastAsia="宋体" w:cs="宋体"/>
          <w:sz w:val="21"/>
          <w:szCs w:val="21"/>
          <w:lang w:val="zh-CN"/>
        </w:rPr>
        <w:t xml:space="preserve">》报价金额一致，不一致以《</w:t>
      </w:r>
      <w:r>
        <w:rPr>
          <w:rFonts w:hint="eastAsia" w:ascii="宋体" w:hAnsi="宋体" w:eastAsia="宋体" w:cs="宋体"/>
          <w:sz w:val="21"/>
          <w:szCs w:val="21"/>
        </w:rPr>
        <w:t xml:space="preserve">谈判报价表</w:t>
      </w:r>
      <w:r>
        <w:rPr>
          <w:rFonts w:hint="eastAsia" w:ascii="宋体" w:hAnsi="宋体" w:eastAsia="宋体" w:cs="宋体"/>
          <w:sz w:val="21"/>
          <w:szCs w:val="21"/>
          <w:lang w:val="zh-CN"/>
        </w:rPr>
        <w:t xml:space="preserve">》金额为准；各分项报价明细表中的合计金额须与本表中对应项目分项报价一致。</w:t>
      </w:r>
      <w:r>
        <w:rPr>
          <w:rFonts w:ascii="宋体" w:hAnsi="宋体" w:eastAsia="宋体" w:cs="宋体"/>
          <w:sz w:val="21"/>
          <w:szCs w:val="21"/>
          <w:lang w:val="zh-CN"/>
        </w:rPr>
      </w:r>
      <w:r/>
    </w:p>
    <w:p>
      <w:pPr>
        <w:pStyle w:val="934"/>
        <w:ind w:firstLine="42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本表中的单价为综合单价，应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hint="eastAsia"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人员费用仅签证作业人员的有效工日数量，人员费用之外的其他一切费用在其他费用中综合考虑。甲方仅对报价表单内的项目进行签证；项目组人员费用及其他属于本项目工作内容但报价清单中未单列的项目，费用均含在报价内，不进行签证并不另行计量计价。</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单位对表中各项均需填写，</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单位未填写单价或合价的项目，视作该项费用已包含在其他有价款的费用中或投标合价内，实际结算时将不再另行支付。</w:t>
      </w:r>
      <w:r>
        <w:rPr>
          <w:rFonts w:ascii="宋体" w:hAnsi="宋体" w:eastAsia="宋体" w:cs="宋体"/>
          <w:sz w:val="21"/>
          <w:szCs w:val="21"/>
          <w:lang w:val="zh-CN"/>
        </w:rPr>
      </w:r>
      <w:r/>
    </w:p>
    <w:p>
      <w:pPr>
        <w:pStyle w:val="934"/>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5、单价、合价均须以人民币元表示，各金额均须用小写填写，并精确到小数点后2位。</w:t>
      </w:r>
      <w:r>
        <w:rPr>
          <w:rFonts w:ascii="宋体" w:hAnsi="宋体" w:eastAsia="宋体" w:cs="宋体"/>
          <w:sz w:val="21"/>
          <w:szCs w:val="21"/>
          <w:lang w:val="zh-CN"/>
        </w:rPr>
      </w:r>
      <w:r/>
    </w:p>
    <w:p>
      <w:pPr>
        <w:pStyle w:val="934"/>
        <w:ind w:firstLine="422"/>
        <w:spacing w:line="360" w:lineRule="auto"/>
        <w:rPr>
          <w:rFonts w:ascii="宋体" w:hAnsi="宋体" w:eastAsia="宋体" w:cs="宋体"/>
          <w:b/>
          <w:color w:val="000000"/>
          <w:sz w:val="24"/>
          <w:highlight w:val="white"/>
        </w:rPr>
      </w:pPr>
      <w:r>
        <w:rPr>
          <w:rFonts w:hint="eastAsia" w:ascii="宋体" w:hAnsi="宋体" w:eastAsia="宋体" w:cs="宋体"/>
          <w:sz w:val="21"/>
          <w:szCs w:val="21"/>
          <w:lang w:val="zh-CN"/>
        </w:rPr>
        <w:t xml:space="preserve">6、未按要求填报的，按无效标处理。</w:t>
      </w:r>
      <w:r>
        <w:rPr>
          <w:rFonts w:ascii="宋体" w:hAnsi="宋体" w:eastAsia="宋体" w:cs="宋体"/>
          <w:b/>
          <w:color w:val="000000"/>
          <w:sz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bookmarkStart w:id="8" w:name="_Toc28212"/>
      <w:r>
        <w:rPr>
          <w:rFonts w:hint="eastAsia" w:ascii="宋体" w:hAnsi="宋体" w:eastAsia="宋体" w:cs="宋体"/>
          <w:sz w:val="24"/>
          <w:szCs w:val="24"/>
          <w:shd w:val="clear" w:color="auto" w:fill="ffffff"/>
        </w:rPr>
        <w:t xml:space="preserve">5</w:t>
      </w:r>
      <w:r>
        <w:rPr>
          <w:rFonts w:hint="eastAsia" w:ascii="宋体" w:hAnsi="宋体" w:eastAsia="宋体" w:cs="宋体"/>
          <w:b/>
          <w:color w:val="000000"/>
          <w:sz w:val="24"/>
          <w:highlight w:val="white"/>
        </w:rPr>
        <w:t xml:space="preserve">、</w:t>
      </w:r>
      <w:r>
        <w:rPr>
          <w:rFonts w:ascii="宋体" w:hAnsi="宋体" w:eastAsia="宋体" w:cs="宋体"/>
          <w:b/>
          <w:color w:val="000000"/>
          <w:sz w:val="24"/>
          <w:highlight w:val="white"/>
        </w:rPr>
        <w:t xml:space="preserve">商务条款偏离表</w:t>
      </w:r>
      <w:bookmarkEnd w:id="8"/>
      <w:r>
        <w:rPr>
          <w:rFonts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商务条款偏离表</w:t>
      </w:r>
      <w:r>
        <w:rPr>
          <w:rFonts w:hint="eastAsia" w:ascii="宋体" w:hAnsi="宋体" w:eastAsia="宋体" w:cs="宋体"/>
          <w:b/>
          <w:color w:val="000000"/>
          <w:sz w:val="32"/>
          <w:szCs w:val="32"/>
          <w:highlight w:val="white"/>
        </w:rPr>
      </w:r>
      <w:r/>
    </w:p>
    <w:tbl>
      <w:tblPr>
        <w:tblW w:w="9151" w:type="dxa"/>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920"/>
        <w:gridCol w:w="2400"/>
        <w:gridCol w:w="2400"/>
        <w:gridCol w:w="1659"/>
      </w:tblGrid>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Mar>
              <w:top w:w="0" w:type="dxa"/>
              <w:bottom w:w="0" w:type="dxa"/>
            </w:tcMar>
            <w:tcW w:w="192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采购文件条目号</w:t>
            </w:r>
            <w:r>
              <w:rPr>
                <w:highlight w:val="white"/>
              </w:rPr>
            </w:r>
            <w:r/>
          </w:p>
        </w:tc>
        <w:tc>
          <w:tcPr>
            <w:tcMar>
              <w:top w:w="0" w:type="dxa"/>
              <w:bottom w:w="0" w:type="dxa"/>
            </w:tcMar>
            <w:tcW w:w="240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采购文件的商务条款</w:t>
            </w:r>
            <w:r>
              <w:rPr>
                <w:highlight w:val="white"/>
              </w:rPr>
            </w:r>
            <w:r/>
          </w:p>
        </w:tc>
        <w:tc>
          <w:tcPr>
            <w:tcMar>
              <w:top w:w="0" w:type="dxa"/>
              <w:bottom w:w="0" w:type="dxa"/>
            </w:tcMar>
            <w:tcW w:w="2400"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响应文件的商务条款</w:t>
            </w:r>
            <w:r>
              <w:rPr>
                <w:highlight w:val="white"/>
              </w:rPr>
            </w:r>
            <w:r/>
          </w:p>
        </w:tc>
        <w:tc>
          <w:tcPr>
            <w:tcMar>
              <w:top w:w="0" w:type="dxa"/>
              <w:bottom w:w="0" w:type="dxa"/>
            </w:tcMar>
            <w:tcW w:w="1659"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说明</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付款方式</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r/>
          </w:p>
        </w:tc>
        <w:tc>
          <w:tcPr>
            <w:tcMar>
              <w:top w:w="0" w:type="dxa"/>
              <w:bottom w:w="0" w:type="dxa"/>
            </w:tcMar>
            <w:tcW w:w="1920" w:type="dxa"/>
            <w:vAlign w:val="top"/>
            <w:textDirection w:val="lrTb"/>
            <w:noWrap w:val="false"/>
          </w:tcPr>
          <w:p>
            <w:pPr>
              <w:pStyle w:val="934"/>
              <w:spacing w:before="240" w:after="240"/>
              <w:rPr>
                <w:rFonts w:hint="eastAsia"/>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服务期限</w:t>
            </w:r>
            <w:r>
              <w:rPr>
                <w:rFonts w:hint="eastAsia"/>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jc w:val="center"/>
              <w:spacing w:before="240" w:after="240"/>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w:t>
            </w:r>
            <w:r>
              <w:rPr>
                <w:rFonts w:hint="eastAsia" w:eastAsia="宋体"/>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c>
          <w:tcPr>
            <w:tcMar>
              <w:left w:w="108" w:type="dxa"/>
              <w:top w:w="0" w:type="dxa"/>
              <w:right w:w="108" w:type="dxa"/>
              <w:bottom w:w="0" w:type="dxa"/>
            </w:tcMar>
            <w:tcW w:w="772"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92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2400"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Mar>
              <w:top w:w="0" w:type="dxa"/>
              <w:bottom w:w="0" w:type="dxa"/>
            </w:tcMar>
            <w:tcW w:w="1659" w:type="dxa"/>
            <w:vAlign w:val="top"/>
            <w:textDirection w:val="lrTb"/>
            <w:noWrap w:val="false"/>
          </w:tcPr>
          <w:p>
            <w:pPr>
              <w:pStyle w:val="934"/>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bl>
    <w:p>
      <w:pPr>
        <w:pStyle w:val="972"/>
        <w:ind w:firstLine="480"/>
        <w:spacing w:line="360" w:lineRule="auto"/>
        <w:rPr>
          <w:rFonts w:hAnsi="宋体" w:eastAsia="宋体" w:cs="宋体"/>
          <w:color w:val="000000"/>
          <w:sz w:val="24"/>
          <w:highlight w:val="white"/>
        </w:rPr>
      </w:pPr>
      <w:r>
        <w:rPr>
          <w:rFonts w:hAnsi="宋体" w:eastAsia="宋体" w:cs="宋体"/>
          <w:color w:val="000000"/>
          <w:sz w:val="24"/>
          <w:highlight w:val="white"/>
        </w:rPr>
      </w:r>
      <w:r/>
    </w:p>
    <w:p>
      <w:pPr>
        <w:pStyle w:val="972"/>
        <w:ind w:firstLine="480"/>
        <w:spacing w:line="360" w:lineRule="auto"/>
        <w:rPr>
          <w:highlight w:val="white"/>
        </w:rPr>
      </w:pPr>
      <w:r>
        <w:rPr>
          <w:rFonts w:hAnsi="宋体" w:eastAsia="宋体" w:cs="宋体"/>
          <w:color w:val="000000"/>
          <w:sz w:val="24"/>
          <w:highlight w:val="white"/>
        </w:rPr>
        <w:t xml:space="preserve">注：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投标的物关于商务条款等详细描述和说明的替代。</w:t>
      </w:r>
      <w:r>
        <w:rPr>
          <w:highlight w:val="white"/>
        </w:rPr>
      </w:r>
      <w:r/>
    </w:p>
    <w:p>
      <w:pPr>
        <w:pStyle w:val="934"/>
        <w:ind w:right="105" w:firstLine="4505"/>
        <w:spacing w:line="360" w:lineRule="auto"/>
        <w:rPr>
          <w:rFonts w:eastAsia="Times New Roman"/>
          <w:b/>
          <w:color w:val="000000"/>
          <w:sz w:val="24"/>
          <w:highlight w:val="white"/>
        </w:rPr>
      </w:pPr>
      <w:r>
        <w:rPr>
          <w:rFonts w:eastAsia="Times New Roman"/>
          <w:b/>
          <w:color w:val="000000"/>
          <w:sz w:val="24"/>
          <w:highlight w:val="white"/>
        </w:rPr>
        <w:t xml:space="preserve"> </w:t>
      </w:r>
      <w:r>
        <w:rPr>
          <w:rFonts w:eastAsia="Times New Roman"/>
          <w:b/>
          <w:color w:val="000000"/>
          <w:sz w:val="24"/>
          <w:highlight w:val="white"/>
        </w:rPr>
      </w:r>
      <w:r/>
    </w:p>
    <w:p>
      <w:pPr>
        <w:pStyle w:val="934"/>
        <w:ind w:right="105" w:firstLine="4505"/>
        <w:spacing w:line="360" w:lineRule="auto"/>
        <w:rPr>
          <w:rFonts w:eastAsia="Times New Roman"/>
          <w:b/>
          <w:color w:val="000000"/>
          <w:sz w:val="24"/>
          <w:highlight w:val="white"/>
        </w:rPr>
      </w:pPr>
      <w:r>
        <w:rPr>
          <w:rFonts w:eastAsia="Times New Roman"/>
          <w:b/>
          <w:color w:val="000000"/>
          <w:sz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highlight w:val="white"/>
        </w:rPr>
      </w:r>
      <w:r/>
    </w:p>
    <w:p>
      <w:pPr>
        <w:pStyle w:val="957"/>
        <w:ind w:firstLine="0"/>
        <w:jc w:val="both"/>
        <w:spacing w:line="360" w:lineRule="auto"/>
        <w:rPr>
          <w:rFonts w:ascii="宋体" w:hAnsi="宋体" w:eastAsia="宋体"/>
          <w:b/>
          <w:bCs/>
        </w:rPr>
        <w:outlineLvl w:val="1"/>
      </w:pPr>
      <w:r>
        <w:rPr>
          <w:highlight w:val="white"/>
        </w:rPr>
        <w:br w:type="page" w:clear="all"/>
      </w:r>
      <w:bookmarkStart w:id="9" w:name="_Toc30882"/>
      <w:r>
        <w:rPr>
          <w:rFonts w:hint="eastAsia" w:ascii="宋体" w:hAnsi="宋体" w:eastAsia="宋体" w:cs="宋体"/>
          <w:b/>
          <w:color w:val="000000"/>
          <w:highlight w:val="white"/>
          <w:lang w:val="en-US" w:eastAsia="zh-CN"/>
        </w:rPr>
        <w:t xml:space="preserve">6</w:t>
      </w:r>
      <w:r>
        <w:rPr>
          <w:rFonts w:ascii="宋体" w:hAnsi="宋体" w:eastAsia="宋体" w:cs="宋体"/>
          <w:b/>
          <w:color w:val="000000"/>
          <w:highlight w:val="white"/>
        </w:rPr>
        <w:t xml:space="preserve">、</w:t>
      </w:r>
      <w:r>
        <w:rPr>
          <w:rFonts w:hint="eastAsia" w:ascii="宋体" w:hAnsi="宋体" w:eastAsia="宋体"/>
          <w:b/>
          <w:bCs/>
          <w:lang w:val="en-US" w:eastAsia="zh-CN"/>
        </w:rPr>
        <w:t xml:space="preserve">服务</w:t>
      </w:r>
      <w:r>
        <w:rPr>
          <w:rFonts w:hint="eastAsia" w:ascii="宋体" w:hAnsi="宋体" w:eastAsia="宋体"/>
          <w:b/>
          <w:bCs/>
        </w:rPr>
        <w:t xml:space="preserve">和技术要求偏离表</w:t>
      </w:r>
      <w:bookmarkEnd w:id="9"/>
      <w:r>
        <w:rPr>
          <w:rFonts w:ascii="宋体" w:hAnsi="宋体" w:eastAsia="宋体"/>
          <w:b/>
          <w:bCs/>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服务和技术要求偏离表</w:t>
      </w:r>
      <w:r>
        <w:rPr>
          <w:rFonts w:hint="eastAsia" w:ascii="宋体" w:hAnsi="宋体" w:eastAsia="宋体" w:cs="宋体"/>
          <w:b/>
          <w:color w:val="000000"/>
          <w:sz w:val="32"/>
          <w:szCs w:val="32"/>
          <w:highlight w:val="white"/>
        </w:rPr>
      </w:r>
      <w:r/>
    </w:p>
    <w:p>
      <w:pPr>
        <w:pStyle w:val="934"/>
        <w:jc w:val="center"/>
        <w:rPr>
          <w:rFonts w:hint="eastAsia" w:ascii="宋体" w:hAnsi="宋体" w:eastAsia="宋体" w:cs="Arial"/>
          <w:b/>
          <w:sz w:val="24"/>
          <w:szCs w:val="24"/>
        </w:rPr>
      </w:pPr>
      <w:r>
        <w:rPr>
          <w:rFonts w:hint="eastAsia" w:ascii="宋体" w:hAnsi="宋体" w:eastAsia="宋体" w:cs="Arial"/>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82"/>
        <w:gridCol w:w="1848"/>
        <w:gridCol w:w="1440"/>
        <w:gridCol w:w="1699"/>
        <w:gridCol w:w="1757"/>
      </w:tblGrid>
      <w:tr>
        <w:trPr>
          <w:trHeight w:val="474"/>
        </w:trPr>
        <w:tc>
          <w:tcPr>
            <w:tcW w:w="828"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序号</w:t>
            </w:r>
            <w:r>
              <w:rPr>
                <w:rFonts w:ascii="宋体" w:hAnsi="宋体" w:eastAsia="宋体" w:cs="Arial"/>
                <w:szCs w:val="24"/>
                <w:lang w:val="en-US" w:eastAsia="zh-CN"/>
              </w:rPr>
            </w:r>
            <w:r/>
          </w:p>
        </w:tc>
        <w:tc>
          <w:tcPr>
            <w:tcW w:w="1482"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采购内容</w:t>
            </w:r>
            <w:r>
              <w:rPr>
                <w:rFonts w:ascii="宋体" w:hAnsi="宋体" w:eastAsia="宋体" w:cs="Arial"/>
                <w:szCs w:val="24"/>
                <w:lang w:val="en-US" w:eastAsia="zh-CN"/>
              </w:rPr>
            </w:r>
            <w:r/>
          </w:p>
        </w:tc>
        <w:tc>
          <w:tcPr>
            <w:tcW w:w="1848"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hint="eastAsia" w:ascii="宋体" w:hAnsi="宋体" w:eastAsia="宋体" w:cs="Arial"/>
                <w:szCs w:val="24"/>
                <w:lang w:val="en-US" w:eastAsia="zh-CN"/>
              </w:rPr>
              <w:t xml:space="preserve">采购</w:t>
            </w:r>
            <w:r>
              <w:rPr>
                <w:rFonts w:ascii="宋体" w:hAnsi="宋体" w:eastAsia="宋体" w:cs="Arial"/>
                <w:szCs w:val="24"/>
                <w:lang w:val="en-US" w:eastAsia="zh-CN"/>
              </w:rPr>
              <w:t xml:space="preserve">要求</w:t>
            </w:r>
            <w:r>
              <w:rPr>
                <w:rFonts w:ascii="宋体" w:hAnsi="宋体" w:eastAsia="宋体" w:cs="Arial"/>
                <w:szCs w:val="24"/>
                <w:lang w:val="en-US" w:eastAsia="zh-CN"/>
              </w:rPr>
            </w:r>
            <w:r/>
          </w:p>
        </w:tc>
        <w:tc>
          <w:tcPr>
            <w:tcW w:w="1440"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hint="eastAsia" w:ascii="宋体" w:hAnsi="宋体" w:eastAsia="宋体" w:cs="Arial"/>
                <w:szCs w:val="24"/>
                <w:lang w:val="en-US" w:eastAsia="zh-CN"/>
              </w:rPr>
              <w:t xml:space="preserve">响应</w:t>
            </w:r>
            <w:r>
              <w:rPr>
                <w:rFonts w:ascii="宋体" w:hAnsi="宋体" w:eastAsia="宋体" w:cs="Arial"/>
                <w:szCs w:val="24"/>
                <w:lang w:val="en-US" w:eastAsia="zh-CN"/>
              </w:rPr>
              <w:t xml:space="preserve">情况</w:t>
            </w:r>
            <w:r>
              <w:rPr>
                <w:rFonts w:ascii="宋体" w:hAnsi="宋体" w:eastAsia="宋体" w:cs="Arial"/>
                <w:szCs w:val="24"/>
                <w:lang w:val="en-US" w:eastAsia="zh-CN"/>
              </w:rPr>
            </w:r>
            <w:r/>
          </w:p>
        </w:tc>
        <w:tc>
          <w:tcPr>
            <w:tcW w:w="1699"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偏离/响应</w:t>
            </w:r>
            <w:r>
              <w:rPr>
                <w:rFonts w:ascii="宋体" w:hAnsi="宋体" w:eastAsia="宋体" w:cs="Arial"/>
                <w:szCs w:val="24"/>
                <w:lang w:val="en-US" w:eastAsia="zh-CN"/>
              </w:rPr>
            </w:r>
            <w:r/>
          </w:p>
        </w:tc>
        <w:tc>
          <w:tcPr>
            <w:tcW w:w="1757" w:type="dxa"/>
            <w:vAlign w:val="center"/>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t xml:space="preserve">说明</w:t>
            </w: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r>
        <w:trPr>
          <w:trHeight w:val="423"/>
        </w:trPr>
        <w:tc>
          <w:tcPr>
            <w:tcW w:w="82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82"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848"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440"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699"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c>
          <w:tcPr>
            <w:tcW w:w="1757" w:type="dxa"/>
            <w:vAlign w:val="top"/>
            <w:textDirection w:val="lrTb"/>
            <w:noWrap w:val="false"/>
          </w:tcPr>
          <w:p>
            <w:pPr>
              <w:pStyle w:val="957"/>
              <w:ind w:firstLine="0"/>
              <w:jc w:val="center"/>
              <w:spacing w:line="400" w:lineRule="exact"/>
              <w:rPr>
                <w:rFonts w:ascii="宋体" w:hAnsi="宋体" w:eastAsia="宋体" w:cs="Arial"/>
                <w:szCs w:val="24"/>
                <w:lang w:val="en-US" w:eastAsia="zh-CN"/>
              </w:rPr>
            </w:pPr>
            <w:r>
              <w:rPr>
                <w:rFonts w:ascii="宋体" w:hAnsi="宋体" w:eastAsia="宋体" w:cs="Arial"/>
                <w:szCs w:val="24"/>
                <w:lang w:val="en-US" w:eastAsia="zh-CN"/>
              </w:rPr>
            </w:r>
            <w:r/>
          </w:p>
        </w:tc>
      </w:tr>
    </w:tbl>
    <w:p>
      <w:pPr>
        <w:pStyle w:val="972"/>
        <w:ind w:firstLine="480"/>
        <w:spacing w:line="360" w:lineRule="auto"/>
        <w:rPr>
          <w:rFonts w:hAnsi="宋体" w:eastAsia="宋体" w:cs="Arial"/>
          <w:sz w:val="24"/>
          <w:szCs w:val="24"/>
        </w:rPr>
      </w:pPr>
      <w:r>
        <w:rPr>
          <w:rFonts w:hAnsi="宋体" w:eastAsia="宋体" w:cs="Arial"/>
          <w:sz w:val="24"/>
          <w:szCs w:val="24"/>
        </w:rPr>
      </w:r>
      <w:r/>
    </w:p>
    <w:p>
      <w:pPr>
        <w:pStyle w:val="972"/>
        <w:ind w:firstLine="480"/>
        <w:spacing w:line="360" w:lineRule="auto"/>
        <w:rPr>
          <w:rFonts w:hAnsi="宋体" w:eastAsia="宋体" w:cs="Arial"/>
          <w:sz w:val="24"/>
          <w:szCs w:val="24"/>
        </w:rPr>
      </w:pPr>
      <w:r>
        <w:rPr>
          <w:rFonts w:hAnsi="宋体" w:eastAsia="宋体" w:cs="Arial"/>
          <w:sz w:val="24"/>
          <w:szCs w:val="24"/>
        </w:rPr>
        <w:t xml:space="preserve">注：1、</w:t>
      </w:r>
      <w:r>
        <w:rPr>
          <w:rFonts w:hint="eastAsia" w:hAnsi="宋体" w:eastAsia="宋体" w:cs="Arial"/>
          <w:sz w:val="24"/>
          <w:szCs w:val="24"/>
        </w:rPr>
        <w:t xml:space="preserve">响应单位</w:t>
      </w:r>
      <w:r>
        <w:rPr>
          <w:rFonts w:hAnsi="宋体" w:eastAsia="宋体" w:cs="Arial"/>
          <w:sz w:val="24"/>
          <w:szCs w:val="24"/>
        </w:rPr>
        <w:t xml:space="preserve">应对照</w:t>
      </w:r>
      <w:r>
        <w:rPr>
          <w:rFonts w:hint="eastAsia" w:hAnsi="宋体" w:eastAsia="宋体" w:cs="Arial"/>
          <w:sz w:val="24"/>
          <w:szCs w:val="24"/>
        </w:rPr>
        <w:t xml:space="preserve">采购</w:t>
      </w:r>
      <w:r>
        <w:rPr>
          <w:rFonts w:hAnsi="宋体" w:eastAsia="宋体" w:cs="Arial"/>
          <w:sz w:val="24"/>
          <w:szCs w:val="24"/>
        </w:rPr>
        <w:t xml:space="preserve">文件要求，</w:t>
      </w:r>
      <w:r>
        <w:rPr>
          <w:rFonts w:hint="eastAsia" w:hAnsi="宋体" w:eastAsia="宋体" w:cs="Arial"/>
          <w:sz w:val="24"/>
          <w:szCs w:val="24"/>
        </w:rPr>
        <w:t xml:space="preserve">响应单位响应情况</w:t>
      </w:r>
      <w:r>
        <w:rPr>
          <w:rFonts w:hAnsi="宋体" w:eastAsia="宋体" w:cs="Arial"/>
          <w:sz w:val="24"/>
          <w:szCs w:val="24"/>
        </w:rPr>
        <w:t xml:space="preserve">与</w:t>
      </w:r>
      <w:r>
        <w:rPr>
          <w:rFonts w:hint="eastAsia" w:hAnsi="宋体" w:eastAsia="宋体" w:cs="Arial"/>
          <w:sz w:val="24"/>
          <w:szCs w:val="24"/>
        </w:rPr>
        <w:t xml:space="preserve">采购</w:t>
      </w:r>
      <w:r>
        <w:rPr>
          <w:rFonts w:hAnsi="宋体" w:eastAsia="宋体" w:cs="Arial"/>
          <w:sz w:val="24"/>
          <w:szCs w:val="24"/>
        </w:rPr>
        <w:t xml:space="preserve">文件的规定有偏离的，应在此表中申明与</w:t>
      </w:r>
      <w:r>
        <w:rPr>
          <w:rFonts w:hint="eastAsia" w:hAnsi="宋体" w:eastAsia="宋体" w:cs="Arial"/>
          <w:sz w:val="24"/>
          <w:szCs w:val="24"/>
        </w:rPr>
        <w:t xml:space="preserve">采购文件</w:t>
      </w:r>
      <w:r>
        <w:rPr>
          <w:rFonts w:hAnsi="宋体" w:eastAsia="宋体" w:cs="Arial"/>
          <w:sz w:val="24"/>
          <w:szCs w:val="24"/>
        </w:rPr>
        <w:t xml:space="preserve">要求条文的偏差和例外。</w:t>
      </w:r>
      <w:r>
        <w:rPr>
          <w:rFonts w:hAnsi="宋体" w:eastAsia="宋体" w:cs="Arial"/>
          <w:sz w:val="24"/>
          <w:szCs w:val="24"/>
        </w:rPr>
      </w:r>
      <w:r/>
    </w:p>
    <w:p>
      <w:pPr>
        <w:pStyle w:val="972"/>
        <w:ind w:firstLine="480"/>
        <w:spacing w:line="360" w:lineRule="auto"/>
        <w:rPr>
          <w:rFonts w:hAnsi="宋体" w:eastAsia="宋体" w:cs="Arial"/>
          <w:sz w:val="24"/>
          <w:szCs w:val="24"/>
        </w:rPr>
      </w:pPr>
      <w:r>
        <w:rPr>
          <w:rFonts w:hAnsi="宋体" w:eastAsia="宋体" w:cs="Arial"/>
          <w:sz w:val="24"/>
          <w:szCs w:val="24"/>
        </w:rPr>
        <w:t xml:space="preserve">2、未在上表中说明的，如在</w:t>
      </w:r>
      <w:r>
        <w:rPr>
          <w:rFonts w:hint="eastAsia" w:hAnsi="宋体" w:eastAsia="宋体" w:cs="Arial"/>
          <w:sz w:val="24"/>
          <w:szCs w:val="24"/>
        </w:rPr>
        <w:t xml:space="preserve">响应</w:t>
      </w:r>
      <w:r>
        <w:rPr>
          <w:rFonts w:hAnsi="宋体" w:eastAsia="宋体" w:cs="Arial"/>
          <w:sz w:val="24"/>
          <w:szCs w:val="24"/>
        </w:rPr>
        <w:t xml:space="preserve">文件其他内容中已有文字说明的，则以已有文字说明为准，否则，将被认为完全响应</w:t>
      </w:r>
      <w:r>
        <w:rPr>
          <w:rFonts w:hint="eastAsia" w:hAnsi="宋体" w:eastAsia="宋体" w:cs="Arial"/>
          <w:sz w:val="24"/>
          <w:szCs w:val="24"/>
        </w:rPr>
        <w:t xml:space="preserve">采购</w:t>
      </w:r>
      <w:r>
        <w:rPr>
          <w:rFonts w:hAnsi="宋体" w:eastAsia="宋体" w:cs="Arial"/>
          <w:sz w:val="24"/>
          <w:szCs w:val="24"/>
        </w:rPr>
        <w:t xml:space="preserve">文件的规定。但该表不作为</w:t>
      </w:r>
      <w:r>
        <w:rPr>
          <w:rFonts w:hint="eastAsia" w:hAnsi="宋体" w:eastAsia="宋体" w:cs="Arial"/>
          <w:sz w:val="24"/>
          <w:szCs w:val="24"/>
        </w:rPr>
        <w:t xml:space="preserve">响应单位</w:t>
      </w:r>
      <w:r>
        <w:rPr>
          <w:rFonts w:hAnsi="宋体" w:eastAsia="宋体" w:cs="Arial"/>
          <w:sz w:val="24"/>
          <w:szCs w:val="24"/>
        </w:rPr>
        <w:t xml:space="preserve">对所投标的物详细描述和说明的替代。</w:t>
      </w:r>
      <w:r>
        <w:rPr>
          <w:rFonts w:hAnsi="宋体" w:eastAsia="宋体" w:cs="Arial"/>
          <w:sz w:val="24"/>
          <w:szCs w:val="24"/>
        </w:rPr>
      </w:r>
      <w:r/>
    </w:p>
    <w:p>
      <w:pPr>
        <w:pStyle w:val="934"/>
        <w:ind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80" w:lineRule="atLeast"/>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80" w:lineRule="atLeast"/>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ascii="宋体" w:hAnsi="宋体" w:eastAsia="宋体" w:cs="宋体"/>
          <w:b/>
          <w:color w:val="000000"/>
          <w:sz w:val="24"/>
          <w:highlight w:val="white"/>
        </w:rPr>
        <w:br w:type="page" w:clear="all"/>
      </w:r>
      <w:bookmarkStart w:id="10" w:name="_Toc7288"/>
      <w:r>
        <w:rPr>
          <w:rFonts w:hint="eastAsia" w:ascii="宋体" w:hAnsi="宋体" w:eastAsia="宋体" w:cs="宋体"/>
          <w:b/>
          <w:color w:val="000000"/>
          <w:sz w:val="24"/>
          <w:highlight w:val="white"/>
        </w:rPr>
        <w:t xml:space="preserve">7、拟投入项目组人员一览表</w:t>
      </w:r>
      <w:bookmarkEnd w:id="10"/>
      <w:r>
        <w:rPr>
          <w:rFonts w:hint="eastAsia"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7.1拟投入项目组人员一览表</w:t>
      </w:r>
      <w:r>
        <w:rPr>
          <w:rFonts w:ascii="宋体" w:hAnsi="宋体" w:eastAsia="宋体" w:cs="宋体"/>
          <w:b/>
          <w:color w:val="000000"/>
          <w:sz w:val="32"/>
          <w:szCs w:val="32"/>
          <w:highlight w:val="white"/>
        </w:rPr>
      </w:r>
      <w:r/>
    </w:p>
    <w:tbl>
      <w:tblPr>
        <w:tblW w:w="90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793"/>
        <w:gridCol w:w="993"/>
        <w:gridCol w:w="1390"/>
        <w:gridCol w:w="709"/>
        <w:gridCol w:w="789"/>
        <w:gridCol w:w="1794"/>
        <w:gridCol w:w="802"/>
      </w:tblGrid>
      <w:tr>
        <w:trPr>
          <w:trHeight w:val="732"/>
        </w:trPr>
        <w:tc>
          <w:tcPr>
            <w:tcW w:w="775"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rPr>
                <w:rFonts w:hint="eastAsia" w:ascii="宋体" w:hAnsi="宋体" w:eastAsia="宋体" w:cs="宋体"/>
                <w:b/>
                <w:bCs/>
                <w:color w:val="000000"/>
                <w:sz w:val="22"/>
                <w:szCs w:val="22"/>
              </w:rPr>
            </w:r>
            <w:r/>
          </w:p>
        </w:tc>
        <w:tc>
          <w:tcPr>
            <w:tcW w:w="1793"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在本项目中岗位</w:t>
            </w:r>
            <w:r>
              <w:rPr>
                <w:rFonts w:hint="eastAsia" w:ascii="宋体" w:hAnsi="宋体" w:eastAsia="宋体" w:cs="宋体"/>
                <w:b/>
                <w:bCs/>
                <w:color w:val="000000"/>
                <w:sz w:val="22"/>
                <w:szCs w:val="22"/>
              </w:rPr>
            </w:r>
            <w:r/>
          </w:p>
        </w:tc>
        <w:tc>
          <w:tcPr>
            <w:tcW w:w="993"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姓名</w:t>
            </w:r>
            <w:r>
              <w:rPr>
                <w:rFonts w:hint="eastAsia" w:ascii="宋体" w:hAnsi="宋体" w:eastAsia="宋体" w:cs="宋体"/>
                <w:b/>
                <w:bCs/>
                <w:color w:val="000000"/>
                <w:sz w:val="22"/>
                <w:szCs w:val="22"/>
              </w:rPr>
            </w:r>
            <w:r/>
          </w:p>
        </w:tc>
        <w:tc>
          <w:tcPr>
            <w:tcW w:w="1390"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身份证号码</w:t>
            </w:r>
            <w:r>
              <w:rPr>
                <w:rFonts w:hint="eastAsia" w:ascii="宋体" w:hAnsi="宋体" w:eastAsia="宋体" w:cs="宋体"/>
                <w:b/>
                <w:bCs/>
                <w:color w:val="000000"/>
                <w:sz w:val="22"/>
                <w:szCs w:val="22"/>
              </w:rPr>
            </w:r>
            <w:r/>
          </w:p>
        </w:tc>
        <w:tc>
          <w:tcPr>
            <w:tcW w:w="709"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年龄</w:t>
            </w:r>
            <w:r>
              <w:rPr>
                <w:rFonts w:hint="eastAsia" w:ascii="宋体" w:hAnsi="宋体" w:eastAsia="宋体" w:cs="宋体"/>
                <w:b/>
                <w:bCs/>
                <w:color w:val="000000"/>
                <w:sz w:val="22"/>
                <w:szCs w:val="22"/>
              </w:rPr>
            </w:r>
            <w:r/>
          </w:p>
        </w:tc>
        <w:tc>
          <w:tcPr>
            <w:tcW w:w="789"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学历</w:t>
            </w:r>
            <w:r>
              <w:rPr>
                <w:rFonts w:hint="eastAsia" w:ascii="宋体" w:hAnsi="宋体" w:eastAsia="宋体" w:cs="宋体"/>
                <w:b/>
                <w:bCs/>
                <w:color w:val="000000"/>
                <w:sz w:val="22"/>
                <w:szCs w:val="22"/>
              </w:rPr>
            </w:r>
            <w:r/>
          </w:p>
        </w:tc>
        <w:tc>
          <w:tcPr>
            <w:tcW w:w="1794"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从事本工作时间</w:t>
            </w:r>
            <w:r>
              <w:rPr>
                <w:rFonts w:hint="eastAsia" w:ascii="宋体" w:hAnsi="宋体" w:eastAsia="宋体" w:cs="宋体"/>
                <w:b/>
                <w:bCs/>
                <w:color w:val="000000"/>
                <w:sz w:val="22"/>
                <w:szCs w:val="22"/>
              </w:rPr>
            </w:r>
            <w:r/>
          </w:p>
        </w:tc>
        <w:tc>
          <w:tcPr>
            <w:tcW w:w="802" w:type="dxa"/>
            <w:vAlign w:val="center"/>
            <w:textDirection w:val="lrTb"/>
            <w:noWrap/>
          </w:tcPr>
          <w:p>
            <w:pPr>
              <w:pStyle w:val="934"/>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rPr>
                <w:rFonts w:hint="eastAsia" w:ascii="宋体" w:hAnsi="宋体" w:eastAsia="宋体" w:cs="宋体"/>
                <w:b/>
                <w:bCs/>
                <w:color w:val="000000"/>
                <w:sz w:val="22"/>
                <w:szCs w:val="22"/>
              </w:rPr>
            </w:r>
            <w:r/>
          </w:p>
        </w:tc>
      </w:tr>
      <w:tr>
        <w:trPr>
          <w:trHeight w:val="651"/>
        </w:trPr>
        <w:tc>
          <w:tcPr>
            <w:tcW w:w="775" w:type="dxa"/>
            <w:vAlign w:val="center"/>
            <w:textDirection w:val="lrTb"/>
            <w:noWrap/>
          </w:tcPr>
          <w:p>
            <w:pPr>
              <w:pStyle w:val="934"/>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bCs/>
                <w:sz w:val="24"/>
                <w:szCs w:val="24"/>
                <w:shd w:val="clear" w:color="auto" w:fill="ffffff"/>
              </w:rPr>
            </w:pPr>
            <w:r>
              <w:rPr>
                <w:rFonts w:hint="eastAsia" w:ascii="宋体" w:hAnsi="宋体" w:eastAsia="宋体" w:cs="宋体"/>
                <w:color w:val="000000"/>
                <w:sz w:val="22"/>
                <w:szCs w:val="22"/>
              </w:rPr>
              <w:t xml:space="preserve">项目经理</w:t>
            </w:r>
            <w:r>
              <w:rPr>
                <w:rFonts w:ascii="宋体" w:hAnsi="宋体" w:eastAsia="宋体" w:cs="宋体"/>
                <w:bCs/>
                <w:sz w:val="24"/>
                <w:szCs w:val="24"/>
                <w:shd w:val="clear" w:color="auto" w:fill="ffffff"/>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27"/>
        </w:trPr>
        <w:tc>
          <w:tcPr>
            <w:tcW w:w="775" w:type="dxa"/>
            <w:vAlign w:val="center"/>
            <w:textDirection w:val="lrTb"/>
            <w:noWrap/>
          </w:tcPr>
          <w:p>
            <w:pPr>
              <w:pStyle w:val="934"/>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bCs/>
                <w:sz w:val="24"/>
                <w:szCs w:val="24"/>
                <w:shd w:val="clear" w:color="auto" w:fill="ffffff"/>
              </w:rPr>
            </w:pPr>
            <w:r>
              <w:rPr>
                <w:rFonts w:hint="eastAsia" w:ascii="宋体" w:hAnsi="宋体" w:eastAsia="宋体" w:cs="宋体"/>
                <w:color w:val="000000"/>
                <w:sz w:val="22"/>
                <w:szCs w:val="22"/>
              </w:rPr>
              <w:t xml:space="preserve">安全员</w:t>
            </w:r>
            <w:r>
              <w:rPr>
                <w:rFonts w:ascii="宋体" w:hAnsi="宋体" w:eastAsia="宋体" w:cs="宋体"/>
                <w:bCs/>
                <w:sz w:val="24"/>
                <w:szCs w:val="24"/>
                <w:shd w:val="clear" w:color="auto" w:fill="ffffff"/>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27"/>
        </w:trPr>
        <w:tc>
          <w:tcPr>
            <w:tcW w:w="775" w:type="dxa"/>
            <w:vAlign w:val="center"/>
            <w:textDirection w:val="lrTb"/>
            <w:noWrap/>
          </w:tcPr>
          <w:p>
            <w:pPr>
              <w:pStyle w:val="934"/>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r>
            <w:r/>
          </w:p>
        </w:tc>
        <w:tc>
          <w:tcPr>
            <w:tcW w:w="1793" w:type="dxa"/>
            <w:vAlign w:val="center"/>
            <w:textDirection w:val="lrTb"/>
            <w:noWrap/>
          </w:tcPr>
          <w:p>
            <w:pPr>
              <w:pStyle w:val="934"/>
              <w:jc w:val="center"/>
              <w:widowControl/>
              <w:rPr>
                <w:rFonts w:ascii="宋体" w:hAnsi="宋体" w:eastAsia="宋体" w:cs="宋体"/>
                <w:sz w:val="24"/>
                <w:szCs w:val="24"/>
              </w:rPr>
            </w:pPr>
            <w:r>
              <w:rPr>
                <w:rFonts w:hint="eastAsia" w:ascii="宋体" w:hAnsi="宋体" w:eastAsia="宋体" w:cs="宋体"/>
                <w:color w:val="000000"/>
                <w:sz w:val="22"/>
                <w:szCs w:val="22"/>
              </w:rPr>
              <w:t xml:space="preserve">资料员</w:t>
            </w:r>
            <w:r>
              <w:rPr>
                <w:rFonts w:ascii="宋体" w:hAnsi="宋体" w:eastAsia="宋体" w:cs="宋体"/>
                <w:sz w:val="24"/>
                <w:szCs w:val="24"/>
              </w:rPr>
            </w:r>
            <w:r/>
          </w:p>
        </w:tc>
        <w:tc>
          <w:tcPr>
            <w:tcW w:w="99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390"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9"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94" w:type="dxa"/>
            <w:vAlign w:val="top"/>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rPr>
          <w:rFonts w:ascii="宋体" w:hAnsi="宋体" w:eastAsia="宋体" w:cs="宋体"/>
          <w:b/>
          <w:sz w:val="24"/>
          <w:szCs w:val="24"/>
        </w:rPr>
      </w:r>
      <w:r/>
    </w:p>
    <w:p>
      <w:pPr>
        <w:pStyle w:val="9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1、本表人员信息为拟投入本项目的项目组人员：项目经理、安全员、资料员。</w:t>
      </w:r>
      <w:r>
        <w:rPr>
          <w:rFonts w:ascii="宋体" w:hAnsi="宋体" w:eastAsia="宋体" w:cs="宋体"/>
          <w:bCs/>
          <w:sz w:val="24"/>
          <w:szCs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2、投标文件中提供供应商为项目组人员缴纳的最近一期的社保证明扫描件（有社保局盖章）、身份证扫描件及学历证书扫描件，项目经理还需提供职称证书扫描件，安全员提供安全员C证或者政府安监部门（应急管理等部门）或相关培训机构颁发的安全员证书。</w:t>
      </w:r>
      <w:r>
        <w:rPr>
          <w:rFonts w:hint="eastAsia" w:ascii="宋体" w:hAnsi="宋体" w:eastAsia="宋体" w:cs="宋体"/>
          <w:b/>
          <w:sz w:val="24"/>
          <w:szCs w:val="24"/>
          <w:u w:val="single"/>
        </w:rPr>
        <w:t xml:space="preserve">上述证明材料未提供或提供不完整的视为未实质性响应，为无效标。</w:t>
      </w:r>
      <w:r>
        <w:rPr>
          <w:rFonts w:ascii="宋体" w:hAnsi="宋体" w:eastAsia="宋体" w:cs="宋体"/>
          <w:b/>
          <w:sz w:val="24"/>
          <w:szCs w:val="24"/>
        </w:rPr>
      </w:r>
      <w:r/>
    </w:p>
    <w:p>
      <w:pPr>
        <w:pStyle w:val="934"/>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rPr>
          <w:rFonts w:ascii="宋体" w:hAnsi="宋体" w:eastAsia="宋体" w:cs="宋体"/>
          <w:b/>
          <w:sz w:val="24"/>
          <w:szCs w:val="24"/>
        </w:rPr>
      </w:pPr>
      <w:r>
        <w:rPr>
          <w:rFonts w:ascii="宋体" w:hAnsi="宋体" w:eastAsia="宋体" w:cs="宋体"/>
          <w:b/>
          <w:sz w:val="24"/>
          <w:szCs w:val="24"/>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br w:type="page" w:clear="all"/>
      </w:r>
      <w:r>
        <w:rPr>
          <w:rFonts w:hint="eastAsia" w:ascii="宋体" w:hAnsi="宋体" w:eastAsia="宋体" w:cs="宋体"/>
          <w:b/>
          <w:color w:val="000000"/>
          <w:sz w:val="32"/>
          <w:szCs w:val="32"/>
          <w:highlight w:val="white"/>
        </w:rPr>
        <w:t xml:space="preserve">7.2项目经理情况一览表</w:t>
      </w:r>
      <w:r>
        <w:rPr>
          <w:rFonts w:ascii="宋体" w:hAnsi="宋体" w:eastAsia="宋体" w:cs="宋体"/>
          <w:b/>
          <w:color w:val="000000"/>
          <w:sz w:val="32"/>
          <w:szCs w:val="32"/>
          <w:highlight w:val="whit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ascii="宋体" w:hAnsi="宋体" w:eastAsia="宋体" w:cs="宋体"/>
                <w:sz w:val="24"/>
                <w:szCs w:val="24"/>
                <w:shd w:val="clear" w:color="auto" w:fill="ffffff"/>
              </w:rPr>
            </w:r>
            <w:r/>
          </w:p>
        </w:tc>
        <w:tc>
          <w:tcPr>
            <w:tcW w:w="1851"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姓名</w:t>
            </w:r>
            <w:r>
              <w:rPr>
                <w:rFonts w:ascii="宋体" w:hAnsi="宋体" w:eastAsia="宋体" w:cs="宋体"/>
                <w:sz w:val="24"/>
                <w:szCs w:val="24"/>
                <w:shd w:val="clear" w:color="auto" w:fill="ffffff"/>
              </w:rPr>
            </w:r>
            <w:r/>
          </w:p>
        </w:tc>
        <w:tc>
          <w:tcPr>
            <w:gridSpan w:val="2"/>
            <w:tcW w:w="2394"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83"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性   别</w:t>
            </w:r>
            <w:r>
              <w:rPr>
                <w:rFonts w:ascii="宋体" w:hAnsi="宋体" w:eastAsia="宋体" w:cs="宋体"/>
                <w:sz w:val="24"/>
                <w:szCs w:val="24"/>
                <w:shd w:val="clear" w:color="auto" w:fill="ffffff"/>
              </w:rPr>
            </w:r>
            <w:r/>
          </w:p>
        </w:tc>
        <w:tc>
          <w:tcPr>
            <w:gridSpan w:val="2"/>
            <w:tcW w:w="3072"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ascii="宋体" w:hAnsi="宋体" w:eastAsia="宋体" w:cs="宋体"/>
                <w:sz w:val="24"/>
                <w:szCs w:val="24"/>
                <w:shd w:val="clear" w:color="auto" w:fill="ffffff"/>
              </w:rPr>
            </w:r>
            <w:r/>
          </w:p>
        </w:tc>
        <w:tc>
          <w:tcPr>
            <w:tcW w:w="1851"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身份证号码</w:t>
            </w:r>
            <w:r>
              <w:rPr>
                <w:rFonts w:ascii="宋体" w:hAnsi="宋体" w:eastAsia="宋体" w:cs="宋体"/>
                <w:sz w:val="24"/>
                <w:szCs w:val="24"/>
                <w:shd w:val="clear" w:color="auto" w:fill="ffffff"/>
              </w:rPr>
            </w:r>
            <w:r/>
          </w:p>
        </w:tc>
        <w:tc>
          <w:tcPr>
            <w:gridSpan w:val="3"/>
            <w:tcW w:w="3477" w:type="dxa"/>
            <w:vAlign w:val="center"/>
            <w:textDirection w:val="lrTb"/>
            <w:noWrap/>
          </w:tcPr>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54"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出生年月</w:t>
            </w:r>
            <w:r>
              <w:rPr>
                <w:rFonts w:ascii="宋体" w:hAnsi="宋体" w:eastAsia="宋体" w:cs="宋体"/>
                <w:sz w:val="24"/>
                <w:szCs w:val="24"/>
                <w:shd w:val="clear" w:color="auto" w:fill="ffffff"/>
              </w:rPr>
            </w:r>
            <w:r/>
          </w:p>
        </w:tc>
        <w:tc>
          <w:tcPr>
            <w:tcW w:w="181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年   月</w:t>
            </w:r>
            <w:r>
              <w:rPr>
                <w:rFonts w:ascii="宋体" w:hAnsi="宋体" w:eastAsia="宋体" w:cs="宋体"/>
                <w:sz w:val="24"/>
                <w:szCs w:val="24"/>
                <w:shd w:val="clear" w:color="auto" w:fill="ffffff"/>
              </w:rPr>
            </w:r>
            <w:r/>
          </w:p>
        </w:tc>
      </w:tr>
      <w:tr>
        <w:trPr>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ascii="宋体" w:hAnsi="宋体" w:eastAsia="宋体" w:cs="宋体"/>
                <w:sz w:val="24"/>
                <w:szCs w:val="24"/>
                <w:shd w:val="clear" w:color="auto" w:fill="ffffff"/>
              </w:rPr>
            </w:r>
            <w:r/>
          </w:p>
        </w:tc>
        <w:tc>
          <w:tcPr>
            <w:gridSpan w:val="2"/>
            <w:tcW w:w="318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联系电话：</w:t>
            </w:r>
            <w:r>
              <w:rPr>
                <w:rFonts w:ascii="宋体" w:hAnsi="宋体" w:eastAsia="宋体" w:cs="宋体"/>
                <w:sz w:val="24"/>
                <w:szCs w:val="24"/>
                <w:shd w:val="clear" w:color="auto" w:fill="ffffff"/>
              </w:rPr>
            </w:r>
            <w:r/>
          </w:p>
        </w:tc>
        <w:tc>
          <w:tcPr>
            <w:gridSpan w:val="2"/>
            <w:tcW w:w="2148"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传真：</w:t>
            </w:r>
            <w:r>
              <w:rPr>
                <w:rFonts w:ascii="宋体" w:hAnsi="宋体" w:eastAsia="宋体" w:cs="宋体"/>
                <w:sz w:val="24"/>
                <w:szCs w:val="24"/>
                <w:shd w:val="clear" w:color="auto" w:fill="ffffff"/>
              </w:rPr>
            </w:r>
            <w:r/>
          </w:p>
        </w:tc>
        <w:tc>
          <w:tcPr>
            <w:gridSpan w:val="2"/>
            <w:tcW w:w="3072"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电子邮箱：</w:t>
            </w:r>
            <w:r>
              <w:rPr>
                <w:rFonts w:ascii="宋体" w:hAnsi="宋体" w:eastAsia="宋体" w:cs="宋体"/>
                <w:sz w:val="24"/>
                <w:szCs w:val="24"/>
                <w:shd w:val="clear" w:color="auto" w:fill="ffffff"/>
              </w:rPr>
            </w:r>
            <w:r/>
          </w:p>
        </w:tc>
      </w:tr>
      <w:tr>
        <w:trPr>
          <w:cantSplit/>
          <w:trHeight w:val="64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ascii="宋体" w:hAnsi="宋体" w:eastAsia="宋体" w:cs="宋体"/>
                <w:sz w:val="24"/>
                <w:szCs w:val="24"/>
                <w:shd w:val="clear" w:color="auto" w:fill="ffffff"/>
              </w:rPr>
            </w:r>
            <w:r/>
          </w:p>
        </w:tc>
        <w:tc>
          <w:tcPr>
            <w:gridSpan w:val="6"/>
            <w:tcW w:w="840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从事类似项目工作时间：</w:t>
            </w:r>
            <w:r>
              <w:rPr>
                <w:rFonts w:ascii="宋体" w:hAnsi="宋体" w:eastAsia="宋体" w:cs="宋体"/>
                <w:sz w:val="24"/>
                <w:szCs w:val="24"/>
                <w:shd w:val="clear" w:color="auto" w:fill="ffffff"/>
              </w:rPr>
            </w:r>
            <w:r/>
          </w:p>
        </w:tc>
      </w:tr>
      <w:tr>
        <w:trPr>
          <w:cantSplit/>
          <w:trHeight w:val="625"/>
        </w:trPr>
        <w:tc>
          <w:tcPr>
            <w:tcW w:w="628" w:type="dxa"/>
            <w:vAlign w:val="center"/>
            <w:textDirection w:val="lrTb"/>
            <w:noWrap/>
          </w:tcPr>
          <w:p>
            <w:pPr>
              <w:pStyle w:val="934"/>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ascii="宋体" w:hAnsi="宋体" w:eastAsia="宋体" w:cs="宋体"/>
                <w:sz w:val="24"/>
                <w:szCs w:val="24"/>
                <w:shd w:val="clear" w:color="auto" w:fill="ffffff"/>
              </w:rPr>
            </w:r>
            <w:r/>
          </w:p>
        </w:tc>
        <w:tc>
          <w:tcPr>
            <w:gridSpan w:val="6"/>
            <w:tcW w:w="8400" w:type="dxa"/>
            <w:vAlign w:val="center"/>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拥有的职称：</w:t>
            </w:r>
            <w:r>
              <w:rPr>
                <w:rFonts w:ascii="宋体" w:hAnsi="宋体" w:eastAsia="宋体" w:cs="宋体"/>
                <w:sz w:val="24"/>
                <w:szCs w:val="24"/>
                <w:shd w:val="clear" w:color="auto" w:fill="ffffff"/>
              </w:rPr>
            </w:r>
            <w:r/>
          </w:p>
        </w:tc>
      </w:tr>
      <w:tr>
        <w:trPr>
          <w:cantSplit/>
          <w:trHeight w:val="1854"/>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曾获得的奖励情况：</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 __________________________________________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3、__________________________________________</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trHeight w:val="1133"/>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本公司承诺：</w:t>
            </w:r>
            <w:r>
              <w:rPr>
                <w:rFonts w:ascii="宋体" w:hAnsi="宋体" w:eastAsia="宋体" w:cs="宋体"/>
                <w:sz w:val="24"/>
                <w:szCs w:val="24"/>
                <w:shd w:val="clear" w:color="auto" w:fill="ffffff"/>
              </w:rPr>
            </w:r>
            <w:r/>
          </w:p>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该项目经理在从业经历中没有任何违法、违规而被查处的不良记录。</w:t>
            </w:r>
            <w:r>
              <w:rPr>
                <w:rFonts w:ascii="宋体" w:hAnsi="宋体" w:eastAsia="宋体" w:cs="宋体"/>
                <w:sz w:val="24"/>
                <w:szCs w:val="24"/>
                <w:shd w:val="clear" w:color="auto" w:fill="ffffff"/>
              </w:rPr>
            </w:r>
            <w:r/>
          </w:p>
        </w:tc>
      </w:tr>
      <w:tr>
        <w:trPr>
          <w:trHeight w:val="2846"/>
        </w:trPr>
        <w:tc>
          <w:tcPr>
            <w:tcW w:w="628" w:type="dxa"/>
            <w:vAlign w:val="center"/>
            <w:textDirection w:val="lrTb"/>
            <w:noWrap/>
          </w:tcPr>
          <w:p>
            <w:pPr>
              <w:pStyle w:val="934"/>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ascii="宋体" w:hAnsi="宋体" w:eastAsia="宋体" w:cs="宋体"/>
                <w:sz w:val="24"/>
                <w:szCs w:val="24"/>
                <w:shd w:val="clear" w:color="auto" w:fill="ffffff"/>
              </w:rPr>
            </w:r>
            <w:r/>
          </w:p>
        </w:tc>
        <w:tc>
          <w:tcPr>
            <w:gridSpan w:val="6"/>
            <w:tcW w:w="8400" w:type="dxa"/>
            <w:vAlign w:val="top"/>
            <w:textDirection w:val="lrTb"/>
            <w:noWrap/>
          </w:tcPr>
          <w:p>
            <w:pPr>
              <w:pStyle w:val="934"/>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rPr>
                <w:rFonts w:ascii="宋体" w:hAnsi="宋体" w:eastAsia="宋体" w:cs="宋体"/>
                <w:sz w:val="24"/>
                <w:szCs w:val="24"/>
                <w:shd w:val="clear" w:color="auto" w:fill="ffffff"/>
              </w:rPr>
            </w:r>
            <w:r/>
          </w:p>
        </w:tc>
      </w:tr>
    </w:tbl>
    <w:p>
      <w:pPr>
        <w:pStyle w:val="934"/>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34"/>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rPr>
          <w:rFonts w:hint="eastAsia" w:ascii="宋体" w:hAnsi="宋体" w:eastAsia="宋体" w:cs="宋体"/>
          <w:b/>
          <w:sz w:val="24"/>
          <w:szCs w:val="24"/>
        </w:rPr>
        <w:br w:type="page" w:clear="all"/>
      </w:r>
      <w:bookmarkStart w:id="11" w:name="_Toc19845"/>
      <w:r>
        <w:rPr>
          <w:rFonts w:hint="eastAsia" w:ascii="宋体" w:hAnsi="宋体" w:eastAsia="宋体" w:cs="宋体"/>
          <w:sz w:val="24"/>
          <w:szCs w:val="24"/>
        </w:rPr>
        <w:t xml:space="preserve">8</w:t>
      </w:r>
      <w:r>
        <w:rPr>
          <w:rFonts w:hint="eastAsia" w:ascii="宋体" w:hAnsi="宋体" w:eastAsia="宋体" w:cs="宋体"/>
          <w:b/>
          <w:color w:val="000000"/>
          <w:sz w:val="24"/>
          <w:highlight w:val="white"/>
        </w:rPr>
        <w:t xml:space="preserve">、拟投入其他服务人员配备承诺书（作业人员）</w:t>
      </w:r>
      <w:bookmarkEnd w:id="11"/>
      <w:r>
        <w:rPr>
          <w:rFonts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拟投入其他服务人员配备承诺书（作业人员）</w:t>
      </w:r>
      <w:r>
        <w:rPr>
          <w:rFonts w:ascii="宋体" w:hAnsi="宋体" w:eastAsia="宋体" w:cs="宋体"/>
          <w:b/>
          <w:color w:val="000000"/>
          <w:sz w:val="32"/>
          <w:szCs w:val="32"/>
          <w:highlight w:val="white"/>
        </w:rPr>
      </w:r>
      <w:r/>
    </w:p>
    <w:p>
      <w:pPr>
        <w:pStyle w:val="934"/>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ascii="宋体" w:hAnsi="宋体" w:eastAsia="宋体" w:cs="宋体"/>
          <w:sz w:val="24"/>
          <w:szCs w:val="24"/>
        </w:rPr>
      </w:r>
      <w:r/>
    </w:p>
    <w:p>
      <w:pPr>
        <w:pStyle w:val="934"/>
        <w:ind w:firstLine="516"/>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本公司收到贵司号采购文件，经仔细阅读和研究，本公司承诺：投入其他服务人员相应作业时段的每班最低人数不低于采购文件附件《标段信息一览表》中的人员配置的要求。</w:t>
      </w:r>
      <w:r>
        <w:rPr>
          <w:rFonts w:hint="eastAsia" w:ascii="宋体" w:hAnsi="宋体" w:eastAsia="宋体" w:cs="宋体"/>
          <w:sz w:val="24"/>
          <w:szCs w:val="24"/>
        </w:rPr>
      </w:r>
      <w:r/>
    </w:p>
    <w:p>
      <w:pPr>
        <w:pStyle w:val="934"/>
        <w:ind w:firstLine="516"/>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若本公司中标进场后，不提供或提供的其他服务人员满足不了作业服务内容进度及质量的，采购人有权终止合同。</w:t>
      </w:r>
      <w:r>
        <w:rPr>
          <w:rFonts w:hint="eastAsia"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本公司承诺，用人管理遵守国家相关规定，如有违反，接受采购人对本公司做出的相关扣款等违约处理。</w:t>
      </w:r>
      <w:r>
        <w:rPr>
          <w:rFonts w:ascii="宋体" w:hAnsi="宋体" w:eastAsia="宋体" w:cs="宋体"/>
          <w:sz w:val="24"/>
          <w:szCs w:val="24"/>
        </w:rPr>
      </w:r>
      <w:r/>
    </w:p>
    <w:p>
      <w:pPr>
        <w:pStyle w:val="934"/>
        <w:ind w:firstLine="516"/>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以上特此承诺。</w:t>
      </w:r>
      <w:r>
        <w:rPr>
          <w:rFonts w:ascii="宋体" w:hAnsi="宋体" w:eastAsia="宋体" w:cs="宋体"/>
          <w:b/>
          <w:sz w:val="24"/>
          <w:szCs w:val="24"/>
        </w:rPr>
      </w:r>
      <w:r/>
    </w:p>
    <w:p>
      <w:pPr>
        <w:pStyle w:val="934"/>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b/>
          <w:sz w:val="24"/>
          <w:szCs w:val="24"/>
        </w:rPr>
        <w:br w:type="page" w:clear="all"/>
      </w:r>
      <w:bookmarkStart w:id="12" w:name="_Toc29410"/>
      <w:r>
        <w:rPr>
          <w:rFonts w:hint="eastAsia" w:ascii="宋体" w:hAnsi="宋体" w:eastAsia="宋体" w:cs="宋体"/>
          <w:b/>
          <w:color w:val="000000"/>
          <w:sz w:val="24"/>
          <w:highlight w:val="white"/>
        </w:rPr>
        <w:t xml:space="preserve">9、拟投入设备承诺书</w:t>
      </w:r>
      <w:bookmarkEnd w:id="12"/>
      <w:r>
        <w:rPr>
          <w:rFonts w:hint="eastAsia" w:ascii="宋体" w:hAnsi="宋体" w:eastAsia="宋体" w:cs="宋体"/>
          <w:b/>
          <w:color w:val="000000"/>
          <w:sz w:val="24"/>
          <w:highlight w:val="white"/>
        </w:rPr>
        <w:t xml:space="preserve"> </w:t>
      </w:r>
      <w:r>
        <w:rPr>
          <w:rFonts w:hint="eastAsia" w:ascii="宋体" w:hAnsi="宋体" w:eastAsia="宋体" w:cs="宋体"/>
          <w:b/>
          <w:color w:val="000000"/>
          <w:sz w:val="24"/>
          <w:highlight w:val="white"/>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拟投入设备承诺书</w:t>
      </w:r>
      <w:r>
        <w:rPr>
          <w:rFonts w:ascii="宋体" w:hAnsi="宋体" w:eastAsia="宋体" w:cs="宋体"/>
          <w:b/>
          <w:color w:val="000000"/>
          <w:sz w:val="32"/>
          <w:szCs w:val="32"/>
          <w:highlight w:val="white"/>
        </w:rPr>
      </w:r>
      <w:r/>
    </w:p>
    <w:p>
      <w:pPr>
        <w:pStyle w:val="934"/>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本公司收到贵司号采购文件，经仔细阅读和研究，本公司承诺：投入设备的型号规格及配备数量、进场时间要求不低于采购文件附件《标段信息一览表》中的设备配备要求。</w:t>
      </w:r>
      <w:r>
        <w:rPr>
          <w:rFonts w:ascii="宋体" w:hAnsi="宋体" w:eastAsia="宋体" w:cs="宋体"/>
          <w:sz w:val="24"/>
          <w:szCs w:val="24"/>
        </w:rPr>
      </w:r>
      <w:r/>
    </w:p>
    <w:p>
      <w:pPr>
        <w:pStyle w:val="93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以上特此承诺。</w:t>
      </w:r>
      <w:r>
        <w:rPr>
          <w:rFonts w:ascii="宋体" w:hAnsi="宋体" w:eastAsia="宋体" w:cs="宋体"/>
          <w:b/>
          <w:sz w:val="24"/>
          <w:szCs w:val="24"/>
        </w:rPr>
      </w:r>
      <w:r/>
    </w:p>
    <w:p>
      <w:pPr>
        <w:pStyle w:val="934"/>
        <w:ind w:firstLine="482"/>
        <w:spacing w:line="360" w:lineRule="auto"/>
        <w:rPr>
          <w:rFonts w:ascii="宋体" w:hAnsi="宋体" w:eastAsia="宋体" w:cs="宋体"/>
          <w:b/>
          <w:sz w:val="24"/>
          <w:szCs w:val="24"/>
        </w:rPr>
      </w:pPr>
      <w:r>
        <w:rPr>
          <w:rFonts w:ascii="宋体" w:hAnsi="宋体" w:eastAsia="宋体" w:cs="宋体"/>
          <w:b/>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2"/>
        <w:spacing w:line="360" w:lineRule="auto"/>
        <w:rPr>
          <w:rFonts w:ascii="宋体" w:hAnsi="宋体" w:eastAsia="宋体" w:cs="宋体"/>
          <w:b/>
          <w:sz w:val="24"/>
          <w:szCs w:val="24"/>
        </w:rPr>
      </w:pPr>
      <w:r>
        <w:rPr>
          <w:rFonts w:ascii="宋体" w:hAnsi="宋体" w:eastAsia="宋体" w:cs="宋体"/>
          <w:b/>
          <w:sz w:val="24"/>
          <w:szCs w:val="24"/>
        </w:rPr>
      </w:r>
      <w:r/>
    </w:p>
    <w:p>
      <w:pPr>
        <w:pStyle w:val="934"/>
        <w:spacing w:line="360" w:lineRule="auto"/>
        <w:rPr>
          <w:rFonts w:hint="eastAsia" w:ascii="宋体" w:hAnsi="宋体" w:eastAsia="宋体" w:cs="宋体"/>
          <w:b/>
          <w:color w:val="000000"/>
          <w:sz w:val="24"/>
          <w:highlight w:val="white"/>
          <w:lang w:val="zh-CN"/>
        </w:rPr>
        <w:outlineLvl w:val="1"/>
      </w:pPr>
      <w:r>
        <w:rPr>
          <w:rFonts w:hint="eastAsia" w:ascii="宋体" w:hAnsi="宋体" w:eastAsia="宋体" w:cs="宋体"/>
          <w:b/>
          <w:sz w:val="24"/>
          <w:szCs w:val="24"/>
        </w:rPr>
        <w:br w:type="page" w:clear="all"/>
      </w:r>
      <w:bookmarkStart w:id="13" w:name="_Toc28327"/>
      <w:r>
        <w:rPr>
          <w:rFonts w:hint="eastAsia" w:ascii="宋体" w:hAnsi="宋体" w:eastAsia="宋体" w:cs="宋体"/>
          <w:b/>
          <w:color w:val="000000"/>
          <w:sz w:val="24"/>
          <w:highlight w:val="white"/>
        </w:rPr>
        <w:t xml:space="preserve">10、拟投入人员不与其他项目重复承诺书</w:t>
      </w:r>
      <w:bookmarkEnd w:id="13"/>
      <w:r>
        <w:rPr>
          <w:rFonts w:hint="eastAsia" w:ascii="宋体" w:hAnsi="宋体" w:eastAsia="宋体" w:cs="宋体"/>
          <w:b/>
          <w:color w:val="000000"/>
          <w:sz w:val="24"/>
          <w:highlight w:val="white"/>
          <w:lang w:val="zh-CN"/>
        </w:rPr>
      </w:r>
      <w:r/>
    </w:p>
    <w:p>
      <w:pPr>
        <w:pStyle w:val="934"/>
        <w:jc w:val="center"/>
        <w:spacing w:before="120" w:line="360" w:lineRule="auto"/>
        <w:rPr>
          <w:rFonts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拟投入人员不与其他项目重复承诺书</w:t>
      </w:r>
      <w:r>
        <w:rPr>
          <w:rFonts w:ascii="宋体" w:hAnsi="宋体" w:eastAsia="宋体" w:cs="宋体"/>
          <w:b/>
          <w:color w:val="000000"/>
          <w:sz w:val="32"/>
          <w:szCs w:val="32"/>
          <w:highlight w:val="white"/>
        </w:rPr>
      </w:r>
      <w:r/>
    </w:p>
    <w:p>
      <w:pPr>
        <w:pStyle w:val="934"/>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934"/>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b/>
          <w:bCs/>
          <w:sz w:val="24"/>
          <w:szCs w:val="24"/>
          <w:u w:val="single"/>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本公司承诺：在投标文件中承诺配置的项目组人员与</w:t>
      </w:r>
      <w:r>
        <w:rPr>
          <w:rFonts w:hint="eastAsia" w:ascii="宋体" w:hAnsi="宋体" w:eastAsia="宋体" w:cs="宋体"/>
          <w:b/>
          <w:bCs/>
          <w:sz w:val="24"/>
          <w:szCs w:val="24"/>
        </w:rPr>
        <w:t xml:space="preserve">2026年</w:t>
      </w:r>
      <w:r>
        <w:rPr>
          <w:rFonts w:hint="eastAsia" w:ascii="宋体" w:hAnsi="宋体" w:eastAsia="宋体" w:cs="宋体"/>
          <w:b/>
          <w:bCs/>
          <w:sz w:val="24"/>
          <w:szCs w:val="24"/>
        </w:rPr>
        <w:t xml:space="preserve">6月</w:t>
      </w: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后（含）仍在履行的其他项目中所配备的人员信息不重复。</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投标文件中承诺为本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配置的项目组人员为非变更后无在养项目，若为其他项目中已变更或被更换的，原项目合同在</w:t>
      </w: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年6月1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前已履行完成。</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spacing w:line="360" w:lineRule="auto"/>
        <w:rPr>
          <w:rFonts w:ascii="宋体" w:hAnsi="宋体" w:eastAsia="宋体" w:cs="宋体"/>
          <w:b/>
          <w:color w:val="000000"/>
          <w:sz w:val="24"/>
          <w:highlight w:val="white"/>
        </w:rPr>
        <w:outlineLvl w:val="1"/>
      </w:pPr>
      <w:r>
        <w:rPr>
          <w:rFonts w:hint="eastAsia" w:ascii="宋体" w:hAnsi="宋体" w:eastAsia="宋体" w:cs="宋体"/>
          <w:sz w:val="24"/>
          <w:szCs w:val="24"/>
        </w:rPr>
        <w:br w:type="page" w:clear="all"/>
      </w:r>
      <w:bookmarkStart w:id="14" w:name="_Toc14196"/>
      <w:r>
        <w:rPr>
          <w:rFonts w:hint="eastAsia" w:ascii="宋体" w:hAnsi="宋体" w:eastAsia="宋体" w:cs="宋体"/>
          <w:b/>
          <w:color w:val="000000"/>
          <w:sz w:val="24"/>
          <w:highlight w:val="white"/>
        </w:rPr>
        <w:t xml:space="preserve">11、供应商类似业绩情况表</w:t>
      </w:r>
      <w:bookmarkEnd w:id="14"/>
      <w:r>
        <w:rPr>
          <w:rFonts w:ascii="宋体" w:hAnsi="宋体" w:eastAsia="宋体" w:cs="宋体"/>
          <w:b/>
          <w:color w:val="000000"/>
          <w:sz w:val="24"/>
          <w:highlight w:val="white"/>
        </w:rPr>
      </w:r>
      <w:r/>
    </w:p>
    <w:p>
      <w:pPr>
        <w:pStyle w:val="934"/>
        <w:jc w:val="center"/>
        <w:spacing w:before="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供应商类似业绩情况表</w:t>
      </w:r>
      <w:r>
        <w:rPr>
          <w:rFonts w:ascii="宋体" w:hAnsi="宋体" w:eastAsia="宋体" w:cs="宋体"/>
          <w:sz w:val="24"/>
          <w:szCs w:val="24"/>
        </w:rPr>
      </w:r>
      <w:r/>
    </w:p>
    <w:tbl>
      <w:tblPr>
        <w:tblW w:w="907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1422"/>
        <w:gridCol w:w="1718"/>
        <w:gridCol w:w="1955"/>
        <w:gridCol w:w="2010"/>
        <w:gridCol w:w="1176"/>
      </w:tblGrid>
      <w:tr>
        <w:trPr>
          <w:cantSplit/>
          <w:trHeight w:val="740"/>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合同签订日期</w:t>
            </w:r>
            <w:r>
              <w:rPr>
                <w:rFonts w:hint="eastAsia" w:ascii="宋体" w:hAnsi="宋体" w:eastAsia="宋体" w:cs="宋体"/>
                <w:color w:val="000000"/>
                <w:sz w:val="22"/>
                <w:szCs w:val="22"/>
              </w:rPr>
            </w:r>
            <w:r/>
          </w:p>
        </w:tc>
        <w:tc>
          <w:tcPr>
            <w:tcW w:w="2010"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合同履行完成日期</w:t>
            </w: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备注</w:t>
            </w: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Height w:val="774" w:hRule="exact"/>
        </w:trPr>
        <w:tc>
          <w:tcPr>
            <w:tcW w:w="791"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1422"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18"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955"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010" w:type="dxa"/>
            <w:vAlign w:val="top"/>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176" w:type="dxa"/>
            <w:vAlign w:val="center"/>
            <w:textDirection w:val="lrTb"/>
            <w:noWrap/>
          </w:tcPr>
          <w:p>
            <w:pPr>
              <w:pStyle w:val="934"/>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pStyle w:val="934"/>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34"/>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&lt;1&gt;类似业绩是指2021年1月1日（含）以后已履行验收完成的内容涵盖园林绿化养护项目或绿化工程建设的合同。</w:t>
      </w:r>
      <w:r>
        <w:rPr>
          <w:rFonts w:hint="eastAsia" w:ascii="宋体" w:hAnsi="宋体" w:eastAsia="宋体" w:cs="宋体"/>
          <w:b/>
          <w:bCs/>
          <w:sz w:val="24"/>
          <w:szCs w:val="24"/>
        </w:rPr>
      </w:r>
      <w:r/>
    </w:p>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&lt;2&gt;响应文件中需同时提供有效合同扫描件、履约验收证明扫描件及该项目合同的至少一张发票扫描件。</w:t>
      </w:r>
      <w:r>
        <w:rPr>
          <w:rFonts w:hint="eastAsia" w:ascii="宋体" w:hAnsi="宋体" w:eastAsia="宋体" w:cs="宋体"/>
          <w:b/>
          <w:bCs/>
          <w:sz w:val="24"/>
          <w:szCs w:val="24"/>
          <w:u w:val="single"/>
        </w:rPr>
        <w:t xml:space="preserve">未提供以上有效资料或提供不完整的，视为未实质性响应。</w:t>
      </w:r>
      <w:r>
        <w:rPr>
          <w:rFonts w:ascii="宋体" w:hAnsi="宋体" w:eastAsia="宋体" w:cs="宋体"/>
          <w:b/>
          <w:bCs/>
          <w:sz w:val="24"/>
          <w:szCs w:val="24"/>
        </w:rPr>
      </w:r>
      <w:r/>
    </w:p>
    <w:p>
      <w:pPr>
        <w:pStyle w:val="934"/>
        <w:rPr>
          <w:rFonts w:ascii="宋体" w:hAnsi="宋体" w:eastAsia="宋体" w:cs="宋体"/>
          <w:b/>
          <w:sz w:val="24"/>
          <w:szCs w:val="24"/>
        </w:rPr>
      </w:pPr>
      <w:r>
        <w:rPr>
          <w:rFonts w:ascii="宋体" w:hAnsi="宋体" w:eastAsia="宋体" w:cs="宋体"/>
          <w:b/>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ind w:firstLine="48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ascii="宋体" w:hAnsi="宋体" w:eastAsia="宋体" w:cs="宋体"/>
          <w:color w:val="000000"/>
          <w:sz w:val="24"/>
          <w:highlight w:val="white"/>
        </w:rPr>
        <w:br w:type="page" w:clear="all"/>
      </w:r>
      <w:bookmarkStart w:id="15" w:name="_Toc27052"/>
      <w:r>
        <w:rPr>
          <w:rFonts w:hint="eastAsia" w:ascii="宋体" w:hAnsi="宋体" w:eastAsia="宋体" w:cs="宋体"/>
          <w:b/>
          <w:color w:val="000000"/>
          <w:sz w:val="24"/>
          <w:highlight w:val="white"/>
        </w:rPr>
        <w:t xml:space="preserve">12、中小企业声明函</w:t>
      </w:r>
      <w:bookmarkEnd w:id="15"/>
      <w:r>
        <w:rPr>
          <w:rFonts w:hint="eastAsia"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中小企业声明函</w:t>
      </w:r>
      <w:r>
        <w:rPr>
          <w:rFonts w:hint="eastAsia" w:ascii="宋体" w:hAnsi="宋体" w:eastAsia="宋体" w:cs="宋体"/>
          <w:b/>
          <w:color w:val="000000"/>
          <w:sz w:val="32"/>
          <w:szCs w:val="32"/>
          <w:highlight w:val="white"/>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（单位名称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（项目名称       ）</w:t>
      </w:r>
      <w:r>
        <w:rPr>
          <w:rFonts w:hint="eastAsia" w:ascii="宋体" w:hAnsi="宋体" w:eastAsia="宋体" w:cs="宋体"/>
          <w:sz w:val="24"/>
          <w:szCs w:val="24"/>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 w:val="24"/>
          <w:szCs w:val="24"/>
          <w:shd w:val="clear" w:color="auto" w:fill="ffffff"/>
        </w:rPr>
      </w:r>
      <w:r/>
    </w:p>
    <w:p>
      <w:pPr>
        <w:pStyle w:val="934"/>
        <w:numPr>
          <w:ilvl w:val="0"/>
          <w:numId w:val="1"/>
        </w:numPr>
        <w:ind w:firstLine="482"/>
        <w:jc w:val="left"/>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u w:val="single"/>
          <w:shd w:val="clear" w:color="auto" w:fill="ffffff"/>
        </w:rPr>
        <w:t xml:space="preserve">2026年园区绿化养护应急服务，</w:t>
      </w:r>
      <w:r>
        <w:rPr>
          <w:rFonts w:hint="eastAsia" w:ascii="宋体" w:hAnsi="宋体" w:eastAsia="宋体" w:cs="宋体"/>
          <w:sz w:val="24"/>
          <w:szCs w:val="24"/>
          <w:shd w:val="clear" w:color="auto" w:fill="ffffff"/>
        </w:rPr>
        <w:t xml:space="preserve">属于</w:t>
      </w:r>
      <w:r>
        <w:rPr>
          <w:rFonts w:hint="eastAsia" w:ascii="宋体" w:hAnsi="宋体" w:eastAsia="宋体" w:cs="宋体"/>
          <w:b/>
          <w:sz w:val="24"/>
          <w:szCs w:val="24"/>
          <w:u w:val="single"/>
          <w:shd w:val="clear" w:color="auto" w:fill="ffffff"/>
        </w:rPr>
        <w:t xml:space="preserve">其他未列明行业</w:t>
      </w:r>
      <w:r>
        <w:rPr>
          <w:rFonts w:hint="eastAsia" w:ascii="宋体" w:hAnsi="宋体" w:eastAsia="宋体" w:cs="宋体"/>
          <w:sz w:val="24"/>
          <w:szCs w:val="24"/>
          <w:shd w:val="clear" w:color="auto" w:fill="ffffff"/>
        </w:rPr>
        <w:t xml:space="preserve">；承建（承接）企业为</w:t>
      </w:r>
      <w:r>
        <w:rPr>
          <w:rFonts w:hint="eastAsia" w:ascii="宋体" w:hAnsi="宋体" w:eastAsia="宋体" w:cs="宋体"/>
          <w:sz w:val="24"/>
          <w:szCs w:val="24"/>
          <w:u w:val="single"/>
          <w:shd w:val="clear" w:color="auto" w:fill="ffffff"/>
        </w:rPr>
        <w:t xml:space="preserve">（企业名称）</w:t>
      </w:r>
      <w:r>
        <w:rPr>
          <w:rFonts w:hint="eastAsia" w:ascii="宋体" w:hAnsi="宋体" w:eastAsia="宋体" w:cs="宋体"/>
          <w:sz w:val="24"/>
          <w:szCs w:val="24"/>
          <w:shd w:val="clear" w:color="auto" w:fill="ffffff"/>
        </w:rPr>
        <w:t xml:space="preserve">，从业人员人，营业收入为万元，资产总额为万元，属于</w:t>
      </w:r>
      <w:r>
        <w:rPr>
          <w:rFonts w:hint="eastAsia" w:ascii="宋体" w:hAnsi="宋体" w:eastAsia="宋体" w:cs="宋体"/>
          <w:sz w:val="24"/>
          <w:szCs w:val="24"/>
          <w:u w:val="single"/>
          <w:shd w:val="clear" w:color="auto" w:fill="ffffff"/>
        </w:rPr>
        <w:t xml:space="preserve">     （中型企业、小型企业、微型企业）</w:t>
      </w:r>
      <w:r>
        <w:rPr>
          <w:rFonts w:hint="eastAsia" w:ascii="宋体" w:hAnsi="宋体" w:eastAsia="宋体" w:cs="宋体"/>
          <w:sz w:val="24"/>
          <w:szCs w:val="24"/>
          <w:shd w:val="clear" w:color="auto" w:fill="ffffff"/>
        </w:rPr>
        <w:t xml:space="preserve">；注：（企业类型选填一项）</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rPr>
          <w:rFonts w:ascii="宋体" w:hAnsi="宋体" w:eastAsia="宋体" w:cs="宋体"/>
          <w:sz w:val="24"/>
          <w:szCs w:val="24"/>
          <w:shd w:val="clear" w:color="auto" w:fill="ffffff"/>
        </w:rPr>
      </w:r>
      <w:r/>
    </w:p>
    <w:p>
      <w:pPr>
        <w:pStyle w:val="934"/>
        <w:ind w:firstLine="480"/>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企业名称（盖章）：</w:t>
      </w: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rPr>
          <w:rFonts w:ascii="宋体" w:hAnsi="宋体" w:eastAsia="宋体" w:cs="宋体"/>
          <w:sz w:val="24"/>
          <w:szCs w:val="24"/>
          <w:shd w:val="clear" w:color="auto" w:fill="ffffff"/>
        </w:rPr>
      </w:r>
      <w:r/>
    </w:p>
    <w:p>
      <w:pPr>
        <w:pStyle w:val="934"/>
        <w:ind w:right="492"/>
        <w:jc w:val="center"/>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1</w:t>
      </w:r>
      <w:r>
        <w:rPr>
          <w:rFonts w:ascii="宋体" w:hAnsi="宋体" w:eastAsia="宋体" w:cs="宋体"/>
          <w:color w:val="000000"/>
          <w:sz w:val="24"/>
          <w:highlight w:val="white"/>
        </w:rPr>
        <w:t xml:space="preserve">、从业人员、营业收入、资产总额填报上一年度数据，无上一年度数据的新成立企业可不填报。</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2</w:t>
      </w:r>
      <w:r>
        <w:rPr>
          <w:rFonts w:ascii="宋体" w:hAnsi="宋体" w:eastAsia="宋体" w:cs="宋体"/>
          <w:color w:val="000000"/>
          <w:sz w:val="24"/>
          <w:highlight w:val="white"/>
        </w:rPr>
        <w:t xml:space="preserve">、若供应商提供的</w:t>
      </w:r>
      <w:r>
        <w:rPr>
          <w:rFonts w:eastAsia="Times New Roman"/>
          <w:color w:val="000000"/>
          <w:sz w:val="24"/>
          <w:highlight w:val="white"/>
        </w:rPr>
        <w:t xml:space="preserve">“</w:t>
      </w:r>
      <w:r>
        <w:rPr>
          <w:rFonts w:ascii="宋体" w:hAnsi="宋体" w:eastAsia="宋体" w:cs="宋体"/>
          <w:color w:val="000000"/>
          <w:sz w:val="24"/>
          <w:highlight w:val="white"/>
        </w:rPr>
        <w:t xml:space="preserve">中小企业声明函</w:t>
      </w:r>
      <w:r>
        <w:rPr>
          <w:rFonts w:eastAsia="Times New Roman"/>
          <w:color w:val="000000"/>
          <w:sz w:val="24"/>
          <w:highlight w:val="white"/>
        </w:rPr>
        <w:t xml:space="preserve">”</w:t>
      </w:r>
      <w:r>
        <w:rPr>
          <w:rFonts w:ascii="宋体" w:hAnsi="宋体" w:eastAsia="宋体" w:cs="宋体"/>
          <w:color w:val="000000"/>
          <w:sz w:val="24"/>
          <w:highlight w:val="white"/>
        </w:rPr>
        <w:t xml:space="preserve">内容不实的，属于提供虚假材料谋取成交、成交，依照《中华人民共和国政府采购法》等国家有关规定追究相应责任。</w:t>
      </w:r>
      <w:r>
        <w:rPr>
          <w:highlight w:val="white"/>
        </w:rPr>
      </w:r>
      <w:r/>
    </w:p>
    <w:p>
      <w:pPr>
        <w:pStyle w:val="934"/>
        <w:ind w:firstLine="482"/>
        <w:spacing w:line="360" w:lineRule="auto"/>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3</w:t>
      </w:r>
      <w:r>
        <w:rPr>
          <w:rFonts w:ascii="宋体" w:hAnsi="宋体" w:eastAsia="宋体" w:cs="宋体"/>
          <w:color w:val="000000"/>
          <w:sz w:val="24"/>
          <w:highlight w:val="whit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934"/>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附：中小企业划型标准规定（工信部联企业〔2011〕300号）</w:t>
      </w:r>
      <w:r>
        <w:rPr>
          <w:highlight w:val="white"/>
        </w:rPr>
      </w:r>
      <w:r/>
    </w:p>
    <w:p>
      <w:pPr>
        <w:pStyle w:val="934"/>
        <w:ind w:firstLine="4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（一）农、林、牧、渔业。</w:t>
      </w:r>
      <w:r>
        <w:rPr>
          <w:rFonts w:ascii="宋体" w:hAnsi="宋体" w:eastAsia="宋体" w:cs="宋体"/>
          <w:color w:val="000000"/>
          <w:sz w:val="21"/>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（二）工业。</w:t>
      </w:r>
      <w:r>
        <w:rPr>
          <w:rFonts w:ascii="宋体" w:hAnsi="宋体" w:eastAsia="宋体" w:cs="宋体"/>
          <w:color w:val="000000"/>
          <w:sz w:val="21"/>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（三）建筑业。</w:t>
      </w:r>
      <w:r>
        <w:rPr>
          <w:rFonts w:ascii="宋体" w:hAnsi="宋体" w:eastAsia="宋体" w:cs="宋体"/>
          <w:color w:val="000000"/>
          <w:sz w:val="21"/>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（四）批发业。</w:t>
      </w:r>
      <w:r>
        <w:rPr>
          <w:rFonts w:ascii="宋体" w:hAnsi="宋体" w:eastAsia="宋体" w:cs="宋体"/>
          <w:color w:val="000000"/>
          <w:sz w:val="21"/>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（五）零售业。</w:t>
      </w:r>
      <w:r>
        <w:rPr>
          <w:rFonts w:ascii="宋体" w:hAnsi="宋体" w:eastAsia="宋体" w:cs="宋体"/>
          <w:color w:val="000000"/>
          <w:sz w:val="21"/>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（六）交通运输业。</w:t>
      </w:r>
      <w:r>
        <w:rPr>
          <w:rFonts w:ascii="宋体" w:hAnsi="宋体" w:eastAsia="宋体" w:cs="宋体"/>
          <w:color w:val="000000"/>
          <w:sz w:val="21"/>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（七）仓储业。</w:t>
      </w:r>
      <w:r>
        <w:rPr>
          <w:rFonts w:ascii="宋体" w:hAnsi="宋体" w:eastAsia="宋体" w:cs="宋体"/>
          <w:color w:val="000000"/>
          <w:sz w:val="21"/>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（八）邮政业。</w:t>
      </w:r>
      <w:r>
        <w:rPr>
          <w:rFonts w:ascii="宋体" w:hAnsi="宋体" w:eastAsia="宋体" w:cs="宋体"/>
          <w:color w:val="000000"/>
          <w:sz w:val="21"/>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（九）住宿业。</w:t>
      </w:r>
      <w:r>
        <w:rPr>
          <w:rFonts w:ascii="宋体" w:hAnsi="宋体" w:eastAsia="宋体" w:cs="宋体"/>
          <w:color w:val="000000"/>
          <w:sz w:val="2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（十）餐饮业。</w:t>
      </w:r>
      <w:r>
        <w:rPr>
          <w:rFonts w:ascii="宋体" w:hAnsi="宋体" w:eastAsia="宋体" w:cs="宋体"/>
          <w:color w:val="000000"/>
          <w:sz w:val="21"/>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（十一）信息传输业。</w:t>
      </w:r>
      <w:r>
        <w:rPr>
          <w:rFonts w:ascii="宋体" w:hAnsi="宋体" w:eastAsia="宋体" w:cs="宋体"/>
          <w:color w:val="000000"/>
          <w:sz w:val="21"/>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（十二）软件和信息技术服务业。</w:t>
      </w:r>
      <w:r>
        <w:rPr>
          <w:rFonts w:ascii="宋体" w:hAnsi="宋体" w:eastAsia="宋体" w:cs="宋体"/>
          <w:color w:val="000000"/>
          <w:sz w:val="21"/>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（十三）房地产开发经营。</w:t>
      </w:r>
      <w:r>
        <w:rPr>
          <w:rFonts w:ascii="宋体" w:hAnsi="宋体" w:eastAsia="宋体" w:cs="宋体"/>
          <w:color w:val="000000"/>
          <w:sz w:val="21"/>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（十四）物业管理。</w:t>
      </w:r>
      <w:r>
        <w:rPr>
          <w:rFonts w:ascii="宋体" w:hAnsi="宋体" w:eastAsia="宋体" w:cs="宋体"/>
          <w:color w:val="000000"/>
          <w:sz w:val="21"/>
          <w:highlight w:val="white"/>
        </w:rPr>
        <w:t xml:space="preserve">从业人员1000人以下或营业收入5000万元以下的为中小微型企业。其中，从业人员</w:t>
      </w:r>
      <w:r>
        <w:rPr>
          <w:highlight w:val="white"/>
        </w:rPr>
      </w:r>
      <w:r/>
    </w:p>
    <w:p>
      <w:pPr>
        <w:pStyle w:val="934"/>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（十五）租赁和商务服务业。</w:t>
      </w:r>
      <w:r>
        <w:rPr>
          <w:rFonts w:ascii="宋体" w:hAnsi="宋体" w:eastAsia="宋体" w:cs="宋体"/>
          <w:color w:val="000000"/>
          <w:sz w:val="21"/>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pStyle w:val="934"/>
        <w:ind w:firstLine="422"/>
        <w:spacing w:before="156"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（十六）其他未列明行业。</w:t>
      </w:r>
      <w:r>
        <w:rPr>
          <w:rFonts w:ascii="宋体" w:hAnsi="宋体" w:eastAsia="宋体" w:cs="宋体"/>
          <w:color w:val="000000"/>
          <w:sz w:val="21"/>
          <w:highlight w:val="white"/>
        </w:rPr>
        <w:t xml:space="preserve">从业人员300人以下的为中小微型企业。其中，从业人员100人及以上的为中型企业；从业人员10人及以上的为小型企业；从业人员10人以下的为微型企业。</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eastAsia="Times New Roman"/>
          <w:color w:val="000000"/>
          <w:sz w:val="24"/>
          <w:highlight w:val="white"/>
        </w:rPr>
        <w:t xml:space="preserve"> </w:t>
      </w:r>
      <w:r>
        <w:rPr>
          <w:highlight w:val="white"/>
        </w:rPr>
      </w:r>
      <w:r/>
    </w:p>
    <w:p>
      <w:pPr>
        <w:pStyle w:val="934"/>
        <w:spacing w:line="360" w:lineRule="auto"/>
        <w:rPr>
          <w:rFonts w:hint="eastAsia" w:ascii="宋体" w:hAnsi="宋体" w:eastAsia="宋体" w:cs="宋体"/>
          <w:b/>
          <w:color w:val="000000"/>
          <w:sz w:val="24"/>
          <w:highlight w:val="white"/>
        </w:rPr>
        <w:outlineLvl w:val="1"/>
      </w:pPr>
      <w:r>
        <w:rPr>
          <w:highlight w:val="white"/>
        </w:rPr>
        <w:br w:type="page" w:clear="all"/>
      </w:r>
      <w:bookmarkStart w:id="16" w:name="_Toc10844"/>
      <w:r>
        <w:rPr>
          <w:rFonts w:hint="eastAsia" w:ascii="宋体" w:hAnsi="宋体" w:eastAsia="宋体" w:cs="宋体"/>
          <w:b/>
          <w:color w:val="000000"/>
          <w:sz w:val="24"/>
          <w:highlight w:val="white"/>
        </w:rPr>
        <w:t xml:space="preserve">13、残疾人福利性单位声明函</w:t>
      </w:r>
      <w:bookmarkEnd w:id="16"/>
      <w:r>
        <w:rPr>
          <w:rFonts w:hint="eastAsia" w:ascii="宋体" w:hAnsi="宋体" w:eastAsia="宋体" w:cs="宋体"/>
          <w:b/>
          <w:color w:val="000000"/>
          <w:sz w:val="24"/>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残疾人福利性单位声明函</w:t>
      </w:r>
      <w:r>
        <w:rPr>
          <w:rFonts w:hint="eastAsia" w:ascii="宋体" w:hAnsi="宋体" w:eastAsia="宋体" w:cs="宋体"/>
          <w:b/>
          <w:color w:val="000000"/>
          <w:sz w:val="32"/>
          <w:szCs w:val="32"/>
          <w:highlight w:val="white"/>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本公司对上述声明的真实性负责。如有虚假，将依法承担相应责任。</w:t>
      </w: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单位名称（盖章）：</w:t>
      </w:r>
      <w:r>
        <w:rPr>
          <w:rFonts w:ascii="宋体" w:hAnsi="宋体" w:eastAsia="宋体" w:cs="宋体"/>
          <w:sz w:val="24"/>
          <w:szCs w:val="24"/>
          <w:shd w:val="clear" w:color="auto" w:fill="ffffff"/>
        </w:rPr>
      </w:r>
      <w:r/>
    </w:p>
    <w:p>
      <w:pPr>
        <w:pStyle w:val="934"/>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rPr>
          <w:rFonts w:ascii="宋体" w:hAnsi="宋体" w:eastAsia="宋体" w:cs="宋体"/>
          <w:sz w:val="24"/>
          <w:szCs w:val="24"/>
          <w:shd w:val="clear" w:color="auto" w:fill="ffffff"/>
        </w:rPr>
      </w:r>
      <w:r/>
    </w:p>
    <w:p>
      <w:pPr>
        <w:pStyle w:val="934"/>
        <w:ind w:firstLine="72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ascii="宋体" w:hAnsi="宋体" w:eastAsia="宋体" w:cs="宋体"/>
          <w:b/>
          <w:bCs/>
          <w:color w:val="000000"/>
          <w:sz w:val="24"/>
          <w:szCs w:val="24"/>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color w:val="000000"/>
          <w:sz w:val="24"/>
          <w:highlight w:val="white"/>
        </w:rPr>
        <w:br w:type="page" w:clear="all"/>
      </w:r>
      <w:bookmarkStart w:id="17" w:name="_Toc10934"/>
      <w:r>
        <w:rPr>
          <w:rFonts w:hint="eastAsia" w:ascii="宋体" w:hAnsi="宋体" w:eastAsia="宋体" w:cs="宋体"/>
          <w:b/>
          <w:color w:val="000000"/>
          <w:sz w:val="24"/>
          <w:highlight w:val="white"/>
        </w:rPr>
        <w:t xml:space="preserve">14、资格证明文件</w:t>
      </w:r>
      <w:bookmarkEnd w:id="17"/>
      <w:r>
        <w:rPr>
          <w:rFonts w:hint="eastAsia" w:ascii="宋体" w:hAnsi="宋体" w:eastAsia="宋体" w:cs="宋体"/>
          <w:b/>
          <w:color w:val="000000"/>
          <w:sz w:val="24"/>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(1)关于资格文件的声明函</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关于资格文件的声明函</w:t>
      </w:r>
      <w:r>
        <w:rPr>
          <w:rFonts w:hint="eastAsia" w:ascii="宋体" w:hAnsi="宋体" w:eastAsia="宋体" w:cs="宋体"/>
          <w:b/>
          <w:color w:val="000000"/>
          <w:sz w:val="32"/>
          <w:szCs w:val="32"/>
          <w:highlight w:val="white"/>
        </w:rPr>
      </w:r>
      <w:r/>
    </w:p>
    <w:p>
      <w:pPr>
        <w:pStyle w:val="934"/>
        <w:ind w:firstLine="42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highlight w:val="white"/>
        </w:rPr>
      </w:r>
      <w:r/>
    </w:p>
    <w:p>
      <w:pPr>
        <w:pStyle w:val="934"/>
        <w:ind w:firstLine="66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愿就由贵公司组织实施的采购编号为号的谈判采购活动进行响应。本公司所提交的响应文件中所有关于谈判资格的文件、证明和陈述均是真实的、准确的。若与真实情况不符，本公司愿意承担由此而产生的一切后果。</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rFonts w:ascii="宋体" w:hAnsi="宋体" w:eastAsia="宋体" w:cs="宋体"/>
          <w:color w:val="000000"/>
          <w:sz w:val="24"/>
          <w:szCs w:val="24"/>
          <w:highlight w:val="white"/>
        </w:rPr>
        <w:tab/>
      </w:r>
      <w:r>
        <w:rPr>
          <w:sz w:val="24"/>
          <w:szCs w:val="24"/>
          <w:highlight w:val="white"/>
        </w:rPr>
      </w:r>
      <w:r/>
    </w:p>
    <w:p>
      <w:pPr>
        <w:pStyle w:val="934"/>
        <w:ind w:firstLine="420"/>
        <w:spacing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sz w:val="24"/>
          <w:szCs w:val="24"/>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br w:type="page" w:clear="all"/>
      </w:r>
      <w:r>
        <w:rPr>
          <w:rFonts w:ascii="宋体" w:hAnsi="宋体" w:eastAsia="宋体" w:cs="宋体"/>
          <w:b/>
          <w:color w:val="000000"/>
          <w:sz w:val="24"/>
          <w:highlight w:val="white"/>
        </w:rPr>
        <w:t xml:space="preserve">(2)谈判供应商情况表</w:t>
      </w:r>
      <w:r>
        <w:rPr>
          <w:rFonts w:ascii="宋体" w:hAnsi="宋体" w:eastAsia="宋体" w:cs="宋体"/>
          <w:b/>
          <w:bCs/>
          <w:color w:val="000000"/>
          <w:sz w:val="24"/>
          <w:szCs w:val="24"/>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谈判供应商情况表</w:t>
      </w:r>
      <w:r>
        <w:rPr>
          <w:rFonts w:hint="eastAsia" w:ascii="宋体" w:hAnsi="宋体" w:eastAsia="宋体" w:cs="宋体"/>
          <w:b/>
          <w:color w:val="000000"/>
          <w:sz w:val="32"/>
          <w:szCs w:val="32"/>
          <w:highlight w:val="whit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法定代表人</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成立日期</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企业地址</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注册资本</w:t>
            </w:r>
            <w:r>
              <w:rPr>
                <w:highlight w:val="white"/>
              </w:rPr>
            </w:r>
            <w:r/>
          </w:p>
        </w:tc>
        <w:tc>
          <w:tcPr>
            <w:gridSpan w:val="2"/>
            <w:tcMar>
              <w:top w:w="0" w:type="dxa"/>
              <w:bottom w:w="0" w:type="dxa"/>
            </w:tcMar>
            <w:tcW w:w="3292" w:type="dxa"/>
            <w:vAlign w:val="top"/>
            <w:textDirection w:val="lrTb"/>
            <w:noWrap w:val="false"/>
          </w:tcPr>
          <w:p>
            <w:pPr>
              <w:pStyle w:val="934"/>
              <w:ind w:firstLine="216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经营范围</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职工人数</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2"/>
            <w:tcMar>
              <w:top w:w="0" w:type="dxa"/>
              <w:bottom w:w="0" w:type="dxa"/>
            </w:tcMar>
            <w:tcW w:w="3517"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其中：有中高级以上职称的人数</w:t>
            </w:r>
            <w:r>
              <w:rPr>
                <w:highlight w:val="white"/>
              </w:rPr>
            </w:r>
            <w:r/>
          </w:p>
        </w:tc>
        <w:tc>
          <w:tcPr>
            <w:tcMar>
              <w:top w:w="0" w:type="dxa"/>
              <w:bottom w:w="0" w:type="dxa"/>
            </w:tcMar>
            <w:tcW w:w="1236"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资产总计</w:t>
            </w:r>
            <w:r>
              <w:rPr>
                <w:highlight w:val="white"/>
              </w:rPr>
            </w:r>
            <w:r/>
          </w:p>
        </w:tc>
        <w:tc>
          <w:tcPr>
            <w:tcMar>
              <w:top w:w="0" w:type="dxa"/>
              <w:bottom w:w="0" w:type="dxa"/>
            </w:tcMar>
            <w:tcW w:w="2005"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c>
          <w:tcPr>
            <w:tcMar>
              <w:top w:w="0" w:type="dxa"/>
              <w:bottom w:w="0" w:type="dxa"/>
            </w:tcMar>
            <w:tcW w:w="1461"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净资产</w:t>
            </w:r>
            <w:r>
              <w:rPr>
                <w:highlight w:val="white"/>
              </w:rPr>
            </w:r>
            <w:r/>
          </w:p>
        </w:tc>
        <w:tc>
          <w:tcPr>
            <w:gridSpan w:val="2"/>
            <w:tcMar>
              <w:top w:w="0" w:type="dxa"/>
              <w:bottom w:w="0" w:type="dxa"/>
            </w:tcMar>
            <w:tcW w:w="3292"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r>
      <w:tr>
        <w:trPr/>
        <w:tc>
          <w:tcPr>
            <w:tcMar>
              <w:left w:w="108" w:type="dxa"/>
              <w:top w:w="0" w:type="dxa"/>
              <w:right w:w="108" w:type="dxa"/>
              <w:bottom w:w="0" w:type="dxa"/>
            </w:tcMar>
            <w:tcW w:w="2510"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股东权益</w:t>
            </w:r>
            <w:r>
              <w:rPr>
                <w:highlight w:val="white"/>
              </w:rPr>
            </w:r>
            <w:r/>
          </w:p>
        </w:tc>
        <w:tc>
          <w:tcPr>
            <w:tcMar>
              <w:top w:w="0" w:type="dxa"/>
              <w:bottom w:w="0" w:type="dxa"/>
            </w:tcMar>
            <w:tcW w:w="2005"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万元</w:t>
            </w:r>
            <w:r>
              <w:rPr>
                <w:highlight w:val="white"/>
              </w:rPr>
            </w:r>
            <w:r/>
          </w:p>
        </w:tc>
        <w:tc>
          <w:tcPr>
            <w:tcMar>
              <w:top w:w="0" w:type="dxa"/>
              <w:bottom w:w="0" w:type="dxa"/>
            </w:tcMar>
            <w:tcW w:w="1461"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销售收入</w:t>
            </w:r>
            <w:r>
              <w:rPr>
                <w:highlight w:val="white"/>
              </w:rPr>
            </w:r>
            <w:r/>
          </w:p>
        </w:tc>
        <w:tc>
          <w:tcPr>
            <w:gridSpan w:val="2"/>
            <w:tcMar>
              <w:top w:w="0" w:type="dxa"/>
              <w:bottom w:w="0" w:type="dxa"/>
            </w:tcMar>
            <w:tcW w:w="3292" w:type="dxa"/>
            <w:vAlign w:val="center"/>
            <w:textDirection w:val="lrTb"/>
            <w:noWrap w:val="false"/>
          </w:tcPr>
          <w:p>
            <w:pPr>
              <w:pStyle w:val="934"/>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eastAsia="宋体" w:cs="宋体"/>
                <w:color w:val="000000"/>
                <w:sz w:val="21"/>
                <w:highlight w:val="white"/>
              </w:rPr>
              <w:t xml:space="preserve">5</w:t>
            </w:r>
            <w:r>
              <w:rPr>
                <w:rFonts w:ascii="宋体" w:hAnsi="宋体" w:eastAsia="宋体" w:cs="宋体"/>
                <w:color w:val="000000"/>
                <w:sz w:val="21"/>
                <w:highlight w:val="white"/>
              </w:rPr>
              <w:t xml:space="preserve">年万元</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实现利润</w:t>
            </w:r>
            <w:r>
              <w:rPr>
                <w:highlight w:val="white"/>
              </w:rPr>
            </w:r>
            <w:r/>
          </w:p>
        </w:tc>
        <w:tc>
          <w:tcPr>
            <w:tcMar>
              <w:top w:w="0" w:type="dxa"/>
              <w:bottom w:w="0" w:type="dxa"/>
            </w:tcMar>
            <w:tcW w:w="2005"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eastAsia="宋体" w:cs="宋体"/>
                <w:color w:val="000000"/>
                <w:sz w:val="21"/>
                <w:highlight w:val="white"/>
              </w:rPr>
              <w:t xml:space="preserve">5</w:t>
            </w:r>
            <w:r>
              <w:rPr>
                <w:rFonts w:ascii="宋体" w:hAnsi="宋体" w:eastAsia="宋体" w:cs="宋体"/>
                <w:color w:val="000000"/>
                <w:sz w:val="21"/>
                <w:highlight w:val="white"/>
              </w:rPr>
              <w:t xml:space="preserve">年万元</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rHeight w:val="90"/>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营业面积（含厂房面积）</w:t>
            </w:r>
            <w:r>
              <w:rPr>
                <w:highlight w:val="white"/>
              </w:rPr>
            </w:r>
            <w:r/>
          </w:p>
        </w:tc>
        <w:tc>
          <w:tcPr>
            <w:tcMar>
              <w:top w:w="0" w:type="dxa"/>
              <w:bottom w:w="0" w:type="dxa"/>
            </w:tcMar>
            <w:tcW w:w="2005" w:type="dxa"/>
            <w:vAlign w:val="center"/>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平方米</w:t>
            </w:r>
            <w:r>
              <w:rPr>
                <w:highlight w:val="white"/>
              </w:rPr>
            </w:r>
            <w:r/>
          </w:p>
        </w:tc>
        <w:tc>
          <w:tcPr>
            <w:tcMar>
              <w:top w:w="0" w:type="dxa"/>
              <w:bottom w:w="0" w:type="dxa"/>
            </w:tcMar>
            <w:tcW w:w="1461"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其中：</w:t>
            </w:r>
            <w:r>
              <w:rPr>
                <w:highlight w:val="white"/>
              </w:rPr>
            </w:r>
            <w:r/>
          </w:p>
        </w:tc>
        <w:tc>
          <w:tcPr>
            <w:gridSpan w:val="2"/>
            <w:tcMar>
              <w:top w:w="0" w:type="dxa"/>
              <w:bottom w:w="0" w:type="dxa"/>
            </w:tcMar>
            <w:tcW w:w="3292"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自有面积平方米</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承租面积平方米</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单位简历及内设机构情况</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单位优势及特长</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近三年来完成或正在履行的重大合同情况</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最近2年内在经营过程中受到何种奖励或处分（包括稽查情况和结果）</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最近3年内有无因售假、售劣或是其他原因被消费者投诉或起诉的情况及说明（包括解决方式和结果）</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最近3年内主要负责人有无因经济犯罪被司法机关追究的情况及说明</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获得技术认证的工程师及简介</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r>
        <w:trPr>
          <w:trHeight w:val="1196"/>
        </w:trPr>
        <w:tc>
          <w:tcPr>
            <w:tcMar>
              <w:left w:w="108" w:type="dxa"/>
              <w:top w:w="0" w:type="dxa"/>
              <w:right w:w="108" w:type="dxa"/>
              <w:bottom w:w="0" w:type="dxa"/>
            </w:tcMar>
            <w:tcW w:w="2510"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其他需要说明的情况</w:t>
            </w:r>
            <w:r>
              <w:rPr>
                <w:highlight w:val="white"/>
              </w:rPr>
            </w:r>
            <w:r/>
          </w:p>
        </w:tc>
        <w:tc>
          <w:tcPr>
            <w:gridSpan w:val="4"/>
            <w:tcMar>
              <w:top w:w="0" w:type="dxa"/>
              <w:bottom w:w="0" w:type="dxa"/>
            </w:tcMar>
            <w:tcW w:w="6758" w:type="dxa"/>
            <w:vAlign w:val="top"/>
            <w:textDirection w:val="lrTb"/>
            <w:noWrap w:val="false"/>
          </w:tcPr>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r>
    </w:tbl>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pStyle w:val="934"/>
        <w:jc w:val="left"/>
        <w:spacing w:line="360" w:lineRule="auto"/>
        <w:rPr>
          <w:rFonts w:ascii="宋体" w:hAnsi="宋体" w:eastAsia="宋体" w:cs="宋体"/>
          <w:b/>
          <w:sz w:val="24"/>
          <w:szCs w:val="24"/>
          <w:shd w:val="clear" w:color="auto" w:fill="ffffff"/>
        </w:rPr>
      </w:pPr>
      <w:r>
        <w:rPr>
          <w:highlight w:val="white"/>
        </w:rPr>
        <w:br w:type="page" w:clear="all"/>
      </w:r>
      <w:r>
        <w:rPr>
          <w:rFonts w:ascii="宋体" w:hAnsi="宋体" w:eastAsia="宋体" w:cs="宋体"/>
          <w:b/>
          <w:color w:val="000000"/>
          <w:sz w:val="24"/>
          <w:highlight w:val="white"/>
        </w:rPr>
        <w:t xml:space="preserve">(</w:t>
      </w:r>
      <w:r>
        <w:rPr>
          <w:rFonts w:hint="eastAsia" w:ascii="宋体" w:hAnsi="宋体" w:eastAsia="宋体" w:cs="宋体"/>
          <w:b/>
          <w:color w:val="000000"/>
          <w:sz w:val="24"/>
          <w:highlight w:val="white"/>
        </w:rPr>
        <w:t xml:space="preserve">3</w:t>
      </w:r>
      <w:r>
        <w:rPr>
          <w:rFonts w:ascii="宋体" w:hAnsi="宋体" w:eastAsia="宋体" w:cs="宋体"/>
          <w:b/>
          <w:color w:val="000000"/>
          <w:sz w:val="24"/>
          <w:highlight w:val="white"/>
        </w:rPr>
        <w:t xml:space="preserve">)</w:t>
      </w:r>
      <w:r>
        <w:rPr>
          <w:rFonts w:hint="eastAsia" w:ascii="宋体" w:hAnsi="宋体" w:eastAsia="宋体" w:cs="宋体"/>
          <w:b/>
          <w:sz w:val="24"/>
          <w:szCs w:val="24"/>
          <w:shd w:val="clear" w:color="auto" w:fill="ffffff"/>
        </w:rPr>
        <w:t xml:space="preserve">参加政府采购活动前三年内，在经营活动中没有重大违法记录声明</w:t>
      </w:r>
      <w:r>
        <w:rPr>
          <w:rFonts w:ascii="宋体" w:hAnsi="宋体" w:eastAsia="宋体" w:cs="宋体"/>
          <w:b/>
          <w:sz w:val="24"/>
          <w:szCs w:val="24"/>
          <w:shd w:val="clear" w:color="auto" w:fill="ffffff"/>
        </w:rPr>
      </w:r>
      <w:r/>
    </w:p>
    <w:p>
      <w:pPr>
        <w:pStyle w:val="934"/>
        <w:ind w:right="-289"/>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参加政府采购活动前三年内，在经营活动中没有重大违法记录声明</w:t>
      </w:r>
      <w:r>
        <w:rPr>
          <w:rFonts w:hint="eastAsia" w:ascii="宋体" w:hAnsi="宋体" w:eastAsia="宋体" w:cs="宋体"/>
          <w:b/>
          <w:color w:val="000000"/>
          <w:sz w:val="32"/>
          <w:szCs w:val="32"/>
          <w:highlight w:val="white"/>
        </w:rPr>
      </w:r>
      <w:r/>
    </w:p>
    <w:p>
      <w:pPr>
        <w:pStyle w:val="934"/>
        <w:spacing w:line="360" w:lineRule="auto"/>
        <w:rPr>
          <w:rFonts w:ascii="宋体" w:hAnsi="宋体" w:eastAsia="宋体" w:cs="宋体"/>
          <w:sz w:val="24"/>
          <w:szCs w:val="24"/>
        </w:rPr>
      </w:pPr>
      <w:r>
        <w:rPr>
          <w:rFonts w:ascii="宋体" w:hAnsi="宋体" w:eastAsia="宋体" w:cs="宋体"/>
          <w:sz w:val="24"/>
          <w:szCs w:val="24"/>
        </w:rPr>
      </w:r>
      <w:r/>
    </w:p>
    <w:p>
      <w:pPr>
        <w:pStyle w:val="934"/>
        <w:spacing w:line="360" w:lineRule="auto"/>
        <w:rPr>
          <w:rFonts w:ascii="宋体" w:hAnsi="宋体" w:eastAsia="宋体" w:cs="宋体"/>
          <w:sz w:val="24"/>
          <w:szCs w:val="24"/>
        </w:rPr>
      </w:pPr>
      <w:r/>
      <w:bookmarkStart w:id="18" w:name="OLE_LINK18"/>
      <w:r/>
      <w:bookmarkStart w:id="19" w:name="OLE_LINK20"/>
      <w:r/>
      <w:bookmarkStart w:id="20" w:name="OLE_LINK19"/>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rPr>
        <w:t xml:space="preserve">：</w:t>
      </w:r>
      <w:r>
        <w:rPr>
          <w:rFonts w:ascii="宋体" w:hAnsi="宋体" w:eastAsia="宋体" w:cs="宋体"/>
          <w:sz w:val="24"/>
          <w:szCs w:val="24"/>
        </w:rPr>
      </w:r>
      <w:r/>
    </w:p>
    <w:p>
      <w:pPr>
        <w:pStyle w:val="934"/>
        <w:spacing w:line="360" w:lineRule="auto"/>
        <w:rPr>
          <w:rFonts w:ascii="宋体" w:hAnsi="宋体" w:eastAsia="宋体" w:cs="宋体"/>
          <w:sz w:val="24"/>
          <w:szCs w:val="24"/>
          <w:u w:val="single"/>
        </w:rPr>
      </w:pPr>
      <w:r/>
      <w:bookmarkEnd w:id="18"/>
      <w:r/>
      <w:bookmarkEnd w:id="19"/>
      <w:r/>
      <w:bookmarkEnd w:id="20"/>
      <w:r>
        <w:rPr>
          <w:rFonts w:ascii="宋体" w:hAnsi="宋体" w:eastAsia="宋体" w:cs="宋体"/>
          <w:sz w:val="24"/>
          <w:szCs w:val="24"/>
          <w:u w:val="single"/>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rPr>
          <w:rFonts w:ascii="宋体" w:hAnsi="宋体" w:eastAsia="宋体" w:cs="宋体"/>
          <w:sz w:val="24"/>
          <w:szCs w:val="24"/>
        </w:rPr>
      </w:r>
      <w:r/>
    </w:p>
    <w:p>
      <w:pPr>
        <w:pStyle w:val="9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若采购代理机构在本项目采购过程中发现本公司近三年内在经营活动中有重大违法记录，本公司将无条件退出本项目的投标，并承担因此引起的一切后果。</w:t>
      </w:r>
      <w:r>
        <w:rPr>
          <w:rFonts w:ascii="宋体" w:hAnsi="宋体" w:eastAsia="宋体" w:cs="宋体"/>
          <w:sz w:val="24"/>
          <w:szCs w:val="24"/>
        </w:rPr>
      </w:r>
      <w:r/>
    </w:p>
    <w:p>
      <w:pPr>
        <w:pStyle w:val="934"/>
        <w:ind w:left="420" w:firstLine="480"/>
        <w:spacing w:after="120"/>
        <w:rPr>
          <w:rFonts w:ascii="宋体" w:hAnsi="宋体" w:eastAsia="宋体" w:cs="宋体"/>
          <w:sz w:val="24"/>
          <w:szCs w:val="24"/>
        </w:rPr>
      </w:pPr>
      <w:r>
        <w:rPr>
          <w:rFonts w:ascii="宋体" w:hAnsi="宋体" w:eastAsia="宋体" w:cs="宋体"/>
          <w:sz w:val="24"/>
          <w:szCs w:val="24"/>
        </w:rPr>
      </w:r>
      <w:r/>
    </w:p>
    <w:p>
      <w:pPr>
        <w:pStyle w:val="934"/>
        <w:ind w:right="105" w:firstLine="45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spacing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spacing w:after="120"/>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after="12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pStyle w:val="934"/>
        <w:jc w:val="left"/>
        <w:spacing w:line="360" w:lineRule="auto"/>
        <w:rPr>
          <w:rFonts w:ascii="宋体" w:hAnsi="宋体" w:eastAsia="宋体" w:cs="宋体"/>
          <w:b/>
          <w:color w:val="000000"/>
          <w:sz w:val="24"/>
          <w:highlight w:val="white"/>
        </w:rPr>
      </w:pPr>
      <w:r>
        <w:rPr>
          <w:rFonts w:hint="eastAsia" w:ascii="宋体" w:hAnsi="宋体" w:eastAsia="宋体" w:cs="宋体"/>
          <w:color w:val="000000"/>
          <w:sz w:val="24"/>
          <w:highlight w:val="white"/>
        </w:rPr>
        <w:br w:type="page" w:clear="all"/>
      </w:r>
      <w:r>
        <w:rPr>
          <w:rFonts w:hint="eastAsia" w:ascii="宋体" w:hAnsi="宋体" w:eastAsia="宋体" w:cs="宋体"/>
          <w:b/>
          <w:color w:val="000000"/>
          <w:sz w:val="24"/>
          <w:highlight w:val="white"/>
        </w:rPr>
        <w:t xml:space="preserve">（4）关于无法提供所有者权益变动表的书面说明</w:t>
      </w:r>
      <w:r>
        <w:rPr>
          <w:rFonts w:ascii="宋体" w:hAnsi="宋体" w:eastAsia="宋体" w:cs="宋体"/>
          <w:b/>
          <w:color w:val="000000"/>
          <w:sz w:val="24"/>
          <w:highlight w:val="white"/>
        </w:rPr>
      </w:r>
      <w:r/>
    </w:p>
    <w:p>
      <w:pPr>
        <w:pStyle w:val="934"/>
        <w:ind w:right="-289"/>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关于无法提供所有者权益变动表的书面说明</w:t>
      </w:r>
      <w:r>
        <w:rPr>
          <w:rFonts w:hint="eastAsia" w:ascii="宋体" w:hAnsi="宋体" w:eastAsia="宋体" w:cs="宋体"/>
          <w:b/>
          <w:color w:val="000000"/>
          <w:sz w:val="32"/>
          <w:szCs w:val="32"/>
          <w:highlight w:val="white"/>
        </w:rPr>
      </w:r>
      <w:r/>
    </w:p>
    <w:p>
      <w:pPr>
        <w:pStyle w:val="934"/>
        <w:spacing w:line="360" w:lineRule="auto"/>
        <w:rPr>
          <w:rFonts w:hint="eastAsia" w:ascii="宋体" w:hAnsi="宋体" w:eastAsia="宋体" w:cs="宋体"/>
          <w:b/>
          <w:bCs/>
          <w:color w:val="ff0000"/>
          <w:sz w:val="24"/>
          <w:szCs w:val="24"/>
          <w:u w:val="single"/>
          <w:shd w:val="clear" w:color="auto" w:fill="ffffff"/>
        </w:rPr>
      </w:pPr>
      <w:r>
        <w:rPr>
          <w:rFonts w:hint="eastAsia" w:ascii="宋体" w:hAnsi="宋体" w:eastAsia="宋体" w:cs="宋体"/>
          <w:b/>
          <w:bCs/>
          <w:color w:val="ff0000"/>
          <w:sz w:val="24"/>
          <w:szCs w:val="24"/>
          <w:u w:val="single"/>
          <w:shd w:val="clear" w:color="auto" w:fill="ffffff"/>
        </w:rPr>
      </w:r>
      <w:r/>
    </w:p>
    <w:p>
      <w:pPr>
        <w:pStyle w:val="934"/>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苏州华星工程造价咨询有限公司：</w:t>
      </w:r>
      <w:r>
        <w:rPr>
          <w:rFonts w:hint="eastAsia" w:ascii="宋体" w:hAnsi="宋体" w:eastAsia="宋体" w:cs="宋体"/>
          <w:b/>
          <w:bCs/>
          <w:sz w:val="24"/>
          <w:szCs w:val="24"/>
          <w:u w:val="single"/>
          <w:shd w:val="clear" w:color="auto" w:fill="ffffff"/>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我方已收到贵方号采购文件，经仔细阅读与研究，现就其中关于提供所有者权益变动表的要求说明如下：</w:t>
      </w:r>
      <w:r>
        <w:rPr>
          <w:rFonts w:hint="eastAsia"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我方系执行《小企业会计准则》的小微企业。根据该准则及有关规定，我司无需编制和提供所有者权益变动表。</w:t>
      </w:r>
      <w:r>
        <w:rPr>
          <w:rFonts w:hint="eastAsia" w:ascii="宋体" w:hAnsi="宋体" w:eastAsia="宋体" w:cs="宋体"/>
          <w:sz w:val="24"/>
          <w:szCs w:val="24"/>
        </w:rPr>
      </w:r>
      <w:r/>
    </w:p>
    <w:p>
      <w:pPr>
        <w:pStyle w:val="9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以上特此说明。</w:t>
      </w:r>
      <w:r>
        <w:rPr>
          <w:rFonts w:hint="eastAsia" w:ascii="宋体" w:hAnsi="宋体" w:eastAsia="宋体" w:cs="宋体"/>
          <w:sz w:val="24"/>
          <w:szCs w:val="24"/>
        </w:rPr>
      </w:r>
      <w:r/>
    </w:p>
    <w:p>
      <w:pPr>
        <w:pStyle w:val="934"/>
        <w:spacing w:line="360" w:lineRule="auto"/>
        <w:rPr>
          <w:rFonts w:ascii="宋体" w:hAnsi="宋体" w:eastAsia="宋体"/>
          <w:color w:val="ff0000"/>
          <w:sz w:val="32"/>
          <w:szCs w:val="32"/>
          <w:shd w:val="clear" w:color="auto" w:fill="ffffff"/>
        </w:rPr>
      </w:pPr>
      <w:r>
        <w:rPr>
          <w:rFonts w:ascii="宋体" w:hAnsi="宋体" w:eastAsia="宋体"/>
          <w:color w:val="ff0000"/>
          <w:sz w:val="32"/>
          <w:szCs w:val="32"/>
          <w:shd w:val="clear" w:color="auto" w:fill="ffffff"/>
        </w:rPr>
      </w:r>
      <w:r/>
    </w:p>
    <w:p>
      <w:pPr>
        <w:pStyle w:val="934"/>
        <w:spacing w:line="360" w:lineRule="auto"/>
        <w:rPr>
          <w:rFonts w:ascii="宋体" w:hAnsi="宋体" w:eastAsia="宋体"/>
          <w:color w:val="ff0000"/>
          <w:sz w:val="32"/>
          <w:szCs w:val="32"/>
          <w:shd w:val="clear" w:color="auto" w:fill="ffffff"/>
        </w:rPr>
      </w:pPr>
      <w:r>
        <w:rPr>
          <w:rFonts w:ascii="宋体" w:hAnsi="宋体" w:eastAsia="宋体"/>
          <w:color w:val="ff0000"/>
          <w:sz w:val="32"/>
          <w:szCs w:val="32"/>
          <w:shd w:val="clear" w:color="auto" w:fill="ffffff"/>
        </w:rPr>
      </w:r>
      <w:r/>
    </w:p>
    <w:p>
      <w:pPr>
        <w:pStyle w:val="934"/>
        <w:ind w:right="105" w:firstLine="4502"/>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34"/>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34"/>
        <w:ind w:firstLine="480"/>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pStyle w:val="934"/>
        <w:spacing w:line="360" w:lineRule="auto"/>
        <w:rPr>
          <w:rFonts w:hint="eastAsia" w:ascii="宋体" w:hAnsi="宋体" w:eastAsia="宋体" w:cs="宋体"/>
          <w:b/>
          <w:color w:val="000000"/>
          <w:sz w:val="24"/>
          <w:highlight w:val="white"/>
        </w:rPr>
        <w:outlineLvl w:val="1"/>
      </w:pPr>
      <w:r>
        <w:rPr>
          <w:rFonts w:hint="eastAsia" w:ascii="宋体" w:hAnsi="宋体" w:eastAsia="宋体" w:cs="宋体"/>
          <w:b/>
          <w:color w:val="000000"/>
          <w:sz w:val="24"/>
          <w:highlight w:val="white"/>
        </w:rPr>
        <w:br w:type="page" w:clear="all"/>
      </w:r>
      <w:bookmarkStart w:id="21" w:name="_Toc18713"/>
      <w:r>
        <w:rPr>
          <w:rFonts w:hint="eastAsia" w:ascii="宋体" w:hAnsi="宋体" w:eastAsia="宋体" w:cs="宋体"/>
          <w:b/>
          <w:color w:val="000000"/>
          <w:sz w:val="24"/>
          <w:highlight w:val="white"/>
        </w:rPr>
        <w:t xml:space="preserve">15、供应商与其他单位存在直接控股、管理关系情况表</w:t>
      </w:r>
      <w:bookmarkEnd w:id="21"/>
      <w:r>
        <w:rPr>
          <w:rFonts w:hint="eastAsia" w:ascii="宋体" w:hAnsi="宋体" w:eastAsia="宋体" w:cs="宋体"/>
          <w:b/>
          <w:color w:val="000000"/>
          <w:sz w:val="24"/>
          <w:highlight w:val="white"/>
        </w:rPr>
      </w:r>
      <w:r/>
    </w:p>
    <w:p>
      <w:pPr>
        <w:pStyle w:val="934"/>
        <w:ind w:left="420"/>
        <w:jc w:val="center"/>
        <w:spacing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pStyle w:val="934"/>
        <w:jc w:val="center"/>
        <w:spacing w:before="120" w:line="360" w:lineRule="auto"/>
        <w:rPr>
          <w:rFonts w:hint="eastAsia" w:ascii="宋体" w:hAnsi="宋体" w:eastAsia="宋体" w:cs="宋体"/>
          <w:b/>
          <w:color w:val="000000"/>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white"/>
        </w:rPr>
        <w:t xml:space="preserve">供应商与其他单位存在直接控股、管理关系情况表</w:t>
      </w:r>
      <w:r>
        <w:rPr>
          <w:rFonts w:hint="eastAsia" w:ascii="宋体" w:hAnsi="宋体" w:eastAsia="宋体" w:cs="宋体"/>
          <w:b/>
          <w:color w:val="000000"/>
          <w:sz w:val="32"/>
          <w:szCs w:val="32"/>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67"/>
        <w:gridCol w:w="1303"/>
        <w:gridCol w:w="1290"/>
        <w:gridCol w:w="1188"/>
        <w:gridCol w:w="1440"/>
        <w:gridCol w:w="1163"/>
      </w:tblGrid>
      <w:tr>
        <w:trPr>
          <w:trHeight w:val="766"/>
        </w:trPr>
        <w:tc>
          <w:tcPr>
            <w:gridSpan w:val="4"/>
            <w:tcW w:w="5496" w:type="dxa"/>
            <w:vAlign w:val="center"/>
            <w:textDirection w:val="lrTb"/>
            <w:noWrap w:val="false"/>
          </w:tcPr>
          <w:p>
            <w:pPr>
              <w:pStyle w:val="934"/>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与供应商存在直接股权关系</w:t>
            </w:r>
            <w:r>
              <w:rPr>
                <w:rFonts w:ascii="宋体" w:hAnsi="宋体" w:eastAsia="宋体"/>
                <w:b/>
                <w:szCs w:val="21"/>
                <w:shd w:val="clear" w:color="auto" w:fill="ffffff"/>
              </w:rPr>
            </w:r>
            <w:r/>
          </w:p>
        </w:tc>
        <w:tc>
          <w:tcPr>
            <w:gridSpan w:val="3"/>
            <w:tcW w:w="3791" w:type="dxa"/>
            <w:vAlign w:val="center"/>
            <w:textDirection w:val="lrTb"/>
            <w:noWrap w:val="false"/>
          </w:tcPr>
          <w:p>
            <w:pPr>
              <w:pStyle w:val="934"/>
              <w:jc w:val="center"/>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与供应商存在直接管理关系</w:t>
            </w:r>
            <w:r>
              <w:rPr>
                <w:rFonts w:ascii="宋体" w:hAnsi="宋体" w:eastAsia="宋体"/>
                <w:b/>
                <w:szCs w:val="21"/>
                <w:shd w:val="clear" w:color="auto" w:fill="ffffff"/>
              </w:rPr>
            </w:r>
            <w:r/>
          </w:p>
        </w:tc>
      </w:tr>
      <w:tr>
        <w:trPr>
          <w:trHeight w:val="991"/>
        </w:trPr>
        <w:tc>
          <w:tcPr>
            <w:tcW w:w="1436"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单位名称</w:t>
            </w:r>
            <w:r>
              <w:rPr>
                <w:rFonts w:ascii="宋体" w:hAnsi="宋体" w:eastAsia="宋体"/>
                <w:b/>
                <w:sz w:val="18"/>
                <w:szCs w:val="18"/>
                <w:shd w:val="clear" w:color="auto" w:fill="ffffff"/>
              </w:rPr>
            </w:r>
            <w:r/>
          </w:p>
        </w:tc>
        <w:tc>
          <w:tcPr>
            <w:tcW w:w="1467"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是否为大型企业</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303"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是否直接控股</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290"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直接控股关系情况说明（持股比例等）</w:t>
            </w:r>
            <w:r>
              <w:rPr>
                <w:rFonts w:ascii="宋体" w:hAnsi="宋体" w:eastAsia="宋体"/>
                <w:b/>
                <w:sz w:val="18"/>
                <w:szCs w:val="18"/>
                <w:shd w:val="clear" w:color="auto" w:fill="ffffff"/>
              </w:rPr>
            </w:r>
            <w:r/>
          </w:p>
        </w:tc>
        <w:tc>
          <w:tcPr>
            <w:tcW w:w="1188"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单位名称</w:t>
            </w:r>
            <w:r>
              <w:rPr>
                <w:rFonts w:ascii="宋体" w:hAnsi="宋体" w:eastAsia="宋体"/>
                <w:b/>
                <w:sz w:val="18"/>
                <w:szCs w:val="18"/>
                <w:shd w:val="clear" w:color="auto" w:fill="ffffff"/>
              </w:rPr>
            </w:r>
            <w:r/>
          </w:p>
        </w:tc>
        <w:tc>
          <w:tcPr>
            <w:tcW w:w="1440"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是否为大型企业</w:t>
            </w:r>
            <w:r>
              <w:rPr>
                <w:rFonts w:ascii="宋体" w:hAnsi="宋体" w:eastAsia="宋体"/>
                <w:b/>
                <w:sz w:val="18"/>
                <w:szCs w:val="18"/>
                <w:shd w:val="clear" w:color="auto" w:fill="ffffff"/>
              </w:rPr>
            </w:r>
            <w:r/>
          </w:p>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rPr>
                <w:rFonts w:ascii="宋体" w:hAnsi="宋体" w:eastAsia="宋体"/>
                <w:b/>
                <w:sz w:val="18"/>
                <w:szCs w:val="18"/>
                <w:shd w:val="clear" w:color="auto" w:fill="ffffff"/>
              </w:rPr>
            </w:r>
            <w:r/>
          </w:p>
        </w:tc>
        <w:tc>
          <w:tcPr>
            <w:tcW w:w="1163" w:type="dxa"/>
            <w:vAlign w:val="center"/>
            <w:textDirection w:val="lrTb"/>
            <w:noWrap w:val="false"/>
          </w:tcPr>
          <w:p>
            <w:pPr>
              <w:pStyle w:val="934"/>
              <w:jc w:val="center"/>
              <w:widowControl/>
              <w:rPr>
                <w:rFonts w:ascii="宋体" w:hAnsi="宋体" w:eastAsia="宋体"/>
                <w:b/>
                <w:sz w:val="18"/>
                <w:szCs w:val="18"/>
                <w:shd w:val="clear" w:color="auto" w:fill="ffffff"/>
              </w:rPr>
            </w:pPr>
            <w:r>
              <w:rPr>
                <w:rFonts w:hint="eastAsia" w:ascii="宋体" w:hAnsi="宋体" w:eastAsia="宋体"/>
                <w:b/>
                <w:sz w:val="18"/>
                <w:szCs w:val="18"/>
                <w:shd w:val="clear" w:color="auto" w:fill="ffffff"/>
              </w:rPr>
              <w:t xml:space="preserve">直接管理关系情况说明</w:t>
            </w:r>
            <w:r>
              <w:rPr>
                <w:rFonts w:ascii="宋体" w:hAnsi="宋体" w:eastAsia="宋体"/>
                <w:b/>
                <w:sz w:val="18"/>
                <w:szCs w:val="18"/>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r>
        <w:trPr>
          <w:trHeight w:val="850"/>
        </w:trPr>
        <w:tc>
          <w:tcPr>
            <w:tcW w:w="1436"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67"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30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29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88"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440"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c>
          <w:tcPr>
            <w:tcW w:w="1163" w:type="dxa"/>
            <w:vAlign w:val="center"/>
            <w:textDirection w:val="lrTb"/>
            <w:noWrap w:val="false"/>
          </w:tcPr>
          <w:p>
            <w:pPr>
              <w:pStyle w:val="934"/>
              <w:jc w:val="center"/>
              <w:widowControl/>
              <w:rPr>
                <w:rFonts w:ascii="宋体" w:hAnsi="宋体" w:eastAsia="宋体"/>
                <w:b/>
                <w:szCs w:val="21"/>
                <w:shd w:val="clear" w:color="auto" w:fill="ffffff"/>
              </w:rPr>
            </w:pPr>
            <w:r>
              <w:rPr>
                <w:rFonts w:ascii="宋体" w:hAnsi="宋体" w:eastAsia="宋体"/>
                <w:b/>
                <w:szCs w:val="21"/>
                <w:shd w:val="clear" w:color="auto" w:fill="ffffff"/>
              </w:rPr>
            </w:r>
            <w:r/>
          </w:p>
        </w:tc>
      </w:tr>
    </w:tbl>
    <w:p>
      <w:pPr>
        <w:pStyle w:val="934"/>
        <w:ind w:firstLine="566"/>
        <w:spacing w:line="360" w:lineRule="auto"/>
        <w:rPr>
          <w:rFonts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注：1、本表仅须填写与供应商存在直接股权、管理关系的企业情况。供应商应按上表要求据实填写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如填写“无”或不填写，均视为供应商声明不存在有关情形。</w:t>
      </w:r>
      <w:r>
        <w:rPr>
          <w:rFonts w:ascii="宋体" w:hAnsi="宋体" w:eastAsia="宋体"/>
          <w:b/>
          <w:sz w:val="24"/>
          <w:szCs w:val="24"/>
          <w:shd w:val="clear" w:color="auto" w:fill="ffffff"/>
        </w:rPr>
      </w:r>
      <w:r/>
    </w:p>
    <w:p>
      <w:pPr>
        <w:pStyle w:val="966"/>
        <w:ind w:left="0" w:firstLine="613"/>
        <w:spacing w:line="360" w:lineRule="auto"/>
      </w:pPr>
      <w:r>
        <w:rPr>
          <w:rFonts w:hint="eastAsia" w:ascii="宋体" w:hAnsi="宋体" w:eastAsia="宋体"/>
          <w:b/>
          <w:szCs w:val="24"/>
          <w:shd w:val="clear" w:color="auto" w:fill="ffffff"/>
        </w:rPr>
        <w:t xml:space="preserve">2、其中“直接控股”是指供应商与大型企业之间存在直接投资并控股（非普通持股）的关系。</w:t>
      </w:r>
      <w:r/>
    </w:p>
    <w:p>
      <w:pPr>
        <w:pStyle w:val="934"/>
        <w:ind w:firstLine="482"/>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rPr>
          <w:highlight w:val="white"/>
        </w:rPr>
      </w:r>
      <w:r/>
    </w:p>
    <w:p>
      <w:pPr>
        <w:pStyle w:val="934"/>
        <w:ind w:right="105" w:firstLine="4505"/>
        <w:spacing w:line="360" w:lineRule="auto"/>
        <w:rPr>
          <w:rFonts w:ascii="宋体" w:hAnsi="宋体" w:eastAsia="宋体" w:cs="宋体"/>
          <w:sz w:val="24"/>
          <w:szCs w:val="24"/>
        </w:rPr>
      </w:pPr>
      <w:r>
        <w:rPr>
          <w:rFonts w:eastAsia="Times New Roman"/>
          <w:b/>
          <w:color w:val="000000"/>
          <w:sz w:val="24"/>
          <w:highlight w:val="white"/>
        </w:rPr>
        <w:t xml:space="preserve"> </w:t>
      </w:r>
      <w:r>
        <w:rPr>
          <w:rFonts w:hint="eastAsia" w:ascii="宋体" w:hAnsi="宋体" w:eastAsia="宋体" w:cs="宋体"/>
          <w:sz w:val="24"/>
          <w:szCs w:val="24"/>
        </w:rPr>
        <w:t xml:space="preserve">供应商名称：（加盖CA电子公章）</w:t>
      </w:r>
      <w:r>
        <w:rPr>
          <w:rFonts w:ascii="宋体" w:hAnsi="宋体" w:eastAsia="宋体" w:cs="宋体"/>
          <w:sz w:val="24"/>
          <w:szCs w:val="24"/>
        </w:rPr>
      </w:r>
      <w:r/>
    </w:p>
    <w:p>
      <w:pPr>
        <w:pStyle w:val="934"/>
        <w:ind w:right="420" w:firstLine="4502"/>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Pr>
          <w:rFonts w:ascii="宋体" w:hAnsi="宋体" w:eastAsia="宋体" w:cs="宋体"/>
          <w:sz w:val="24"/>
          <w:szCs w:val="24"/>
        </w:rPr>
      </w:r>
      <w:r/>
    </w:p>
    <w:p>
      <w:pPr>
        <w:pStyle w:val="934"/>
        <w:ind w:right="1560" w:firstLine="480"/>
        <w:jc w:val="right"/>
        <w:spacing w:line="85"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spacing w:line="360" w:lineRule="auto"/>
        <w:rPr>
          <w:rFonts w:ascii="宋体" w:hAnsi="宋体" w:eastAsia="宋体" w:cs="宋体"/>
          <w:b/>
          <w:color w:val="000000"/>
          <w:sz w:val="24"/>
          <w:highlight w:val="white"/>
          <w:lang w:val="en-US" w:eastAsia="zh-CN"/>
        </w:rPr>
        <w:outlineLvl w:val="1"/>
      </w:pPr>
      <w:r>
        <w:rPr>
          <w:highlight w:val="white"/>
        </w:rPr>
        <w:br w:type="page" w:clear="all"/>
      </w:r>
      <w:bookmarkStart w:id="22" w:name="_Toc7049"/>
      <w:r>
        <w:rPr>
          <w:rFonts w:hint="eastAsia" w:ascii="宋体" w:hAnsi="宋体" w:eastAsia="宋体" w:cs="宋体"/>
          <w:b/>
          <w:color w:val="000000"/>
          <w:sz w:val="24"/>
          <w:highlight w:val="white"/>
        </w:rPr>
        <w:t xml:space="preserve">1</w:t>
      </w:r>
      <w:r>
        <w:rPr>
          <w:rFonts w:hint="eastAsia" w:ascii="宋体" w:hAnsi="宋体" w:eastAsia="宋体" w:cs="宋体"/>
          <w:b/>
          <w:color w:val="000000"/>
          <w:sz w:val="24"/>
          <w:highlight w:val="white"/>
          <w:lang w:val="en-US" w:eastAsia="zh-CN"/>
        </w:rPr>
        <w:t xml:space="preserve">6</w:t>
      </w:r>
      <w:r>
        <w:rPr>
          <w:rFonts w:hint="eastAsia" w:ascii="宋体" w:hAnsi="宋体" w:eastAsia="宋体" w:cs="宋体"/>
          <w:b/>
          <w:color w:val="000000"/>
          <w:sz w:val="24"/>
          <w:highlight w:val="white"/>
        </w:rPr>
        <w:t xml:space="preserve">、</w:t>
      </w:r>
      <w:r>
        <w:rPr>
          <w:rFonts w:hint="eastAsia" w:ascii="宋体" w:hAnsi="宋体" w:eastAsia="宋体" w:cs="宋体"/>
          <w:b/>
          <w:color w:val="000000"/>
          <w:sz w:val="24"/>
          <w:highlight w:val="white"/>
          <w:lang w:val="en-US" w:eastAsia="zh-CN"/>
        </w:rPr>
        <w:t xml:space="preserve">响应保证承诺书</w:t>
      </w:r>
      <w:bookmarkEnd w:id="22"/>
      <w:r>
        <w:rPr>
          <w:rFonts w:ascii="宋体" w:hAnsi="宋体" w:eastAsia="宋体" w:cs="宋体"/>
          <w:b/>
          <w:color w:val="000000"/>
          <w:sz w:val="24"/>
          <w:highlight w:val="white"/>
          <w:lang w:val="en-US" w:eastAsia="zh-CN"/>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4"/>
        <w:jc w:val="center"/>
        <w:spacing w:after="156" w:line="360" w:lineRule="auto"/>
        <w:rPr>
          <w:rFonts w:ascii="黑体" w:hAnsi="Times New Roman" w:eastAsia="黑体" w:cs="Times New Roman"/>
          <w:b/>
          <w:color w:val="000000"/>
          <w:sz w:val="32"/>
          <w:szCs w:val="32"/>
          <w:highlight w:val="none"/>
          <w:lang w:val="en-US" w:eastAsia="zh-CN" w:bidi="ar-SA"/>
        </w:rPr>
      </w:pPr>
      <w:r>
        <w:rPr>
          <w:rFonts w:hint="eastAsia" w:ascii="黑体" w:hAnsi="Times New Roman" w:eastAsia="黑体" w:cs="Times New Roman"/>
          <w:b/>
          <w:color w:val="000000"/>
          <w:sz w:val="32"/>
          <w:szCs w:val="32"/>
          <w:highlight w:val="none"/>
          <w:lang w:val="en-US" w:eastAsia="zh-CN" w:bidi="ar-SA"/>
        </w:rPr>
        <w:t xml:space="preserve">响应保证承诺书</w:t>
      </w:r>
      <w:r>
        <w:rPr>
          <w:rFonts w:ascii="黑体" w:hAnsi="Times New Roman" w:eastAsia="黑体" w:cs="Times New Roman"/>
          <w:b/>
          <w:color w:val="000000"/>
          <w:sz w:val="32"/>
          <w:szCs w:val="32"/>
          <w:highlight w:val="none"/>
          <w:lang w:val="en-US" w:eastAsia="zh-CN" w:bidi="ar-SA"/>
        </w:rPr>
      </w:r>
      <w:r/>
    </w:p>
    <w:p>
      <w:pPr>
        <w:pStyle w:val="934"/>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致：</w:t>
      </w:r>
      <w:r>
        <w:rPr>
          <w:rFonts w:hint="eastAsia" w:ascii="宋体" w:hAnsi="宋体" w:eastAsia="宋体" w:cs="Times New Roman"/>
          <w:color w:val="000000"/>
          <w:sz w:val="24"/>
          <w:highlight w:val="none"/>
          <w:u w:val="single"/>
          <w:lang w:val="en-US" w:eastAsia="zh-CN" w:bidi="ar-SA"/>
        </w:rPr>
        <w:t xml:space="preserve"> 苏州华星工程造价咨询有限公司 </w:t>
      </w:r>
      <w:r>
        <w:rPr>
          <w:rFonts w:hint="eastAsia" w:ascii="宋体" w:hAnsi="宋体" w:eastAsia="宋体" w:cs="Times New Roman"/>
          <w:color w:val="000000"/>
          <w:sz w:val="24"/>
          <w:highlight w:val="none"/>
          <w:lang w:val="en-US" w:eastAsia="zh-CN" w:bidi="ar-SA"/>
        </w:rPr>
      </w:r>
      <w:r/>
    </w:p>
    <w:p>
      <w:pPr>
        <w:pStyle w:val="934"/>
        <w:ind w:firstLine="60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我（单位/本人，以下统称我单位）自愿参加</w:t>
      </w:r>
      <w:r>
        <w:rPr>
          <w:rFonts w:hint="eastAsia" w:ascii="宋体" w:hAnsi="宋体" w:eastAsia="宋体" w:cs="Times New Roman"/>
          <w:color w:val="000000"/>
          <w:sz w:val="24"/>
          <w:highlight w:val="none"/>
          <w:u w:val="single"/>
          <w:lang w:val="en-US" w:eastAsia="zh-CN" w:bidi="ar-SA"/>
        </w:rPr>
        <w:t xml:space="preserve"> 苏州工业园区综合行政执法局关于2026年园区绿化养护应急服务（JSZC-320591-HXZJ-T2026-0012）</w:t>
      </w:r>
      <w:r>
        <w:rPr>
          <w:rFonts w:hint="eastAsia" w:ascii="宋体" w:hAnsi="宋体" w:eastAsia="宋体" w:cs="Times New Roman"/>
          <w:color w:val="000000"/>
          <w:sz w:val="24"/>
          <w:highlight w:val="none"/>
          <w:lang w:val="en-US" w:eastAsia="zh-CN" w:bidi="ar-SA"/>
        </w:rPr>
        <w:t xml:space="preserve">的谈判,并做出如下承诺：</w:t>
      </w:r>
      <w:r>
        <w:rPr>
          <w:rFonts w:hint="eastAsia" w:ascii="宋体" w:hAnsi="宋体" w:eastAsia="宋体" w:cs="Times New Roman"/>
          <w:color w:val="000000"/>
          <w:sz w:val="24"/>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一、除不可抗力外，我单位如果发生以下行为，将在行为发生的10个工作日内，向贵方</w:t>
      </w:r>
      <w:r>
        <w:rPr>
          <w:rFonts w:hint="eastAsia" w:ascii="Times New Roman" w:hAnsi="Times New Roman" w:eastAsia="宋体" w:cs="Times New Roman"/>
          <w:color w:val="000000"/>
          <w:sz w:val="24"/>
          <w:szCs w:val="21"/>
          <w:highlight w:val="none"/>
          <w:u w:val="single"/>
          <w:lang w:val="en-US" w:eastAsia="zh-CN" w:bidi="ar-SA"/>
        </w:rPr>
        <w:t xml:space="preserve">（或采购人）</w:t>
      </w:r>
      <w:r>
        <w:rPr>
          <w:rFonts w:hint="eastAsia" w:ascii="Times New Roman" w:hAnsi="Times New Roman" w:eastAsia="宋体" w:cs="Times New Roman"/>
          <w:color w:val="000000"/>
          <w:sz w:val="24"/>
          <w:szCs w:val="21"/>
          <w:highlight w:val="none"/>
          <w:lang w:val="en-US" w:eastAsia="zh-CN" w:bidi="ar-SA"/>
        </w:rPr>
        <w:t xml:space="preserve">支付本采购文件公布的预算金额（或最高限价）的2%作为违约赔偿金。</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1.自谈判截止时间至本项目发布成交公告为止，撤销投标；</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2.成交后不依法与采购人签订合同；</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3.成交后不按本采购文件规定向采购人提交履约保证金。</w:t>
      </w:r>
      <w:r>
        <w:rPr>
          <w:rFonts w:hint="eastAsia"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4.成交后不按本采购文件规定向贵方缴纳采购代理费。</w:t>
      </w:r>
      <w:r>
        <w:rPr>
          <w:rFonts w:ascii="Times New Roman" w:hAnsi="Times New Roman" w:eastAsia="宋体" w:cs="Times New Roman"/>
          <w:color w:val="000000"/>
          <w:sz w:val="24"/>
          <w:szCs w:val="21"/>
          <w:highlight w:val="none"/>
          <w:lang w:val="en-US" w:eastAsia="zh-CN" w:bidi="ar-SA"/>
        </w:rPr>
      </w:r>
      <w:r/>
    </w:p>
    <w:p>
      <w:pPr>
        <w:pStyle w:val="934"/>
        <w:ind w:firstLine="48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二、我单位知晓上述行为的法律后果，承认本承诺书作为贵方</w:t>
      </w:r>
      <w:r>
        <w:rPr>
          <w:rFonts w:hint="eastAsia" w:ascii="Times New Roman" w:hAnsi="Times New Roman" w:eastAsia="宋体" w:cs="Times New Roman"/>
          <w:color w:val="000000"/>
          <w:sz w:val="24"/>
          <w:szCs w:val="21"/>
          <w:highlight w:val="none"/>
          <w:u w:val="single"/>
          <w:lang w:val="en-US" w:eastAsia="zh-CN" w:bidi="ar-SA"/>
        </w:rPr>
        <w:t xml:space="preserve">（或采购人）</w:t>
      </w:r>
      <w:r>
        <w:rPr>
          <w:rFonts w:hint="eastAsia" w:ascii="Times New Roman" w:hAnsi="Times New Roman" w:eastAsia="宋体" w:cs="Times New Roman"/>
          <w:color w:val="000000"/>
          <w:sz w:val="24"/>
          <w:szCs w:val="21"/>
          <w:highlight w:val="none"/>
          <w:lang w:val="en-US" w:eastAsia="zh-CN" w:bidi="ar-SA"/>
        </w:rPr>
        <w:t xml:space="preserve">要求我单位履行违约赔偿义务的依据作用。</w:t>
      </w:r>
      <w:r>
        <w:rPr>
          <w:rFonts w:hint="eastAsia" w:ascii="Times New Roman" w:hAnsi="Times New Roman" w:eastAsia="宋体" w:cs="Times New Roman"/>
          <w:color w:val="000000"/>
          <w:sz w:val="24"/>
          <w:szCs w:val="21"/>
          <w:highlight w:val="none"/>
          <w:lang w:val="en-US" w:eastAsia="zh-CN" w:bidi="ar-SA"/>
        </w:rPr>
      </w:r>
      <w:r/>
    </w:p>
    <w:p>
      <w:pPr>
        <w:pStyle w:val="934"/>
        <w:ind w:left="156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供应商签章：</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地址：</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电话：</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 传真：</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电子邮件：</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    邮编：</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法定代表人或委托代理人(签字或签章)：</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ind w:left="1620"/>
        <w:spacing w:before="0" w:beforeAutospacing="0" w:after="0" w:afterAutospacing="0"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日期：</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r>
      <w:r/>
    </w:p>
    <w:p>
      <w:pPr>
        <w:pStyle w:val="934"/>
        <w:rPr>
          <w:highlight w:val="white"/>
        </w:rPr>
        <w:pBdr>
          <w:top w:val="none" w:color="000000" w:sz="0" w:space="0"/>
          <w:left w:val="none" w:color="000000" w:sz="0" w:space="0"/>
          <w:bottom w:val="none" w:color="000000" w:sz="0" w:space="0"/>
          <w:right w:val="none" w:color="000000" w:sz="0" w:space="0"/>
        </w:pBdr>
      </w:pPr>
      <w:r>
        <w:rPr>
          <w:highlight w:val="white"/>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br w:type="page" w:clear="all"/>
      </w:r>
      <w:bookmarkStart w:id="23" w:name="_Toc14237"/>
      <w:r>
        <w:rPr>
          <w:rFonts w:ascii="宋体" w:hAnsi="宋体" w:eastAsia="宋体" w:cs="宋体"/>
          <w:color w:val="000000"/>
          <w:szCs w:val="44"/>
        </w:rPr>
        <w:t xml:space="preserve">第四章</w:t>
      </w:r>
      <w:r>
        <w:rPr>
          <w:rFonts w:hint="eastAsia" w:ascii="宋体" w:hAnsi="宋体" w:eastAsia="宋体" w:cs="宋体"/>
          <w:color w:val="000000"/>
          <w:szCs w:val="44"/>
        </w:rPr>
        <w:t xml:space="preserve"> </w:t>
      </w:r>
      <w:r>
        <w:rPr>
          <w:rFonts w:ascii="宋体" w:hAnsi="宋体" w:eastAsia="宋体" w:cs="宋体"/>
          <w:color w:val="000000"/>
          <w:szCs w:val="44"/>
        </w:rPr>
        <w:t xml:space="preserve">谈判采购内容</w:t>
      </w:r>
      <w:bookmarkEnd w:id="23"/>
      <w:r>
        <w:rPr>
          <w:rFonts w:ascii="宋体" w:hAnsi="宋体" w:eastAsia="宋体" w:cs="宋体"/>
          <w:color w:val="000000"/>
          <w:szCs w:val="44"/>
        </w:rPr>
      </w:r>
      <w:r/>
    </w:p>
    <w:p>
      <w:pPr>
        <w:pStyle w:val="934"/>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苏州华星工程造价咨询有限公司受苏州工业园区综合行政执法局的委托，就其所需的</w:t>
      </w:r>
      <w:r>
        <w:rPr>
          <w:rFonts w:hint="eastAsia" w:ascii="宋体" w:hAnsi="宋体" w:eastAsia="宋体" w:cs="宋体"/>
          <w:color w:val="000000"/>
          <w:sz w:val="24"/>
          <w:szCs w:val="24"/>
        </w:rPr>
        <w:t xml:space="preserve">2026年园区绿化养护应急服务</w:t>
      </w:r>
      <w:r>
        <w:rPr>
          <w:rFonts w:ascii="宋体" w:hAnsi="宋体" w:eastAsia="宋体" w:cs="宋体"/>
          <w:color w:val="000000"/>
          <w:sz w:val="24"/>
          <w:szCs w:val="24"/>
        </w:rPr>
        <w:t xml:space="preserve">采用竞争性谈判方式进行采购，欢迎有资格的谈判供应商前来参加本次谈判采购。</w:t>
      </w:r>
      <w:r>
        <w:rPr>
          <w:sz w:val="24"/>
          <w:szCs w:val="24"/>
        </w:rPr>
      </w:r>
      <w:r/>
    </w:p>
    <w:p>
      <w:pPr>
        <w:pStyle w:val="934"/>
        <w:ind w:firstLine="48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一、采购编号：</w:t>
      </w:r>
      <w:r>
        <w:rPr>
          <w:rFonts w:hint="eastAsia" w:ascii="宋体" w:hAnsi="宋体" w:eastAsia="宋体" w:cs="宋体"/>
          <w:color w:val="000000"/>
          <w:sz w:val="24"/>
          <w:szCs w:val="24"/>
          <w:lang w:eastAsia="zh-CN"/>
        </w:rPr>
        <w:t xml:space="preserve">JSZC-320591-HXZJ-T2026-0012</w:t>
      </w:r>
      <w:r>
        <w:rPr>
          <w:rFonts w:ascii="宋体" w:hAnsi="宋体" w:eastAsia="宋体" w:cs="宋体"/>
          <w:color w:val="000000"/>
          <w:sz w:val="24"/>
          <w:szCs w:val="24"/>
        </w:rPr>
        <w:t xml:space="preserve">号</w:t>
      </w:r>
      <w:r>
        <w:rPr>
          <w:sz w:val="24"/>
          <w:szCs w:val="24"/>
        </w:rPr>
      </w:r>
      <w:r/>
    </w:p>
    <w:p>
      <w:pPr>
        <w:pStyle w:val="934"/>
        <w:ind w:firstLine="48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二、采购需求：</w:t>
      </w:r>
      <w:r>
        <w:rPr>
          <w:sz w:val="24"/>
          <w:szCs w:val="24"/>
        </w:rPr>
      </w:r>
      <w:r/>
    </w:p>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（一）服务内容</w:t>
      </w:r>
      <w:r>
        <w:rPr>
          <w:rFonts w:ascii="宋体" w:hAnsi="宋体" w:eastAsia="宋体" w:cs="宋体"/>
          <w:b/>
          <w:bCs/>
          <w:sz w:val="24"/>
          <w:szCs w:val="24"/>
        </w:rPr>
      </w:r>
      <w:r/>
    </w:p>
    <w:p>
      <w:pPr>
        <w:pStyle w:val="934"/>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负责服务范围内的绿化修剪、施肥、浇水等相关工作，具体采购需求详见采购文件。</w:t>
      </w:r>
      <w:r>
        <w:rPr>
          <w:rFonts w:ascii="宋体" w:hAnsi="宋体" w:eastAsia="宋体" w:cs="宋体"/>
          <w:sz w:val="24"/>
          <w:szCs w:val="24"/>
        </w:rPr>
      </w:r>
      <w:r/>
    </w:p>
    <w:p>
      <w:pPr>
        <w:pStyle w:val="934"/>
        <w:ind w:firstLine="482"/>
        <w:jc w:val="left"/>
        <w:spacing w:line="360" w:lineRule="auto"/>
        <w:widowControl/>
        <w:rPr>
          <w:rFonts w:ascii="宋体" w:hAnsi="宋体" w:eastAsia="宋体" w:cs="宋体"/>
          <w:b/>
          <w:bCs/>
          <w:sz w:val="24"/>
          <w:szCs w:val="24"/>
        </w:rPr>
      </w:pPr>
      <w:r/>
      <w:bookmarkStart w:id="24" w:name="_Hlk117240744"/>
      <w:r>
        <w:rPr>
          <w:rFonts w:hint="eastAsia" w:ascii="宋体" w:hAnsi="宋体" w:eastAsia="宋体" w:cs="宋体"/>
          <w:b/>
          <w:bCs/>
          <w:sz w:val="24"/>
          <w:szCs w:val="24"/>
        </w:rPr>
        <w:t xml:space="preserve">（二）服务范围</w:t>
      </w:r>
      <w:r>
        <w:rPr>
          <w:rFonts w:ascii="宋体" w:hAnsi="宋体" w:eastAsia="宋体" w:cs="宋体"/>
          <w:b/>
          <w:bCs/>
          <w:sz w:val="24"/>
          <w:szCs w:val="24"/>
        </w:rPr>
      </w:r>
      <w:r/>
    </w:p>
    <w:tbl>
      <w:tblPr>
        <w:tblW w:w="90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546"/>
        <w:gridCol w:w="5591"/>
      </w:tblGrid>
      <w:tr>
        <w:trPr>
          <w:trHeight w:val="463"/>
        </w:trPr>
        <w:tc>
          <w:tcPr>
            <w:tcW w:w="856"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序号</w:t>
            </w:r>
            <w:r>
              <w:rPr>
                <w:rFonts w:ascii="宋体" w:hAnsi="宋体" w:eastAsia="宋体" w:cs="宋体"/>
                <w:szCs w:val="21"/>
              </w:rPr>
            </w:r>
            <w:r/>
          </w:p>
        </w:tc>
        <w:tc>
          <w:tcPr>
            <w:tcW w:w="1075"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标段</w:t>
            </w:r>
            <w:r>
              <w:rPr>
                <w:rFonts w:ascii="宋体" w:hAnsi="宋体" w:eastAsia="宋体" w:cs="宋体"/>
                <w:szCs w:val="21"/>
              </w:rPr>
            </w:r>
            <w:r/>
          </w:p>
        </w:tc>
        <w:tc>
          <w:tcPr>
            <w:tcW w:w="1546"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所属街道</w:t>
            </w:r>
            <w:r>
              <w:rPr>
                <w:rFonts w:ascii="宋体" w:hAnsi="宋体" w:eastAsia="宋体" w:cs="宋体"/>
                <w:szCs w:val="21"/>
              </w:rPr>
            </w:r>
            <w:r/>
          </w:p>
        </w:tc>
        <w:tc>
          <w:tcPr>
            <w:tcW w:w="5591" w:type="dxa"/>
            <w:vAlign w:val="center"/>
            <w:textDirection w:val="lrTb"/>
            <w:noWrap/>
          </w:tcPr>
          <w:p>
            <w:pPr>
              <w:pStyle w:val="934"/>
              <w:jc w:val="center"/>
              <w:rPr>
                <w:rFonts w:ascii="宋体" w:hAnsi="宋体" w:eastAsia="宋体" w:cs="宋体"/>
                <w:szCs w:val="21"/>
              </w:rPr>
            </w:pPr>
            <w:r>
              <w:rPr>
                <w:rFonts w:hint="eastAsia" w:ascii="宋体" w:hAnsi="宋体" w:eastAsia="宋体" w:cs="宋体"/>
                <w:b/>
                <w:bCs/>
                <w:szCs w:val="21"/>
              </w:rPr>
              <w:t xml:space="preserve">服务范围</w:t>
            </w:r>
            <w:r>
              <w:rPr>
                <w:rFonts w:ascii="宋体" w:hAnsi="宋体" w:eastAsia="宋体" w:cs="宋体"/>
                <w:szCs w:val="21"/>
              </w:rPr>
            </w:r>
            <w:r/>
          </w:p>
        </w:tc>
      </w:tr>
      <w:tr>
        <w:trPr>
          <w:trHeight w:val="463"/>
        </w:trPr>
        <w:tc>
          <w:tcPr>
            <w:tcW w:w="856"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75" w:type="dxa"/>
            <w:vAlign w:val="center"/>
            <w:textDirection w:val="lrTb"/>
            <w:noWrap/>
          </w:tcPr>
          <w:p>
            <w:pPr>
              <w:pStyle w:val="934"/>
              <w:jc w:val="center"/>
              <w:rPr>
                <w:rFonts w:hint="eastAsia" w:ascii="宋体" w:hAnsi="宋体" w:eastAsia="宋体" w:cs="宋体"/>
                <w:sz w:val="24"/>
                <w:szCs w:val="24"/>
              </w:rPr>
            </w:pPr>
            <w:r>
              <w:rPr>
                <w:rFonts w:hint="eastAsia" w:ascii="宋体" w:hAnsi="宋体" w:eastAsia="宋体" w:cs="宋体"/>
                <w:sz w:val="24"/>
                <w:szCs w:val="24"/>
              </w:rPr>
              <w:t xml:space="preserve">一标</w:t>
            </w:r>
            <w:r>
              <w:rPr>
                <w:rFonts w:hint="eastAsia" w:ascii="宋体" w:hAnsi="宋体" w:eastAsia="宋体" w:cs="宋体"/>
                <w:sz w:val="24"/>
                <w:szCs w:val="24"/>
              </w:rPr>
            </w:r>
            <w:r/>
          </w:p>
        </w:tc>
        <w:tc>
          <w:tcPr>
            <w:tcW w:w="1546" w:type="dxa"/>
            <w:vAlign w:val="center"/>
            <w:textDirection w:val="lrTb"/>
            <w:noWrap/>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金鸡湖街道</w:t>
            </w:r>
            <w:r>
              <w:rPr>
                <w:rFonts w:hint="eastAsia" w:ascii="宋体" w:hAnsi="宋体" w:eastAsia="宋体" w:cs="宋体"/>
                <w:sz w:val="24"/>
                <w:szCs w:val="24"/>
              </w:rPr>
            </w:r>
            <w:r/>
          </w:p>
        </w:tc>
        <w:tc>
          <w:tcPr>
            <w:tcW w:w="5591" w:type="dxa"/>
            <w:vAlign w:val="center"/>
            <w:textDirection w:val="lrTb"/>
            <w:noWrap/>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金鸡湖街道范围内的公共绿地绿化养护应急服务。</w:t>
            </w:r>
            <w:r>
              <w:rPr>
                <w:rFonts w:hint="eastAsia" w:ascii="宋体" w:hAnsi="宋体" w:eastAsia="宋体" w:cs="宋体"/>
                <w:sz w:val="24"/>
                <w:szCs w:val="24"/>
              </w:rPr>
            </w:r>
            <w:r/>
          </w:p>
        </w:tc>
      </w:tr>
    </w:tbl>
    <w:p>
      <w:pPr>
        <w:pStyle w:val="934"/>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（三）服务期限</w:t>
      </w:r>
      <w:r>
        <w:rPr>
          <w:rFonts w:ascii="宋体" w:hAnsi="宋体" w:eastAsia="宋体" w:cs="宋体"/>
          <w:b/>
          <w:bCs/>
          <w:sz w:val="24"/>
          <w:szCs w:val="24"/>
        </w:rPr>
      </w:r>
      <w:r/>
    </w:p>
    <w:p>
      <w:pPr>
        <w:pStyle w:val="934"/>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暂定5个月（计划进场日期为</w:t>
      </w:r>
      <w:r>
        <w:rPr>
          <w:rFonts w:hint="eastAsia" w:ascii="宋体" w:hAnsi="宋体" w:eastAsia="宋体" w:cs="宋体"/>
          <w:sz w:val="24"/>
          <w:szCs w:val="24"/>
          <w:lang w:eastAsia="zh-CN"/>
        </w:rPr>
        <w:t xml:space="preserve">2026年6月15日至2026年11月14日</w:t>
      </w:r>
      <w:r>
        <w:rPr>
          <w:rFonts w:hint="eastAsia" w:ascii="宋体" w:hAnsi="宋体" w:eastAsia="宋体" w:cs="宋体"/>
          <w:sz w:val="24"/>
          <w:szCs w:val="24"/>
        </w:rPr>
        <w:t xml:space="preserve">，实际进场时间以采购人书面通知为准）。</w:t>
      </w:r>
      <w:bookmarkEnd w:id="24"/>
      <w:r>
        <w:rPr>
          <w:rFonts w:hint="eastAsia" w:ascii="宋体" w:hAnsi="宋体" w:eastAsia="宋体" w:cs="宋体"/>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三、服务（技术）要求及考核：</w:t>
      </w:r>
      <w:r>
        <w:rPr>
          <w:rFonts w:ascii="宋体" w:hAnsi="宋体" w:eastAsia="宋体" w:cs="宋体"/>
          <w:b/>
          <w:sz w:val="24"/>
          <w:szCs w:val="24"/>
        </w:rPr>
      </w:r>
      <w:r/>
    </w:p>
    <w:p>
      <w:pPr>
        <w:pStyle w:val="934"/>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详见附件。</w:t>
      </w:r>
      <w:r>
        <w:rPr>
          <w:rFonts w:ascii="宋体" w:hAnsi="宋体" w:eastAsia="宋体" w:cs="宋体"/>
          <w:bCs/>
          <w:sz w:val="24"/>
          <w:szCs w:val="24"/>
        </w:rPr>
      </w:r>
      <w:r/>
    </w:p>
    <w:p>
      <w:pPr>
        <w:pStyle w:val="934"/>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在合同履行期间，甲方有权根据实际情况对考核方式及考核内容作出变更，乙方应无条件接受。</w:t>
      </w:r>
      <w:r>
        <w:rPr>
          <w:rFonts w:ascii="宋体" w:hAnsi="宋体" w:eastAsia="宋体" w:cs="宋体"/>
          <w:bCs/>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四、人员、设备配备基本要求：</w:t>
      </w:r>
      <w:r>
        <w:rPr>
          <w:rFonts w:ascii="宋体" w:hAnsi="宋体" w:eastAsia="宋体" w:cs="宋体"/>
          <w:b/>
          <w:sz w:val="24"/>
          <w:szCs w:val="24"/>
        </w:rPr>
      </w:r>
      <w:r/>
    </w:p>
    <w:p>
      <w:pPr>
        <w:pStyle w:val="934"/>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（一）人员配备基本要求</w:t>
      </w:r>
      <w:r>
        <w:rPr>
          <w:rFonts w:ascii="宋体" w:hAnsi="宋体" w:eastAsia="宋体" w:cs="宋体"/>
          <w:sz w:val="24"/>
          <w:szCs w:val="24"/>
        </w:rPr>
      </w:r>
      <w:r/>
    </w:p>
    <w:p>
      <w:pPr>
        <w:pStyle w:val="96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详见附件。</w:t>
      </w:r>
      <w:r>
        <w:rPr>
          <w:rFonts w:ascii="宋体" w:hAnsi="宋体" w:eastAsia="宋体" w:cs="宋体"/>
          <w:sz w:val="24"/>
          <w:szCs w:val="24"/>
        </w:rPr>
      </w:r>
      <w:r/>
    </w:p>
    <w:p>
      <w:pPr>
        <w:pStyle w:val="934"/>
        <w:contextualSpacing/>
        <w:ind w:firstLine="480"/>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拟投入人员须满足采购文件的要求，</w:t>
      </w:r>
      <w:r>
        <w:rPr>
          <w:rFonts w:hint="eastAsia" w:ascii="宋体" w:hAnsi="宋体" w:eastAsia="宋体" w:cs="宋体"/>
          <w:b/>
          <w:bCs/>
          <w:sz w:val="24"/>
          <w:szCs w:val="24"/>
          <w:u w:val="single"/>
        </w:rPr>
        <w:t xml:space="preserve">低于采购文件要求的视为未实质性响应采购文件要求，为无效标。</w:t>
      </w:r>
      <w:r>
        <w:rPr>
          <w:rFonts w:ascii="宋体" w:hAnsi="宋体" w:eastAsia="宋体" w:cs="宋体"/>
          <w:b/>
          <w:bCs/>
          <w:sz w:val="24"/>
          <w:szCs w:val="24"/>
          <w:u w:val="single"/>
        </w:rPr>
      </w:r>
      <w:r/>
    </w:p>
    <w:p>
      <w:pPr>
        <w:pStyle w:val="934"/>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本标段项目组人员含</w:t>
      </w:r>
      <w:r>
        <w:rPr>
          <w:rFonts w:hint="eastAsia" w:ascii="宋体" w:hAnsi="宋体" w:eastAsia="宋体" w:cs="宋体"/>
          <w:sz w:val="24"/>
          <w:szCs w:val="24"/>
          <w:u w:val="single"/>
        </w:rPr>
        <w:t xml:space="preserve">项目经理、安全员、资料员</w:t>
      </w:r>
      <w:r>
        <w:rPr>
          <w:rFonts w:hint="eastAsia" w:ascii="宋体" w:hAnsi="宋体" w:eastAsia="宋体" w:cs="宋体"/>
          <w:sz w:val="24"/>
          <w:szCs w:val="24"/>
        </w:rPr>
        <w:t xml:space="preserve">。</w:t>
      </w:r>
      <w:r>
        <w:rPr>
          <w:rFonts w:ascii="宋体" w:hAnsi="宋体" w:eastAsia="宋体" w:cs="宋体"/>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文件中提供供应商为项目组人员缴纳的最近一期的社保证明扫描件（有社保局盖章）、身份证扫描件及学历证书扫描件，项目经理还需提供职称证书扫描件，安全员提供安全员C证或者政府安监部门（应急管理等部门）或相关培训机构颁发的安全员证书。上述证明材料未提供或提供不完整的视为未实质性响应，为无效标。</w:t>
      </w:r>
      <w:r>
        <w:rPr>
          <w:rFonts w:ascii="宋体" w:hAnsi="宋体" w:eastAsia="宋体" w:cs="宋体"/>
          <w:b/>
          <w:bCs/>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（二）设备配备基本要求</w:t>
      </w:r>
      <w:r>
        <w:rPr>
          <w:rFonts w:ascii="宋体" w:hAnsi="宋体" w:eastAsia="宋体" w:cs="宋体"/>
          <w:b/>
          <w:bCs/>
          <w:sz w:val="24"/>
          <w:szCs w:val="24"/>
        </w:rPr>
      </w:r>
      <w:r/>
    </w:p>
    <w:p>
      <w:pPr>
        <w:pStyle w:val="960"/>
        <w:ind w:firstLine="480"/>
        <w:spacing w:line="360" w:lineRule="auto"/>
        <w:rPr>
          <w:rFonts w:ascii="宋体" w:hAnsi="宋体" w:eastAsia="宋体" w:cs="宋体"/>
          <w:color w:val="ff0000"/>
          <w:sz w:val="24"/>
          <w:szCs w:val="24"/>
        </w:rPr>
      </w:pPr>
      <w:r>
        <w:rPr>
          <w:rFonts w:hint="eastAsia" w:ascii="宋体" w:hAnsi="宋体" w:eastAsia="宋体" w:cs="宋体"/>
          <w:sz w:val="24"/>
          <w:szCs w:val="24"/>
        </w:rPr>
        <w:t xml:space="preserve">详见附件</w:t>
      </w:r>
      <w:r>
        <w:rPr>
          <w:rFonts w:hint="eastAsia" w:ascii="宋体" w:hAnsi="宋体" w:eastAsia="宋体" w:cs="宋体"/>
          <w:bCs/>
          <w:color w:val="ff0000"/>
          <w:sz w:val="24"/>
          <w:szCs w:val="24"/>
        </w:rPr>
        <w:t xml:space="preserve">。</w:t>
      </w:r>
      <w:r>
        <w:rPr>
          <w:rFonts w:ascii="宋体" w:hAnsi="宋体" w:eastAsia="宋体" w:cs="宋体"/>
          <w:color w:val="ff0000"/>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拟投入车辆、设备（包括数量及规格参数等）须满足采购文件的要求，未按要求提供投入设备承诺书或承诺配备的设备低于采购文件要求的视为未实质性响应采购文件要求，为无效标。</w:t>
      </w:r>
      <w:r>
        <w:rPr>
          <w:rFonts w:ascii="宋体" w:hAnsi="宋体" w:eastAsia="宋体" w:cs="宋体"/>
          <w:b/>
          <w:bCs/>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五、人员专用原则：</w:t>
      </w:r>
      <w:r>
        <w:rPr>
          <w:rFonts w:ascii="宋体" w:hAnsi="宋体" w:eastAsia="宋体" w:cs="宋体"/>
          <w:b/>
          <w:sz w:val="24"/>
          <w:szCs w:val="24"/>
        </w:rPr>
      </w:r>
      <w:r/>
    </w:p>
    <w:p>
      <w:pPr>
        <w:pStyle w:val="934"/>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1、项目组人员专用原则：</w:t>
      </w:r>
      <w:r>
        <w:rPr>
          <w:rFonts w:ascii="宋体" w:hAnsi="宋体" w:eastAsia="宋体" w:cs="宋体"/>
          <w:sz w:val="24"/>
          <w:szCs w:val="24"/>
        </w:rPr>
      </w:r>
      <w:r/>
    </w:p>
    <w:p>
      <w:pPr>
        <w:pStyle w:val="934"/>
        <w:ind w:firstLine="480"/>
        <w:spacing w:line="360" w:lineRule="auto"/>
        <w:rPr>
          <w:rFonts w:ascii="宋体" w:hAnsi="宋体" w:eastAsia="宋体" w:cs="宋体"/>
          <w:color w:val="ff0000"/>
          <w:sz w:val="24"/>
        </w:rPr>
      </w:pPr>
      <w:r>
        <w:rPr>
          <w:rFonts w:hint="eastAsia" w:ascii="宋体" w:hAnsi="宋体" w:eastAsia="宋体" w:cs="宋体"/>
          <w:sz w:val="24"/>
          <w:szCs w:val="24"/>
        </w:rPr>
        <w:t xml:space="preserve">项目组人员必须专门服务于本项目，不得用于其他项目中，且原则上不得更换。</w:t>
      </w:r>
      <w:r>
        <w:rPr>
          <w:rFonts w:ascii="宋体" w:hAnsi="宋体" w:eastAsia="宋体" w:cs="宋体"/>
          <w:color w:val="ff0000"/>
          <w:sz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中标后项目组人员未按投标承诺到位或供应商未经采购人批准擅自更换项目组人员的，采</w:t>
      </w:r>
      <w:r>
        <w:rPr>
          <w:rFonts w:ascii="宋体" w:hAnsi="宋体" w:eastAsia="宋体" w:cs="宋体"/>
          <w:sz w:val="24"/>
          <w:szCs w:val="24"/>
        </w:rPr>
        <w:t xml:space="preserve">购人将向供应商收取违约金</w:t>
      </w:r>
      <w:r>
        <w:rPr>
          <w:rFonts w:hint="eastAsia" w:ascii="宋体" w:hAnsi="宋体" w:eastAsia="宋体" w:cs="宋体"/>
          <w:sz w:val="24"/>
          <w:szCs w:val="24"/>
        </w:rPr>
        <w:t xml:space="preserve">，同时供</w:t>
      </w:r>
      <w:r>
        <w:rPr>
          <w:rFonts w:ascii="宋体" w:hAnsi="宋体" w:eastAsia="宋体" w:cs="宋体"/>
          <w:sz w:val="24"/>
          <w:szCs w:val="24"/>
        </w:rPr>
        <w:t xml:space="preserve">应商</w:t>
      </w:r>
      <w:r>
        <w:rPr>
          <w:rFonts w:hint="eastAsia" w:ascii="宋体" w:hAnsi="宋体" w:eastAsia="宋体" w:cs="宋体"/>
          <w:sz w:val="24"/>
          <w:szCs w:val="24"/>
        </w:rPr>
        <w:t xml:space="preserve">仍</w:t>
      </w:r>
      <w:r>
        <w:rPr>
          <w:rFonts w:ascii="宋体" w:hAnsi="宋体" w:eastAsia="宋体" w:cs="宋体"/>
          <w:sz w:val="24"/>
          <w:szCs w:val="24"/>
        </w:rPr>
        <w:t xml:space="preserve">应按</w:t>
      </w:r>
      <w:r>
        <w:rPr>
          <w:rFonts w:hint="eastAsia" w:ascii="宋体" w:hAnsi="宋体" w:eastAsia="宋体" w:cs="宋体"/>
          <w:sz w:val="24"/>
          <w:szCs w:val="24"/>
        </w:rPr>
        <w:t xml:space="preserve">投标</w:t>
      </w:r>
      <w:r>
        <w:rPr>
          <w:rFonts w:ascii="宋体" w:hAnsi="宋体" w:eastAsia="宋体" w:cs="宋体"/>
          <w:sz w:val="24"/>
          <w:szCs w:val="24"/>
        </w:rPr>
        <w:t xml:space="preserve">承诺</w:t>
      </w:r>
      <w:r>
        <w:rPr>
          <w:rFonts w:hint="eastAsia" w:ascii="宋体" w:hAnsi="宋体" w:eastAsia="宋体" w:cs="宋体"/>
          <w:sz w:val="24"/>
          <w:szCs w:val="24"/>
        </w:rPr>
        <w:t xml:space="preserve">将</w:t>
      </w:r>
      <w:r>
        <w:rPr>
          <w:rFonts w:ascii="宋体" w:hAnsi="宋体" w:eastAsia="宋体" w:cs="宋体"/>
          <w:sz w:val="24"/>
          <w:szCs w:val="24"/>
        </w:rPr>
        <w:t xml:space="preserve">人员配备到位。</w:t>
      </w:r>
      <w:r>
        <w:rPr>
          <w:rFonts w:hint="eastAsia" w:ascii="宋体" w:hAnsi="宋体" w:eastAsia="宋体" w:cs="宋体"/>
          <w:b/>
          <w:sz w:val="24"/>
          <w:szCs w:val="24"/>
        </w:rPr>
        <w:t xml:space="preserve">擅自</w:t>
      </w:r>
      <w:r>
        <w:rPr>
          <w:rFonts w:ascii="宋体" w:hAnsi="宋体" w:eastAsia="宋体" w:cs="宋体"/>
          <w:b/>
          <w:sz w:val="24"/>
          <w:szCs w:val="24"/>
        </w:rPr>
        <w:t xml:space="preserve">更换</w:t>
      </w:r>
      <w:r>
        <w:rPr>
          <w:rFonts w:hint="eastAsia" w:ascii="宋体" w:hAnsi="宋体" w:eastAsia="宋体" w:cs="宋体"/>
          <w:b/>
          <w:sz w:val="24"/>
          <w:szCs w:val="24"/>
        </w:rPr>
        <w:t xml:space="preserve">项目组</w:t>
      </w:r>
      <w:r>
        <w:rPr>
          <w:rFonts w:ascii="宋体" w:hAnsi="宋体" w:eastAsia="宋体" w:cs="宋体"/>
          <w:b/>
          <w:sz w:val="24"/>
          <w:szCs w:val="24"/>
        </w:rPr>
        <w:t xml:space="preserve">人员（含项目经理及项目组其他人员）违约金收取标准：</w:t>
      </w:r>
      <w:r>
        <w:rPr>
          <w:rFonts w:hint="eastAsia" w:ascii="宋体" w:hAnsi="宋体" w:eastAsia="宋体" w:cs="宋体"/>
          <w:b/>
          <w:sz w:val="24"/>
          <w:szCs w:val="24"/>
        </w:rPr>
        <w:t xml:space="preserve">合同金额≥5000万元的为35万元/人·次；2000万元≤合同金额＜5000万元的为25万元/人·次；合同金额≤2000万元的为15万元/人·次。</w:t>
      </w:r>
      <w:r>
        <w:rPr>
          <w:rFonts w:ascii="宋体" w:hAnsi="宋体" w:eastAsia="宋体" w:cs="宋体"/>
          <w:b/>
          <w:sz w:val="24"/>
          <w:szCs w:val="24"/>
        </w:rPr>
      </w:r>
      <w:r/>
    </w:p>
    <w:p>
      <w:pPr>
        <w:pStyle w:val="934"/>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如需更换</w:t>
      </w:r>
      <w:r>
        <w:rPr>
          <w:rFonts w:hint="eastAsia" w:ascii="宋体" w:hAnsi="宋体" w:eastAsia="宋体" w:cs="宋体"/>
          <w:sz w:val="24"/>
          <w:szCs w:val="24"/>
        </w:rPr>
        <w:t xml:space="preserve">项目组人员</w:t>
      </w:r>
      <w:r>
        <w:rPr>
          <w:rFonts w:ascii="宋体" w:hAnsi="宋体" w:eastAsia="宋体" w:cs="宋体"/>
          <w:sz w:val="24"/>
          <w:szCs w:val="24"/>
        </w:rPr>
        <w:t xml:space="preserve">，应向</w:t>
      </w:r>
      <w:r>
        <w:rPr>
          <w:rFonts w:hint="eastAsia" w:ascii="宋体" w:hAnsi="宋体" w:eastAsia="宋体" w:cs="宋体"/>
          <w:sz w:val="24"/>
          <w:szCs w:val="24"/>
        </w:rPr>
        <w:t xml:space="preserve">采购人提出</w:t>
      </w:r>
      <w:r>
        <w:rPr>
          <w:rFonts w:ascii="宋体" w:hAnsi="宋体" w:eastAsia="宋体" w:cs="宋体"/>
          <w:sz w:val="24"/>
          <w:szCs w:val="24"/>
        </w:rPr>
        <w:t xml:space="preserve">书面</w:t>
      </w:r>
      <w:r>
        <w:rPr>
          <w:rFonts w:hint="eastAsia" w:ascii="宋体" w:hAnsi="宋体" w:eastAsia="宋体" w:cs="宋体"/>
          <w:sz w:val="24"/>
          <w:szCs w:val="24"/>
        </w:rPr>
        <w:t xml:space="preserve">申请</w:t>
      </w:r>
      <w:r>
        <w:rPr>
          <w:rFonts w:ascii="宋体" w:hAnsi="宋体" w:eastAsia="宋体" w:cs="宋体"/>
          <w:sz w:val="24"/>
          <w:szCs w:val="24"/>
        </w:rPr>
        <w:t xml:space="preserve">，经</w:t>
      </w:r>
      <w:r>
        <w:rPr>
          <w:rFonts w:hint="eastAsia" w:ascii="宋体" w:hAnsi="宋体" w:eastAsia="宋体" w:cs="宋体"/>
          <w:sz w:val="24"/>
          <w:szCs w:val="24"/>
        </w:rPr>
        <w:t xml:space="preserve">采购人</w:t>
      </w:r>
      <w:r>
        <w:rPr>
          <w:rFonts w:ascii="宋体" w:hAnsi="宋体" w:eastAsia="宋体" w:cs="宋体"/>
          <w:sz w:val="24"/>
          <w:szCs w:val="24"/>
        </w:rPr>
        <w:t xml:space="preserve">批准后方可进行更换</w:t>
      </w:r>
      <w:r>
        <w:rPr>
          <w:rFonts w:hint="eastAsia" w:ascii="宋体" w:hAnsi="宋体" w:eastAsia="宋体" w:cs="宋体"/>
          <w:sz w:val="24"/>
          <w:szCs w:val="24"/>
        </w:rPr>
        <w:t xml:space="preserve">，</w:t>
      </w:r>
      <w:r>
        <w:rPr>
          <w:rFonts w:ascii="宋体" w:hAnsi="宋体" w:eastAsia="宋体" w:cs="宋体"/>
          <w:sz w:val="24"/>
          <w:szCs w:val="24"/>
        </w:rPr>
        <w:t xml:space="preserve">所更换人员</w:t>
      </w:r>
      <w:r>
        <w:rPr>
          <w:rFonts w:hint="eastAsia" w:ascii="宋体" w:hAnsi="宋体" w:eastAsia="宋体" w:cs="宋体"/>
          <w:sz w:val="24"/>
          <w:szCs w:val="24"/>
        </w:rPr>
        <w:t xml:space="preserve">资格（执业资格、技术职称等）</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；中标后由于项目组人员现场管理工作不到位，或无法起到应有的作用，视为不称职，采购人将要求供应商更换项目组人员，且</w:t>
      </w:r>
      <w:r>
        <w:rPr>
          <w:rFonts w:ascii="宋体" w:hAnsi="宋体" w:eastAsia="宋体" w:cs="宋体"/>
          <w:sz w:val="24"/>
          <w:szCs w:val="24"/>
        </w:rPr>
        <w:t xml:space="preserve">所更换人员</w:t>
      </w:r>
      <w:r>
        <w:rPr>
          <w:rFonts w:hint="eastAsia" w:ascii="宋体" w:hAnsi="宋体" w:eastAsia="宋体" w:cs="宋体"/>
          <w:sz w:val="24"/>
          <w:szCs w:val="24"/>
        </w:rPr>
        <w:t xml:space="preserve">资格</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。无论供应商申请经批准更换或因不称职更换项目组人员均视为供应商违约行为，采购人将向供应商收取违约金。</w:t>
      </w:r>
      <w:r>
        <w:rPr>
          <w:rFonts w:hint="eastAsia" w:ascii="宋体" w:hAnsi="宋体" w:eastAsia="宋体" w:cs="宋体"/>
          <w:b/>
          <w:sz w:val="24"/>
          <w:szCs w:val="24"/>
        </w:rPr>
        <w:t xml:space="preserve">违约金收取标准：合同金额≥5000万元的，项目经理为30万元/人·次，项目组其他人员为15万元/人·次；2000万元≤合同金额＜5000万元的，项目经理为20万元/人·次，项目组其他人员为10万元/人·次；合同金额≤2000万元的，项目经理为10万元/人·次，项目组其他人员为5万元/人·次。</w:t>
      </w:r>
      <w:r>
        <w:rPr>
          <w:rFonts w:ascii="宋体" w:hAnsi="宋体" w:eastAsia="宋体" w:cs="宋体"/>
          <w:b/>
          <w:sz w:val="24"/>
          <w:szCs w:val="24"/>
        </w:rPr>
      </w:r>
      <w:r/>
    </w:p>
    <w:p>
      <w:pPr>
        <w:pStyle w:val="934"/>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2、人员不得与其他项目重复的要求</w:t>
      </w:r>
      <w:r>
        <w:rPr>
          <w:rFonts w:ascii="宋体" w:hAnsi="宋体" w:eastAsia="宋体" w:cs="宋体"/>
          <w:sz w:val="24"/>
          <w:szCs w:val="24"/>
        </w:rPr>
      </w:r>
      <w:r/>
    </w:p>
    <w:p>
      <w:pPr>
        <w:pStyle w:val="934"/>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供应商在响应文件中承诺配置的项目组人员与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rPr>
        <w:t xml:space="preserve">6年6月1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后（含）仍在履行的其他项目中所配备的人员信息有重复的，</w:t>
      </w:r>
      <w:r>
        <w:rPr>
          <w:rFonts w:hint="eastAsia" w:ascii="宋体" w:hAnsi="宋体" w:eastAsia="宋体" w:cs="宋体"/>
          <w:b/>
          <w:bCs/>
          <w:sz w:val="24"/>
          <w:szCs w:val="24"/>
        </w:rPr>
        <w:t xml:space="preserve">则视为未实质性响应，响应文件中关于人员与设备的承诺不作为该情形的弥补。</w:t>
      </w:r>
      <w:r>
        <w:rPr>
          <w:rFonts w:ascii="宋体" w:hAnsi="宋体" w:eastAsia="宋体" w:cs="宋体"/>
          <w:sz w:val="24"/>
          <w:szCs w:val="24"/>
        </w:rPr>
      </w:r>
      <w:r/>
    </w:p>
    <w:p>
      <w:pPr>
        <w:pStyle w:val="934"/>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响应文件中承诺为本标段配置的项目组人员如为其他项目中已变更或被更换的，原项目合同必须在</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年6月</w:t>
      </w: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前已履行完成，</w:t>
      </w:r>
      <w:r>
        <w:rPr>
          <w:rFonts w:hint="eastAsia" w:ascii="宋体" w:hAnsi="宋体" w:eastAsia="宋体" w:cs="宋体"/>
          <w:b/>
          <w:bCs/>
          <w:sz w:val="24"/>
          <w:szCs w:val="24"/>
        </w:rPr>
        <w:t xml:space="preserve">否则视为与其他项目中人员有重复，则视为未实质性响应。</w:t>
      </w:r>
      <w:r>
        <w:rPr>
          <w:rFonts w:ascii="宋体" w:hAnsi="宋体" w:eastAsia="宋体" w:cs="宋体"/>
          <w:b/>
          <w:bCs/>
          <w:sz w:val="24"/>
          <w:szCs w:val="24"/>
        </w:rPr>
      </w:r>
      <w:r/>
    </w:p>
    <w:p>
      <w:pPr>
        <w:pStyle w:val="934"/>
        <w:contextualSpacing/>
        <w:ind w:firstLine="480"/>
        <w:jc w:val="left"/>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六、进场核验要求：见合同条款</w:t>
      </w:r>
      <w:r>
        <w:rPr>
          <w:rFonts w:ascii="宋体" w:hAnsi="宋体" w:eastAsia="宋体" w:cs="宋体"/>
          <w:b/>
          <w:sz w:val="24"/>
          <w:szCs w:val="24"/>
        </w:rPr>
      </w:r>
      <w:r/>
    </w:p>
    <w:p>
      <w:pPr>
        <w:pStyle w:val="934"/>
        <w:ind w:firstLine="482"/>
        <w:spacing w:line="360" w:lineRule="auto"/>
        <w:rPr>
          <w:rFonts w:ascii="宋体" w:hAnsi="宋体" w:eastAsia="宋体" w:cs="宋体"/>
          <w:color w:val="ff0000"/>
          <w:sz w:val="24"/>
          <w:szCs w:val="24"/>
        </w:rPr>
      </w:pPr>
      <w:r>
        <w:rPr>
          <w:rFonts w:hint="eastAsia" w:ascii="宋体" w:hAnsi="宋体" w:eastAsia="宋体" w:cs="宋体"/>
          <w:b/>
          <w:sz w:val="24"/>
          <w:szCs w:val="24"/>
        </w:rPr>
        <w:t xml:space="preserve">七、验收与移交：见合同条款</w:t>
      </w:r>
      <w:r>
        <w:rPr>
          <w:rFonts w:ascii="宋体" w:hAnsi="宋体" w:eastAsia="宋体" w:cs="宋体"/>
          <w:color w:val="ff0000"/>
          <w:sz w:val="24"/>
          <w:szCs w:val="24"/>
        </w:rPr>
      </w:r>
      <w:r/>
    </w:p>
    <w:p>
      <w:pPr>
        <w:pStyle w:val="934"/>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八、履约评价</w:t>
      </w:r>
      <w:r>
        <w:rPr>
          <w:rFonts w:ascii="宋体" w:hAnsi="宋体" w:eastAsia="宋体" w:cs="宋体"/>
          <w:b/>
          <w:bCs/>
          <w:sz w:val="24"/>
          <w:szCs w:val="24"/>
        </w:rPr>
      </w:r>
      <w:r/>
    </w:p>
    <w:p>
      <w:pPr>
        <w:pStyle w:val="934"/>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苏州市工业园区城市管理委员会的要求，园区城维项目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商清楚了解自己在《考核实施办法》中的各项权利义务并同意对其适用。供应商对苏州工业园区市政服务集团有限公司作出的考核结果、评价结果等均予以认可并承担相应的法</w:t>
      </w:r>
      <w:r>
        <w:rPr>
          <w:rFonts w:hint="eastAsia" w:ascii="宋体" w:hAnsi="宋体" w:eastAsia="宋体" w:cs="宋体"/>
          <w:sz w:val="24"/>
          <w:szCs w:val="24"/>
        </w:rPr>
        <w:t xml:space="preserve">律后果。采购人有权根据实际情况对《苏州工业园区城维项目承包企业履约评价考核实施办法》进行调整，调整后的《考核实施办法》自通知到承包人时生效。</w:t>
      </w:r>
      <w:r>
        <w:rPr>
          <w:rFonts w:hint="eastAsia" w:ascii="宋体" w:hAnsi="宋体" w:eastAsia="宋体" w:cs="宋体"/>
          <w:sz w:val="24"/>
          <w:szCs w:val="24"/>
        </w:rPr>
      </w:r>
      <w:r/>
    </w:p>
    <w:p>
      <w:pPr>
        <w:pStyle w:val="934"/>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九、综合说明及其他要求</w:t>
      </w:r>
      <w:r>
        <w:rPr>
          <w:rFonts w:ascii="宋体" w:hAnsi="宋体" w:eastAsia="宋体" w:cs="宋体"/>
          <w:b/>
          <w:sz w:val="24"/>
          <w:szCs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5" w:name="_Hlk117243055"/>
      <w:r>
        <w:rPr>
          <w:rFonts w:hint="eastAsia" w:ascii="宋体" w:hAnsi="宋体" w:eastAsia="宋体" w:cs="宋体"/>
          <w:color w:val="000000"/>
          <w:sz w:val="24"/>
        </w:rPr>
        <w:t xml:space="preserve">1</w:t>
      </w:r>
      <w:r>
        <w:rPr>
          <w:rFonts w:ascii="宋体" w:hAnsi="宋体" w:eastAsia="宋体" w:cs="宋体"/>
          <w:color w:val="000000"/>
          <w:sz w:val="24"/>
        </w:rPr>
        <w:t xml:space="preserve">、</w:t>
      </w:r>
      <w:r>
        <w:rPr>
          <w:rFonts w:hint="eastAsia" w:ascii="宋体" w:hAnsi="宋体" w:eastAsia="宋体" w:cs="宋体"/>
          <w:color w:val="000000"/>
          <w:sz w:val="24"/>
        </w:rPr>
        <w:t xml:space="preserve">管理</w:t>
      </w:r>
      <w:r>
        <w:rPr>
          <w:rFonts w:ascii="宋体" w:hAnsi="宋体" w:eastAsia="宋体" w:cs="宋体"/>
          <w:color w:val="000000"/>
          <w:sz w:val="24"/>
        </w:rPr>
        <w:t xml:space="preserve">交接时间：</w:t>
      </w:r>
      <w:r>
        <w:rPr>
          <w:rFonts w:hint="eastAsia" w:ascii="宋体" w:hAnsi="宋体" w:eastAsia="宋体" w:cs="宋体"/>
          <w:color w:val="000000"/>
          <w:sz w:val="24"/>
        </w:rPr>
        <w:t xml:space="preserve">成交后，由采购人根据实际进度，书面通知进场时间，并按实际服务期结算费用</w:t>
      </w:r>
      <w:r>
        <w:rPr>
          <w:rFonts w:ascii="宋体" w:hAnsi="宋体" w:eastAsia="宋体" w:cs="宋体"/>
          <w:color w:val="000000"/>
          <w:sz w:val="24"/>
        </w:rPr>
        <w:t xml:space="preserve">。</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6" w:name="_Toc437620747"/>
      <w:r>
        <w:rPr>
          <w:rFonts w:hint="eastAsia" w:ascii="宋体" w:hAnsi="宋体" w:eastAsia="宋体" w:cs="宋体"/>
          <w:color w:val="000000"/>
          <w:sz w:val="24"/>
        </w:rPr>
        <w:t xml:space="preserve">2、</w:t>
      </w:r>
      <w:bookmarkEnd w:id="26"/>
      <w:r>
        <w:rPr>
          <w:rFonts w:hint="eastAsia" w:ascii="宋体" w:hAnsi="宋体" w:eastAsia="宋体" w:cs="宋体"/>
          <w:color w:val="000000"/>
          <w:sz w:val="24"/>
        </w:rPr>
        <w:t xml:space="preserve">供应商必须承诺采购文件中提出的全部管理要求，如果其中某些条款不响应时，应在文件中逐条列出，未列出的视同响应。</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供应商应对全部内容进行报价，只投其中部分内容者，其响应文件将被拒绝。总报价包括完成该项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27" w:name="_Hlk116479062"/>
      <w:r>
        <w:rPr>
          <w:rFonts w:hint="eastAsia" w:ascii="宋体" w:hAnsi="宋体" w:eastAsia="宋体" w:cs="宋体"/>
          <w:color w:val="000000"/>
          <w:sz w:val="24"/>
        </w:rPr>
        <w:t xml:space="preserve">4、本项目服务期间，供应商用人管理制度应当遵守国家相关规定。</w:t>
      </w:r>
      <w:bookmarkEnd w:id="27"/>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5、本项目的安全生产费用应按国家相关规定提取，并考虑在投标总价中。</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成交供应商应遵守安全生产的有关管理规定，严格按照安全标准组织施工，采取必要的安全防护措施，消除隐患。由于成交供应商管理或安全措施不力造成周边环境破坏或事故的责任和因此发生的费用，由成交供应商承担。</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7、付款方式：见合同条款。</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8、供应商提供的服务能够至少达到以上要求，同时明确详细的服务方案。</w:t>
      </w:r>
      <w:r>
        <w:rPr>
          <w:rFonts w:ascii="宋体" w:hAnsi="宋体" w:eastAsia="宋体" w:cs="宋体"/>
          <w:color w:val="000000"/>
          <w:sz w:val="24"/>
        </w:rPr>
      </w:r>
      <w:r/>
    </w:p>
    <w:p>
      <w:pPr>
        <w:pStyle w:val="934"/>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9、凡涉及采购文件的补充说明和修改，均以苏州市政府采购网发布的内容为准。</w:t>
      </w:r>
      <w:bookmarkEnd w:id="25"/>
      <w:r>
        <w:rPr>
          <w:rFonts w:ascii="宋体" w:hAnsi="宋体" w:eastAsia="宋体" w:cs="宋体"/>
          <w:color w:val="000000"/>
          <w:sz w:val="24"/>
        </w:r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bookmarkStart w:id="28" w:name="_Toc5284"/>
      <w:r>
        <w:rPr>
          <w:rFonts w:ascii="宋体" w:hAnsi="宋体" w:eastAsia="宋体" w:cs="宋体"/>
          <w:color w:val="000000"/>
          <w:szCs w:val="44"/>
        </w:rPr>
        <w:t xml:space="preserve">第五章</w:t>
      </w:r>
      <w:r>
        <w:rPr>
          <w:rFonts w:hint="eastAsia" w:ascii="宋体" w:hAnsi="宋体" w:eastAsia="宋体" w:cs="宋体"/>
          <w:color w:val="000000"/>
          <w:szCs w:val="44"/>
        </w:rPr>
        <w:t xml:space="preserve"> </w:t>
      </w:r>
      <w:r>
        <w:rPr>
          <w:rFonts w:ascii="宋体" w:hAnsi="宋体" w:eastAsia="宋体" w:cs="宋体"/>
          <w:color w:val="000000"/>
          <w:szCs w:val="44"/>
        </w:rPr>
        <w:t xml:space="preserve">合同条款</w:t>
      </w:r>
      <w:bookmarkEnd w:id="28"/>
      <w:r>
        <w:rPr>
          <w:rFonts w:ascii="宋体" w:hAnsi="宋体" w:eastAsia="宋体" w:cs="宋体"/>
          <w:color w:val="000000"/>
          <w:szCs w:val="44"/>
        </w:rPr>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pStyle w:val="934"/>
        <w:ind w:firstLine="640"/>
        <w:jc w:val="center"/>
        <w:rPr>
          <w:rFonts w:ascii="宋体" w:hAnsi="宋体" w:eastAsia="宋体" w:cs="宋体"/>
          <w:sz w:val="32"/>
          <w:szCs w:val="32"/>
        </w:rPr>
      </w:pPr>
      <w:r>
        <w:rPr>
          <w:rFonts w:hint="eastAsia" w:ascii="宋体" w:hAnsi="宋体" w:eastAsia="宋体" w:cs="宋体"/>
          <w:sz w:val="32"/>
          <w:szCs w:val="32"/>
        </w:rPr>
        <w:t xml:space="preserve">绿化应急养护</w:t>
      </w:r>
      <w:r>
        <w:rPr>
          <w:rFonts w:ascii="宋体" w:hAnsi="宋体" w:eastAsia="宋体" w:cs="宋体"/>
          <w:sz w:val="32"/>
          <w:szCs w:val="32"/>
        </w:rPr>
      </w:r>
      <w:r/>
    </w:p>
    <w:p>
      <w:pPr>
        <w:pStyle w:val="934"/>
        <w:ind w:firstLine="640"/>
        <w:jc w:val="center"/>
        <w:rPr>
          <w:rFonts w:ascii="宋体" w:hAnsi="宋体" w:eastAsia="宋体" w:cs="宋体"/>
          <w:sz w:val="32"/>
          <w:szCs w:val="32"/>
        </w:rPr>
      </w:pPr>
      <w:r>
        <w:rPr>
          <w:rFonts w:hint="eastAsia" w:ascii="宋体" w:hAnsi="宋体" w:eastAsia="宋体" w:cs="宋体"/>
          <w:sz w:val="32"/>
          <w:szCs w:val="32"/>
        </w:rPr>
        <w:t xml:space="preserve">政府采购合同书</w:t>
      </w:r>
      <w:r>
        <w:rPr>
          <w:rFonts w:ascii="宋体" w:hAnsi="宋体" w:eastAsia="宋体" w:cs="宋体"/>
          <w:sz w:val="32"/>
          <w:szCs w:val="32"/>
        </w:rPr>
      </w:r>
      <w:r/>
    </w:p>
    <w:p>
      <w:pPr>
        <w:pStyle w:val="934"/>
        <w:ind w:firstLine="420"/>
        <w:jc w:val="center"/>
        <w:rPr>
          <w:rFonts w:ascii="宋体" w:hAnsi="宋体" w:eastAsia="宋体" w:cs="宋体"/>
          <w:sz w:val="21"/>
          <w:szCs w:val="21"/>
        </w:rPr>
      </w:pPr>
      <w:r>
        <w:rPr>
          <w:rFonts w:hint="eastAsia" w:ascii="宋体" w:hAnsi="宋体" w:eastAsia="宋体" w:cs="宋体"/>
          <w:sz w:val="21"/>
          <w:szCs w:val="21"/>
        </w:rPr>
        <w:t xml:space="preserve">合同编号：***</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甲方（采购人）：</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s="宋体"/>
          <w:sz w:val="21"/>
          <w:szCs w:val="21"/>
        </w:rPr>
      </w:r>
      <w:r/>
    </w:p>
    <w:p>
      <w:pPr>
        <w:pStyle w:val="934"/>
        <w:ind w:firstLine="422"/>
        <w:spacing w:before="100" w:beforeAutospacing="1" w:line="300" w:lineRule="auto"/>
        <w:rPr>
          <w:rFonts w:ascii="宋体" w:hAnsi="宋体" w:eastAsia="宋体" w:cs="宋体"/>
          <w:b/>
          <w:sz w:val="21"/>
          <w:szCs w:val="21"/>
        </w:rPr>
      </w:pPr>
      <w:r>
        <w:rPr>
          <w:rFonts w:hint="eastAsia" w:ascii="宋体" w:hAnsi="宋体" w:eastAsia="宋体" w:cs="宋体"/>
          <w:b/>
          <w:sz w:val="21"/>
          <w:szCs w:val="21"/>
        </w:rPr>
        <w:t xml:space="preserve">乙方（供应商）：</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                        邮政编码：</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联系人：                      手机号码：</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办公电话：                    电子邮件:</w:t>
      </w:r>
      <w:r>
        <w:rPr>
          <w:rFonts w:ascii="宋体" w:hAnsi="宋体" w:eastAsia="宋体" w:cs="宋体"/>
          <w:sz w:val="21"/>
          <w:szCs w:val="21"/>
        </w:rPr>
      </w:r>
      <w:r/>
    </w:p>
    <w:p>
      <w:pPr>
        <w:pStyle w:val="934"/>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采购代理机构：</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地址：</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ascii="宋体" w:hAnsi="宋体" w:eastAsia="宋体" w:cs="宋体"/>
          <w:sz w:val="21"/>
          <w:szCs w:val="21"/>
        </w:rPr>
      </w:r>
      <w:r/>
    </w:p>
    <w:p>
      <w:pPr>
        <w:pStyle w:val="934"/>
        <w:ind w:left="570" w:firstLine="480"/>
        <w:spacing w:line="520" w:lineRule="exact"/>
        <w:rPr>
          <w:rFonts w:hint="eastAsia" w:ascii="方正仿宋简体" w:hAnsi="创艺简仿宋" w:eastAsia="方正仿宋简体"/>
          <w:sz w:val="24"/>
        </w:rPr>
      </w:pPr>
      <w:r>
        <w:rPr>
          <w:rFonts w:hint="eastAsia" w:ascii="方正仿宋简体" w:hAnsi="创艺简仿宋" w:eastAsia="方正仿宋简体"/>
          <w:sz w:val="24"/>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根据招标编号为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的采购文件及该文件的投标文件和中标通知书，甲乙双方根据《中华人民共和国民法典》之规定，甲乙双方在平等、自愿、互利的基础上就此次中标的标的物采购事宜，签订本合同书。</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29" w:name="_Toc153983281"/>
      <w:r>
        <w:rPr>
          <w:rFonts w:hint="eastAsia" w:ascii="宋体" w:hAnsi="宋体" w:eastAsia="宋体" w:cs="宋体"/>
          <w:b/>
          <w:sz w:val="21"/>
          <w:szCs w:val="21"/>
        </w:rPr>
        <w:t xml:space="preserve">一、合同的主要内容</w:t>
      </w:r>
      <w:bookmarkEnd w:id="29"/>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30" w:name="_Toc153983282"/>
      <w:r>
        <w:rPr>
          <w:rFonts w:hint="eastAsia" w:ascii="宋体" w:hAnsi="宋体" w:eastAsia="宋体" w:cs="宋体"/>
          <w:sz w:val="21"/>
          <w:szCs w:val="21"/>
        </w:rPr>
        <w:t xml:space="preserve">1、合同标的</w:t>
      </w:r>
      <w:bookmarkEnd w:id="30"/>
      <w:r>
        <w:rPr>
          <w:rFonts w:ascii="宋体" w:hAnsi="宋体" w:eastAsia="宋体" w:cs="宋体"/>
          <w:sz w:val="21"/>
          <w:szCs w:val="21"/>
        </w:rPr>
      </w:r>
      <w:r/>
    </w:p>
    <w:p>
      <w:pPr>
        <w:pStyle w:val="934"/>
        <w:ind w:firstLine="420"/>
        <w:spacing w:line="300" w:lineRule="auto"/>
        <w:rPr>
          <w:rFonts w:ascii="宋体" w:hAnsi="宋体" w:eastAsia="宋体" w:cs="宋体"/>
          <w:sz w:val="21"/>
          <w:szCs w:val="21"/>
          <w:u w:val="single"/>
        </w:rPr>
      </w:pPr>
      <w:r>
        <w:rPr>
          <w:rFonts w:hint="eastAsia" w:ascii="宋体" w:hAnsi="宋体" w:eastAsia="宋体" w:cs="宋体"/>
          <w:sz w:val="21"/>
          <w:szCs w:val="21"/>
          <w:u w:val="single"/>
        </w:rPr>
        <w:t xml:space="preserve">**************  标段（同项目名称）</w:t>
      </w:r>
      <w:r>
        <w:rPr>
          <w:rFonts w:ascii="宋体" w:hAnsi="宋体" w:eastAsia="宋体" w:cs="宋体"/>
          <w:sz w:val="21"/>
          <w:szCs w:val="21"/>
          <w:u w:val="single"/>
        </w:rPr>
      </w:r>
      <w:r/>
    </w:p>
    <w:p>
      <w:pPr>
        <w:pStyle w:val="934"/>
        <w:ind w:firstLine="420"/>
        <w:spacing w:line="300" w:lineRule="auto"/>
        <w:rPr>
          <w:rFonts w:ascii="宋体" w:hAnsi="宋体" w:eastAsia="宋体" w:cs="宋体"/>
          <w:sz w:val="21"/>
          <w:szCs w:val="21"/>
        </w:rPr>
      </w:pPr>
      <w:r/>
      <w:bookmarkStart w:id="31" w:name="_Toc153983283"/>
      <w:r>
        <w:rPr>
          <w:rFonts w:hint="eastAsia" w:ascii="宋体" w:hAnsi="宋体" w:eastAsia="宋体" w:cs="宋体"/>
          <w:sz w:val="21"/>
          <w:szCs w:val="21"/>
        </w:rPr>
        <w:t xml:space="preserve">2、</w:t>
      </w:r>
      <w:bookmarkEnd w:id="31"/>
      <w:r>
        <w:rPr>
          <w:rFonts w:hint="eastAsia" w:ascii="宋体" w:hAnsi="宋体" w:eastAsia="宋体" w:cs="宋体"/>
          <w:sz w:val="21"/>
          <w:szCs w:val="21"/>
        </w:rPr>
        <w:t xml:space="preserve">服务期</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个月，计划**年**月**日至**年**月**日，实际进场日期以采购人书面通知为准。</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32" w:name="_Toc153983284"/>
      <w:r>
        <w:rPr>
          <w:rFonts w:hint="eastAsia" w:ascii="宋体" w:hAnsi="宋体" w:eastAsia="宋体" w:cs="宋体"/>
          <w:b/>
          <w:sz w:val="21"/>
          <w:szCs w:val="21"/>
        </w:rPr>
        <w:t xml:space="preserve">二、合同价款的构成及支付</w:t>
      </w:r>
      <w:bookmarkEnd w:id="32"/>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1、合同价款及构成</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暂定为人民币（大写）</w:t>
      </w:r>
      <w:r>
        <w:rPr>
          <w:rFonts w:hint="eastAsia" w:ascii="宋体" w:hAnsi="宋体" w:eastAsia="宋体" w:cs="宋体"/>
          <w:sz w:val="21"/>
          <w:szCs w:val="21"/>
          <w:u w:val="single"/>
        </w:rPr>
        <w:t xml:space="preserve">        元</w:t>
      </w:r>
      <w:r>
        <w:rPr>
          <w:rFonts w:hint="eastAsia" w:ascii="宋体" w:hAnsi="宋体" w:eastAsia="宋体" w:cs="宋体"/>
          <w:sz w:val="21"/>
          <w:szCs w:val="21"/>
        </w:rPr>
        <w:t xml:space="preserve">（小写）¥</w:t>
      </w:r>
      <w:r>
        <w:rPr>
          <w:rFonts w:hint="eastAsia" w:ascii="宋体" w:hAnsi="宋体" w:eastAsia="宋体" w:cs="宋体"/>
          <w:sz w:val="21"/>
          <w:szCs w:val="21"/>
          <w:u w:val="single"/>
        </w:rPr>
        <w:t xml:space="preserve"> *****元</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上述费用包括完成该标段工作所需的所有服务管理内容、垃圾运输、耗材、通讯、服装、办公设备、巡检器材、各种税费、人工、保险、劳保、维护、安全生产及相关劳务支出等工作所发生的全部费用以及投标人企业利润、税金和政策性文件规定，及合同包含的所有风险、责任等各项应有费用。</w:t>
      </w:r>
      <w:r>
        <w:rPr>
          <w:rFonts w:ascii="宋体" w:hAnsi="宋体" w:eastAsia="宋体" w:cs="宋体"/>
          <w:sz w:val="21"/>
          <w:szCs w:val="21"/>
        </w:rPr>
      </w:r>
      <w:r/>
    </w:p>
    <w:p>
      <w:pPr>
        <w:pStyle w:val="934"/>
        <w:ind w:firstLine="422"/>
        <w:spacing w:line="300" w:lineRule="auto"/>
        <w:rPr>
          <w:rFonts w:ascii="宋体" w:hAnsi="宋体" w:eastAsia="宋体" w:cs="宋体"/>
          <w:sz w:val="21"/>
          <w:szCs w:val="21"/>
        </w:rPr>
      </w:pPr>
      <w:r>
        <w:rPr>
          <w:rFonts w:hint="eastAsia" w:ascii="宋体" w:hAnsi="宋体" w:eastAsia="宋体" w:cs="宋体"/>
          <w:b/>
          <w:sz w:val="21"/>
          <w:szCs w:val="21"/>
        </w:rPr>
        <w:t xml:space="preserve">履约期间防洪、防台风所需费用、各类应急保障、重大活动举行时的人员、设备增派及耗材等可能产生的费用</w:t>
      </w:r>
      <w:r>
        <w:rPr>
          <w:rFonts w:hint="eastAsia" w:ascii="宋体" w:hAnsi="宋体" w:eastAsia="宋体" w:cs="宋体"/>
          <w:sz w:val="21"/>
          <w:szCs w:val="21"/>
        </w:rPr>
        <w:t xml:space="preserve">以及在服务期内完成招标要求及投标承诺事项所需的一切费用均由投标人自行考虑，费用包含在投标报价中，不再另行结算。</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本项目投标时采用二次报价，各项结算单价按供应商第一次报价单价下浮之后的单价执行，下浮率=（第一次报价总价-成交价总价）/第一次报价总价。】</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报价表中的数量均为暂估量，实际完成量以实际发生并经甲方签证的数量为准</w:t>
      </w:r>
      <w:r>
        <w:rPr>
          <w:rFonts w:hint="eastAsia" w:ascii="宋体" w:hAnsi="宋体" w:eastAsia="宋体" w:cs="宋体"/>
          <w:sz w:val="21"/>
          <w:szCs w:val="21"/>
        </w:rPr>
        <w:t xml:space="preserve">（以“平方”计量的项目，需委托甲方认可的第三方测绘机构进行测绘，以测绘报告显示的量作为结算依据，测绘费由乙方承担，含在报价中）</w:t>
      </w:r>
      <w:r>
        <w:rPr>
          <w:rFonts w:ascii="宋体" w:hAnsi="宋体" w:eastAsia="宋体" w:cs="宋体"/>
          <w:sz w:val="21"/>
          <w:szCs w:val="21"/>
        </w:rPr>
        <w:t xml:space="preserve">，按实计量。</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甲方仅对报价表单内的项目进行签证；项目组人员费用及其他属于本项目工作内容但报价清单中未单列的项目，费用均含在报价内，不进行签证并不另行计量。</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2、支付</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2.1、服务费支付</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(1)进度款支付</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乙方根据甲方开具的《维修（护）报批单》要求的时间和方式等进行工作，具体工作内容和工作量由甲方签证确认。</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进度款按月考核后支付</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每月支付进度款=实际发生费用*</w:t>
      </w:r>
      <w:r>
        <w:rPr>
          <w:rFonts w:ascii="宋体" w:hAnsi="宋体" w:eastAsia="宋体" w:cs="宋体"/>
          <w:sz w:val="21"/>
          <w:szCs w:val="21"/>
        </w:rPr>
        <w:t xml:space="preserve">50</w:t>
      </w:r>
      <w:r>
        <w:rPr>
          <w:rFonts w:hint="eastAsia" w:ascii="宋体" w:hAnsi="宋体" w:eastAsia="宋体" w:cs="宋体"/>
          <w:sz w:val="21"/>
          <w:szCs w:val="21"/>
        </w:rPr>
        <w:t xml:space="preserve">%-当月考核扣款。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2）尾款支付</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w:t>
      </w:r>
      <w:r>
        <w:rPr>
          <w:rFonts w:ascii="宋体" w:hAnsi="宋体" w:eastAsia="宋体" w:cs="宋体"/>
          <w:sz w:val="21"/>
          <w:szCs w:val="21"/>
        </w:rPr>
        <w:t xml:space="preserve">约完成后，乙方编制</w:t>
      </w:r>
      <w:r>
        <w:rPr>
          <w:rFonts w:hint="eastAsia" w:ascii="宋体" w:hAnsi="宋体" w:eastAsia="宋体" w:cs="宋体"/>
          <w:sz w:val="21"/>
          <w:szCs w:val="21"/>
        </w:rPr>
        <w:t xml:space="preserve">完整的结算送审资料提交甲方由甲方委托审计，在审计结束后，经乙方申请，甲方办理支付尾款。所有款项均不计算利息。</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2.2、支付流程</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每期工作完成，并达到合同约定的支付条件后，于次月5日前向甲方提交完整的付款申请资料，经甲方审核，双方确认支付金额后60天内完成支付工作。支付前乙方应向甲方开具相应金额的增值税发票。因上级部门流转审批致使超出前述期限的甲方不构成违约。</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2.3、支付申请材料</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乙方支付申请材料需提供包含但不限于以下资料，乙方未提交相关资料的或提交的相关资料不符合甲方要求的，甲方有权顺延付款期限：</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（1）履约担保凭证（首次付款）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（2）甲方出具的合格进场核验报告</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（3）合同复印件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（4）工程款支付申请《附完整的完工额计算书》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（5）考核扣款明细表</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（6）项目组成员自履约开始的历次社保缴纳凭证及投标时项目组人员信息材料</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（7）维修（护）报批单与签证单</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（8）政府采购履约验收证书、审计报告（尾款支付）</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33" w:name="_Toc153983285"/>
      <w:r>
        <w:rPr>
          <w:rFonts w:hint="eastAsia" w:ascii="宋体" w:hAnsi="宋体" w:eastAsia="宋体" w:cs="宋体"/>
          <w:b/>
          <w:sz w:val="21"/>
          <w:szCs w:val="21"/>
        </w:rPr>
        <w:t xml:space="preserve">3、结算送审</w:t>
      </w: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3.1送审要求</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乙方履约完成后，经甲方验收合格并签发《政府采购履约验收书》后 60天内，乙方向甲方提交完整的结算送审资料。</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乙方未在上述规定时间内提交完整结算资料的，每拖延1天应向甲方支付500元违约金。</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结算送审资料至少应包括以下内容：（1）工程结算审计工作单和结算送审金额汇总表（含月度养护完工额依次汇总、考核扣款资料等）；（2）合同；（3）采购文件及答疑；（4）中标通知书；（5）投标文件；（6）维修（护）报批单及甲方签证单；（7）履约验收证书；（8）其他资料（如有）。</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3.2 竣工结算审核</w:t>
      </w:r>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因乙方提供的结算送审资料不完整或无正当理由拒不接受审计单位的意见，造成审计时间拖后，其责任由乙方自负。</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所有作业内容均须按甲方要求的程序办理相关手续（包括但不限于：维护（修）报批、甲方签证、验收等），任何未按甲方程序办理相关手续的，所涉工作量均不予结算。在咨询单位结算审价过程中，不再增加任何结算资料（签证单、价格凭证等），送审的结算书中若有遗漏项目均作为让利给甲方，不作增加调整。</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结算审计后，如果结算核减金额超过送审总价的7％，则其结算审计费用的浮动部分中，超过7％部分按核减造价4％计算确定的审计费用由乙方承担，并直接在结算金额中扣除。</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一旦双方确认了结算审计报告，则视为：双方一致同意该结算书的结算价款，工程涉及到的所有费用均已经包括在上述结算金额之中,一旦甲方根据最终结算书付清了工程结算尾款，乙方承诺不再向甲方主张任何价款。</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b/>
          <w:sz w:val="21"/>
          <w:szCs w:val="21"/>
        </w:rPr>
      </w:pPr>
      <w:r>
        <w:rPr>
          <w:rFonts w:hint="eastAsia" w:ascii="宋体" w:hAnsi="宋体" w:eastAsia="宋体" w:cs="宋体"/>
          <w:b/>
          <w:sz w:val="21"/>
          <w:szCs w:val="21"/>
        </w:rPr>
        <w:t xml:space="preserve">三、合同的履行</w:t>
      </w:r>
      <w:bookmarkEnd w:id="33"/>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34" w:name="_Toc153983286"/>
      <w:r>
        <w:rPr>
          <w:rFonts w:hint="eastAsia" w:ascii="宋体" w:hAnsi="宋体" w:eastAsia="宋体" w:cs="宋体"/>
          <w:sz w:val="21"/>
          <w:szCs w:val="21"/>
        </w:rPr>
        <w:t xml:space="preserve">1、服务内容及要求、服务工作管理及考核</w:t>
      </w:r>
      <w:bookmarkEnd w:id="34"/>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详见附件技术要求。</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5" w:name="_Toc153983287"/>
      <w:r>
        <w:rPr>
          <w:rFonts w:hint="eastAsia" w:ascii="宋体" w:hAnsi="宋体" w:eastAsia="宋体" w:cs="宋体"/>
          <w:sz w:val="21"/>
          <w:szCs w:val="21"/>
        </w:rPr>
        <w:t xml:space="preserve">2、乙方人员及设备配备</w:t>
      </w:r>
      <w:bookmarkEnd w:id="35"/>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2.1、本项目乙方委派的项目组成员</w:t>
      </w:r>
      <w:r>
        <w:rPr>
          <w:rFonts w:ascii="宋体" w:hAnsi="宋体" w:eastAsia="宋体" w:cs="宋体"/>
          <w:sz w:val="21"/>
          <w:szCs w:val="21"/>
        </w:rPr>
      </w:r>
      <w:r/>
    </w:p>
    <w:p>
      <w:pPr>
        <w:pStyle w:val="934"/>
        <w:ind w:firstLine="420"/>
        <w:spacing w:line="300" w:lineRule="auto"/>
        <w:rPr>
          <w:rFonts w:ascii="宋体" w:hAnsi="宋体" w:eastAsia="宋体" w:cs="宋体"/>
          <w:sz w:val="21"/>
          <w:szCs w:val="21"/>
          <w:u w:val="single"/>
        </w:rPr>
      </w:pPr>
      <w:r>
        <w:rPr>
          <w:rFonts w:hint="eastAsia" w:ascii="宋体" w:hAnsi="宋体" w:eastAsia="宋体" w:cs="宋体"/>
          <w:sz w:val="21"/>
          <w:szCs w:val="21"/>
        </w:rPr>
        <w:t xml:space="preserve">项目经理：</w:t>
      </w:r>
      <w:r>
        <w:rPr>
          <w:rFonts w:hint="eastAsia" w:ascii="宋体" w:hAnsi="宋体" w:eastAsia="宋体" w:cs="宋体"/>
          <w:sz w:val="21"/>
          <w:szCs w:val="21"/>
          <w:u w:val="single"/>
        </w:rPr>
        <w:t xml:space="preserve">姓名****，身份证号******** </w:t>
      </w:r>
      <w:r>
        <w:rPr>
          <w:rFonts w:ascii="宋体" w:hAnsi="宋体" w:eastAsia="宋体" w:cs="宋体"/>
          <w:sz w:val="21"/>
          <w:szCs w:val="21"/>
          <w:u w:val="single"/>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项目组其他人员详见合同附件。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2.2、本项目乙方投入的车辆、设备</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详见合同附件。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6" w:name="_Toc153983288"/>
      <w:r>
        <w:rPr>
          <w:rFonts w:hint="eastAsia" w:ascii="宋体" w:hAnsi="宋体" w:eastAsia="宋体" w:cs="宋体"/>
          <w:sz w:val="21"/>
          <w:szCs w:val="21"/>
        </w:rPr>
        <w:t xml:space="preserve">3、进场核验</w:t>
      </w:r>
      <w:bookmarkEnd w:id="36"/>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进场核验，系为实现合同目的，甲方组织乙方项目负责人等相关人员，按照采购文件的要求与乙方投标承诺，对乙方拟投入本项目的项目组人员的到位情况进行现场核验，由甲方出具进场核验报告，认定是否达到相关要求，评定合格或不合格的行为。</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进场核验的时间期间为中标通知书发出之日起两日内，由乙方报请甲方进行核验。现场核验符合采购文件要求与乙方投标承诺的，由甲方出具“合格”的进场核验报告；现场核验不符合采购文件要求或乙方投标承诺的，由甲方依照现场核验的实际情况，在进场核验报告中明确不符合事项，载明双方约定的整改期限，出具相应的进场核验报告。</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乙方未通过甲方进场核验的，视为乙方未按照合同约定履约，甲方自进场核验之日起按合同金额的万分之四每日的标准向乙方收取违约金；经两次整改仍不符合</w:t>
      </w:r>
      <w:r>
        <w:rPr>
          <w:rFonts w:hint="eastAsia" w:ascii="宋体" w:hAnsi="宋体" w:eastAsia="宋体" w:cs="宋体"/>
          <w:sz w:val="21"/>
          <w:szCs w:val="21"/>
        </w:rPr>
        <w:t xml:space="preserve">进场核验要求的，甲方有权解除合同；合同解除的，自合同解除之日起，三年内乙方参与甲方或与甲方存在管理关系单位的采购活动，甲方有权拒绝。</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7" w:name="_Toc153983289"/>
      <w:r>
        <w:rPr>
          <w:rFonts w:hint="eastAsia" w:ascii="宋体" w:hAnsi="宋体" w:eastAsia="宋体" w:cs="宋体"/>
          <w:sz w:val="21"/>
          <w:szCs w:val="21"/>
        </w:rPr>
        <w:t xml:space="preserve">4、双方权利和义务</w:t>
      </w:r>
      <w:bookmarkEnd w:id="3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4.1、甲方权利和义务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(1)甲方有根据合同对乙方的作业量和作业质量进行检查和考核的权利；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(2)甲方有权自行或邀请第三方或接受社会监督等形式对履约质量进行监管。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(3)乙方未按合同规定的标准作业，甲方有要求乙方整改的权利；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(4)甲方有根据考核结果核减乙方作业费用的权利;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(5)有向乙方通告检查及考核结果的义务;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(6)甲方有向乙方解释作业标准及相关工艺的义务；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(7)甲方有按时支付价款的义务，因上级部门流转审批致使超出前述期限的甲方免责。</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4.2、乙方权利义务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(1)乙方有自主经营，组织生产的权利；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(2)乙方有对作业标准、检查结果要求甲方进行解释说明的权利；</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(3)乙方在合同规定的作业范围进行规范操作，如遇到影响作业的外界因素，可以请甲方进行协调；</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（4）乙方应严格落实安全生产主体责任,确保做好安全生产管理工作</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（6）合同履行期间，因养护施工不力导致第三方损失的，乙方应及时妥善处理。</w:t>
      </w:r>
      <w:r>
        <w:rPr>
          <w:rFonts w:hint="eastAsia" w:ascii="宋体" w:hAnsi="宋体" w:eastAsia="宋体" w:cs="宋体"/>
          <w:sz w:val="21"/>
          <w:szCs w:val="21"/>
        </w:rPr>
        <w:t xml:space="preserve">①</w:t>
      </w:r>
      <w:r>
        <w:rPr>
          <w:rFonts w:ascii="宋体" w:hAnsi="宋体" w:eastAsia="宋体" w:cs="宋体"/>
          <w:sz w:val="21"/>
          <w:szCs w:val="21"/>
        </w:rPr>
        <w:t xml:space="preserve">乙方应优先调解处理。第三方要求甲方及相关方赔偿损失的，乙方应主动参与纠纷处理，引导第三方，将矛盾转移到乙方，并承担全部法律责任和经济赔偿责任。</w:t>
      </w:r>
      <w:r>
        <w:rPr>
          <w:rFonts w:hint="eastAsia" w:ascii="宋体" w:hAnsi="宋体" w:eastAsia="宋体" w:cs="宋体"/>
          <w:sz w:val="21"/>
          <w:szCs w:val="21"/>
        </w:rPr>
        <w:t xml:space="preserve">②</w:t>
      </w:r>
      <w:r>
        <w:rPr>
          <w:rFonts w:ascii="宋体" w:hAnsi="宋体" w:eastAsia="宋体" w:cs="宋体"/>
          <w:sz w:val="21"/>
          <w:szCs w:val="21"/>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(7)乙方有保存相关资料，配合甲方进行检查并提供相关报告的义务；</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(8)乙方负责对作业范围内产生的市民投诉、舆情应对及其他应急突发事件处理等工作。</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8" w:name="_Toc153983290"/>
      <w:r>
        <w:rPr>
          <w:rFonts w:hint="eastAsia" w:ascii="宋体" w:hAnsi="宋体" w:eastAsia="宋体" w:cs="宋体"/>
          <w:sz w:val="21"/>
          <w:szCs w:val="21"/>
        </w:rPr>
        <w:t xml:space="preserve">5、验收与移交 </w:t>
      </w:r>
      <w:bookmarkEnd w:id="38"/>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5.1、验收标准</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ascii="宋体" w:hAnsi="宋体" w:eastAsia="宋体" w:cs="宋体"/>
          <w:sz w:val="21"/>
          <w:szCs w:val="21"/>
        </w:rPr>
        <w:t xml:space="preserve">本项目将根据政府采购法及相关法规，以及</w:t>
      </w:r>
      <w:r>
        <w:rPr>
          <w:rFonts w:hint="eastAsia" w:ascii="宋体" w:hAnsi="宋体" w:eastAsia="宋体" w:cs="宋体"/>
          <w:sz w:val="21"/>
          <w:szCs w:val="21"/>
        </w:rPr>
        <w:t xml:space="preserve">《园林绿化养护标准》（CJJ/T287-2018）、《江苏省城市园林绿化植物养护管理规范》（苏建园[2015]383号）、</w:t>
      </w:r>
      <w:r>
        <w:rPr>
          <w:rFonts w:ascii="宋体" w:hAnsi="宋体" w:eastAsia="宋体" w:cs="宋体"/>
          <w:sz w:val="21"/>
          <w:szCs w:val="21"/>
        </w:rPr>
        <w:t xml:space="preserve">《江苏省政府采购履约验收管理办法》和《苏州工业园区政府采购履约验收管理暂行办法》等文件的规定，对供应商进行履约验收，确认验收合格的，将出具《政府采购履约验收书》。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5.2、养护验收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履约到期前</w:t>
      </w:r>
      <w:r>
        <w:rPr>
          <w:rFonts w:ascii="宋体" w:hAnsi="宋体" w:eastAsia="宋体" w:cs="宋体"/>
          <w:sz w:val="21"/>
          <w:szCs w:val="21"/>
        </w:rPr>
        <w:t xml:space="preserve">7</w:t>
      </w:r>
      <w:r>
        <w:rPr>
          <w:rFonts w:hint="eastAsia" w:ascii="宋体" w:hAnsi="宋体" w:eastAsia="宋体" w:cs="宋体"/>
          <w:sz w:val="21"/>
          <w:szCs w:val="21"/>
        </w:rPr>
        <w:t xml:space="preserve">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39" w:name="_Toc153983291"/>
      <w:r>
        <w:rPr>
          <w:rFonts w:hint="eastAsia" w:ascii="宋体" w:hAnsi="宋体" w:eastAsia="宋体" w:cs="宋体"/>
          <w:sz w:val="21"/>
          <w:szCs w:val="21"/>
        </w:rPr>
        <w:t xml:space="preserve">6、履约</w:t>
      </w:r>
      <w:bookmarkEnd w:id="39"/>
      <w:r>
        <w:rPr>
          <w:rFonts w:hint="eastAsia" w:ascii="宋体" w:hAnsi="宋体" w:eastAsia="宋体" w:cs="宋体"/>
          <w:sz w:val="21"/>
          <w:szCs w:val="21"/>
        </w:rPr>
        <w:t xml:space="preserve">担保</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本项目履约担保金金额为人民币（大写）：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（小写：¥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履约担保金（无息）在养护期满经甲方验收合格签发《政府采购履约验收书》后退还。如乙方对养护缺陷不予更正，甲方有权另请其他单位代为更正，所发生的费用在履约担保金中扣除，不足部分由乙方以自有资金即时主动补足。乙方在本协议或本项目项下应当承担的其他违约金、欠款、赔偿等各种款项，甲方亦有权直接从履约担保金中扣除，不足部分由乙方以自有资金即时主动补足。</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rPr>
          <w:rFonts w:ascii="宋体" w:hAnsi="宋体" w:eastAsia="宋体" w:cs="宋体"/>
          <w:b/>
          <w:sz w:val="21"/>
          <w:szCs w:val="21"/>
        </w:rPr>
      </w:r>
      <w:r/>
    </w:p>
    <w:p>
      <w:pPr>
        <w:pStyle w:val="934"/>
        <w:ind w:firstLine="422"/>
        <w:spacing w:line="300" w:lineRule="auto"/>
        <w:rPr>
          <w:rFonts w:ascii="宋体" w:hAnsi="宋体" w:eastAsia="宋体" w:cs="宋体"/>
          <w:color w:val="0000ff"/>
          <w:sz w:val="21"/>
          <w:szCs w:val="21"/>
        </w:rPr>
      </w:pPr>
      <w:r/>
      <w:bookmarkStart w:id="40" w:name="_Toc153983292"/>
      <w:r>
        <w:rPr>
          <w:rFonts w:hint="eastAsia" w:ascii="宋体" w:hAnsi="宋体" w:eastAsia="宋体" w:cs="宋体"/>
          <w:b/>
          <w:sz w:val="21"/>
          <w:szCs w:val="21"/>
        </w:rPr>
        <w:t xml:space="preserve">四、合同的变更、解除和终止</w:t>
      </w:r>
      <w:bookmarkEnd w:id="40"/>
      <w:r>
        <w:rPr>
          <w:rFonts w:ascii="宋体" w:hAnsi="宋体" w:eastAsia="宋体" w:cs="宋体"/>
          <w:color w:val="0000ff"/>
          <w:sz w:val="21"/>
          <w:szCs w:val="21"/>
        </w:rPr>
      </w:r>
      <w:r/>
    </w:p>
    <w:p>
      <w:pPr>
        <w:pStyle w:val="934"/>
        <w:ind w:firstLine="420"/>
        <w:spacing w:line="300" w:lineRule="auto"/>
        <w:rPr>
          <w:rFonts w:ascii="宋体" w:hAnsi="宋体" w:eastAsia="宋体" w:cs="宋体"/>
          <w:sz w:val="21"/>
          <w:szCs w:val="21"/>
        </w:rPr>
      </w:pPr>
      <w:r/>
      <w:bookmarkStart w:id="41" w:name="_Toc153983293"/>
      <w:r>
        <w:rPr>
          <w:rFonts w:hint="eastAsia" w:ascii="宋体" w:hAnsi="宋体" w:eastAsia="宋体" w:cs="宋体"/>
          <w:sz w:val="21"/>
          <w:szCs w:val="21"/>
        </w:rPr>
        <w:t xml:space="preserve">1、合同变更</w:t>
      </w:r>
      <w:bookmarkEnd w:id="41"/>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2" w:name="_Toc153983295"/>
      <w:r>
        <w:rPr>
          <w:rFonts w:hint="eastAsia" w:ascii="宋体" w:hAnsi="宋体" w:eastAsia="宋体" w:cs="宋体"/>
          <w:sz w:val="21"/>
          <w:szCs w:val="21"/>
        </w:rPr>
        <w:t xml:space="preserve">1.1、</w:t>
      </w:r>
      <w:bookmarkEnd w:id="42"/>
      <w:r>
        <w:rPr>
          <w:rFonts w:hint="eastAsia" w:ascii="宋体" w:hAnsi="宋体" w:eastAsia="宋体" w:cs="宋体"/>
          <w:sz w:val="21"/>
          <w:szCs w:val="21"/>
        </w:rPr>
        <w:t xml:space="preserve">甲方如有本合同之外的委托，双方另行协商签订补充协议或另行签订合同，费用参照本合同标准执行，补充协议或另行签订合同的合计金额不超过本合同金额的10%。</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1.2、在合同期内，乙方出现无法正常履约的情形，甲方有权进行应急处理。甲方有权请第三方代为管理或服务，相关费用经甲方认可后从本合同服务费中予以扣除，直接支付给第三方。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1.3、未经甲方书面允许，乙方不得转让、分包本合同，否则视为乙方违约。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3" w:name="_Toc153983297"/>
      <w:r>
        <w:rPr>
          <w:rFonts w:hint="eastAsia" w:ascii="宋体" w:hAnsi="宋体" w:eastAsia="宋体" w:cs="宋体"/>
          <w:sz w:val="21"/>
          <w:szCs w:val="21"/>
        </w:rPr>
        <w:t xml:space="preserve">2、合同甲方主体的变更</w:t>
      </w:r>
      <w:bookmarkEnd w:id="43"/>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因上级政策、组织结构等调整，甲方有权概括转让本合同的权利义务，乙方须无条件接受；转让自甲方的书面通知送达乙方时生效。</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4" w:name="_Toc153983298"/>
      <w:r>
        <w:rPr>
          <w:rFonts w:hint="eastAsia" w:ascii="宋体" w:hAnsi="宋体" w:eastAsia="宋体" w:cs="宋体"/>
          <w:sz w:val="21"/>
          <w:szCs w:val="21"/>
        </w:rPr>
        <w:t xml:space="preserve">3、合同的解除和终止</w:t>
      </w:r>
      <w:bookmarkEnd w:id="44"/>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3.1、甲方和乙方协商一致，可以解除合同。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3.2如本政府采购合同</w:t>
      </w:r>
      <w:bookmarkStart w:id="45" w:name="OLE_LINK2"/>
      <w:r/>
      <w:bookmarkStart w:id="46" w:name="OLE_LINK1"/>
      <w:r>
        <w:rPr>
          <w:rFonts w:hint="eastAsia" w:ascii="宋体" w:hAnsi="宋体" w:eastAsia="宋体" w:cs="宋体"/>
          <w:sz w:val="21"/>
          <w:szCs w:val="21"/>
        </w:rPr>
        <w:t xml:space="preserve">继续履行</w:t>
      </w:r>
      <w:bookmarkEnd w:id="45"/>
      <w:r/>
      <w:bookmarkEnd w:id="46"/>
      <w:r>
        <w:rPr>
          <w:rFonts w:hint="eastAsia" w:ascii="宋体" w:hAnsi="宋体" w:eastAsia="宋体" w:cs="宋体"/>
          <w:sz w:val="21"/>
          <w:szCs w:val="21"/>
        </w:rPr>
        <w:t xml:space="preserve">将损害国家利益和社会公共利益的，应当变更、中止或者终止、解除合同。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3.3、在合同期内，符合以下情形之一的，甲方有权单方面解除本合同：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(1)根据履约评价考核相关办法，乙方年度履约评价为D级的；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(2)根据履约评价考核相关办法，乙方连续两年履约评价结果为C级的；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(3)根据履约评价与考核相关办法，乙方连续2个月日常考核分数低于60分的；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(4)乙方以联合体形式中标履约的，联合体成员一方破产或注销的；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(5)乙方为本合同服务的人员（车辆）出现罢工或停止正常作业服务，经甲方通知或相关政府部门通告后，乙方24小时内未能恢复正常作业服务或未能提供能保障正常履约服务的书面证明材料的；</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7" w:name="_Toc153983299"/>
      <w:r>
        <w:rPr>
          <w:rFonts w:hint="eastAsia" w:ascii="宋体" w:hAnsi="宋体" w:eastAsia="宋体" w:cs="宋体"/>
          <w:sz w:val="21"/>
          <w:szCs w:val="21"/>
        </w:rPr>
        <w:t xml:space="preserve">4、不可抗力</w:t>
      </w:r>
      <w:bookmarkEnd w:id="4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4.1、因不可抗力不能履行本合同的，根据不可抗力的影响，部分或者全部免除责任。但合同一方迟延履行合同义务后发生不可抗力的，违约方不能免除责任。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4.2、合同一方因不可抗力不能履行本合同的，应当及时通知对方，以减轻可能给对方造成的损失，并应当在不可抗力发生之日起15日内提供权威部门出具的认定不可抗力的证明。</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48" w:name="_Toc153983300"/>
      <w:r>
        <w:rPr>
          <w:rFonts w:hint="eastAsia" w:ascii="宋体" w:hAnsi="宋体" w:eastAsia="宋体" w:cs="宋体"/>
          <w:b/>
          <w:sz w:val="21"/>
          <w:szCs w:val="21"/>
        </w:rPr>
        <w:t xml:space="preserve">五、违约责任</w:t>
      </w:r>
      <w:bookmarkEnd w:id="48"/>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合同一方不履行合同义务或者履行合同义务不符合约定的，应当承担继续履行、采取补救措施或赔偿损失等违约责任。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49" w:name="_Toc153983301"/>
      <w:r>
        <w:rPr>
          <w:rFonts w:hint="eastAsia" w:ascii="宋体" w:hAnsi="宋体" w:eastAsia="宋体" w:cs="宋体"/>
          <w:sz w:val="21"/>
          <w:szCs w:val="21"/>
        </w:rPr>
        <w:t xml:space="preserve">1、甲方违约责任</w:t>
      </w:r>
      <w:bookmarkEnd w:id="49"/>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甲方未按照约定时间支付合同价款的，应当承担逾期付款违约责任。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0" w:name="_Toc153983302"/>
      <w:r>
        <w:rPr>
          <w:rFonts w:hint="eastAsia" w:ascii="宋体" w:hAnsi="宋体" w:eastAsia="宋体" w:cs="宋体"/>
          <w:sz w:val="21"/>
          <w:szCs w:val="21"/>
        </w:rPr>
        <w:t xml:space="preserve">2、乙方违约责任</w:t>
      </w:r>
      <w:bookmarkEnd w:id="50"/>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2.1、甲方有权按照本合同规定对乙方进行考核，并按照考核办法的规定要求乙方承担相应责任。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2.2、乙方承担的违约金不足以赔偿甲方实际损失的，甲方有权要求乙方继续赔偿。</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2.3、乙方履行合同不符合合同要求的，甲方有权责令乙方立即改正，乙方拒不改正或已经造成不良社会影响的，甲方有权要求乙方承担责任。</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2.4、乙方履行合同不符合要求，被取消中标资格（或终止、解除合同）的，并不能免除其支付违约金的责任，且乙方将在三年内不得参与甲方所有招标项目的投标。</w:t>
      </w:r>
      <w:r>
        <w:rPr>
          <w:rFonts w:hint="eastAsia"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2.5、乙方不履行与甲方订立的合同的，履约保证金不予退还，给甲方造成的损失超过履约保证金数额的，还应当对超过部分予以赔偿；没有提交履约保证金的，应当对甲方的损失承担赔偿责任。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2.6、乙方在一个考核年度内未能完全履行相关义务造成服务中断、员工上访、罢工歇业、劳动合同争议或其他纠纷，甲方有权拒付当年度服务费尾款，并由乙方承担违约责任。</w:t>
      </w:r>
      <w:r>
        <w:rPr>
          <w:rFonts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51" w:name="_Toc153983303"/>
      <w:r>
        <w:rPr>
          <w:rFonts w:hint="eastAsia" w:ascii="宋体" w:hAnsi="宋体" w:eastAsia="宋体" w:cs="宋体"/>
          <w:b/>
          <w:sz w:val="21"/>
          <w:szCs w:val="21"/>
        </w:rPr>
        <w:t xml:space="preserve">六、合同的争议解决</w:t>
      </w:r>
      <w:bookmarkEnd w:id="51"/>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52" w:name="_Toc153983304"/>
      <w:r>
        <w:rPr>
          <w:rFonts w:hint="eastAsia" w:ascii="宋体" w:hAnsi="宋体" w:eastAsia="宋体" w:cs="宋体"/>
          <w:sz w:val="21"/>
          <w:szCs w:val="21"/>
        </w:rPr>
        <w:t xml:space="preserve">1、管辖法院及送达</w:t>
      </w:r>
      <w:bookmarkEnd w:id="52"/>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本合同未尽之处双方协商解决。本合同发生争议无法协商解决时，双方同意向甲方所在地有管辖权的人民法院诉讼解决。除有争议条款外，本合同其他条款继续履行。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2、乙方保证本合同中明确的通讯方式为乙方单位各类文书送达地址，如发生变化，乙方应提前3日书面加盖公章通知甲方。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3、甲方可选择邮寄（包括特快专递、平信邮寄、挂号邮寄）、传真、电子通讯方式或专人送达等任一方式送达乙方。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4、因乙方提供的地址不准确、或变更未及时告知，或者乙方拒绝签收的，或者无人签收等，导致未被实际接收的，退回之日视为送达之日。且甲方有权但无义务再按照其他通讯方式向乙方送达。</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5、如甲乙之间因合同纠纷发生争议诉至法院，乙方确认本合同载明的上述地址为人民法院司法文书的送达地址。</w:t>
      </w:r>
      <w:r>
        <w:rPr>
          <w:rFonts w:ascii="宋体" w:hAnsi="宋体" w:eastAsia="宋体" w:cs="宋体"/>
          <w:sz w:val="21"/>
          <w:szCs w:val="21"/>
        </w:rPr>
      </w:r>
      <w:r/>
    </w:p>
    <w:p>
      <w:pPr>
        <w:pStyle w:val="934"/>
        <w:ind w:firstLine="422"/>
        <w:spacing w:line="300" w:lineRule="auto"/>
        <w:rPr>
          <w:rFonts w:ascii="宋体" w:hAnsi="宋体" w:eastAsia="宋体" w:cs="宋体"/>
          <w:sz w:val="21"/>
          <w:szCs w:val="21"/>
        </w:rPr>
      </w:pPr>
      <w:r/>
      <w:bookmarkStart w:id="53" w:name="_Toc153983305"/>
      <w:r>
        <w:rPr>
          <w:rFonts w:hint="eastAsia" w:ascii="宋体" w:hAnsi="宋体" w:eastAsia="宋体" w:cs="宋体"/>
          <w:b/>
          <w:sz w:val="21"/>
          <w:szCs w:val="21"/>
        </w:rPr>
        <w:t xml:space="preserve">七、其他内容</w:t>
      </w:r>
      <w:bookmarkEnd w:id="53"/>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1、关于不得拖欠作业工人劳动报酬的规定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2、防暑降温用品发放要求</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乙方需在夏季高温期间，为其聘用的作业人员发放防暑降温用品。如有因防暑降温用品发放问题导致的劳务纠纷均由乙方负责并承担相应责任。</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3、中小企业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中小企业依据预留项目和价格扣除等优惠政策获取政府采购合同后，小型、微型企业不得分包或转包给大型、中型企业，中型企业不得分包或转包给大型企业。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4、“园采贷”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5、乙方账号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开户名称：******</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开户银行：******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银行账号：******</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6、履约评价</w:t>
      </w:r>
      <w:r>
        <w:rPr>
          <w:rFonts w:ascii="宋体" w:hAnsi="宋体" w:eastAsia="宋体" w:cs="宋体"/>
          <w:sz w:val="21"/>
          <w:szCs w:val="21"/>
        </w:rPr>
      </w:r>
      <w:r/>
    </w:p>
    <w:p>
      <w:pPr>
        <w:pStyle w:val="934"/>
        <w:ind w:firstLine="420"/>
        <w:spacing w:line="300" w:lineRule="auto"/>
        <w:rPr>
          <w:rFonts w:hint="eastAsia" w:ascii="宋体" w:hAnsi="宋体" w:eastAsia="宋体" w:cs="宋体"/>
          <w:sz w:val="21"/>
          <w:szCs w:val="21"/>
        </w:rPr>
      </w:pPr>
      <w:r>
        <w:rPr>
          <w:rFonts w:hint="eastAsia" w:ascii="宋体" w:hAnsi="宋体" w:eastAsia="宋体" w:cs="宋体"/>
          <w:sz w:val="21"/>
          <w:szCs w:val="21"/>
        </w:rPr>
        <w:t xml:space="preserve">乙方自愿接受《苏州工业园区城维项目承包企业履约评价考核实施办法》根据相关监管要求的动态调整。</w:t>
      </w:r>
      <w:r>
        <w:rPr>
          <w:rFonts w:hint="eastAsia" w:ascii="宋体" w:hAnsi="宋体" w:eastAsia="宋体" w:cs="宋体"/>
          <w:sz w:val="21"/>
          <w:szCs w:val="21"/>
        </w:rPr>
      </w:r>
      <w:r/>
    </w:p>
    <w:p>
      <w:pPr>
        <w:pStyle w:val="934"/>
        <w:ind w:firstLine="422"/>
        <w:spacing w:line="300" w:lineRule="auto"/>
        <w:rPr>
          <w:rFonts w:ascii="宋体" w:hAnsi="宋体" w:eastAsia="宋体" w:cs="宋体"/>
          <w:b/>
          <w:sz w:val="21"/>
          <w:szCs w:val="21"/>
        </w:rPr>
      </w:pPr>
      <w:r/>
      <w:bookmarkStart w:id="54" w:name="_Toc153983306"/>
      <w:r>
        <w:rPr>
          <w:rFonts w:hint="eastAsia" w:ascii="宋体" w:hAnsi="宋体" w:eastAsia="宋体" w:cs="宋体"/>
          <w:b/>
          <w:sz w:val="21"/>
          <w:szCs w:val="21"/>
        </w:rPr>
        <w:t xml:space="preserve">八、合同的组成、解释及份数</w:t>
      </w:r>
      <w:bookmarkEnd w:id="54"/>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bookmarkStart w:id="55" w:name="_Toc153983308"/>
      <w:r>
        <w:rPr>
          <w:rFonts w:hint="eastAsia" w:ascii="宋体" w:hAnsi="宋体" w:eastAsia="宋体" w:cs="宋体"/>
          <w:sz w:val="21"/>
          <w:szCs w:val="21"/>
        </w:rPr>
        <w:t xml:space="preserve">1、合同文件的组成</w:t>
      </w:r>
      <w:bookmarkEnd w:id="55"/>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1.1.下列文件为本合同不可分割部分：</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（1）中标通知书；</w:t>
      </w:r>
      <w:r>
        <w:rPr>
          <w:rFonts w:ascii="宋体" w:hAnsi="宋体" w:eastAsia="宋体" w:cs="宋体"/>
          <w:sz w:val="21"/>
          <w:szCs w:val="21"/>
        </w:rPr>
        <w:t xml:space="preserve"> </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（2）乙方的投标文件；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（3）乙方在招投标过程中所作的其它承诺、声明、书面澄清等；</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（4）采购文件及其附件；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（5）其他合同附件。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1.2、本合同履行过程中产生的纪要、协议以及中标通知书、投标文件和采购文件，双方有关本项目的洽商、变更等书面协议或文件视为本合同协议条款的组成部分，与合同具有同等效力。</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6" w:name="_Toc153983309"/>
      <w:r>
        <w:rPr>
          <w:rFonts w:hint="eastAsia" w:ascii="宋体" w:hAnsi="宋体" w:eastAsia="宋体" w:cs="宋体"/>
          <w:sz w:val="21"/>
          <w:szCs w:val="21"/>
        </w:rPr>
        <w:t xml:space="preserve">2、合同的文字和解释</w:t>
      </w:r>
      <w:bookmarkEnd w:id="56"/>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本合同文件使用中文书写、解释和说明；本合同未尽事宜参照《中华人民共和国民法典》、《中华人民共和国政府采购法》以及其他相关法律、法规之规定。</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bookmarkStart w:id="57" w:name="_Toc153983310"/>
      <w:r>
        <w:rPr>
          <w:rFonts w:hint="eastAsia" w:ascii="宋体" w:hAnsi="宋体" w:eastAsia="宋体" w:cs="宋体"/>
          <w:sz w:val="21"/>
          <w:szCs w:val="21"/>
        </w:rPr>
        <w:t xml:space="preserve">3、合同正本的数量</w:t>
      </w:r>
      <w:bookmarkEnd w:id="57"/>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合同一式五份，甲方及相关部门执三份，乙方执一份，采购代理机构一份，各份具有同等法律效力。</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4、签订日期与签订地点</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本合同于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日签订。合同签订地点：苏州工业园区。</w:t>
      </w:r>
      <w:r>
        <w:rPr>
          <w:rFonts w:ascii="宋体" w:hAnsi="宋体" w:eastAsia="宋体" w:cs="宋体"/>
          <w:sz w:val="21"/>
          <w:szCs w:val="21"/>
        </w:rPr>
      </w:r>
      <w:r/>
    </w:p>
    <w:p>
      <w:pPr>
        <w:pStyle w:val="934"/>
        <w:ind w:firstLine="480"/>
        <w:spacing w:line="300" w:lineRule="auto"/>
        <w:rPr>
          <w:rFonts w:hint="eastAsia" w:ascii="方正仿宋简体" w:hAnsi="创艺简仿宋" w:eastAsia="方正仿宋简体"/>
          <w:sz w:val="24"/>
        </w:rPr>
      </w:pPr>
      <w:r>
        <w:rPr>
          <w:rFonts w:hint="eastAsia" w:ascii="方正仿宋简体" w:hAnsi="创艺简仿宋" w:eastAsia="方正仿宋简体"/>
          <w:sz w:val="24"/>
        </w:rPr>
      </w:r>
      <w:r/>
    </w:p>
    <w:p>
      <w:pPr>
        <w:pStyle w:val="934"/>
        <w:ind w:firstLine="422"/>
        <w:spacing w:line="300" w:lineRule="auto"/>
        <w:rPr>
          <w:rFonts w:ascii="宋体" w:hAnsi="宋体" w:eastAsia="宋体" w:cs="宋体"/>
          <w:b/>
          <w:sz w:val="21"/>
          <w:szCs w:val="21"/>
        </w:rPr>
      </w:pPr>
      <w:r/>
      <w:bookmarkStart w:id="58" w:name="_Toc153983311"/>
      <w:r>
        <w:rPr>
          <w:rFonts w:hint="eastAsia" w:ascii="宋体" w:hAnsi="宋体" w:eastAsia="宋体" w:cs="宋体"/>
          <w:b/>
          <w:sz w:val="21"/>
          <w:szCs w:val="21"/>
        </w:rPr>
        <w:t xml:space="preserve">九、合同附件</w:t>
      </w:r>
      <w:bookmarkEnd w:id="58"/>
      <w:r>
        <w:rPr>
          <w:rFonts w:ascii="宋体" w:hAnsi="宋体" w:eastAsia="宋体" w:cs="宋体"/>
          <w:b/>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1、廉政合同</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2、项目安全协议书</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【以下附件目录为合同签订时逐项列明：</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3、投标报价表（来自投标文件）</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4、拟投入项目组人员表（来自投标文件）</w:t>
      </w:r>
      <w:r>
        <w:rPr>
          <w:rFonts w:ascii="宋体" w:hAnsi="宋体" w:eastAsia="宋体" w:cs="宋体"/>
          <w:sz w:val="21"/>
          <w:szCs w:val="21"/>
        </w:rPr>
      </w:r>
      <w:r/>
    </w:p>
    <w:p>
      <w:pPr>
        <w:pStyle w:val="934"/>
        <w:ind w:firstLine="420"/>
        <w:rPr>
          <w:rFonts w:ascii="宋体" w:hAnsi="宋体" w:eastAsia="宋体" w:cs="宋体"/>
          <w:sz w:val="21"/>
          <w:szCs w:val="21"/>
        </w:rPr>
      </w:pPr>
      <w:r>
        <w:rPr>
          <w:rFonts w:hint="eastAsia" w:ascii="宋体" w:hAnsi="宋体" w:eastAsia="宋体" w:cs="宋体"/>
          <w:sz w:val="21"/>
          <w:szCs w:val="21"/>
        </w:rPr>
        <w:t xml:space="preserve">5、设备配备要求/设备配备表（来自投标文件</w:t>
      </w:r>
      <w:r>
        <w:rPr>
          <w:rFonts w:ascii="宋体" w:hAnsi="宋体" w:eastAsia="宋体" w:cs="宋体"/>
          <w:sz w:val="21"/>
          <w:szCs w:val="21"/>
        </w:rPr>
        <w:t xml:space="preserve">）</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6、人员专用原则</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7、技术要求】</w:t>
      </w:r>
      <w:r>
        <w:rPr>
          <w:rFonts w:ascii="宋体" w:hAnsi="宋体" w:eastAsia="宋体" w:cs="宋体"/>
          <w:sz w:val="21"/>
          <w:szCs w:val="21"/>
        </w:rPr>
      </w:r>
      <w:r/>
    </w:p>
    <w:p>
      <w:pPr>
        <w:pStyle w:val="934"/>
        <w:ind w:firstLine="420"/>
        <w:rPr>
          <w:rFonts w:ascii="宋体" w:hAnsi="宋体" w:eastAsia="宋体" w:cs="宋体"/>
          <w:color w:val="0000ff"/>
          <w:sz w:val="21"/>
          <w:szCs w:val="21"/>
        </w:rPr>
      </w:pPr>
      <w:r>
        <w:rPr>
          <w:rFonts w:ascii="宋体" w:hAnsi="宋体" w:eastAsia="宋体" w:cs="宋体"/>
          <w:color w:val="0000ff"/>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甲方：                                       乙方：                         </w:t>
      </w: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（加盖公章或合同专用章）                    （加盖公章或合同专用章）        </w:t>
      </w:r>
      <w:r>
        <w:rPr>
          <w:rFonts w:ascii="宋体" w:hAnsi="宋体" w:eastAsia="宋体" w:cs="宋体"/>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ind w:firstLine="420"/>
        <w:spacing w:line="300" w:lineRule="auto"/>
        <w:rPr>
          <w:rFonts w:ascii="宋体" w:hAnsi="宋体" w:eastAsia="宋体" w:cs="宋体"/>
          <w:sz w:val="21"/>
          <w:szCs w:val="21"/>
        </w:rPr>
      </w:pPr>
      <w:r>
        <w:rPr>
          <w:rFonts w:hint="eastAsia" w:ascii="宋体" w:hAnsi="宋体" w:eastAsia="宋体" w:cs="宋体"/>
          <w:sz w:val="21"/>
          <w:szCs w:val="21"/>
        </w:rPr>
        <w:t xml:space="preserve">法定代表人（签字或签章）：                    法定代表人（签字或签章）：   </w:t>
      </w:r>
      <w:r>
        <w:rPr>
          <w:rFonts w:ascii="宋体" w:hAnsi="宋体" w:eastAsia="宋体" w:cs="宋体"/>
          <w:sz w:val="21"/>
          <w:szCs w:val="21"/>
        </w:rPr>
      </w:r>
      <w:r/>
    </w:p>
    <w:p>
      <w:pPr>
        <w:pStyle w:val="934"/>
        <w:ind w:firstLine="420"/>
        <w:rPr>
          <w:rFonts w:ascii="宋体" w:hAnsi="宋体" w:eastAsia="宋体" w:cs="宋体"/>
          <w:sz w:val="21"/>
          <w:szCs w:val="21"/>
        </w:rPr>
      </w:pPr>
      <w:r>
        <w:rPr>
          <w:rFonts w:ascii="宋体" w:hAnsi="宋体" w:eastAsia="宋体" w:cs="宋体"/>
          <w:sz w:val="21"/>
          <w:szCs w:val="21"/>
        </w:rPr>
      </w:r>
      <w:r/>
    </w:p>
    <w:p>
      <w:pPr>
        <w:pStyle w:val="934"/>
        <w:rPr>
          <w:rFonts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附件1：</w:t>
      </w:r>
      <w:r>
        <w:rPr>
          <w:rFonts w:ascii="宋体" w:hAnsi="宋体" w:eastAsia="宋体" w:cs="宋体"/>
          <w:sz w:val="21"/>
          <w:szCs w:val="21"/>
        </w:rPr>
      </w:r>
      <w:r/>
    </w:p>
    <w:p>
      <w:pPr>
        <w:pStyle w:val="934"/>
        <w:ind w:firstLine="482"/>
        <w:jc w:val="center"/>
        <w:rPr>
          <w:rFonts w:ascii="宋体" w:hAnsi="宋体" w:eastAsia="宋体" w:cs="仿宋"/>
          <w:b/>
          <w:color w:val="000000"/>
          <w:sz w:val="32"/>
          <w:szCs w:val="32"/>
        </w:rPr>
      </w:pPr>
      <w:r>
        <w:rPr>
          <w:rFonts w:hint="eastAsia" w:ascii="宋体" w:hAnsi="宋体" w:eastAsia="宋体" w:cs="仿宋"/>
          <w:b/>
          <w:color w:val="000000"/>
          <w:sz w:val="32"/>
          <w:szCs w:val="32"/>
        </w:rPr>
        <w:t xml:space="preserve">廉 政 协 议</w:t>
      </w:r>
      <w:r>
        <w:rPr>
          <w:rFonts w:ascii="宋体" w:hAnsi="宋体" w:eastAsia="宋体" w:cs="仿宋"/>
          <w:b/>
          <w:color w:val="000000"/>
          <w:sz w:val="32"/>
          <w:szCs w:val="32"/>
        </w:rPr>
      </w:r>
      <w:r/>
    </w:p>
    <w:p>
      <w:pPr>
        <w:pStyle w:val="934"/>
        <w:ind w:firstLine="420"/>
        <w:jc w:val="left"/>
        <w:spacing w:line="460" w:lineRule="exact"/>
        <w:widowControl/>
        <w:rPr>
          <w:rFonts w:hint="eastAsia" w:ascii="宋体" w:hAnsi="宋体" w:eastAsia="宋体" w:cs="方正仿宋_GBK"/>
          <w:sz w:val="21"/>
          <w:szCs w:val="21"/>
        </w:rPr>
      </w:pPr>
      <w:r>
        <w:rPr>
          <w:rFonts w:hint="eastAsia" w:ascii="宋体" w:hAnsi="宋体" w:eastAsia="宋体" w:cs="方正仿宋_GBK"/>
          <w:sz w:val="21"/>
          <w:szCs w:val="21"/>
        </w:rPr>
      </w:r>
      <w:r/>
    </w:p>
    <w:p>
      <w:pPr>
        <w:pStyle w:val="934"/>
        <w:ind w:firstLine="420"/>
        <w:jc w:val="left"/>
        <w:spacing w:line="460" w:lineRule="exact"/>
        <w:widowControl/>
        <w:rPr>
          <w:rFonts w:ascii="宋体" w:hAnsi="宋体" w:eastAsia="宋体" w:cs="方正仿宋_GBK"/>
          <w:sz w:val="21"/>
          <w:szCs w:val="21"/>
        </w:rPr>
      </w:pPr>
      <w:r>
        <w:rPr>
          <w:rFonts w:hint="eastAsia" w:ascii="宋体" w:hAnsi="宋体" w:eastAsia="宋体" w:cs="方正仿宋_GBK"/>
          <w:sz w:val="21"/>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一、总则</w:t>
      </w:r>
      <w:r>
        <w:rPr>
          <w:rFonts w:ascii="宋体" w:hAnsi="宋体" w:eastAsia="宋体" w:cs="方正楷体_GBK"/>
          <w:b/>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1、双方及其工作人员均应遵守国家和省、市以及行业主管部门关于党风廉政建设、行业管理等各项规定。</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2、双方及其工作人员应自觉履行约定的合同内容及廉政协议各项规定，全面履行合同约定的其他权利义务。</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3、双方的业务活动坚持公平、公正、透明的原则（法律法规另有规定的除外），严禁损害国家和集体利益，不得发生违反项目管理规章制度进行不正当交易活动。</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4、双方应建立健全廉政管理制度，对己方人员加强廉政教育、进行廉政监督，执行廉政协议，落实廉洁自律规定，对发现的问题及时纠正，严肃处理。</w:t>
      </w:r>
      <w:r>
        <w:rPr>
          <w:rFonts w:ascii="宋体" w:hAnsi="宋体" w:eastAsia="宋体" w:cs="方正仿宋_GBK"/>
          <w:sz w:val="21"/>
          <w:szCs w:val="21"/>
        </w:rPr>
      </w:r>
      <w:r/>
    </w:p>
    <w:p>
      <w:pPr>
        <w:pStyle w:val="934"/>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方正仿宋_GBK"/>
          <w:sz w:val="21"/>
          <w:szCs w:val="21"/>
        </w:rPr>
      </w:pPr>
      <w:r>
        <w:rPr>
          <w:rFonts w:hint="eastAsia" w:ascii="宋体" w:hAnsi="宋体" w:eastAsia="宋体" w:cs="方正仿宋_GBK"/>
          <w:sz w:val="21"/>
          <w:szCs w:val="21"/>
        </w:rPr>
        <w:t xml:space="preserve">5、甲乙双方及其工作人员在业务活动中发现对方有违纪违法行为的，应主动上报。双方均鼓励举报行为，对举报者信息进行一定范围的保密，保障举报者人身权益。</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二、甲方在廉政建设方面的责任</w:t>
      </w:r>
      <w:r>
        <w:rPr>
          <w:rFonts w:ascii="宋体" w:hAnsi="宋体" w:eastAsia="宋体" w:cs="方正楷体_GBK"/>
          <w:b/>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1、甲方及其工作人员有责任向乙方介绍本单位有关廉政建设的各项制度和规定。</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2、甲方及其工作人员应严格遵守廉洁从业各项规定。</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3、甲方及其工作人员不得推荐利益相关人员安排至乙方单位任职，严禁利用职务上的影响力为特定关系人搞权钱交易，输送不当利益，不得以挂职名义在乙方相关单位领取工资、福利等。</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4、甲方及其工作人员不得在合同履约中为乙方提供其他便利或特殊关照,不得利用职务或职务上的影响力以权谋私。</w:t>
      </w:r>
      <w:r>
        <w:rPr>
          <w:rFonts w:ascii="宋体" w:hAnsi="宋体" w:eastAsia="宋体" w:cs="方正仿宋_GBK"/>
          <w:sz w:val="21"/>
          <w:szCs w:val="21"/>
        </w:rPr>
      </w:r>
      <w:r/>
    </w:p>
    <w:p>
      <w:pPr>
        <w:pStyle w:val="934"/>
        <w:numPr>
          <w:ilvl w:val="1"/>
          <w:numId w:val="0"/>
        </w:numPr>
        <w:ind w:firstLine="472"/>
        <w:spacing w:line="460" w:lineRule="exact"/>
        <w:tabs>
          <w:tab w:val="left" w:pos="955" w:leader="none"/>
          <w:tab w:val="left" w:pos="1146" w:leader="none"/>
          <w:tab w:val="left" w:pos="1528" w:leader="none"/>
        </w:tabs>
        <w:rPr>
          <w:rFonts w:ascii="宋体" w:hAnsi="宋体" w:eastAsia="宋体" w:cs="方正仿宋_GBK"/>
          <w:sz w:val="21"/>
          <w:szCs w:val="21"/>
        </w:rPr>
      </w:pPr>
      <w:r>
        <w:rPr>
          <w:rFonts w:hint="eastAsia" w:ascii="宋体" w:hAnsi="宋体" w:eastAsia="宋体" w:cs="方正仿宋_GBK"/>
          <w:sz w:val="21"/>
          <w:szCs w:val="21"/>
        </w:rPr>
        <w:t xml:space="preserve">5、甲方及其工作人员不得进行违反廉政规定的任何其他活动。</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三、乙方在廉政建设方面的责任</w:t>
      </w:r>
      <w:r>
        <w:rPr>
          <w:rFonts w:ascii="宋体" w:hAnsi="宋体" w:eastAsia="宋体" w:cs="方正楷体_GBK"/>
          <w:b/>
          <w:sz w:val="21"/>
          <w:szCs w:val="21"/>
        </w:rPr>
      </w:r>
      <w:r/>
    </w:p>
    <w:p>
      <w:pPr>
        <w:pStyle w:val="934"/>
        <w:numPr>
          <w:ilvl w:val="1"/>
          <w:numId w:val="0"/>
        </w:numPr>
        <w:ind w:firstLine="472"/>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1、乙方有权了解甲方廉政建设的各项制度和规定，严格按有关规定要求开展业务工作，执行廉政规定，并与甲方签订廉洁承诺书。</w:t>
      </w:r>
      <w:r>
        <w:rPr>
          <w:rFonts w:ascii="宋体" w:hAnsi="宋体" w:eastAsia="宋体" w:cs="方正仿宋_GBK"/>
          <w:sz w:val="21"/>
          <w:szCs w:val="21"/>
        </w:rPr>
      </w:r>
      <w:r/>
    </w:p>
    <w:p>
      <w:pPr>
        <w:pStyle w:val="934"/>
        <w:numPr>
          <w:ilvl w:val="1"/>
          <w:numId w:val="0"/>
        </w:numPr>
        <w:ind w:firstLine="472"/>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3、乙方及其工作人员不得将甲方工作人员配偶、子女、亲属、朋友等利益相关人员安排至本单位任职，为甲方特定关系人搞权钱交易，输送不当利益。</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4、乙方及其工作人员不得在合同履约中不得以挂职名义安排甲方工作人员或其他利益相关人员领取工资、福利等，不得向甲方及其工作人员输送其他不当利益或提供特殊待遇。</w:t>
      </w:r>
      <w:r>
        <w:rPr>
          <w:rFonts w:ascii="宋体" w:hAnsi="宋体" w:eastAsia="宋体" w:cs="方正仿宋_GBK"/>
          <w:sz w:val="21"/>
          <w:szCs w:val="21"/>
        </w:rPr>
      </w:r>
      <w:r/>
    </w:p>
    <w:p>
      <w:pPr>
        <w:pStyle w:val="934"/>
        <w:numPr>
          <w:ilvl w:val="1"/>
          <w:numId w:val="0"/>
        </w:numPr>
        <w:ind w:firstLine="420"/>
        <w:spacing w:line="460" w:lineRule="exact"/>
        <w:tabs>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5、乙方及其工作人员不得实施违反廉政规定的其他活动。</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四、违约责任</w:t>
      </w:r>
      <w:r>
        <w:rPr>
          <w:rFonts w:ascii="宋体" w:hAnsi="宋体" w:eastAsia="宋体" w:cs="方正楷体_GBK"/>
          <w:b/>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1、甲方及其工作人员有违反本协议，根据党风廉政建设要求和相关法律法规处理。</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2、乙方及其工作人员有违反本协议内容，发生严重违纪或违法行为。</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2.1 产生严重不良社会舆论，使甲方名誉严重受损的。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2.2 乙方项目相关人员在项目履行过程中存在违反廉政要求，被立案侦查的。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2.3 乙方项目人员被依法认定廉政相关犯罪的。</w:t>
      </w:r>
      <w:r>
        <w:rPr>
          <w:rFonts w:ascii="宋体" w:hAnsi="宋体" w:eastAsia="宋体" w:cs="方正仿宋_GBK"/>
          <w:sz w:val="21"/>
          <w:szCs w:val="21"/>
        </w:rPr>
      </w:r>
      <w:r/>
    </w:p>
    <w:p>
      <w:pPr>
        <w:pStyle w:val="934"/>
        <w:numPr>
          <w:ilvl w:val="1"/>
          <w:numId w:val="0"/>
        </w:numPr>
        <w:ind w:firstLine="420"/>
        <w:spacing w:line="460" w:lineRule="exact"/>
        <w:tabs>
          <w:tab w:val="left" w:pos="955" w:leader="none"/>
          <w:tab w:val="left" w:pos="1146" w:leader="none"/>
          <w:tab w:val="left" w:pos="2292" w:leader="none"/>
        </w:tabs>
        <w:rPr>
          <w:rFonts w:ascii="宋体" w:hAnsi="宋体" w:eastAsia="宋体" w:cs="方正仿宋_GBK"/>
          <w:sz w:val="21"/>
          <w:szCs w:val="21"/>
        </w:rPr>
      </w:pPr>
      <w:r>
        <w:rPr>
          <w:rFonts w:hint="eastAsia" w:ascii="宋体" w:hAnsi="宋体" w:eastAsia="宋体" w:cs="方正仿宋_GBK"/>
          <w:sz w:val="21"/>
          <w:szCs w:val="21"/>
        </w:rPr>
        <w:t xml:space="preserve">有上述情形的，甲方有权视情况采取人员撤换，暂停项目履行、解除合同等措施。</w:t>
      </w:r>
      <w:r>
        <w:rPr>
          <w:rFonts w:ascii="宋体" w:hAnsi="宋体" w:eastAsia="宋体" w:cs="方正仿宋_GBK"/>
          <w:sz w:val="21"/>
          <w:szCs w:val="21"/>
        </w:rPr>
      </w:r>
      <w:r/>
    </w:p>
    <w:p>
      <w:pPr>
        <w:pStyle w:val="934"/>
        <w:ind w:firstLine="422"/>
        <w:spacing w:line="460" w:lineRule="exact"/>
        <w:rPr>
          <w:rFonts w:ascii="宋体" w:hAnsi="宋体" w:eastAsia="宋体" w:cs="方正楷体_GBK"/>
          <w:b/>
          <w:sz w:val="21"/>
          <w:szCs w:val="21"/>
        </w:rPr>
      </w:pPr>
      <w:r>
        <w:rPr>
          <w:rFonts w:hint="eastAsia" w:ascii="宋体" w:hAnsi="宋体" w:eastAsia="宋体" w:cs="方正楷体_GBK"/>
          <w:b/>
          <w:sz w:val="21"/>
          <w:szCs w:val="21"/>
        </w:rPr>
        <w:t xml:space="preserve">五、其它</w:t>
      </w:r>
      <w:r>
        <w:rPr>
          <w:rFonts w:ascii="宋体" w:hAnsi="宋体" w:eastAsia="宋体" w:cs="方正楷体_GBK"/>
          <w:b/>
          <w:sz w:val="21"/>
          <w:szCs w:val="21"/>
        </w:rPr>
      </w:r>
      <w:r/>
    </w:p>
    <w:p>
      <w:pPr>
        <w:pStyle w:val="934"/>
        <w:ind w:firstLine="420"/>
        <w:spacing w:line="500" w:lineRule="exact"/>
        <w:tabs>
          <w:tab w:val="left" w:pos="0" w:leader="none"/>
          <w:tab w:val="left" w:pos="955" w:leader="none"/>
          <w:tab w:val="left" w:pos="1255" w:leader="none"/>
        </w:tabs>
        <w:rPr>
          <w:rFonts w:ascii="宋体" w:hAnsi="宋体" w:eastAsia="宋体" w:cs="方正仿宋_GBK"/>
          <w:sz w:val="21"/>
          <w:szCs w:val="21"/>
        </w:rPr>
      </w:pPr>
      <w:r>
        <w:rPr>
          <w:rFonts w:hint="eastAsia" w:ascii="宋体" w:hAnsi="宋体" w:eastAsia="宋体" w:cs="方正仿宋_GBK"/>
          <w:sz w:val="21"/>
          <w:szCs w:val="21"/>
        </w:rPr>
        <w:t xml:space="preserve">本协议有效期与主合同一致，经协议双方签署后即生效。</w:t>
      </w:r>
      <w:r>
        <w:rPr>
          <w:rFonts w:ascii="宋体" w:hAnsi="宋体" w:eastAsia="宋体" w:cs="方正仿宋_GBK"/>
          <w:sz w:val="21"/>
          <w:szCs w:val="21"/>
        </w:rPr>
      </w:r>
      <w:r/>
    </w:p>
    <w:p>
      <w:pPr>
        <w:pStyle w:val="934"/>
        <w:ind w:firstLine="718"/>
        <w:jc w:val="left"/>
        <w:spacing w:line="500" w:lineRule="exact"/>
        <w:widowControl/>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934"/>
        <w:ind w:left="570"/>
        <w:spacing w:line="520" w:lineRule="exact"/>
        <w:rPr>
          <w:rFonts w:ascii="宋体" w:hAnsi="宋体" w:eastAsia="方正仿宋简体" w:cs="宋体"/>
          <w:sz w:val="21"/>
          <w:szCs w:val="21"/>
        </w:rPr>
      </w:pPr>
      <w:r>
        <w:rPr>
          <w:rFonts w:ascii="宋体" w:hAnsi="宋体" w:eastAsia="方正仿宋简体" w:cs="宋体"/>
          <w:sz w:val="21"/>
          <w:szCs w:val="21"/>
        </w:rPr>
      </w:r>
      <w:r/>
    </w:p>
    <w:p>
      <w:pPr>
        <w:pStyle w:val="934"/>
        <w:ind w:firstLine="420"/>
        <w:spacing w:line="360" w:lineRule="auto"/>
        <w:tabs>
          <w:tab w:val="left" w:pos="955" w:leader="none"/>
          <w:tab w:val="left" w:pos="1146" w:leader="none"/>
        </w:tabs>
        <w:rPr>
          <w:rFonts w:ascii="宋体" w:hAnsi="宋体" w:eastAsia="宋体" w:cs="宋体"/>
          <w:sz w:val="21"/>
          <w:szCs w:val="21"/>
        </w:rPr>
      </w:pPr>
      <w:r>
        <w:rPr>
          <w:rFonts w:hint="eastAsia" w:ascii="宋体" w:hAnsi="宋体" w:eastAsia="宋体" w:cs="宋体"/>
          <w:sz w:val="21"/>
          <w:szCs w:val="21"/>
        </w:rPr>
        <w:t xml:space="preserve">甲方单位：                         乙方单位：</w:t>
      </w:r>
      <w:r>
        <w:rPr>
          <w:rFonts w:ascii="宋体" w:hAnsi="宋体" w:eastAsia="宋体" w:cs="宋体"/>
          <w:sz w:val="21"/>
          <w:szCs w:val="21"/>
        </w:rPr>
      </w:r>
      <w:r/>
    </w:p>
    <w:p>
      <w:pPr>
        <w:pStyle w:val="934"/>
        <w:ind w:firstLine="420"/>
        <w:spacing w:line="360" w:lineRule="auto"/>
        <w:tabs>
          <w:tab w:val="left" w:pos="955" w:leader="none"/>
          <w:tab w:val="left" w:pos="1146" w:leader="none"/>
        </w:tabs>
        <w:rPr>
          <w:rFonts w:ascii="宋体" w:hAnsi="宋体" w:eastAsia="宋体" w:cs="宋体"/>
          <w:sz w:val="21"/>
          <w:szCs w:val="21"/>
        </w:rPr>
      </w:pPr>
      <w:r>
        <w:rPr>
          <w:rFonts w:ascii="宋体" w:hAnsi="宋体" w:eastAsia="宋体" w:cs="宋体"/>
          <w:sz w:val="21"/>
          <w:szCs w:val="21"/>
        </w:rPr>
      </w:r>
      <w:r/>
    </w:p>
    <w:p>
      <w:pPr>
        <w:pStyle w:val="934"/>
        <w:ind w:firstLine="420"/>
        <w:spacing w:line="360" w:lineRule="auto"/>
        <w:tabs>
          <w:tab w:val="left" w:pos="955" w:leader="none"/>
          <w:tab w:val="left" w:pos="1146" w:leader="none"/>
        </w:tabs>
        <w:rPr>
          <w:rFonts w:ascii="宋体" w:hAnsi="宋体" w:eastAsia="宋体"/>
          <w:sz w:val="21"/>
          <w:szCs w:val="21"/>
        </w:rPr>
      </w:pPr>
      <w:r>
        <w:rPr>
          <w:rFonts w:hint="eastAsia" w:ascii="宋体" w:hAnsi="宋体" w:eastAsia="宋体" w:cs="宋体"/>
          <w:sz w:val="21"/>
          <w:szCs w:val="21"/>
        </w:rPr>
        <w:t xml:space="preserve">法定代表人：                       法定代表人：</w:t>
      </w:r>
      <w:r>
        <w:rPr>
          <w:rFonts w:ascii="宋体" w:hAnsi="宋体" w:eastAsia="宋体"/>
          <w:sz w:val="21"/>
          <w:szCs w:val="21"/>
        </w:rPr>
      </w:r>
      <w:r/>
    </w:p>
    <w:p>
      <w:pPr>
        <w:pStyle w:val="934"/>
        <w:spacing w:line="520" w:lineRule="exact"/>
        <w:rPr>
          <w:rFonts w:ascii="宋体" w:hAnsi="宋体" w:eastAsia="宋体" w:cs="宋体"/>
          <w:sz w:val="21"/>
          <w:szCs w:val="21"/>
        </w:rPr>
      </w:pPr>
      <w:r>
        <w:rPr>
          <w:rFonts w:ascii="方正仿宋简体" w:hAnsi="创艺简仿宋" w:eastAsia="方正仿宋简体"/>
          <w:sz w:val="24"/>
        </w:rPr>
        <w:br w:type="page" w:clear="all"/>
      </w:r>
      <w:r>
        <w:rPr>
          <w:rFonts w:hint="eastAsia" w:ascii="宋体" w:hAnsi="宋体" w:eastAsia="宋体" w:cs="宋体"/>
          <w:sz w:val="21"/>
          <w:szCs w:val="21"/>
        </w:rPr>
        <w:t xml:space="preserve">附件2：</w:t>
      </w:r>
      <w:r>
        <w:rPr>
          <w:rFonts w:ascii="宋体" w:hAnsi="宋体" w:eastAsia="宋体" w:cs="宋体"/>
          <w:sz w:val="21"/>
          <w:szCs w:val="21"/>
        </w:rPr>
      </w:r>
      <w:r/>
    </w:p>
    <w:p>
      <w:pPr>
        <w:pStyle w:val="934"/>
        <w:ind w:firstLine="482"/>
        <w:jc w:val="center"/>
        <w:rPr>
          <w:rFonts w:ascii="宋体" w:hAnsi="宋体" w:eastAsia="宋体" w:cs="仿宋"/>
          <w:b/>
          <w:color w:val="000000"/>
          <w:sz w:val="32"/>
          <w:szCs w:val="32"/>
        </w:rPr>
      </w:pPr>
      <w:r>
        <w:rPr>
          <w:rFonts w:hint="eastAsia" w:ascii="宋体" w:hAnsi="宋体" w:eastAsia="宋体" w:cs="仿宋"/>
          <w:b/>
          <w:color w:val="000000"/>
          <w:sz w:val="32"/>
          <w:szCs w:val="32"/>
        </w:rPr>
        <w:t xml:space="preserve">项目安全协议书</w:t>
      </w:r>
      <w:r>
        <w:rPr>
          <w:rFonts w:ascii="宋体" w:hAnsi="宋体" w:eastAsia="宋体" w:cs="仿宋"/>
          <w:b/>
          <w:color w:val="000000"/>
          <w:sz w:val="32"/>
          <w:szCs w:val="32"/>
        </w:rPr>
      </w:r>
      <w:r/>
    </w:p>
    <w:p>
      <w:pPr>
        <w:pStyle w:val="934"/>
        <w:spacing w:line="360" w:lineRule="auto"/>
        <w:shd w:val="clear" w:color="auto" w:fill="ffffff"/>
        <w:rPr>
          <w:rFonts w:ascii="宋体" w:hAnsi="宋体" w:eastAsia="宋体" w:cs="MS Gothic"/>
          <w:color w:val="333333"/>
          <w:sz w:val="21"/>
          <w:szCs w:val="24"/>
          <w:u w:val="single"/>
        </w:rPr>
      </w:pPr>
      <w:r/>
      <w:bookmarkStart w:id="59" w:name="_Toc153983312"/>
      <w:r>
        <w:rPr>
          <w:rFonts w:hint="eastAsia" w:ascii="宋体" w:hAnsi="宋体" w:eastAsia="宋体" w:cs="宋体"/>
          <w:sz w:val="21"/>
          <w:szCs w:val="21"/>
        </w:rPr>
        <w:t xml:space="preserve">甲方</w:t>
      </w:r>
      <w:r>
        <w:rPr>
          <w:rFonts w:hint="eastAsia" w:ascii="宋体" w:hAnsi="宋体" w:eastAsia="宋体" w:cs="宋体"/>
          <w:color w:val="333333"/>
          <w:sz w:val="21"/>
          <w:szCs w:val="24"/>
        </w:rPr>
        <w:t xml:space="preserve">：</w:t>
      </w:r>
      <w:bookmarkEnd w:id="59"/>
      <w:r>
        <w:rPr>
          <w:rFonts w:hint="eastAsia" w:ascii="宋体" w:hAnsi="宋体" w:eastAsia="宋体"/>
          <w:sz w:val="21"/>
          <w:szCs w:val="24"/>
          <w:u w:val="single"/>
        </w:rPr>
        <w:t xml:space="preserve">               </w:t>
      </w:r>
      <w:r>
        <w:rPr>
          <w:rFonts w:ascii="宋体" w:hAnsi="宋体" w:eastAsia="宋体" w:cs="MS Gothic"/>
          <w:color w:val="333333"/>
          <w:sz w:val="21"/>
          <w:szCs w:val="24"/>
          <w:u w:val="single"/>
        </w:rPr>
      </w:r>
      <w:r/>
    </w:p>
    <w:p>
      <w:pPr>
        <w:pStyle w:val="934"/>
        <w:spacing w:line="360" w:lineRule="auto"/>
        <w:shd w:val="clear" w:color="auto" w:fill="ffffff"/>
        <w:rPr>
          <w:rFonts w:ascii="宋体" w:hAnsi="宋体" w:eastAsia="宋体"/>
          <w:sz w:val="21"/>
          <w:szCs w:val="24"/>
        </w:rPr>
      </w:pPr>
      <w:r/>
      <w:bookmarkStart w:id="60" w:name="_Toc153983313"/>
      <w:r>
        <w:rPr>
          <w:rFonts w:hint="eastAsia" w:ascii="宋体" w:hAnsi="宋体" w:eastAsia="宋体" w:cs="宋体"/>
          <w:sz w:val="21"/>
          <w:szCs w:val="21"/>
        </w:rPr>
        <w:t xml:space="preserve">乙方</w:t>
      </w:r>
      <w:bookmarkEnd w:id="60"/>
      <w:r>
        <w:rPr>
          <w:rFonts w:hint="eastAsia" w:ascii="宋体" w:hAnsi="宋体" w:eastAsia="宋体" w:cs="宋体"/>
          <w:color w:val="333333"/>
          <w:sz w:val="21"/>
          <w:szCs w:val="24"/>
        </w:rPr>
        <w:t xml:space="preserve">：</w:t>
      </w:r>
      <w:r>
        <w:rPr>
          <w:rFonts w:hint="eastAsia" w:ascii="宋体" w:hAnsi="宋体" w:eastAsia="宋体"/>
          <w:sz w:val="21"/>
          <w:szCs w:val="24"/>
          <w:u w:val="single"/>
        </w:rPr>
        <w:t xml:space="preserve">               </w:t>
      </w:r>
      <w:r>
        <w:rPr>
          <w:rFonts w:ascii="宋体" w:hAnsi="宋体" w:eastAsia="宋体"/>
          <w:sz w:val="21"/>
          <w:szCs w:val="24"/>
        </w:rPr>
      </w:r>
      <w:r/>
    </w:p>
    <w:p>
      <w:pPr>
        <w:pStyle w:val="934"/>
        <w:ind w:firstLine="420"/>
        <w:spacing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b/>
          <w:bCs/>
          <w:sz w:val="21"/>
          <w:szCs w:val="21"/>
        </w:rPr>
      </w:pPr>
      <w:r>
        <w:rPr>
          <w:rFonts w:hint="eastAsia" w:ascii="宋体" w:hAnsi="宋体" w:eastAsia="宋体" w:cs="宋体"/>
          <w:b/>
          <w:bCs/>
          <w:sz w:val="21"/>
          <w:szCs w:val="21"/>
        </w:rPr>
        <w:t xml:space="preserve">一、项目名称：</w:t>
      </w:r>
      <w:r>
        <w:rPr>
          <w:rFonts w:hint="eastAsia" w:ascii="宋体" w:hAnsi="宋体" w:eastAsia="宋体" w:cs="宋体"/>
          <w:b/>
          <w:bCs/>
          <w:sz w:val="21"/>
          <w:szCs w:val="21"/>
          <w:u w:val="single"/>
        </w:rPr>
        <w:t xml:space="preserve">               </w:t>
      </w:r>
      <w:r>
        <w:rPr>
          <w:rFonts w:ascii="宋体" w:hAnsi="宋体" w:eastAsia="宋体" w:cs="宋体"/>
          <w:b/>
          <w:bCs/>
          <w:sz w:val="21"/>
          <w:szCs w:val="21"/>
        </w:rPr>
      </w:r>
      <w:r/>
    </w:p>
    <w:p>
      <w:pPr>
        <w:pStyle w:val="934"/>
        <w:ind w:firstLine="422"/>
        <w:spacing w:line="360" w:lineRule="auto"/>
        <w:shd w:val="clear" w:color="auto" w:fill="ffffff"/>
        <w:rPr>
          <w:rFonts w:ascii="宋体" w:hAnsi="宋体" w:eastAsia="宋体" w:cs="宋体"/>
          <w:sz w:val="21"/>
          <w:szCs w:val="21"/>
        </w:rPr>
      </w:pPr>
      <w:r>
        <w:rPr>
          <w:rFonts w:hint="eastAsia" w:ascii="宋体" w:hAnsi="宋体" w:eastAsia="宋体" w:cs="宋体"/>
          <w:b/>
          <w:bCs/>
          <w:sz w:val="21"/>
          <w:szCs w:val="21"/>
        </w:rPr>
        <w:t xml:space="preserve">二、项目概况：</w:t>
      </w:r>
      <w:r>
        <w:rPr>
          <w:rFonts w:hint="eastAsia" w:ascii="宋体" w:hAnsi="宋体" w:eastAsia="宋体" w:cs="宋体"/>
          <w:sz w:val="21"/>
          <w:szCs w:val="21"/>
        </w:rPr>
        <w:t xml:space="preserve">见甲乙双方承发包合同</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sz w:val="21"/>
          <w:szCs w:val="21"/>
        </w:rPr>
      </w:pPr>
      <w:r>
        <w:rPr>
          <w:rFonts w:hint="eastAsia" w:ascii="宋体" w:hAnsi="宋体" w:eastAsia="宋体" w:cs="宋体"/>
          <w:b/>
          <w:bCs/>
          <w:sz w:val="21"/>
          <w:szCs w:val="21"/>
        </w:rPr>
        <w:t xml:space="preserve">三、安全生产目标：</w:t>
      </w:r>
      <w:r>
        <w:rPr>
          <w:rFonts w:hint="eastAsia" w:ascii="宋体" w:hAnsi="宋体" w:eastAsia="宋体" w:cs="宋体"/>
          <w:bCs/>
          <w:sz w:val="21"/>
          <w:szCs w:val="21"/>
        </w:rPr>
        <w:t xml:space="preserve">安全生产无事故</w:t>
      </w:r>
      <w:r>
        <w:rPr>
          <w:rFonts w:ascii="宋体" w:hAnsi="宋体" w:eastAsia="宋体" w:cs="宋体"/>
          <w:sz w:val="21"/>
          <w:szCs w:val="21"/>
        </w:rPr>
      </w:r>
      <w:r/>
    </w:p>
    <w:p>
      <w:pPr>
        <w:pStyle w:val="934"/>
        <w:ind w:firstLine="422"/>
        <w:spacing w:line="360" w:lineRule="auto"/>
        <w:shd w:val="clear" w:color="auto" w:fill="ffffff"/>
        <w:rPr>
          <w:rFonts w:ascii="宋体" w:hAnsi="宋体" w:eastAsia="宋体" w:cs="宋体"/>
          <w:b/>
          <w:bCs/>
          <w:sz w:val="21"/>
          <w:szCs w:val="21"/>
        </w:rPr>
      </w:pPr>
      <w:r>
        <w:rPr>
          <w:rFonts w:hint="eastAsia" w:ascii="宋体" w:hAnsi="宋体" w:eastAsia="宋体" w:cs="宋体"/>
          <w:b/>
          <w:bCs/>
          <w:sz w:val="21"/>
          <w:szCs w:val="21"/>
        </w:rPr>
        <w:t xml:space="preserve">四、 项目安全管理人员代表</w:t>
      </w:r>
      <w:r>
        <w:rPr>
          <w:rFonts w:ascii="宋体" w:hAnsi="宋体" w:eastAsia="宋体" w:cs="宋体"/>
          <w:b/>
          <w:bCs/>
          <w:sz w:val="21"/>
          <w:szCs w:val="21"/>
        </w:rPr>
      </w:r>
      <w:r/>
    </w:p>
    <w:p>
      <w:pPr>
        <w:pStyle w:val="934"/>
        <w:ind w:firstLine="420"/>
        <w:spacing w:line="360" w:lineRule="auto"/>
        <w:shd w:val="clear" w:color="auto" w:fill="ffffff"/>
        <w:rPr>
          <w:rFonts w:ascii="宋体" w:hAnsi="宋体" w:eastAsia="宋体" w:cs="宋体"/>
          <w:b/>
          <w:bCs/>
          <w:sz w:val="21"/>
          <w:szCs w:val="21"/>
        </w:rPr>
      </w:pPr>
      <w:r>
        <w:rPr>
          <w:rFonts w:hint="eastAsia" w:ascii="宋体" w:hAnsi="宋体" w:eastAsia="宋体" w:cs="宋体"/>
          <w:sz w:val="21"/>
          <w:szCs w:val="21"/>
        </w:rPr>
        <w:t xml:space="preserve">为保证项目安全管理与明确安全责任，现场管理人员明确如下：</w:t>
      </w:r>
      <w:r>
        <w:rPr>
          <w:rFonts w:ascii="宋体" w:hAnsi="宋体" w:eastAsia="宋体" w:cs="宋体"/>
          <w:b/>
          <w:bCs/>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1．甲方人员（现场管理工程师）： </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u w:val="single"/>
        </w:rPr>
      </w:pPr>
      <w:r>
        <w:rPr>
          <w:rFonts w:hint="eastAsia" w:ascii="宋体" w:hAnsi="宋体" w:eastAsia="宋体" w:cs="宋体"/>
          <w:sz w:val="21"/>
          <w:szCs w:val="21"/>
        </w:rPr>
        <w:t xml:space="preserve">联系方式：</w:t>
      </w:r>
      <w:r>
        <w:rPr>
          <w:rFonts w:ascii="宋体" w:hAnsi="宋体" w:eastAsia="宋体" w:cs="宋体"/>
          <w:sz w:val="21"/>
          <w:szCs w:val="21"/>
          <w:u w:val="single"/>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2．乙方人员（项目经理）： </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联系方式：</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bCs/>
          <w:sz w:val="21"/>
          <w:szCs w:val="21"/>
        </w:rPr>
        <w:t xml:space="preserve">五、甲方安全责任</w:t>
      </w:r>
      <w:r>
        <w:rPr>
          <w:rFonts w:ascii="宋体" w:hAnsi="宋体" w:eastAsia="宋体" w:cs="宋体"/>
          <w:sz w:val="21"/>
          <w:szCs w:val="21"/>
        </w:rPr>
      </w:r>
      <w:r/>
    </w:p>
    <w:p>
      <w:pPr>
        <w:pStyle w:val="93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1．甲方（或委托监理单位）有权检查乙方项目实施的安全及文明现场管理工作。</w:t>
      </w:r>
      <w:r>
        <w:rPr>
          <w:rFonts w:ascii="宋体" w:hAnsi="宋体" w:eastAsia="宋体" w:cs="宋体"/>
          <w:sz w:val="21"/>
          <w:szCs w:val="21"/>
        </w:rPr>
      </w:r>
      <w:r/>
    </w:p>
    <w:p>
      <w:pPr>
        <w:pStyle w:val="934"/>
        <w:ind w:firstLine="436"/>
        <w:spacing w:line="360" w:lineRule="auto"/>
        <w:shd w:val="clear" w:color="auto" w:fill="ffffff"/>
        <w:widowControl/>
        <w:rPr>
          <w:rFonts w:ascii="宋体" w:hAnsi="宋体" w:eastAsia="宋体" w:cs="宋体"/>
          <w:spacing w:val="4"/>
          <w:sz w:val="21"/>
          <w:szCs w:val="21"/>
        </w:rPr>
      </w:pPr>
      <w:r>
        <w:rPr>
          <w:rFonts w:ascii="宋体" w:hAnsi="宋体" w:eastAsia="宋体" w:cs="宋体"/>
          <w:spacing w:val="4"/>
          <w:sz w:val="21"/>
          <w:szCs w:val="21"/>
        </w:rPr>
        <w:t xml:space="preserve">2</w:t>
      </w:r>
      <w:r>
        <w:rPr>
          <w:rFonts w:hint="eastAsia" w:ascii="宋体" w:hAnsi="宋体" w:eastAsia="宋体" w:cs="宋体"/>
          <w:spacing w:val="4"/>
          <w:sz w:val="21"/>
          <w:szCs w:val="21"/>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rPr>
          <w:rFonts w:ascii="宋体" w:hAnsi="宋体" w:eastAsia="宋体" w:cs="宋体"/>
          <w:spacing w:val="4"/>
          <w:sz w:val="21"/>
          <w:szCs w:val="21"/>
        </w:rPr>
      </w:r>
      <w:r/>
    </w:p>
    <w:p>
      <w:pPr>
        <w:pStyle w:val="934"/>
        <w:ind w:firstLine="436"/>
        <w:spacing w:line="360" w:lineRule="auto"/>
        <w:shd w:val="clear" w:color="auto" w:fill="ffffff"/>
        <w:widowControl/>
        <w:rPr>
          <w:rFonts w:ascii="宋体" w:hAnsi="宋体" w:eastAsia="宋体" w:cs="宋体"/>
          <w:spacing w:val="4"/>
          <w:sz w:val="21"/>
          <w:szCs w:val="21"/>
        </w:rPr>
      </w:pPr>
      <w:r>
        <w:rPr>
          <w:rFonts w:ascii="宋体" w:hAnsi="宋体" w:eastAsia="宋体" w:cs="宋体"/>
          <w:spacing w:val="4"/>
          <w:sz w:val="21"/>
          <w:szCs w:val="21"/>
        </w:rPr>
        <w:t xml:space="preserve">3</w:t>
      </w:r>
      <w:r>
        <w:rPr>
          <w:rFonts w:hint="eastAsia" w:ascii="宋体" w:hAnsi="宋体" w:eastAsia="宋体" w:cs="宋体"/>
          <w:spacing w:val="4"/>
          <w:sz w:val="21"/>
          <w:szCs w:val="21"/>
        </w:rPr>
        <w:t xml:space="preserve">.甲方有权对乙方安全管理进行督促检查，对于查出的隐患，甲方应要求乙方限期整改。</w:t>
      </w:r>
      <w:r>
        <w:rPr>
          <w:rFonts w:ascii="宋体" w:hAnsi="宋体" w:eastAsia="宋体" w:cs="宋体"/>
          <w:spacing w:val="4"/>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六</w:t>
      </w:r>
      <w:r>
        <w:rPr>
          <w:rFonts w:hint="eastAsia" w:ascii="宋体" w:hAnsi="宋体" w:eastAsia="宋体" w:cs="宋体"/>
          <w:b/>
          <w:bCs/>
          <w:sz w:val="21"/>
          <w:szCs w:val="21"/>
        </w:rPr>
        <w:t xml:space="preserve">、乙方安全责任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乙方作为项目的承包单位负有安全生产主体责任，对项目客体安全隐患导致的事故，以及所发生的任何人员、财产安全事故负有直接责任，并应承担全部经济赔偿责任、全部法律责任。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乙方应切实履行以下安全保障义务责任：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1．乙方所提供的项目要求的相关资质证明材料应真实、合法、有效。</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3.乙方必须建立健全相应的安全生产责任制度和安全管理制度，建立安全生产管理小组，项目经理为安全生产责任人。安全生产管理小组应根据项目大小安排安全管理人员每日巡视项目现场。</w:t>
      </w:r>
      <w:r>
        <w:rPr>
          <w:rFonts w:ascii="宋体" w:hAnsi="宋体" w:eastAsia="宋体" w:cs="宋体"/>
          <w:sz w:val="21"/>
          <w:szCs w:val="21"/>
        </w:rPr>
      </w:r>
      <w:r/>
    </w:p>
    <w:p>
      <w:pPr>
        <w:pStyle w:val="934"/>
        <w:ind w:firstLine="420"/>
        <w:spacing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4．乙方项目实施，应严格执行《劳动法》、《劳动合同法》，遵守国家和地方关于劳动安全、劳务用工法律法规及规章制度，保证项目用工的合法性，切实保障劳动者合法权益。</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7.项目开始前，乙方应对项目安全情况摸底后向现场工作人员交底并形成书面记录，并按规定制定各类安全方案（措施）报甲方备案。</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8．乙方必须接受甲方（或委托的第三方单位）的监督、检查，对甲方提出的安全整改意见必须及时整改。乙方有保存相关资料，配合甲方进行检查 并提供相关报告的义务。</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10．乙方</w:t>
      </w:r>
      <w:r>
        <w:rPr>
          <w:rFonts w:hint="eastAsia" w:ascii="宋体" w:hAnsi="宋体" w:eastAsia="宋体"/>
          <w:sz w:val="21"/>
          <w:szCs w:val="21"/>
        </w:rPr>
        <w:t xml:space="preserve">涉及特殊作业（如动火、有限空间等）应执行审批制度，并按照甲方相关规定在安全监管平台备案，明确作业时间、地点、管理人员、作业内容、现场图片</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11．乙方在作业过程中，存在与其他</w:t>
      </w:r>
      <w:r>
        <w:rPr>
          <w:rFonts w:hint="eastAsia" w:ascii="宋体" w:hAnsi="宋体" w:eastAsia="宋体"/>
          <w:sz w:val="21"/>
          <w:szCs w:val="21"/>
        </w:rPr>
        <w:t xml:space="preserve">项目承包单位在同一场所作业时，应与其他项目承包单位之间应签订安全生产管理协议，明确各方职责和安全措施，指定专人进行安全检查与协调</w:t>
      </w:r>
      <w:r>
        <w:rPr>
          <w:rFonts w:hint="eastAsia" w:ascii="宋体" w:hAnsi="宋体" w:eastAsia="宋体" w:cs="宋体"/>
          <w:sz w:val="21"/>
          <w:szCs w:val="21"/>
        </w:rPr>
        <w:t xml:space="preserve">，并</w:t>
      </w:r>
      <w:r>
        <w:rPr>
          <w:rFonts w:hint="eastAsia" w:ascii="宋体" w:hAnsi="宋体" w:eastAsia="宋体"/>
          <w:sz w:val="21"/>
          <w:szCs w:val="21"/>
        </w:rPr>
        <w:t xml:space="preserve">及时向甲方报告作业情况</w:t>
      </w:r>
      <w:r>
        <w:rPr>
          <w:rFonts w:hint="eastAsia" w:ascii="宋体" w:hAnsi="宋体" w:eastAsia="宋体" w:cs="宋体"/>
          <w:sz w:val="21"/>
          <w:szCs w:val="21"/>
        </w:rPr>
        <w:t xml:space="preserve">。</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13.乙方应严格遵循、执行</w:t>
      </w:r>
      <w:r>
        <w:rPr>
          <w:rFonts w:hint="eastAsia" w:ascii="宋体" w:hAnsi="宋体" w:eastAsia="宋体" w:cs="宋体"/>
          <w:bCs/>
          <w:sz w:val="21"/>
          <w:szCs w:val="21"/>
        </w:rPr>
        <w:t xml:space="preserve">对应项目的安全作业手册或安全作业标准或安全作业规范。乙方违反安全作业手册或安全作业标准或安全作业规范任一要求的，构成过错，属于违约，应承担违约责任。</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七、项目有关责任</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1．项目发生安全事故的，由乙方依法承担事故责任和经济责任，赔偿受害方（包括甲方）因此造成的人身和/或财产损失。</w:t>
      </w:r>
      <w:r>
        <w:rPr>
          <w:rFonts w:ascii="宋体" w:hAnsi="宋体" w:eastAsia="宋体" w:cs="宋体"/>
          <w:sz w:val="21"/>
          <w:szCs w:val="21"/>
        </w:rPr>
      </w:r>
      <w:r/>
    </w:p>
    <w:p>
      <w:pPr>
        <w:pStyle w:val="934"/>
        <w:ind w:firstLine="420"/>
        <w:spacing w:line="360" w:lineRule="auto"/>
        <w:shd w:val="clear" w:color="auto" w:fill="ffffff"/>
        <w:widowControl/>
        <w:rPr>
          <w:rFonts w:ascii="宋体" w:hAnsi="宋体" w:eastAsia="宋体" w:cs="宋体"/>
          <w:sz w:val="21"/>
          <w:szCs w:val="21"/>
        </w:rPr>
      </w:pPr>
      <w:r>
        <w:rPr>
          <w:rFonts w:hint="eastAsia" w:ascii="宋体" w:hAnsi="宋体" w:eastAsia="宋体" w:cs="宋体"/>
          <w:sz w:val="21"/>
          <w:szCs w:val="21"/>
        </w:rPr>
        <w:t xml:space="preserve">2．为确保社会稳定，乙方负有经济赔偿兜底责任。</w:t>
      </w:r>
      <w:r>
        <w:rPr>
          <w:rFonts w:ascii="宋体" w:hAnsi="宋体" w:eastAsia="宋体" w:cs="宋体"/>
          <w:sz w:val="21"/>
          <w:szCs w:val="21"/>
        </w:rPr>
      </w:r>
      <w:r/>
    </w:p>
    <w:p>
      <w:pPr>
        <w:pStyle w:val="934"/>
        <w:ind w:firstLine="422"/>
        <w:spacing w:line="360" w:lineRule="auto"/>
        <w:shd w:val="clear" w:color="auto" w:fill="ffffff"/>
        <w:widowControl/>
        <w:rPr>
          <w:rFonts w:ascii="宋体" w:hAnsi="宋体" w:eastAsia="宋体" w:cs="宋体"/>
          <w:b/>
          <w:spacing w:val="6"/>
          <w:sz w:val="21"/>
          <w:szCs w:val="21"/>
        </w:rPr>
      </w:pPr>
      <w:r>
        <w:rPr>
          <w:rFonts w:hint="eastAsia" w:ascii="宋体" w:hAnsi="宋体" w:eastAsia="宋体" w:cs="宋体"/>
          <w:b/>
          <w:sz w:val="21"/>
          <w:szCs w:val="21"/>
        </w:rPr>
        <w:t xml:space="preserve">八</w:t>
      </w:r>
      <w:r>
        <w:rPr>
          <w:rFonts w:hint="eastAsia" w:ascii="宋体" w:hAnsi="宋体" w:eastAsia="宋体" w:cs="宋体"/>
          <w:b/>
          <w:spacing w:val="6"/>
          <w:sz w:val="21"/>
          <w:szCs w:val="21"/>
        </w:rPr>
        <w:t xml:space="preserve">、甲乙双方必须严格执行本协议，本协议效力独立于主合同。</w:t>
      </w:r>
      <w:r>
        <w:rPr>
          <w:rFonts w:hint="eastAsia" w:ascii="宋体" w:hAnsi="宋体" w:eastAsia="宋体" w:cs="宋体"/>
          <w:b/>
          <w:sz w:val="21"/>
          <w:szCs w:val="21"/>
        </w:rPr>
        <w:t xml:space="preserve">本协议在履行过程中发生的争议，由双方当事人协商解决或由甲方组织向第三方机构申请调解。调解不成的，甲乙双方应向甲方所在地法院提起诉讼。</w:t>
      </w:r>
      <w:r>
        <w:rPr>
          <w:rFonts w:ascii="宋体" w:hAnsi="宋体" w:eastAsia="宋体" w:cs="宋体"/>
          <w:b/>
          <w:spacing w:val="6"/>
          <w:sz w:val="21"/>
          <w:szCs w:val="21"/>
        </w:rPr>
      </w:r>
      <w:r/>
    </w:p>
    <w:p>
      <w:pPr>
        <w:pStyle w:val="934"/>
        <w:ind w:firstLine="422"/>
        <w:spacing w:line="360" w:lineRule="auto"/>
        <w:shd w:val="clear" w:color="auto" w:fill="ffffff"/>
        <w:widowControl/>
        <w:rPr>
          <w:rFonts w:ascii="宋体" w:hAnsi="宋体" w:eastAsia="宋体" w:cs="宋体"/>
          <w:sz w:val="21"/>
          <w:szCs w:val="21"/>
        </w:rPr>
      </w:pPr>
      <w:r>
        <w:rPr>
          <w:rFonts w:hint="eastAsia" w:ascii="宋体" w:hAnsi="宋体" w:eastAsia="宋体" w:cs="宋体"/>
          <w:b/>
          <w:sz w:val="21"/>
          <w:szCs w:val="21"/>
        </w:rPr>
        <w:t xml:space="preserve">九、</w:t>
      </w:r>
      <w:r>
        <w:rPr>
          <w:rFonts w:hint="eastAsia" w:ascii="宋体" w:hAnsi="宋体" w:eastAsia="宋体" w:cs="宋体"/>
          <w:bCs/>
          <w:sz w:val="21"/>
          <w:szCs w:val="21"/>
        </w:rPr>
        <w:t xml:space="preserve">本协议包括附件《承包</w:t>
      </w:r>
      <w:r>
        <w:rPr>
          <w:rFonts w:hint="eastAsia" w:ascii="宋体" w:hAnsi="宋体" w:eastAsia="宋体"/>
          <w:sz w:val="21"/>
          <w:szCs w:val="21"/>
        </w:rPr>
        <w:t xml:space="preserve">单位</w:t>
      </w:r>
      <w:r>
        <w:rPr>
          <w:rFonts w:hint="eastAsia" w:ascii="宋体" w:hAnsi="宋体" w:eastAsia="宋体" w:cs="宋体"/>
          <w:bCs/>
          <w:sz w:val="21"/>
          <w:szCs w:val="21"/>
        </w:rPr>
        <w:t xml:space="preserve">安全生产主体责任清单（通用）》</w:t>
      </w:r>
      <w:r>
        <w:rPr>
          <w:rFonts w:hint="eastAsia" w:ascii="宋体" w:hAnsi="宋体" w:eastAsia="宋体" w:cs="宋体"/>
          <w:sz w:val="21"/>
          <w:szCs w:val="21"/>
        </w:rPr>
        <w:t xml:space="preserve">本协议（含附件1）经双方法定代表人签字并加盖公章后生效。</w:t>
      </w:r>
      <w:r>
        <w:rPr>
          <w:rFonts w:ascii="宋体" w:hAnsi="宋体" w:eastAsia="宋体" w:cs="宋体"/>
          <w:sz w:val="21"/>
          <w:szCs w:val="21"/>
        </w:rPr>
      </w:r>
      <w:r/>
    </w:p>
    <w:p>
      <w:pPr>
        <w:pStyle w:val="934"/>
        <w:ind w:firstLine="480"/>
        <w:shd w:val="clear" w:color="auto" w:fill="ffffff"/>
        <w:widowControl/>
        <w:rPr>
          <w:rFonts w:ascii="宋体" w:hAnsi="宋体" w:eastAsia="宋体" w:cs="宋体"/>
          <w:sz w:val="21"/>
          <w:szCs w:val="21"/>
        </w:rPr>
      </w:pPr>
      <w:r>
        <w:rPr>
          <w:rFonts w:ascii="宋体" w:hAnsi="宋体" w:eastAsia="宋体" w:cs="宋体"/>
          <w:sz w:val="21"/>
          <w:szCs w:val="21"/>
        </w:rPr>
      </w:r>
      <w:r/>
    </w:p>
    <w:p>
      <w:pPr>
        <w:pStyle w:val="934"/>
        <w:ind w:firstLine="480"/>
        <w:shd w:val="clear" w:color="auto" w:fill="ffffff"/>
        <w:widowControl/>
        <w:rPr>
          <w:rFonts w:ascii="宋体" w:hAnsi="宋体" w:eastAsia="宋体"/>
          <w:sz w:val="21"/>
          <w:szCs w:val="21"/>
        </w:rPr>
      </w:pPr>
      <w:r>
        <w:rPr>
          <w:rFonts w:ascii="宋体" w:hAnsi="宋体" w:eastAsia="宋体"/>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643"/>
        <w:gridCol w:w="4592"/>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34"/>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甲方：（签章）</w:t>
            </w:r>
            <w:r>
              <w:rPr>
                <w:rFonts w:hint="eastAsia" w:ascii="宋体" w:hAnsi="宋体" w:eastAsia="宋体" w:cs="宋体"/>
                <w:sz w:val="21"/>
                <w:szCs w:val="21"/>
              </w:rPr>
            </w:r>
            <w:r/>
          </w:p>
          <w:p>
            <w:pPr>
              <w:pStyle w:val="966"/>
              <w:rPr>
                <w:rFonts w:hint="eastAsia" w:ascii="宋体" w:hAnsi="宋体" w:eastAsia="宋体" w:cs="宋体"/>
                <w:sz w:val="21"/>
                <w:szCs w:val="21"/>
              </w:rPr>
            </w:pPr>
            <w:r>
              <w:rPr>
                <w:rFonts w:hint="eastAsia" w:ascii="宋体" w:hAnsi="宋体" w:eastAsia="宋体" w:cs="宋体"/>
                <w:sz w:val="21"/>
                <w:szCs w:val="21"/>
              </w:rPr>
            </w:r>
            <w:r/>
          </w:p>
          <w:p>
            <w:pPr>
              <w:pStyle w:val="934"/>
            </w:pPr>
            <w:r/>
            <w:r/>
          </w:p>
          <w:p>
            <w:pPr>
              <w:pStyle w:val="934"/>
              <w:shd w:val="clear" w:color="auto" w:fill="ffffff"/>
              <w:widowControl/>
              <w:rPr>
                <w:rFonts w:ascii="宋体" w:hAnsi="宋体" w:eastAsia="宋体"/>
                <w:sz w:val="21"/>
                <w:szCs w:val="21"/>
              </w:rPr>
            </w:pPr>
            <w:r>
              <w:rPr>
                <w:rFonts w:hint="eastAsia" w:ascii="宋体" w:hAnsi="宋体" w:eastAsia="宋体" w:cs="宋体"/>
                <w:sz w:val="21"/>
                <w:szCs w:val="21"/>
              </w:rPr>
              <w:t xml:space="preserve">法定代表人：</w:t>
            </w:r>
            <w:r>
              <w:rPr>
                <w:rFonts w:ascii="宋体" w:hAnsi="宋体" w:eastAsia="宋体"/>
                <w:sz w:val="21"/>
                <w:szCs w:val="21"/>
              </w:rPr>
            </w:r>
            <w:r/>
          </w:p>
        </w:tc>
        <w:tc>
          <w:tcPr>
            <w:tcBorders>
              <w:top w:val="none" w:color="000000" w:sz="0" w:space="0"/>
              <w:left w:val="none" w:color="000000" w:sz="0" w:space="0"/>
              <w:bottom w:val="none" w:color="000000" w:sz="0" w:space="0"/>
              <w:right w:val="none" w:color="000000" w:sz="0" w:space="0"/>
            </w:tcBorders>
            <w:tcW w:w="4592" w:type="dxa"/>
            <w:vAlign w:val="top"/>
            <w:textDirection w:val="lrTb"/>
            <w:noWrap w:val="false"/>
          </w:tcPr>
          <w:p>
            <w:pPr>
              <w:pStyle w:val="934"/>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乙方：（签章）</w:t>
            </w:r>
            <w:r>
              <w:rPr>
                <w:rFonts w:hint="eastAsia" w:ascii="宋体" w:hAnsi="宋体" w:eastAsia="宋体" w:cs="宋体"/>
                <w:sz w:val="21"/>
                <w:szCs w:val="21"/>
              </w:rPr>
            </w:r>
            <w:r/>
          </w:p>
          <w:p>
            <w:pPr>
              <w:pStyle w:val="966"/>
              <w:rPr>
                <w:rFonts w:hint="eastAsia" w:ascii="宋体" w:hAnsi="宋体" w:eastAsia="宋体" w:cs="宋体"/>
                <w:sz w:val="21"/>
                <w:szCs w:val="21"/>
              </w:rPr>
            </w:pPr>
            <w:r>
              <w:rPr>
                <w:rFonts w:hint="eastAsia" w:ascii="宋体" w:hAnsi="宋体" w:eastAsia="宋体" w:cs="宋体"/>
                <w:sz w:val="21"/>
                <w:szCs w:val="21"/>
              </w:rPr>
            </w:r>
            <w:r/>
          </w:p>
          <w:p>
            <w:pPr>
              <w:pStyle w:val="934"/>
            </w:pPr>
            <w:r/>
            <w:r/>
          </w:p>
          <w:p>
            <w:pPr>
              <w:pStyle w:val="934"/>
              <w:spacing w:line="324"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r>
    </w:tbl>
    <w:p>
      <w:pPr>
        <w:pStyle w:val="934"/>
        <w:ind w:firstLine="480"/>
        <w:spacing w:line="324" w:lineRule="auto"/>
        <w:shd w:val="clear" w:color="auto" w:fill="ffffff"/>
        <w:rPr>
          <w:rFonts w:ascii="仿宋" w:hAnsi="仿宋" w:eastAsia="仿宋"/>
          <w:sz w:val="24"/>
          <w:szCs w:val="24"/>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7" w:h="16840" w:orient="portrait"/>
          <w:pgMar w:top="1418" w:right="1418" w:bottom="1418" w:left="1418" w:header="851" w:footer="992" w:gutter="0"/>
          <w:pgNumType w:start="1"/>
          <w:cols w:num="1" w:sep="0" w:space="1701" w:equalWidth="1"/>
          <w:docGrid w:linePitch="360"/>
        </w:sectPr>
      </w:pPr>
      <w:r>
        <w:rPr>
          <w:rFonts w:ascii="仿宋" w:hAnsi="仿宋" w:eastAsia="仿宋"/>
          <w:sz w:val="24"/>
          <w:szCs w:val="24"/>
        </w:rPr>
      </w:r>
      <w:r/>
    </w:p>
    <w:p>
      <w:pPr>
        <w:pStyle w:val="934"/>
        <w:jc w:val="center"/>
        <w:spacing w:line="620" w:lineRule="exact"/>
        <w:rPr>
          <w:rFonts w:ascii="仿宋" w:hAnsi="仿宋" w:eastAsia="仿宋"/>
          <w:b/>
          <w:sz w:val="32"/>
          <w:szCs w:val="32"/>
        </w:rPr>
      </w:pPr>
      <w:r>
        <w:rPr>
          <w:rFonts w:hint="eastAsia" w:ascii="仿宋" w:hAnsi="仿宋" w:eastAsia="仿宋"/>
          <w:b/>
          <w:sz w:val="32"/>
          <w:szCs w:val="32"/>
        </w:rPr>
        <w:t xml:space="preserve">项目安全协议书附件：承包单位安全生产主体责任清单（通用）</w:t>
      </w:r>
      <w:r>
        <w:rPr>
          <w:rFonts w:ascii="仿宋" w:hAnsi="仿宋" w:eastAsia="仿宋"/>
          <w:b/>
          <w:sz w:val="32"/>
          <w:szCs w:val="32"/>
        </w:rPr>
      </w:r>
      <w:r/>
    </w:p>
    <w:p>
      <w:pPr>
        <w:pStyle w:val="934"/>
        <w:ind w:firstLine="560"/>
        <w:jc w:val="center"/>
        <w:spacing w:line="620" w:lineRule="exact"/>
        <w:rPr>
          <w:rFonts w:ascii="仿宋" w:hAnsi="仿宋" w:eastAsia="仿宋"/>
          <w:sz w:val="28"/>
          <w:szCs w:val="28"/>
        </w:rPr>
      </w:pPr>
      <w:r>
        <w:rPr>
          <w:rFonts w:ascii="仿宋" w:hAnsi="仿宋" w:eastAsia="仿宋"/>
          <w:sz w:val="28"/>
          <w:szCs w:val="28"/>
        </w:rPr>
      </w:r>
      <w:r/>
    </w:p>
    <w:p>
      <w:pPr>
        <w:pStyle w:val="934"/>
        <w:ind w:firstLine="480"/>
        <w:rPr>
          <w:rFonts w:ascii="宋体" w:hAnsi="宋体" w:eastAsia="宋体"/>
          <w:sz w:val="21"/>
          <w:szCs w:val="24"/>
        </w:rPr>
      </w:pPr>
      <w:r>
        <w:rPr>
          <w:rFonts w:hint="eastAsia" w:ascii="宋体" w:hAnsi="宋体" w:eastAsia="宋体"/>
          <w:sz w:val="21"/>
          <w:szCs w:val="24"/>
        </w:rPr>
        <w:t xml:space="preserve">注：本主体责任清单项下的“生产”为广义，包括且不限于责任主体的各类生产、经营、建设、施工、作业等活动。</w:t>
      </w:r>
      <w:r>
        <w:rPr>
          <w:rFonts w:ascii="宋体" w:hAnsi="宋体" w:eastAsia="宋体"/>
          <w:sz w:val="21"/>
          <w:szCs w:val="24"/>
        </w:rPr>
      </w:r>
      <w:r/>
    </w:p>
    <w:tbl>
      <w:tblPr>
        <w:tblW w:w="5000" w:type="pct"/>
        <w:tblInd w:w="-28" w:type="dxa"/>
        <w:tblLayout w:type="fixed"/>
        <w:tblCellMar>
          <w:left w:w="28" w:type="dxa"/>
          <w:top w:w="0" w:type="dxa"/>
          <w:right w:w="28" w:type="dxa"/>
          <w:bottom w:w="0" w:type="dxa"/>
        </w:tblCellMar>
        <w:tblLook w:val="04A0" w:firstRow="1" w:lastRow="0" w:firstColumn="1" w:lastColumn="0" w:noHBand="0" w:noVBand="1"/>
      </w:tblPr>
      <w:tblGrid>
        <w:gridCol w:w="562"/>
        <w:gridCol w:w="330"/>
        <w:gridCol w:w="939"/>
        <w:gridCol w:w="6537"/>
      </w:tblGrid>
      <w:tr>
        <w:trPr>
          <w:trHeight w:val="567"/>
          <w:tblHeader/>
        </w:trPr>
        <w:tc>
          <w:tcPr>
            <w:tcBorders>
              <w:top w:val="single" w:color="000000" w:sz="4" w:space="0"/>
              <w:left w:val="single" w:color="000000" w:sz="4" w:space="0"/>
              <w:bottom w:val="single" w:color="000000" w:sz="4" w:space="0"/>
              <w:right w:val="single" w:color="000000" w:sz="4" w:space="0"/>
            </w:tcBorders>
            <w:tcW w:w="336"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责任类别</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责任要点</w:t>
            </w:r>
            <w:r>
              <w:rPr>
                <w:rFonts w:ascii="宋体" w:hAnsi="宋体" w:eastAsia="宋体" w:cs="宋体"/>
                <w:b/>
                <w:color w:val="000000"/>
                <w:sz w:val="21"/>
                <w:szCs w:val="21"/>
              </w:rPr>
            </w:r>
            <w:r/>
          </w:p>
        </w:tc>
        <w:tc>
          <w:tcPr>
            <w:tcBorders>
              <w:top w:val="single" w:color="000000" w:sz="4" w:space="0"/>
              <w:left w:val="none" w:color="000000" w:sz="4" w:space="0"/>
              <w:bottom w:val="single" w:color="000000" w:sz="4" w:space="0"/>
              <w:right w:val="single" w:color="000000" w:sz="4" w:space="0"/>
            </w:tcBorders>
            <w:tcW w:w="3906" w:type="dxa"/>
            <w:vAlign w:val="center"/>
            <w:textDirection w:val="lrTb"/>
            <w:noWrap/>
          </w:tcPr>
          <w:p>
            <w:pPr>
              <w:pStyle w:val="934"/>
              <w:jc w:val="center"/>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责任内容</w:t>
            </w:r>
            <w:r>
              <w:rPr>
                <w:rFonts w:ascii="宋体" w:hAnsi="宋体" w:eastAsia="宋体" w:cs="宋体"/>
                <w:b/>
                <w:color w:val="000000"/>
                <w:sz w:val="21"/>
                <w:szCs w:val="21"/>
              </w:rPr>
            </w:r>
            <w:r/>
          </w:p>
        </w:tc>
      </w:tr>
      <w:tr>
        <w:trPr>
          <w:trHeight w:val="2010"/>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承包单位法定代表人和实际控制人切实履行第一责任</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rPr>
                <w:rFonts w:ascii="宋体" w:hAnsi="宋体" w:eastAsia="宋体" w:cs="宋体"/>
                <w:color w:val="000000"/>
                <w:sz w:val="21"/>
                <w:szCs w:val="21"/>
              </w:rPr>
            </w:r>
            <w:r/>
          </w:p>
        </w:tc>
      </w:tr>
      <w:tr>
        <w:trPr>
          <w:trHeight w:val="2189"/>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2</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坚持依法生产经营、建设施工等活动</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rPr>
                <w:rFonts w:ascii="宋体" w:hAnsi="宋体" w:eastAsia="宋体" w:cs="宋体"/>
                <w:color w:val="000000"/>
                <w:sz w:val="21"/>
                <w:szCs w:val="21"/>
              </w:rPr>
            </w:r>
            <w:r/>
          </w:p>
        </w:tc>
      </w:tr>
      <w:tr>
        <w:trPr>
          <w:trHeight w:val="2454"/>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严格落实第一责任人责任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3</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加强安全管理机构和人员配备</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rPr>
                <w:rFonts w:ascii="宋体" w:hAnsi="宋体" w:eastAsia="宋体" w:cs="宋体"/>
                <w:color w:val="000000"/>
                <w:sz w:val="21"/>
                <w:szCs w:val="21"/>
              </w:rPr>
            </w:r>
            <w:r/>
          </w:p>
        </w:tc>
      </w:tr>
      <w:tr>
        <w:trPr>
          <w:trHeight w:val="1411"/>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4</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加大安全生产经费投入</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rPr>
                <w:rFonts w:ascii="宋体" w:hAnsi="宋体" w:eastAsia="宋体" w:cs="宋体"/>
                <w:color w:val="000000"/>
                <w:sz w:val="21"/>
                <w:szCs w:val="21"/>
              </w:rPr>
            </w:r>
            <w:r/>
          </w:p>
        </w:tc>
      </w:tr>
      <w:tr>
        <w:trPr>
          <w:trHeight w:val="2191"/>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5</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开展安全生产标准化建设</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rPr>
                <w:rFonts w:ascii="宋体" w:hAnsi="宋体" w:eastAsia="宋体" w:cs="宋体"/>
                <w:color w:val="000000"/>
                <w:sz w:val="21"/>
                <w:szCs w:val="21"/>
              </w:rPr>
            </w:r>
            <w:r/>
          </w:p>
        </w:tc>
      </w:tr>
      <w:tr>
        <w:trPr>
          <w:trHeight w:val="2332"/>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严格落实全员岗位责任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6</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建立健全全员安全生产责任制</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rPr>
                <w:rFonts w:ascii="宋体" w:hAnsi="宋体" w:eastAsia="宋体" w:cs="宋体"/>
                <w:color w:val="000000"/>
                <w:sz w:val="21"/>
                <w:szCs w:val="21"/>
              </w:rPr>
            </w:r>
            <w:r/>
          </w:p>
        </w:tc>
      </w:tr>
      <w:tr>
        <w:trPr>
          <w:trHeight w:val="1033"/>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7</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开展安全生产教育培训</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rPr>
                <w:rFonts w:ascii="宋体" w:hAnsi="宋体" w:eastAsia="宋体" w:cs="宋体"/>
                <w:color w:val="000000"/>
                <w:sz w:val="21"/>
                <w:szCs w:val="21"/>
              </w:rPr>
            </w:r>
            <w:r/>
          </w:p>
        </w:tc>
      </w:tr>
      <w:tr>
        <w:trPr>
          <w:trHeight w:val="2018"/>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8</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加强安全风险辨识管控</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rPr>
                <w:rFonts w:ascii="宋体" w:hAnsi="宋体" w:eastAsia="宋体" w:cs="宋体"/>
                <w:color w:val="000000"/>
                <w:sz w:val="21"/>
                <w:szCs w:val="21"/>
              </w:rPr>
            </w:r>
            <w:r/>
          </w:p>
        </w:tc>
      </w:tr>
      <w:tr>
        <w:trPr>
          <w:trHeight w:val="1113"/>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9</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加强事故隐患排查治理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承包单位应建立全员参与、全岗位覆盖、全过程衔接的隐患排查机制和清单管理、</w:t>
            </w:r>
            <w:r>
              <w:rPr>
                <w:rFonts w:hint="eastAsia" w:ascii="宋体" w:hAnsi="宋体" w:eastAsia="宋体" w:cs="宋体"/>
                <w:color w:val="000000"/>
                <w:sz w:val="21"/>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rPr>
                <w:rFonts w:ascii="宋体" w:hAnsi="宋体" w:eastAsia="宋体" w:cs="宋体"/>
                <w:color w:val="000000"/>
                <w:sz w:val="21"/>
                <w:szCs w:val="21"/>
              </w:rPr>
            </w:r>
            <w:r/>
          </w:p>
        </w:tc>
      </w:tr>
      <w:tr>
        <w:trPr>
          <w:trHeight w:val="1033"/>
        </w:trPr>
        <w:tc>
          <w:tcPr>
            <w:tcBorders>
              <w:top w:val="non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严格落实安全防控责任</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10</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加强各类危险源、危化品使用安全管理</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sz w:val="21"/>
                <w:szCs w:val="21"/>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rPr>
                <w:rFonts w:ascii="宋体" w:hAnsi="宋体" w:eastAsia="宋体" w:cs="宋体"/>
                <w:color w:val="000000"/>
                <w:sz w:val="21"/>
                <w:szCs w:val="21"/>
              </w:rPr>
            </w:r>
            <w:r/>
          </w:p>
        </w:tc>
      </w:tr>
      <w:tr>
        <w:trPr>
          <w:trHeight w:val="2148"/>
        </w:trPr>
        <w:tc>
          <w:tcPr>
            <w:tcBorders>
              <w:top w:val="non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11</w:t>
            </w:r>
            <w:r>
              <w:rPr>
                <w:rFonts w:ascii="宋体" w:hAnsi="宋体" w:eastAsia="宋体" w:cs="宋体"/>
                <w:color w:val="333333"/>
                <w:sz w:val="21"/>
                <w:szCs w:val="21"/>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加强危险作业安全管理</w:t>
            </w:r>
            <w:r>
              <w:rPr>
                <w:rFonts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rPr>
                <w:rFonts w:ascii="宋体" w:hAnsi="宋体" w:eastAsia="宋体" w:cs="宋体"/>
                <w:color w:val="000000"/>
                <w:sz w:val="21"/>
                <w:szCs w:val="21"/>
              </w:rPr>
            </w:r>
            <w:r/>
          </w:p>
        </w:tc>
      </w:tr>
      <w:tr>
        <w:trPr>
          <w:trHeight w:val="1541"/>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12</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认真执行安全生产“三同时”制度</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rPr>
                <w:rFonts w:ascii="宋体" w:hAnsi="宋体" w:eastAsia="宋体" w:cs="宋体"/>
                <w:color w:val="000000"/>
                <w:sz w:val="21"/>
                <w:szCs w:val="21"/>
              </w:rPr>
            </w:r>
            <w:r/>
          </w:p>
        </w:tc>
      </w:tr>
      <w:tr>
        <w:trPr>
          <w:trHeight w:val="1724"/>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13</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加强从业人员安全防护管理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rPr>
                <w:rFonts w:ascii="宋体" w:hAnsi="宋体" w:eastAsia="宋体" w:cs="宋体"/>
                <w:color w:val="000000"/>
                <w:sz w:val="21"/>
                <w:szCs w:val="21"/>
              </w:rPr>
            </w:r>
            <w:r/>
          </w:p>
        </w:tc>
      </w:tr>
      <w:tr>
        <w:trPr>
          <w:trHeight w:val="2441"/>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14</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加强外包等业务安全管理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rPr>
                <w:rFonts w:ascii="宋体" w:hAnsi="宋体" w:eastAsia="宋体" w:cs="宋体"/>
                <w:color w:val="000000"/>
                <w:sz w:val="21"/>
                <w:szCs w:val="21"/>
              </w:rPr>
            </w:r>
            <w:r/>
          </w:p>
        </w:tc>
      </w:tr>
      <w:tr>
        <w:trPr>
          <w:trHeight w:val="1012"/>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15</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加强复工安全管理</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承包单位复工前，应严格按照国家及行业有关标准和规定，制定复工方案，组织对安全生产相关设备设施进行全面检查，确保安全方可复工使用。</w:t>
            </w:r>
            <w:r>
              <w:rPr>
                <w:rFonts w:ascii="宋体" w:hAnsi="宋体" w:eastAsia="宋体" w:cs="宋体"/>
                <w:color w:val="000000"/>
                <w:sz w:val="21"/>
                <w:szCs w:val="21"/>
              </w:rPr>
            </w:r>
            <w:r/>
          </w:p>
        </w:tc>
      </w:tr>
      <w:tr>
        <w:trPr>
          <w:trHeight w:val="2609"/>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16</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强化应急救援能力建设</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rPr>
                <w:rFonts w:ascii="宋体" w:hAnsi="宋体" w:eastAsia="宋体" w:cs="宋体"/>
                <w:color w:val="000000"/>
                <w:sz w:val="21"/>
                <w:szCs w:val="21"/>
              </w:rPr>
            </w:r>
            <w:r/>
          </w:p>
        </w:tc>
      </w:tr>
      <w:tr>
        <w:trPr>
          <w:trHeight w:val="1907"/>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17</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严格事故报告和应急处置</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rPr>
                <w:rFonts w:ascii="宋体" w:hAnsi="宋体" w:eastAsia="宋体" w:cs="宋体"/>
                <w:color w:val="000000"/>
                <w:sz w:val="21"/>
                <w:szCs w:val="21"/>
              </w:rPr>
            </w:r>
            <w:r/>
          </w:p>
        </w:tc>
      </w:tr>
      <w:tr>
        <w:trPr>
          <w:trHeight w:val="2104"/>
        </w:trPr>
        <w:tc>
          <w:tcPr>
            <w:tcBorders>
              <w:top w:val="single" w:color="000000" w:sz="4" w:space="0"/>
              <w:left w:val="single" w:color="000000" w:sz="4" w:space="0"/>
              <w:bottom w:val="single" w:color="000000" w:sz="4" w:space="0"/>
              <w:right w:val="single" w:color="000000" w:sz="4" w:space="0"/>
            </w:tcBorders>
            <w:tcW w:w="336" w:type="dxa"/>
            <w:vAlign w:val="center"/>
            <w:vMerge w:val="restart"/>
            <w:textDirection w:val="lrTb"/>
            <w:noWrap w:val="false"/>
          </w:tcPr>
          <w:p>
            <w:pPr>
              <w:pStyle w:val="934"/>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严格落实基础管理责任</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18</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强化举一反三整改落实</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rPr>
                <w:rFonts w:ascii="宋体" w:hAnsi="宋体" w:eastAsia="宋体" w:cs="宋体"/>
                <w:color w:val="000000"/>
                <w:sz w:val="21"/>
                <w:szCs w:val="21"/>
              </w:rPr>
            </w:r>
            <w:r/>
          </w:p>
        </w:tc>
      </w:tr>
      <w:tr>
        <w:trPr>
          <w:trHeight w:val="1269"/>
        </w:trPr>
        <w:tc>
          <w:tcPr>
            <w:tcBorders>
              <w:top w:val="single" w:color="000000" w:sz="4" w:space="0"/>
              <w:left w:val="single" w:color="000000" w:sz="4" w:space="0"/>
              <w:bottom w:val="single" w:color="000000" w:sz="4" w:space="0"/>
              <w:right w:val="single" w:color="000000" w:sz="4" w:space="0"/>
            </w:tcBorders>
            <w:tcW w:w="336" w:type="dxa"/>
            <w:vAlign w:val="center"/>
            <w:vMerge w:val="continue"/>
            <w:textDirection w:val="lrTb"/>
            <w:noWrap w:val="false"/>
          </w:tcPr>
          <w:p>
            <w:pPr>
              <w:pStyle w:val="934"/>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7" w:type="dxa"/>
            <w:vAlign w:val="center"/>
            <w:textDirection w:val="lrTb"/>
            <w:noWrap/>
          </w:tcPr>
          <w:p>
            <w:pPr>
              <w:pStyle w:val="934"/>
              <w:jc w:val="center"/>
              <w:widowControl/>
              <w:rPr>
                <w:rFonts w:ascii="宋体" w:hAnsi="宋体" w:eastAsia="宋体" w:cs="宋体"/>
                <w:color w:val="333333"/>
                <w:sz w:val="21"/>
                <w:szCs w:val="21"/>
              </w:rPr>
            </w:pPr>
            <w:r>
              <w:rPr>
                <w:rFonts w:hint="eastAsia" w:ascii="宋体" w:hAnsi="宋体" w:eastAsia="宋体" w:cs="宋体"/>
                <w:color w:val="333333"/>
                <w:sz w:val="21"/>
                <w:szCs w:val="21"/>
              </w:rPr>
              <w:t xml:space="preserve">19</w:t>
            </w:r>
            <w:r>
              <w:rPr>
                <w:rFonts w:ascii="宋体" w:hAnsi="宋体" w:eastAsia="宋体" w:cs="宋体"/>
                <w:color w:val="333333"/>
                <w:sz w:val="21"/>
                <w:szCs w:val="21"/>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安全值班值守</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tcPr>
          <w:p>
            <w:pPr>
              <w:pStyle w:val="934"/>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承包单位应建立安全值班值守制度，确保项目安全值班值守。按甲方指令做好特殊时期（包括且不限于重大活动、特殊气象条件等）全天候安全相关值班值守。</w:t>
            </w:r>
            <w:r>
              <w:rPr>
                <w:rFonts w:ascii="宋体" w:hAnsi="宋体" w:eastAsia="宋体" w:cs="宋体"/>
                <w:color w:val="000000"/>
                <w:sz w:val="21"/>
                <w:szCs w:val="21"/>
              </w:rPr>
            </w:r>
            <w:r/>
          </w:p>
        </w:tc>
      </w:tr>
    </w:tbl>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ind w:firstLine="1940"/>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934"/>
        <w:pBdr>
          <w:top w:val="none" w:color="000000" w:sz="0" w:space="0"/>
          <w:left w:val="none" w:color="000000" w:sz="0" w:space="0"/>
          <w:bottom w:val="none" w:color="000000" w:sz="0" w:space="0"/>
          <w:right w:val="none" w:color="000000" w:sz="0" w:space="0"/>
        </w:pBdr>
      </w:pPr>
      <w:r/>
      <w:r/>
    </w:p>
    <w:p>
      <w:pPr>
        <w:pStyle w:val="935"/>
        <w:jc w:val="center"/>
        <w:spacing w:before="240" w:after="0" w:line="360" w:lineRule="auto"/>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44"/>
        </w:rPr>
        <w:br w:type="page" w:clear="all"/>
      </w:r>
      <w:bookmarkStart w:id="61" w:name="_Toc26485"/>
      <w:r>
        <w:rPr>
          <w:rFonts w:ascii="宋体" w:hAnsi="宋体" w:eastAsia="宋体" w:cs="宋体"/>
          <w:color w:val="000000"/>
          <w:szCs w:val="44"/>
        </w:rPr>
        <w:t xml:space="preserve">第六章</w:t>
      </w:r>
      <w:r>
        <w:rPr>
          <w:rFonts w:hint="eastAsia" w:ascii="宋体" w:hAnsi="宋体" w:eastAsia="宋体" w:cs="宋体"/>
          <w:color w:val="000000"/>
          <w:szCs w:val="44"/>
        </w:rPr>
        <w:t xml:space="preserve"> </w:t>
      </w:r>
      <w:r>
        <w:rPr>
          <w:rFonts w:ascii="宋体" w:hAnsi="宋体" w:eastAsia="宋体" w:cs="宋体"/>
          <w:color w:val="000000"/>
          <w:szCs w:val="44"/>
        </w:rPr>
        <w:t xml:space="preserve">评审办法</w:t>
      </w:r>
      <w:bookmarkEnd w:id="61"/>
      <w:r>
        <w:rPr>
          <w:rFonts w:ascii="宋体" w:hAnsi="宋体" w:eastAsia="宋体" w:cs="宋体"/>
          <w:color w:val="000000"/>
          <w:szCs w:val="44"/>
        </w:rPr>
      </w:r>
      <w:r/>
    </w:p>
    <w:p>
      <w:pPr>
        <w:pStyle w:val="934"/>
        <w:spacing w:line="360" w:lineRule="auto"/>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一、评审方法</w:t>
      </w:r>
      <w:r>
        <w:rPr>
          <w:rFonts w:ascii="宋体" w:hAnsi="宋体" w:eastAsia="宋体" w:cs="宋体"/>
          <w:b/>
          <w:bCs/>
          <w:color w:val="000000"/>
          <w:sz w:val="24"/>
          <w:szCs w:val="24"/>
        </w:rPr>
      </w:r>
      <w:r/>
    </w:p>
    <w:p>
      <w:pPr>
        <w:pStyle w:val="934"/>
        <w:ind w:firstLine="480"/>
        <w:spacing w:line="360" w:lineRule="auto"/>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1、成交原则：在响应最后报价不超过采购预算，且响应内容的质量和服务均能满足谈判文件实质性响应要求的供应商（不少于三家）中，提出最低报价的供应商确定为成交供应商。</w:t>
      </w:r>
      <w:r/>
    </w:p>
    <w:p>
      <w:pPr>
        <w:pStyle w:val="934"/>
        <w:ind w:firstLine="480"/>
        <w:spacing w:line="360" w:lineRule="auto"/>
        <w:tabs>
          <w:tab w:val="left" w:pos="2870"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2、谈判小组各成员独立对每个进入合格性评审程序的供应商的响应文件按合格性评审办法进行评审和评价，以判定响应文件的质量和服务均能满足谈判文件实质性响应要求，并确定成交供应商。</w:t>
      </w:r>
      <w:r>
        <w:rPr>
          <w:rFonts w:ascii="宋体" w:hAnsi="宋体" w:eastAsia="宋体" w:cs="宋体"/>
          <w:color w:val="000000"/>
          <w:sz w:val="24"/>
        </w:rPr>
      </w:r>
      <w:r/>
    </w:p>
    <w:p>
      <w:pPr>
        <w:pStyle w:val="934"/>
        <w:ind w:firstLine="480"/>
        <w:spacing w:line="360" w:lineRule="auto"/>
        <w:tabs>
          <w:tab w:val="left" w:pos="2870" w:leader="none"/>
        </w:tabs>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评审方法如下：</w:t>
      </w:r>
      <w:r>
        <w:rPr>
          <w:rFonts w:eastAsia="宋体"/>
        </w:rPr>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委对供应商的响应文件按照谈判文件的规定和要求进行资格性和符合性审查。经评委评审，如“评审内容表”中的评审内容均满足谈判文件要求的，则认为该供应商响应文件评审合格；如某一项条款内容评审不合格的，评委需要在备注栏中注明不合格原因。逐项汇总所有评委评审意见，以确定每个项目条款内容的最终合格性。如评委在某一项目条款内容是否合格出现评审意见不一致的，则按少数服从多数的原则，确定该一项条款是否合格。</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（2）评审意见汇总确定后，有评审内容项评审意见确定为不合格的，则该响应文件将被视为不合格，且不具备成交资格。</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谈判小组</w:t>
      </w:r>
      <w:r>
        <w:rPr>
          <w:rFonts w:ascii="宋体" w:hAnsi="宋体" w:eastAsia="宋体" w:cs="宋体"/>
          <w:color w:val="000000"/>
          <w:sz w:val="24"/>
        </w:rPr>
        <w:t xml:space="preserve">在评审合格的响应文件中以提出最后报价中最低报价的供应商作为成交供应商。如有两个或两个以上经评审合格供应商的最后报价相同且均为最低的，则提供政府优先采购品目清单中环境标志产品认证证书多的供应商优先成交，否则由谈判小组以抽签方式在提出最低报价的供应商中确定成交供应商。</w:t>
      </w:r>
      <w:r/>
    </w:p>
    <w:p>
      <w:pPr>
        <w:pStyle w:val="934"/>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3、针对小微型企业的评审：</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根据财政部、工业和信息化部关于印发《政府采购促进中小企业发展管理办法》的通知规定：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（1）本项目属于专门面向中小企业采购 。</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（2）依据《政府采购促进中小企业发展管理办法》规定享受扶持政策获得政府采购合同的，小型、微型企业不得分包或转包给大型、中型企业，中型企业不得分包或转包给大型企业。</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（3）本项目采购标的对应的中小企业划分标准所属行业为：</w:t>
      </w:r>
      <w:r>
        <w:rPr>
          <w:rFonts w:hint="eastAsia" w:ascii="宋体" w:hAnsi="宋体" w:eastAsia="宋体" w:cs="宋体"/>
          <w:color w:val="000000"/>
          <w:sz w:val="24"/>
          <w:u w:val="single"/>
        </w:rPr>
        <w:t xml:space="preserve">其他未列明行业</w:t>
      </w:r>
      <w:r>
        <w:rPr>
          <w:rFonts w:ascii="宋体" w:hAnsi="宋体" w:eastAsia="宋体" w:cs="宋体"/>
          <w:color w:val="000000"/>
          <w:sz w:val="24"/>
        </w:rPr>
        <w:t xml:space="preserve">。不同行业的中小微企业划分标准以工信部、国家统计局、国家发改委、财政部《关于印发中小企业划型标准规定的通知》（工信部联企业〔2011〕300号）为准。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（4）中小企业参加政府采购活动，应当出具《政府采购促进中小企业发展管理办法》附件规定《中小企业声明函》，否则不得享受相关中小企业扶持政策。</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（5）若供应商提供的《中小企业声明函》为虚假声明则视同提供虚假材料，按政府采购相关规定处理并报请政府监管部门给予行政处罚。</w:t>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color w:val="000000"/>
          <w:sz w:val="24"/>
        </w:rPr>
        <w:t xml:space="preserve">4、</w:t>
      </w:r>
      <w:r>
        <w:rPr>
          <w:rFonts w:hint="eastAsia" w:ascii="宋体" w:hAnsi="宋体" w:eastAsia="宋体" w:cs="宋体"/>
          <w:b/>
          <w:bCs/>
          <w:sz w:val="24"/>
          <w:szCs w:val="24"/>
        </w:rPr>
        <w:t xml:space="preserve">根据《关于推动解决政府采购异常低价问题的通知》（财库〔2026〕2号）文件要求，评审过程中出现下列情形之一的，谈判小组应当启动异常低价投标（响应）审查程序：</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4、谈判小组基于专业判断，认为供应商报价过低，有可能影响产品质量或者不能诚信履约的其他情形。</w:t>
      </w:r>
      <w:r>
        <w:rPr>
          <w:rFonts w:hint="eastAsia" w:ascii="宋体" w:hAnsi="宋体" w:eastAsia="宋体" w:cs="宋体"/>
          <w:b/>
          <w:bCs/>
          <w:sz w:val="24"/>
          <w:szCs w:val="24"/>
        </w:rPr>
      </w:r>
      <w:r/>
    </w:p>
    <w:p>
      <w:pPr>
        <w:pStyle w:val="934"/>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4"/>
          <w:szCs w:val="24"/>
        </w:rPr>
      </w:r>
      <w:r/>
    </w:p>
    <w:p>
      <w:pPr>
        <w:pStyle w:val="934"/>
        <w:ind w:firstLine="482"/>
        <w:spacing w:line="360" w:lineRule="auto"/>
      </w:pPr>
      <w:r>
        <w:rPr>
          <w:rFonts w:hint="eastAsia" w:ascii="宋体" w:hAnsi="宋体" w:eastAsia="宋体" w:cs="宋体"/>
          <w:b/>
          <w:bCs/>
          <w:sz w:val="24"/>
          <w:szCs w:val="24"/>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5、评审办法：</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书面授权谈判小组直接确定成交供应商。谈判小组各成员独立对谈判供应商的谈判响应文件按照采购文件的规定和要求进行资格性和符合性评审，如评审内容条款均满足采购文件实质性要求的，则认为该供应商采购文件评审合格。如某一条款内容评审不合格，须注明评审不合格原因。</w:t>
      </w:r>
      <w:r/>
    </w:p>
    <w:p>
      <w:pPr>
        <w:pStyle w:val="934"/>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（2）谈判小组为3人。如某一评</w:t>
      </w:r>
      <w:r>
        <w:rPr>
          <w:rFonts w:ascii="宋体" w:hAnsi="宋体" w:eastAsia="宋体" w:cs="宋体"/>
          <w:sz w:val="24"/>
        </w:rPr>
        <w:t xml:space="preserve">审条款出现评委意见不一致时，则按少数服从多数的原则，确定该项条款是否合格。</w:t>
      </w:r>
      <w:r/>
    </w:p>
    <w:p>
      <w:pPr>
        <w:pStyle w:val="934"/>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二、评审内容表</w:t>
      </w:r>
      <w:r/>
    </w:p>
    <w:tbl>
      <w:tblPr>
        <w:tblW w:w="840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8"/>
        <w:gridCol w:w="1554"/>
        <w:gridCol w:w="1427"/>
      </w:tblGrid>
      <w:tr>
        <w:trPr>
          <w:trHeight w:val="365"/>
        </w:trPr>
        <w:tc>
          <w:tcPr>
            <w:tcMar>
              <w:left w:w="108" w:type="dxa"/>
              <w:top w:w="0" w:type="dxa"/>
              <w:right w:w="108" w:type="dxa"/>
              <w:bottom w:w="0" w:type="dxa"/>
            </w:tcMar>
            <w:tcW w:w="5428"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评审内容</w:t>
            </w:r>
            <w:r/>
          </w:p>
        </w:tc>
        <w:tc>
          <w:tcPr>
            <w:tcMar>
              <w:top w:w="0" w:type="dxa"/>
              <w:bottom w:w="0" w:type="dxa"/>
            </w:tcMar>
            <w:tcW w:w="1554"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是否合格（是/否）</w:t>
            </w:r>
            <w:r/>
          </w:p>
        </w:tc>
        <w:tc>
          <w:tcPr>
            <w:tcMar>
              <w:top w:w="0" w:type="dxa"/>
              <w:bottom w:w="0" w:type="dxa"/>
            </w:tcMar>
            <w:tcW w:w="1427" w:type="dxa"/>
            <w:vAlign w:val="center"/>
            <w:textDirection w:val="lrTb"/>
            <w:noWrap w:val="false"/>
          </w:tcPr>
          <w:p>
            <w:pPr>
              <w:pStyle w:val="934"/>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不合格</w:t>
            </w:r>
            <w:r>
              <w:rPr>
                <w:rFonts w:ascii="宋体" w:hAnsi="宋体" w:eastAsia="宋体" w:cs="宋体"/>
                <w:sz w:val="24"/>
              </w:rPr>
              <w:t xml:space="preserve">原因</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Pr>
            <w:r>
              <w:rPr>
                <w:rFonts w:hint="eastAsia" w:ascii="宋体" w:hAnsi="宋体" w:eastAsia="宋体" w:cs="宋体"/>
                <w:sz w:val="24"/>
              </w:rPr>
              <w:t xml:space="preserve">1.是否符合谈判文件规定的资格要求，符合为合格，不符合为不合格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 是否提供符合谈判文件第四章的人员和设备要求，符合为合格，不符合为不合格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 是否响应谈判文件第四章的其他要求，响应为合格，不响应为不合格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51"/>
        </w:trPr>
        <w:tc>
          <w:tcPr>
            <w:tcMar>
              <w:left w:w="108" w:type="dxa"/>
              <w:top w:w="0" w:type="dxa"/>
              <w:right w:w="108" w:type="dxa"/>
              <w:bottom w:w="0" w:type="dxa"/>
            </w:tcMar>
            <w:tcW w:w="5428" w:type="dxa"/>
            <w:vAlign w:val="center"/>
            <w:textDirection w:val="lrTb"/>
            <w:noWrap w:val="false"/>
          </w:tcPr>
          <w:p>
            <w:pPr>
              <w:pStyle w:val="934"/>
              <w:jc w:val="lef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 是否存在谈判文件规定的其它响应无效的情况，不存在为合格，存在为不合格</w:t>
            </w:r>
            <w:r>
              <w:rPr>
                <w:rFonts w:ascii="宋体" w:hAnsi="宋体" w:eastAsia="宋体" w:cs="宋体"/>
                <w:sz w:val="24"/>
              </w:rPr>
            </w:r>
            <w:r/>
          </w:p>
        </w:tc>
        <w:tc>
          <w:tcPr>
            <w:tcMar>
              <w:top w:w="0" w:type="dxa"/>
              <w:bottom w:w="0" w:type="dxa"/>
            </w:tcMar>
            <w:tcW w:w="1554" w:type="dxa"/>
            <w:vAlign w:val="center"/>
            <w:textDirection w:val="lrTb"/>
            <w:noWrap w:val="false"/>
          </w:tcPr>
          <w:p>
            <w:pPr>
              <w:pStyle w:val="934"/>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top w:w="0" w:type="dxa"/>
              <w:bottom w:w="0" w:type="dxa"/>
            </w:tcMar>
            <w:tcW w:w="1427" w:type="dxa"/>
            <w:vAlign w:val="top"/>
            <w:textDirection w:val="lrTb"/>
            <w:noWrap w:val="false"/>
          </w:tcPr>
          <w:p>
            <w:pPr>
              <w:pStyle w:val="934"/>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pStyle w:val="934"/>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b/>
          <w:sz w:val="24"/>
        </w:rPr>
        <w:t xml:space="preserve">注：</w:t>
      </w:r>
      <w:r/>
    </w:p>
    <w:p>
      <w:pPr>
        <w:pStyle w:val="934"/>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1、报价超过采购预算的将不进入综合评审程序，也不得标。</w:t>
      </w:r>
      <w:r/>
    </w:p>
    <w:p>
      <w:pPr>
        <w:pStyle w:val="934"/>
        <w:ind w:firstLine="482"/>
        <w:keepLines w:val="0"/>
        <w:keepNext w:val="0"/>
        <w:pageBreakBefore w:val="0"/>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2、付款方式、</w:t>
      </w:r>
      <w:r>
        <w:rPr>
          <w:rFonts w:hint="eastAsia" w:ascii="宋体" w:hAnsi="宋体" w:eastAsia="宋体" w:cs="宋体"/>
          <w:b/>
          <w:sz w:val="24"/>
        </w:rPr>
        <w:t xml:space="preserve">服务期限</w:t>
      </w:r>
      <w:r>
        <w:rPr>
          <w:rFonts w:ascii="宋体" w:hAnsi="宋体" w:eastAsia="宋体" w:cs="宋体"/>
          <w:b/>
          <w:sz w:val="24"/>
        </w:rPr>
        <w:t xml:space="preserve">如有负偏离的不得成交。</w:t>
      </w:r>
      <w:r>
        <w:rPr>
          <w:rFonts w:hint="eastAsia" w:ascii="宋体" w:hAnsi="宋体" w:eastAsia="宋体" w:cs="宋体"/>
          <w:b/>
          <w:sz w:val="24"/>
        </w:rPr>
      </w:r>
      <w:r/>
    </w:p>
    <w:p>
      <w:pPr>
        <w:pStyle w:val="934"/>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3、上述某一项内容评审不合格，评审专家须注明评审不合格原因（至少包括不合格的具体事项、判定不合格依据的具体条款等）。任一项不合格其响应文件按无效处理。</w:t>
      </w:r>
      <w:r>
        <w:rPr>
          <w:rFonts w:ascii="宋体" w:hAnsi="宋体" w:eastAsia="宋体" w:cs="宋体"/>
          <w:sz w:val="21"/>
        </w:rPr>
        <w:t xml:space="preserve"> </w:t>
      </w:r>
      <w:r/>
    </w:p>
    <w:p>
      <w:pPr>
        <w:pStyle w:val="935"/>
        <w:jc w:val="center"/>
        <w:spacing w:before="240" w:after="0"/>
        <w:rPr>
          <w:rFonts w:ascii="宋体" w:hAnsi="宋体" w:eastAsia="宋体" w:cs="宋体"/>
          <w:color w:val="000000"/>
          <w:szCs w:val="44"/>
        </w:rPr>
        <w:pBdr>
          <w:top w:val="none" w:color="000000" w:sz="0" w:space="0"/>
          <w:left w:val="none" w:color="000000" w:sz="0" w:space="0"/>
          <w:bottom w:val="none" w:color="000000" w:sz="0" w:space="0"/>
          <w:right w:val="none" w:color="000000" w:sz="0" w:space="0"/>
        </w:pBdr>
      </w:pPr>
      <w:r/>
      <w:bookmarkStart w:id="62" w:name="_Toc30789"/>
      <w:r>
        <w:rPr>
          <w:rFonts w:hint="eastAsia" w:ascii="宋体" w:hAnsi="宋体" w:eastAsia="宋体" w:cs="宋体"/>
          <w:color w:val="000000"/>
          <w:szCs w:val="44"/>
        </w:rPr>
        <w:t xml:space="preserve">第七章 附件</w:t>
      </w:r>
      <w:bookmarkEnd w:id="62"/>
      <w:r>
        <w:rPr>
          <w:rFonts w:ascii="宋体" w:hAnsi="宋体" w:eastAsia="宋体" w:cs="宋体"/>
          <w:color w:val="000000"/>
          <w:szCs w:val="44"/>
        </w:rPr>
      </w:r>
      <w:r/>
    </w:p>
    <w:p>
      <w:pPr>
        <w:pStyle w:val="1188"/>
        <w:ind w:firstLine="420"/>
      </w:p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附件01：标段信息一览表</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附件02：技术要求</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附件03：考核表</w:t>
      </w:r>
      <w:r>
        <w:rPr>
          <w:rFonts w:hint="eastAsia" w:ascii="宋体" w:hAnsi="宋体" w:eastAsia="宋体"/>
          <w:b/>
          <w:bCs/>
          <w:sz w:val="24"/>
          <w:shd w:val="clear" w:color="auto" w:fill="ffffff"/>
        </w:rPr>
      </w:r>
      <w:r/>
    </w:p>
    <w:p>
      <w:pPr>
        <w:pStyle w:val="934"/>
        <w:ind w:right="480"/>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附件04：作业车辆及设施设备要求</w:t>
      </w:r>
      <w:r>
        <w:rPr>
          <w:rFonts w:hint="eastAsia" w:ascii="宋体" w:hAnsi="宋体" w:eastAsia="宋体"/>
          <w:b/>
          <w:bCs/>
          <w:sz w:val="24"/>
          <w:shd w:val="clear" w:color="auto" w:fill="ffffff"/>
        </w:rPr>
      </w:r>
      <w:r/>
    </w:p>
    <w:p>
      <w:pPr>
        <w:pStyle w:val="934"/>
        <w:ind w:right="480"/>
        <w:spacing w:line="360" w:lineRule="auto"/>
        <w:rPr>
          <w:rFonts w:ascii="宋体" w:hAnsi="宋体" w:eastAsia="宋体"/>
          <w:b/>
          <w:bCs/>
          <w:sz w:val="24"/>
          <w:shd w:val="clear" w:color="auto" w:fill="ffffff"/>
        </w:rPr>
      </w:pPr>
      <w:r>
        <w:rPr>
          <w:rFonts w:hint="eastAsia" w:ascii="宋体" w:hAnsi="宋体" w:eastAsia="宋体"/>
          <w:b/>
          <w:bCs/>
          <w:sz w:val="24"/>
          <w:shd w:val="clear" w:color="auto" w:fill="ffffff"/>
          <w:lang w:val="en-US" w:eastAsia="zh-CN"/>
        </w:rPr>
        <w:t xml:space="preserve">附件05：银行履约保函</w:t>
      </w:r>
      <w:r>
        <w:rPr>
          <w:rFonts w:hint="eastAsia" w:ascii="宋体" w:hAnsi="宋体" w:eastAsia="宋体"/>
          <w:b/>
          <w:bCs/>
          <w:sz w:val="24"/>
          <w:shd w:val="clear" w:color="auto" w:fill="ffffff"/>
        </w:rPr>
        <w:t xml:space="preserve">。</w:t>
      </w:r>
      <w:r>
        <w:rPr>
          <w:rFonts w:ascii="宋体" w:hAnsi="宋体" w:eastAsia="宋体"/>
          <w:b/>
          <w:bCs/>
          <w:sz w:val="24"/>
          <w:shd w:val="clear" w:color="auto" w:fill="ffffff"/>
        </w:rPr>
      </w:r>
      <w:r/>
    </w:p>
    <w:p>
      <w:pPr>
        <w:pStyle w:val="934"/>
        <w:ind w:right="480"/>
        <w:spacing w:line="360" w:lineRule="auto"/>
      </w:pPr>
      <w:r>
        <w:rPr>
          <w:rFonts w:hint="eastAsia" w:ascii="宋体" w:hAnsi="宋体" w:eastAsia="宋体" w:cs="宋体"/>
          <w:b/>
          <w:bCs/>
          <w:sz w:val="21"/>
          <w:szCs w:val="21"/>
        </w:rPr>
        <w:t xml:space="preserve">注：以上附件下载</w:t>
      </w:r>
      <w:r>
        <w:rPr>
          <w:rFonts w:hint="eastAsia" w:ascii="宋体" w:hAnsi="宋体" w:eastAsia="宋体" w:cs="宋体"/>
          <w:b/>
          <w:bCs/>
          <w:sz w:val="21"/>
          <w:szCs w:val="21"/>
        </w:rPr>
        <w:t xml:space="preserve">链接: https://pan.baidu.com/s/168PjhX13df0ZfDX9MJPwEQ </w:t>
      </w:r>
      <w:r/>
    </w:p>
    <w:p>
      <w:pPr>
        <w:ind w:right="48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提取码: 48i9</w:t>
      </w:r>
      <w:r>
        <w:rPr>
          <w:rFonts w:hint="eastAsia" w:ascii="宋体" w:hAnsi="宋体" w:eastAsia="宋体" w:cs="宋体"/>
          <w:b/>
          <w:bCs/>
          <w:sz w:val="21"/>
          <w:szCs w:val="21"/>
        </w:rPr>
      </w:r>
      <w:r/>
    </w:p>
    <w:p>
      <w:pPr>
        <w:pStyle w:val="934"/>
        <w:ind w:right="960"/>
        <w:spacing w:line="85" w:lineRule="atLeas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r>
      <w:r/>
    </w:p>
    <w:p>
      <w:pPr>
        <w:pStyle w:val="934"/>
        <w:ind w:right="960"/>
        <w:spacing w:line="85" w:lineRule="atLeast"/>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r>
      <w:r/>
    </w:p>
    <w:p>
      <w:pPr>
        <w:pStyle w:val="934"/>
        <w:ind w:right="96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34"/>
        <w:ind w:right="-8"/>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sectPr>
      <w:headerReference w:type="default" r:id="rId15"/>
      <w:headerReference w:type="first" r:id="rId16"/>
      <w:footerReference w:type="default" r:id="rId24"/>
      <w:footerReference w:type="first" r:id="rId25"/>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楷体_GBK">
    <w:panose1 w:val="020B0503020202020204"/>
  </w:font>
  <w:font w:name="方正仿宋_GBK">
    <w:panose1 w:val="020B0503020202020204"/>
  </w:font>
  <w:font w:name="Symbol">
    <w:panose1 w:val="05050102010706020507"/>
  </w:font>
  <w:font w:name="Wingdings">
    <w:panose1 w:val="05000000000000000000"/>
  </w:font>
  <w:font w:name="方正仿宋简体">
    <w:panose1 w:val="020B050302020202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等线 Light">
    <w:panose1 w:val="02010600030101010101"/>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sz w:val="21"/>
        <w:szCs w:val="21"/>
      </w:rPr>
    </w:pPr>
    <w:r>
      <w:rPr>
        <w:rFonts w:ascii="Calibri" w:hAnsi="Calibri"/>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sz w:val="18"/>
      </w:rPr>
    </w:pPr>
    <w:r>
      <w:rPr>
        <w:rFonts w:ascii="Calibri" w:hAnsi="Calibri"/>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sz w:val="18"/>
      </w:rPr>
    </w:pPr>
    <w:r>
      <w:rPr>
        <w:rFonts w:ascii="Calibri" w:hAnsi="Calibri"/>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sz w:val="21"/>
        <w:szCs w:val="21"/>
      </w:rPr>
    </w:pPr>
    <w:r>
      <w:rPr>
        <w:rFonts w:ascii="Calibri" w:hAnsi="Calibri"/>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2"/>
      <w:tabs>
        <w:tab w:val="center" w:pos="4153" w:leader="none"/>
        <w:tab w:val="right" w:pos="8306" w:leader="none"/>
      </w:tabs>
      <w:rPr>
        <w:rFonts w:ascii="Calibri" w:hAnsi="Calibri" w:eastAsia="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34"/>
                    </w:pPr>
                    <w:r/>
                    <w:r/>
                  </w:p>
                </w:txbxContent>
              </v:textbox>
            </v:shape>
          </w:pict>
        </mc:Fallback>
      </mc:AlternateContent>
    </w:r>
    <w:r>
      <w:rPr>
        <w:rFonts w:ascii="Calibri" w:hAnsi="Calibri" w:eastAsia="宋体"/>
        <w:sz w:val="21"/>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eastAsia="宋体"/>
        <w:sz w:val="18"/>
        <w:szCs w:val="18"/>
      </w:rPr>
    </w:pPr>
    <w:r>
      <w:rPr>
        <w:rFonts w:ascii="Calibri" w:hAnsi="Calibri" w:eastAsia="宋体"/>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left"/>
      <w:tabs>
        <w:tab w:val="center" w:pos="4153" w:leader="none"/>
        <w:tab w:val="right" w:pos="8306" w:leader="none"/>
      </w:tabs>
      <w:rPr>
        <w:rFonts w:ascii="Calibri" w:hAnsi="Calibri" w:eastAsia="宋体"/>
        <w:sz w:val="18"/>
        <w:szCs w:val="18"/>
      </w:rPr>
    </w:pPr>
    <w:r>
      <w:rPr>
        <w:rFonts w:ascii="Calibri" w:hAnsi="Calibri" w:eastAsia="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9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sz w:val="18"/>
      </w:rPr>
      <w:pBdr>
        <w:bottom w:val="single" w:color="000000" w:sz="6" w:space="1"/>
      </w:pBdr>
    </w:pPr>
    <w:r>
      <w:rPr>
        <w:rFonts w:ascii="Calibri" w:hAnsi="Calibri"/>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center"/>
      <w:tabs>
        <w:tab w:val="center" w:pos="4153" w:leader="none"/>
        <w:tab w:val="right" w:pos="8306" w:leader="none"/>
      </w:tabs>
      <w:rPr>
        <w:rFonts w:ascii="Calibri" w:hAnsi="Calibri" w:eastAsia="宋体"/>
        <w:sz w:val="18"/>
        <w:szCs w:val="18"/>
      </w:rPr>
      <w:pBdr>
        <w:bottom w:val="single" w:color="000000" w:sz="6" w:space="1"/>
      </w:pBdr>
    </w:pPr>
    <w:r>
      <w:rPr>
        <w:rFonts w:ascii="Calibri" w:hAnsi="Calibri" w:eastAsia="宋体"/>
        <w:sz w:val="18"/>
        <w:szCs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4"/>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934"/>
    <w:next w:val="934"/>
    <w:link w:val="1016"/>
    <w:uiPriority w:val="9"/>
    <w:qFormat/>
    <w:pPr>
      <w:keepLines/>
      <w:keepNext/>
      <w:spacing w:before="480" w:after="200"/>
      <w:outlineLvl w:val="0"/>
    </w:pPr>
    <w:rPr>
      <w:rFonts w:ascii="Arial" w:hAnsi="Arial" w:eastAsia="Arial" w:cs="Arial"/>
      <w:sz w:val="40"/>
      <w:szCs w:val="40"/>
    </w:rPr>
  </w:style>
  <w:style w:type="paragraph" w:styleId="892">
    <w:name w:val="Heading 2"/>
    <w:basedOn w:val="934"/>
    <w:next w:val="934"/>
    <w:link w:val="1017"/>
    <w:uiPriority w:val="9"/>
    <w:unhideWhenUsed/>
    <w:qFormat/>
    <w:pPr>
      <w:keepLines/>
      <w:keepNext/>
      <w:spacing w:before="360" w:after="200"/>
      <w:outlineLvl w:val="1"/>
    </w:pPr>
    <w:rPr>
      <w:rFonts w:ascii="Arial" w:hAnsi="Arial" w:eastAsia="Arial" w:cs="Arial"/>
      <w:sz w:val="34"/>
    </w:rPr>
  </w:style>
  <w:style w:type="paragraph" w:styleId="893">
    <w:name w:val="Heading 3"/>
    <w:basedOn w:val="934"/>
    <w:next w:val="934"/>
    <w:link w:val="1018"/>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934"/>
    <w:next w:val="934"/>
    <w:link w:val="1019"/>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934"/>
    <w:next w:val="934"/>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934"/>
    <w:next w:val="934"/>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934"/>
    <w:next w:val="934"/>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934"/>
    <w:next w:val="934"/>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934"/>
    <w:next w:val="934"/>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List Paragraph"/>
    <w:basedOn w:val="934"/>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934"/>
    <w:next w:val="934"/>
    <w:link w:val="1020"/>
    <w:uiPriority w:val="10"/>
    <w:qFormat/>
    <w:pPr>
      <w:contextualSpacing/>
      <w:spacing w:before="300" w:after="200"/>
    </w:pPr>
    <w:rPr>
      <w:sz w:val="48"/>
      <w:szCs w:val="48"/>
    </w:rPr>
  </w:style>
  <w:style w:type="paragraph" w:styleId="908">
    <w:name w:val="Subtitle"/>
    <w:basedOn w:val="934"/>
    <w:next w:val="934"/>
    <w:link w:val="1021"/>
    <w:uiPriority w:val="11"/>
    <w:qFormat/>
    <w:pPr>
      <w:spacing w:before="200" w:after="200"/>
    </w:pPr>
    <w:rPr>
      <w:sz w:val="24"/>
      <w:szCs w:val="24"/>
    </w:rPr>
  </w:style>
  <w:style w:type="paragraph" w:styleId="909">
    <w:name w:val="Quote"/>
    <w:basedOn w:val="934"/>
    <w:next w:val="934"/>
    <w:link w:val="910"/>
    <w:uiPriority w:val="29"/>
    <w:qFormat/>
    <w:pPr>
      <w:ind w:left="720" w:right="720"/>
    </w:pPr>
    <w:rPr>
      <w:i/>
    </w:rPr>
  </w:style>
  <w:style w:type="character" w:styleId="910">
    <w:name w:val="Quote Char"/>
    <w:link w:val="909"/>
    <w:uiPriority w:val="29"/>
    <w:rPr>
      <w:i/>
    </w:rPr>
  </w:style>
  <w:style w:type="paragraph" w:styleId="911">
    <w:name w:val="Intense Quote"/>
    <w:basedOn w:val="934"/>
    <w:next w:val="934"/>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934"/>
    <w:link w:val="1026"/>
    <w:uiPriority w:val="99"/>
    <w:unhideWhenUsed/>
    <w:pPr>
      <w:spacing w:after="0" w:line="240" w:lineRule="auto"/>
      <w:tabs>
        <w:tab w:val="center" w:pos="7143" w:leader="none"/>
        <w:tab w:val="right" w:pos="14287" w:leader="none"/>
      </w:tabs>
    </w:pPr>
  </w:style>
  <w:style w:type="paragraph" w:styleId="914">
    <w:name w:val="Footer"/>
    <w:basedOn w:val="934"/>
    <w:link w:val="1028"/>
    <w:uiPriority w:val="99"/>
    <w:unhideWhenUsed/>
    <w:pPr>
      <w:spacing w:after="0" w:line="240" w:lineRule="auto"/>
      <w:tabs>
        <w:tab w:val="center" w:pos="7143" w:leader="none"/>
        <w:tab w:val="right" w:pos="14287" w:leader="none"/>
      </w:tabs>
    </w:pPr>
  </w:style>
  <w:style w:type="paragraph" w:styleId="915">
    <w:name w:val="Caption"/>
    <w:basedOn w:val="934"/>
    <w:next w:val="934"/>
    <w:uiPriority w:val="35"/>
    <w:semiHidden/>
    <w:unhideWhenUsed/>
    <w:qFormat/>
    <w:pPr>
      <w:spacing w:line="276" w:lineRule="auto"/>
    </w:pPr>
    <w:rPr>
      <w:b/>
      <w:bCs/>
      <w:color w:val="4f81bd" w:themeColor="accent1"/>
      <w:sz w:val="18"/>
      <w:szCs w:val="18"/>
    </w:rPr>
  </w:style>
  <w:style w:type="table" w:styleId="9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Hyperlink"/>
    <w:uiPriority w:val="99"/>
    <w:unhideWhenUsed/>
    <w:rPr>
      <w:color w:val="0000ff" w:themeColor="hyperlink"/>
      <w:u w:val="single"/>
    </w:rPr>
  </w:style>
  <w:style w:type="paragraph" w:styleId="918">
    <w:name w:val="footnote text"/>
    <w:basedOn w:val="934"/>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4"/>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eastAsia="楷体_GB2312"/>
      <w:sz w:val="26"/>
      <w:lang w:val="en-US" w:eastAsia="zh-CN" w:bidi="ar-SA"/>
    </w:rPr>
  </w:style>
  <w:style w:type="paragraph" w:styleId="935">
    <w:name w:val="标题 1"/>
    <w:basedOn w:val="934"/>
    <w:next w:val="934"/>
    <w:link w:val="946"/>
    <w:qFormat/>
    <w:pPr>
      <w:keepLines/>
      <w:keepNext/>
      <w:spacing w:before="340" w:after="330" w:line="578" w:lineRule="auto"/>
      <w:outlineLvl w:val="0"/>
    </w:pPr>
    <w:rPr>
      <w:b/>
      <w:sz w:val="44"/>
    </w:rPr>
  </w:style>
  <w:style w:type="paragraph" w:styleId="936">
    <w:name w:val="标题 2"/>
    <w:basedOn w:val="934"/>
    <w:next w:val="934"/>
    <w:link w:val="947"/>
    <w:qFormat/>
    <w:pPr>
      <w:keepLines/>
      <w:keepNext/>
      <w:spacing w:before="260" w:after="260" w:line="416" w:lineRule="auto"/>
      <w:outlineLvl w:val="1"/>
    </w:pPr>
    <w:rPr>
      <w:rFonts w:ascii="Arial" w:hAnsi="Arial" w:eastAsia="黑体"/>
      <w:b/>
      <w:bCs/>
      <w:sz w:val="32"/>
      <w:szCs w:val="32"/>
    </w:rPr>
  </w:style>
  <w:style w:type="paragraph" w:styleId="937">
    <w:name w:val="标题 3"/>
    <w:basedOn w:val="934"/>
    <w:next w:val="934"/>
    <w:link w:val="948"/>
    <w:qFormat/>
    <w:pPr>
      <w:keepLines/>
      <w:keepNext/>
      <w:spacing w:before="260" w:after="260" w:line="416" w:lineRule="auto"/>
      <w:outlineLvl w:val="2"/>
    </w:pPr>
    <w:rPr>
      <w:b/>
      <w:bCs/>
      <w:sz w:val="32"/>
      <w:szCs w:val="32"/>
    </w:rPr>
  </w:style>
  <w:style w:type="paragraph" w:styleId="938">
    <w:name w:val="标题 4"/>
    <w:basedOn w:val="934"/>
    <w:next w:val="934"/>
    <w:link w:val="949"/>
    <w:qFormat/>
    <w:pPr>
      <w:keepLines/>
      <w:keepNext/>
      <w:spacing w:before="280" w:after="290" w:line="376" w:lineRule="auto"/>
      <w:outlineLvl w:val="3"/>
    </w:pPr>
    <w:rPr>
      <w:rFonts w:ascii="Arial" w:hAnsi="Arial" w:eastAsia="黑体"/>
      <w:b/>
      <w:bCs/>
      <w:sz w:val="28"/>
      <w:szCs w:val="28"/>
    </w:rPr>
  </w:style>
  <w:style w:type="paragraph" w:styleId="939">
    <w:name w:val="标题 5"/>
    <w:basedOn w:val="934"/>
    <w:next w:val="934"/>
    <w:link w:val="950"/>
    <w:uiPriority w:val="9"/>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标题 1 Char1"/>
    <w:basedOn w:val="944"/>
    <w:next w:val="946"/>
    <w:link w:val="935"/>
    <w:qFormat/>
    <w:rPr>
      <w:rFonts w:hint="eastAsia" w:ascii="黑体" w:hAnsi="宋体" w:eastAsia="黑体" w:cs="Arial"/>
      <w:b/>
      <w:bCs/>
      <w:sz w:val="32"/>
      <w:szCs w:val="24"/>
    </w:rPr>
  </w:style>
  <w:style w:type="character" w:styleId="947">
    <w:name w:val="标题 2 Char1"/>
    <w:basedOn w:val="944"/>
    <w:next w:val="947"/>
    <w:link w:val="936"/>
    <w:qFormat/>
    <w:rPr>
      <w:rFonts w:hint="eastAsia" w:ascii="黑体" w:hAnsi="宋体" w:eastAsia="黑体" w:cs="Arial"/>
      <w:b/>
      <w:bCs/>
      <w:sz w:val="30"/>
      <w:szCs w:val="30"/>
    </w:rPr>
  </w:style>
  <w:style w:type="character" w:styleId="948">
    <w:name w:val="标题 3 Char"/>
    <w:basedOn w:val="944"/>
    <w:next w:val="948"/>
    <w:link w:val="937"/>
    <w:qFormat/>
    <w:rPr>
      <w:rFonts w:ascii="Times New Roman" w:hAnsi="Times New Roman" w:eastAsia="楷体_GB2312" w:cs="Times New Roman"/>
      <w:b/>
      <w:bCs/>
      <w:sz w:val="32"/>
      <w:szCs w:val="32"/>
    </w:rPr>
  </w:style>
  <w:style w:type="character" w:styleId="949">
    <w:name w:val="标题 4 Char1"/>
    <w:basedOn w:val="944"/>
    <w:next w:val="949"/>
    <w:link w:val="938"/>
    <w:qFormat/>
    <w:rPr>
      <w:rFonts w:ascii="Arial" w:hAnsi="Arial" w:eastAsia="黑体" w:cs="Arial"/>
      <w:b/>
      <w:bCs/>
      <w:sz w:val="28"/>
      <w:szCs w:val="28"/>
    </w:rPr>
  </w:style>
  <w:style w:type="character" w:styleId="950">
    <w:name w:val="标题 5 Char"/>
    <w:basedOn w:val="944"/>
    <w:next w:val="950"/>
    <w:link w:val="939"/>
    <w:uiPriority w:val="9"/>
    <w:rPr>
      <w:rFonts w:ascii="Arial" w:hAnsi="Arial" w:eastAsia="Arial" w:cs="Arial"/>
      <w:b/>
      <w:bCs/>
      <w:sz w:val="24"/>
      <w:szCs w:val="24"/>
    </w:rPr>
  </w:style>
  <w:style w:type="character" w:styleId="951">
    <w:name w:val="标题 6 Char"/>
    <w:basedOn w:val="944"/>
    <w:next w:val="951"/>
    <w:link w:val="940"/>
    <w:uiPriority w:val="9"/>
    <w:rPr>
      <w:rFonts w:ascii="Arial" w:hAnsi="Arial" w:eastAsia="Arial" w:cs="Arial"/>
      <w:b/>
      <w:bCs/>
      <w:sz w:val="22"/>
      <w:szCs w:val="22"/>
    </w:rPr>
  </w:style>
  <w:style w:type="character" w:styleId="952">
    <w:name w:val="标题 7 Char"/>
    <w:basedOn w:val="944"/>
    <w:next w:val="952"/>
    <w:link w:val="941"/>
    <w:uiPriority w:val="9"/>
    <w:rPr>
      <w:rFonts w:ascii="Arial" w:hAnsi="Arial" w:eastAsia="Arial" w:cs="Arial"/>
      <w:b/>
      <w:bCs/>
      <w:i/>
      <w:iCs/>
      <w:sz w:val="22"/>
      <w:szCs w:val="22"/>
    </w:rPr>
  </w:style>
  <w:style w:type="character" w:styleId="953">
    <w:name w:val="标题 8 Char"/>
    <w:basedOn w:val="944"/>
    <w:next w:val="953"/>
    <w:link w:val="942"/>
    <w:uiPriority w:val="9"/>
    <w:rPr>
      <w:rFonts w:ascii="Arial" w:hAnsi="Arial" w:eastAsia="Arial" w:cs="Arial"/>
      <w:i/>
      <w:iCs/>
      <w:sz w:val="22"/>
      <w:szCs w:val="22"/>
    </w:rPr>
  </w:style>
  <w:style w:type="character" w:styleId="954">
    <w:name w:val="标题 9 Char"/>
    <w:basedOn w:val="944"/>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列表编号"/>
    <w:basedOn w:val="934"/>
    <w:next w:val="956"/>
    <w:link w:val="934"/>
    <w:qFormat/>
    <w:pPr>
      <w:ind w:left="1125" w:hanging="555"/>
      <w:tabs>
        <w:tab w:val="left" w:pos="1125" w:leader="none"/>
      </w:tabs>
    </w:pPr>
    <w:rPr>
      <w:rFonts w:eastAsia="宋体"/>
      <w:sz w:val="21"/>
      <w:szCs w:val="24"/>
    </w:rPr>
  </w:style>
  <w:style w:type="paragraph" w:styleId="957">
    <w:name w:val="正文缩进"/>
    <w:basedOn w:val="934"/>
    <w:next w:val="934"/>
    <w:link w:val="958"/>
    <w:qFormat/>
    <w:pPr>
      <w:ind w:firstLine="420"/>
      <w:jc w:val="left"/>
    </w:pPr>
    <w:rPr>
      <w:sz w:val="24"/>
    </w:rPr>
  </w:style>
  <w:style w:type="character" w:styleId="958">
    <w:name w:val="正文缩进 Char1"/>
    <w:next w:val="958"/>
    <w:link w:val="957"/>
    <w:qFormat/>
    <w:rPr>
      <w:rFonts w:ascii="Times New Roman" w:hAnsi="Times New Roman" w:eastAsia="楷体_GB2312" w:cs="Times New Roman"/>
      <w:sz w:val="24"/>
      <w:szCs w:val="20"/>
    </w:rPr>
  </w:style>
  <w:style w:type="paragraph" w:styleId="959">
    <w:name w:val="题注"/>
    <w:basedOn w:val="934"/>
    <w:next w:val="934"/>
    <w:link w:val="934"/>
    <w:uiPriority w:val="35"/>
    <w:qFormat/>
    <w:pPr>
      <w:spacing w:line="276" w:lineRule="auto"/>
    </w:pPr>
    <w:rPr>
      <w:b/>
      <w:bCs/>
      <w:color w:val="4f81bd"/>
      <w:sz w:val="18"/>
      <w:szCs w:val="18"/>
    </w:rPr>
  </w:style>
  <w:style w:type="paragraph" w:styleId="960">
    <w:name w:val="批注文字"/>
    <w:basedOn w:val="934"/>
    <w:next w:val="960"/>
    <w:link w:val="961"/>
    <w:uiPriority w:val="99"/>
    <w:semiHidden/>
    <w:qFormat/>
    <w:pPr>
      <w:jc w:val="left"/>
    </w:pPr>
  </w:style>
  <w:style w:type="character" w:styleId="961">
    <w:name w:val="批注文字 Char"/>
    <w:basedOn w:val="944"/>
    <w:next w:val="961"/>
    <w:link w:val="960"/>
    <w:uiPriority w:val="99"/>
    <w:semiHidden/>
    <w:qFormat/>
    <w:rPr>
      <w:rFonts w:ascii="Times New Roman" w:hAnsi="Times New Roman" w:eastAsia="楷体_GB2312" w:cs="Times New Roman"/>
      <w:sz w:val="26"/>
      <w:szCs w:val="20"/>
    </w:rPr>
  </w:style>
  <w:style w:type="paragraph" w:styleId="962">
    <w:name w:val="正文文本 3"/>
    <w:basedOn w:val="934"/>
    <w:next w:val="962"/>
    <w:link w:val="963"/>
    <w:uiPriority w:val="99"/>
    <w:unhideWhenUsed/>
    <w:qFormat/>
    <w:rPr>
      <w:rFonts w:hint="eastAsia" w:ascii="宋体" w:eastAsia="宋体"/>
      <w:sz w:val="24"/>
    </w:rPr>
  </w:style>
  <w:style w:type="character" w:styleId="963">
    <w:name w:val="正文文本 3 Char"/>
    <w:basedOn w:val="944"/>
    <w:next w:val="963"/>
    <w:link w:val="962"/>
    <w:qFormat/>
    <w:rPr>
      <w:rFonts w:hint="eastAsia" w:ascii="宋体" w:hAnsi="宋体" w:eastAsia="宋体" w:cs="宋体"/>
      <w:sz w:val="24"/>
    </w:rPr>
  </w:style>
  <w:style w:type="paragraph" w:styleId="964">
    <w:name w:val="正文文本"/>
    <w:basedOn w:val="934"/>
    <w:next w:val="964"/>
    <w:link w:val="965"/>
    <w:qFormat/>
    <w:pPr>
      <w:spacing w:line="400" w:lineRule="exact"/>
    </w:pPr>
    <w:rPr>
      <w:rFonts w:ascii="楷体_GB2312"/>
      <w:sz w:val="28"/>
    </w:rPr>
  </w:style>
  <w:style w:type="character" w:styleId="965">
    <w:name w:val="正文文本 Char1"/>
    <w:basedOn w:val="944"/>
    <w:next w:val="965"/>
    <w:link w:val="964"/>
    <w:qFormat/>
    <w:rPr>
      <w:rFonts w:hint="eastAsia" w:ascii="宋体" w:hAnsi="宋体" w:eastAsia="宋体" w:cs="宋体"/>
      <w:sz w:val="21"/>
      <w:szCs w:val="24"/>
    </w:rPr>
  </w:style>
  <w:style w:type="paragraph" w:styleId="966">
    <w:name w:val="正文文本缩进"/>
    <w:basedOn w:val="934"/>
    <w:next w:val="934"/>
    <w:link w:val="967"/>
    <w:qFormat/>
    <w:pPr>
      <w:ind w:left="420"/>
      <w:spacing w:after="120"/>
    </w:pPr>
  </w:style>
  <w:style w:type="character" w:styleId="967">
    <w:name w:val="正文文本缩进 Char"/>
    <w:basedOn w:val="944"/>
    <w:next w:val="967"/>
    <w:link w:val="966"/>
    <w:qFormat/>
    <w:rPr>
      <w:rFonts w:ascii="Times New Roman" w:hAnsi="Times New Roman" w:eastAsia="楷体_GB2312" w:cs="Times New Roman"/>
      <w:sz w:val="26"/>
      <w:szCs w:val="20"/>
    </w:rPr>
  </w:style>
  <w:style w:type="paragraph" w:styleId="968">
    <w:name w:val="文本块"/>
    <w:basedOn w:val="934"/>
    <w:next w:val="968"/>
    <w:link w:val="934"/>
    <w:qFormat/>
    <w:pPr>
      <w:ind w:left="147" w:right="246" w:firstLine="480"/>
      <w:spacing w:line="360" w:lineRule="auto"/>
    </w:pPr>
    <w:rPr>
      <w:rFonts w:ascii="宋体" w:hAnsi="宋体" w:eastAsia="宋体"/>
      <w:sz w:val="24"/>
      <w:szCs w:val="24"/>
    </w:rPr>
  </w:style>
  <w:style w:type="paragraph" w:styleId="969">
    <w:name w:val="索引 4"/>
    <w:basedOn w:val="934"/>
    <w:next w:val="934"/>
    <w:link w:val="934"/>
    <w:uiPriority w:val="99"/>
    <w:unhideWhenUsed/>
    <w:qFormat/>
    <w:pPr>
      <w:ind w:left="600"/>
    </w:pPr>
  </w:style>
  <w:style w:type="paragraph" w:styleId="970">
    <w:name w:val="目录 5"/>
    <w:basedOn w:val="934"/>
    <w:next w:val="934"/>
    <w:link w:val="934"/>
    <w:uiPriority w:val="39"/>
    <w:unhideWhenUsed/>
    <w:pPr>
      <w:ind w:left="1134" w:right="0" w:firstLine="0"/>
      <w:spacing w:after="57"/>
    </w:pPr>
  </w:style>
  <w:style w:type="paragraph" w:styleId="971">
    <w:name w:val="目录 3"/>
    <w:basedOn w:val="934"/>
    <w:next w:val="934"/>
    <w:link w:val="934"/>
    <w:uiPriority w:val="39"/>
    <w:unhideWhenUsed/>
    <w:pPr>
      <w:ind w:left="567" w:right="0" w:firstLine="0"/>
      <w:spacing w:after="57"/>
    </w:pPr>
  </w:style>
  <w:style w:type="paragraph" w:styleId="972">
    <w:name w:val="纯文本"/>
    <w:basedOn w:val="934"/>
    <w:next w:val="972"/>
    <w:link w:val="973"/>
    <w:qFormat/>
    <w:rPr>
      <w:rFonts w:ascii="宋体" w:hAnsi="Courier New"/>
    </w:rPr>
  </w:style>
  <w:style w:type="character" w:styleId="973">
    <w:name w:val="纯文本 Char"/>
    <w:basedOn w:val="944"/>
    <w:next w:val="973"/>
    <w:link w:val="972"/>
    <w:qFormat/>
    <w:rPr>
      <w:rFonts w:ascii="宋体" w:hAnsi="Courier New" w:eastAsia="楷体_GB2312" w:cs="Times New Roman"/>
      <w:sz w:val="26"/>
      <w:szCs w:val="20"/>
    </w:rPr>
  </w:style>
  <w:style w:type="paragraph" w:styleId="974">
    <w:name w:val="目录 8"/>
    <w:basedOn w:val="934"/>
    <w:next w:val="934"/>
    <w:link w:val="934"/>
    <w:uiPriority w:val="39"/>
    <w:unhideWhenUsed/>
    <w:pPr>
      <w:ind w:left="1984" w:right="0" w:firstLine="0"/>
      <w:spacing w:after="57"/>
    </w:pPr>
  </w:style>
  <w:style w:type="paragraph" w:styleId="975">
    <w:name w:val="日期"/>
    <w:basedOn w:val="934"/>
    <w:next w:val="934"/>
    <w:link w:val="976"/>
    <w:qFormat/>
    <w:rPr>
      <w:rFonts w:ascii="宋体" w:hAnsi="宋体"/>
      <w:sz w:val="24"/>
    </w:rPr>
  </w:style>
  <w:style w:type="character" w:styleId="976">
    <w:name w:val="日期 Char"/>
    <w:basedOn w:val="944"/>
    <w:next w:val="976"/>
    <w:link w:val="975"/>
    <w:qFormat/>
    <w:rPr>
      <w:rFonts w:ascii="宋体" w:hAnsi="宋体" w:eastAsia="楷体_GB2312" w:cs="Times New Roman"/>
      <w:sz w:val="24"/>
      <w:szCs w:val="20"/>
    </w:rPr>
  </w:style>
  <w:style w:type="paragraph" w:styleId="977">
    <w:name w:val="正文文本缩进 2"/>
    <w:basedOn w:val="934"/>
    <w:next w:val="977"/>
    <w:link w:val="978"/>
    <w:qFormat/>
    <w:pPr>
      <w:ind w:firstLine="502"/>
      <w:spacing w:line="360" w:lineRule="auto"/>
      <w:tabs>
        <w:tab w:val="left" w:pos="0" w:leader="none"/>
      </w:tabs>
    </w:pPr>
    <w:rPr>
      <w:rFonts w:ascii="宋体" w:eastAsia="宋体"/>
      <w:b/>
      <w:bCs/>
      <w:sz w:val="24"/>
    </w:rPr>
  </w:style>
  <w:style w:type="character" w:styleId="978">
    <w:name w:val="正文文本缩进 2 Char"/>
    <w:basedOn w:val="944"/>
    <w:next w:val="978"/>
    <w:link w:val="977"/>
    <w:qFormat/>
    <w:rPr>
      <w:rFonts w:ascii="宋体" w:hAnsi="Times New Roman" w:eastAsia="宋体" w:cs="Times New Roman"/>
      <w:b/>
      <w:bCs/>
      <w:sz w:val="24"/>
      <w:szCs w:val="20"/>
    </w:rPr>
  </w:style>
  <w:style w:type="paragraph" w:styleId="979">
    <w:name w:val="尾注文本"/>
    <w:basedOn w:val="934"/>
    <w:next w:val="979"/>
    <w:link w:val="980"/>
    <w:uiPriority w:val="99"/>
    <w:unhideWhenUsed/>
    <w:pPr>
      <w:spacing w:after="0" w:line="240" w:lineRule="auto"/>
    </w:pPr>
    <w:rPr>
      <w:rFonts w:eastAsia="宋体"/>
      <w:sz w:val="20"/>
    </w:rPr>
  </w:style>
  <w:style w:type="character" w:styleId="980">
    <w:name w:val="尾注文本 Char"/>
    <w:next w:val="980"/>
    <w:link w:val="979"/>
    <w:uiPriority w:val="99"/>
    <w:rPr>
      <w:sz w:val="20"/>
    </w:rPr>
  </w:style>
  <w:style w:type="paragraph" w:styleId="981">
    <w:name w:val="批注框文本"/>
    <w:basedOn w:val="934"/>
    <w:next w:val="981"/>
    <w:link w:val="982"/>
    <w:semiHidden/>
    <w:qFormat/>
    <w:rPr>
      <w:sz w:val="18"/>
      <w:szCs w:val="18"/>
    </w:rPr>
  </w:style>
  <w:style w:type="character" w:styleId="982">
    <w:name w:val="批注框文本 Char"/>
    <w:basedOn w:val="944"/>
    <w:next w:val="982"/>
    <w:link w:val="981"/>
    <w:semiHidden/>
    <w:qFormat/>
    <w:rPr>
      <w:rFonts w:ascii="Times New Roman" w:hAnsi="Times New Roman" w:eastAsia="楷体_GB2312" w:cs="Times New Roman"/>
      <w:sz w:val="18"/>
      <w:szCs w:val="18"/>
    </w:rPr>
  </w:style>
  <w:style w:type="paragraph" w:styleId="983">
    <w:name w:val="页脚"/>
    <w:basedOn w:val="934"/>
    <w:next w:val="983"/>
    <w:link w:val="984"/>
    <w:uiPriority w:val="99"/>
    <w:unhideWhenUsed/>
    <w:qFormat/>
    <w:pPr>
      <w:jc w:val="left"/>
      <w:tabs>
        <w:tab w:val="center" w:pos="4153" w:leader="none"/>
        <w:tab w:val="right" w:pos="8306" w:leader="none"/>
      </w:tabs>
    </w:pPr>
    <w:rPr>
      <w:sz w:val="18"/>
      <w:szCs w:val="18"/>
    </w:rPr>
  </w:style>
  <w:style w:type="character" w:styleId="984">
    <w:name w:val="页脚 Char1"/>
    <w:basedOn w:val="944"/>
    <w:next w:val="984"/>
    <w:link w:val="983"/>
    <w:qFormat/>
    <w:rPr>
      <w:sz w:val="18"/>
      <w:szCs w:val="18"/>
    </w:rPr>
  </w:style>
  <w:style w:type="paragraph" w:styleId="985">
    <w:name w:val="寄信人地址"/>
    <w:basedOn w:val="934"/>
    <w:next w:val="985"/>
    <w:link w:val="934"/>
    <w:qFormat/>
    <w:rPr>
      <w:rFonts w:ascii="Arial" w:hAnsi="Arial"/>
    </w:rPr>
  </w:style>
  <w:style w:type="paragraph" w:styleId="986">
    <w:name w:val="页眉"/>
    <w:basedOn w:val="934"/>
    <w:next w:val="986"/>
    <w:link w:val="987"/>
    <w:unhideWhenUsed/>
    <w:qFormat/>
    <w:pPr>
      <w:jc w:val="center"/>
      <w:tabs>
        <w:tab w:val="center" w:pos="4153" w:leader="none"/>
        <w:tab w:val="right" w:pos="8306" w:leader="none"/>
      </w:tabs>
      <w:pBdr>
        <w:bottom w:val="single" w:color="000000" w:sz="6" w:space="1"/>
      </w:pBdr>
    </w:pPr>
    <w:rPr>
      <w:sz w:val="18"/>
      <w:szCs w:val="18"/>
    </w:rPr>
  </w:style>
  <w:style w:type="character" w:styleId="987">
    <w:name w:val="页眉 Char1"/>
    <w:basedOn w:val="944"/>
    <w:next w:val="987"/>
    <w:link w:val="986"/>
    <w:qFormat/>
    <w:rPr>
      <w:sz w:val="18"/>
      <w:szCs w:val="18"/>
    </w:rPr>
  </w:style>
  <w:style w:type="paragraph" w:styleId="988">
    <w:name w:val="目录 1"/>
    <w:basedOn w:val="934"/>
    <w:next w:val="934"/>
    <w:link w:val="934"/>
    <w:uiPriority w:val="39"/>
    <w:qFormat/>
    <w:pPr>
      <w:jc w:val="left"/>
    </w:pPr>
    <w:rPr>
      <w:sz w:val="24"/>
    </w:rPr>
  </w:style>
  <w:style w:type="paragraph" w:styleId="989">
    <w:name w:val="目录 4"/>
    <w:basedOn w:val="934"/>
    <w:next w:val="934"/>
    <w:link w:val="934"/>
    <w:uiPriority w:val="39"/>
    <w:unhideWhenUsed/>
    <w:pPr>
      <w:ind w:left="850" w:right="0" w:firstLine="0"/>
      <w:spacing w:after="57"/>
    </w:pPr>
  </w:style>
  <w:style w:type="paragraph" w:styleId="990">
    <w:name w:val="副标题"/>
    <w:basedOn w:val="934"/>
    <w:next w:val="934"/>
    <w:link w:val="991"/>
    <w:qFormat/>
    <w:pPr>
      <w:jc w:val="center"/>
      <w:spacing w:before="240" w:after="60" w:line="312" w:lineRule="auto"/>
      <w:outlineLvl w:val="1"/>
    </w:pPr>
    <w:rPr>
      <w:rFonts w:ascii="Cambria" w:hAnsi="Cambria" w:eastAsia="宋体"/>
      <w:b/>
      <w:bCs/>
      <w:sz w:val="32"/>
      <w:szCs w:val="32"/>
    </w:rPr>
  </w:style>
  <w:style w:type="character" w:styleId="991">
    <w:name w:val="副标题 Char"/>
    <w:basedOn w:val="944"/>
    <w:next w:val="991"/>
    <w:link w:val="990"/>
    <w:qFormat/>
    <w:rPr>
      <w:rFonts w:ascii="Cambria" w:hAnsi="Cambria" w:eastAsia="宋体" w:cs="Times New Roman"/>
      <w:b/>
      <w:bCs/>
      <w:sz w:val="32"/>
      <w:szCs w:val="32"/>
    </w:rPr>
  </w:style>
  <w:style w:type="paragraph" w:styleId="992">
    <w:name w:val="脚注文本"/>
    <w:basedOn w:val="934"/>
    <w:next w:val="992"/>
    <w:link w:val="993"/>
    <w:uiPriority w:val="99"/>
    <w:unhideWhenUsed/>
    <w:pPr>
      <w:spacing w:after="40" w:line="240" w:lineRule="auto"/>
    </w:pPr>
    <w:rPr>
      <w:rFonts w:eastAsia="宋体"/>
      <w:sz w:val="18"/>
    </w:rPr>
  </w:style>
  <w:style w:type="character" w:styleId="993">
    <w:name w:val="脚注文本 Char"/>
    <w:next w:val="993"/>
    <w:link w:val="992"/>
    <w:uiPriority w:val="99"/>
    <w:rPr>
      <w:sz w:val="18"/>
    </w:rPr>
  </w:style>
  <w:style w:type="paragraph" w:styleId="994">
    <w:name w:val="目录 6"/>
    <w:basedOn w:val="934"/>
    <w:next w:val="934"/>
    <w:link w:val="934"/>
    <w:uiPriority w:val="39"/>
    <w:unhideWhenUsed/>
    <w:pPr>
      <w:ind w:left="1417" w:right="0" w:firstLine="0"/>
      <w:spacing w:after="57"/>
    </w:pPr>
  </w:style>
  <w:style w:type="paragraph" w:styleId="995">
    <w:name w:val="正文文本缩进 3"/>
    <w:basedOn w:val="934"/>
    <w:next w:val="995"/>
    <w:link w:val="996"/>
    <w:qFormat/>
    <w:pPr>
      <w:ind w:left="420"/>
      <w:spacing w:after="120"/>
    </w:pPr>
    <w:rPr>
      <w:sz w:val="16"/>
      <w:szCs w:val="16"/>
    </w:rPr>
  </w:style>
  <w:style w:type="character" w:styleId="996">
    <w:name w:val="正文文本缩进 3 Char"/>
    <w:basedOn w:val="944"/>
    <w:next w:val="996"/>
    <w:link w:val="995"/>
    <w:qFormat/>
    <w:rPr>
      <w:rFonts w:ascii="Times New Roman" w:hAnsi="Times New Roman" w:eastAsia="楷体_GB2312" w:cs="Times New Roman"/>
      <w:sz w:val="16"/>
      <w:szCs w:val="16"/>
    </w:rPr>
  </w:style>
  <w:style w:type="paragraph" w:styleId="997">
    <w:name w:val="图表目录"/>
    <w:basedOn w:val="934"/>
    <w:next w:val="934"/>
    <w:link w:val="934"/>
    <w:uiPriority w:val="99"/>
    <w:unhideWhenUsed/>
    <w:pPr>
      <w:spacing w:after="0" w:afterAutospacing="0"/>
    </w:pPr>
  </w:style>
  <w:style w:type="paragraph" w:styleId="998">
    <w:name w:val="目录 2"/>
    <w:basedOn w:val="934"/>
    <w:next w:val="934"/>
    <w:link w:val="934"/>
    <w:uiPriority w:val="39"/>
    <w:unhideWhenUsed/>
    <w:pPr>
      <w:ind w:left="283" w:right="0" w:firstLine="0"/>
      <w:spacing w:after="57"/>
    </w:pPr>
  </w:style>
  <w:style w:type="paragraph" w:styleId="999">
    <w:name w:val="目录 9"/>
    <w:basedOn w:val="934"/>
    <w:next w:val="934"/>
    <w:link w:val="934"/>
    <w:uiPriority w:val="39"/>
    <w:unhideWhenUsed/>
    <w:pPr>
      <w:ind w:left="2268" w:right="0" w:firstLine="0"/>
      <w:spacing w:after="57"/>
    </w:pPr>
  </w:style>
  <w:style w:type="paragraph" w:styleId="1000">
    <w:name w:val="普通(网站)"/>
    <w:basedOn w:val="934"/>
    <w:next w:val="1000"/>
    <w:link w:val="1001"/>
    <w:uiPriority w:val="99"/>
    <w:qFormat/>
    <w:pPr>
      <w:jc w:val="left"/>
      <w:spacing w:before="100" w:beforeAutospacing="1" w:after="100" w:afterAutospacing="1"/>
      <w:widowControl/>
    </w:pPr>
    <w:rPr>
      <w:rFonts w:ascii="宋体" w:hAnsi="宋体" w:eastAsia="宋体" w:cs="宋体"/>
      <w:sz w:val="24"/>
      <w:szCs w:val="24"/>
    </w:rPr>
  </w:style>
  <w:style w:type="character" w:styleId="1001">
    <w:name w:val="普通(网站) Char"/>
    <w:basedOn w:val="944"/>
    <w:next w:val="1001"/>
    <w:link w:val="1000"/>
    <w:qFormat/>
    <w:rPr>
      <w:rFonts w:hint="eastAsia" w:ascii="宋体" w:hAnsi="宋体" w:eastAsia="宋体" w:cs="宋体"/>
      <w:color w:val="000000"/>
      <w:sz w:val="19"/>
      <w:szCs w:val="19"/>
    </w:rPr>
  </w:style>
  <w:style w:type="paragraph" w:styleId="1002">
    <w:name w:val="索引 1"/>
    <w:basedOn w:val="934"/>
    <w:next w:val="934"/>
    <w:link w:val="934"/>
    <w:semiHidden/>
    <w:qFormat/>
  </w:style>
  <w:style w:type="paragraph" w:styleId="1003">
    <w:name w:val="标题"/>
    <w:basedOn w:val="934"/>
    <w:next w:val="1003"/>
    <w:link w:val="1004"/>
    <w:uiPriority w:val="10"/>
    <w:qFormat/>
    <w:pPr>
      <w:jc w:val="center"/>
      <w:spacing w:before="240" w:after="60"/>
      <w:outlineLvl w:val="0"/>
    </w:pPr>
    <w:rPr>
      <w:rFonts w:ascii="Arial" w:hAnsi="Arial"/>
      <w:b/>
      <w:sz w:val="32"/>
    </w:rPr>
  </w:style>
  <w:style w:type="character" w:styleId="1004">
    <w:name w:val="标题 Char"/>
    <w:basedOn w:val="944"/>
    <w:next w:val="1004"/>
    <w:link w:val="1003"/>
    <w:qFormat/>
    <w:rPr>
      <w:rFonts w:hint="eastAsia" w:ascii="等线 Light" w:hAnsi="等线 Light" w:eastAsia="等线 Light" w:cs="Times New Roman"/>
      <w:b/>
      <w:bCs/>
      <w:sz w:val="32"/>
      <w:szCs w:val="32"/>
    </w:rPr>
  </w:style>
  <w:style w:type="paragraph" w:styleId="1005">
    <w:name w:val="批注主题"/>
    <w:basedOn w:val="960"/>
    <w:next w:val="960"/>
    <w:link w:val="1006"/>
    <w:semiHidden/>
    <w:qFormat/>
    <w:rPr>
      <w:b/>
      <w:bCs/>
    </w:rPr>
  </w:style>
  <w:style w:type="character" w:styleId="1006">
    <w:name w:val="批注主题 Char"/>
    <w:basedOn w:val="961"/>
    <w:next w:val="1006"/>
    <w:link w:val="1005"/>
    <w:semiHidden/>
    <w:qFormat/>
    <w:rPr>
      <w:rFonts w:ascii="Times New Roman" w:hAnsi="Times New Roman" w:eastAsia="楷体_GB2312" w:cs="Times New Roman"/>
      <w:b/>
      <w:bCs/>
      <w:sz w:val="26"/>
      <w:szCs w:val="20"/>
    </w:rPr>
  </w:style>
  <w:style w:type="paragraph" w:styleId="1007">
    <w:name w:val="正文首行缩进"/>
    <w:basedOn w:val="964"/>
    <w:next w:val="1008"/>
    <w:link w:val="934"/>
    <w:uiPriority w:val="99"/>
    <w:unhideWhenUsed/>
    <w:qFormat/>
    <w:pPr>
      <w:ind w:firstLine="420"/>
      <w:spacing w:after="120" w:line="240" w:lineRule="auto"/>
    </w:pPr>
    <w:rPr>
      <w:rFonts w:hint="eastAsia" w:ascii="宋体" w:eastAsia="宋体"/>
      <w:sz w:val="21"/>
      <w:szCs w:val="24"/>
    </w:rPr>
  </w:style>
  <w:style w:type="paragraph" w:styleId="1008">
    <w:name w:val="正文首行缩进 2"/>
    <w:basedOn w:val="966"/>
    <w:next w:val="1008"/>
    <w:link w:val="1009"/>
    <w:qFormat/>
    <w:pPr>
      <w:ind w:firstLine="420"/>
    </w:pPr>
    <w:rPr>
      <w:rFonts w:eastAsia="宋体"/>
      <w:sz w:val="21"/>
      <w:szCs w:val="24"/>
    </w:rPr>
  </w:style>
  <w:style w:type="character" w:styleId="1009">
    <w:name w:val="正文首行缩进 2 Char"/>
    <w:basedOn w:val="967"/>
    <w:next w:val="1009"/>
    <w:link w:val="1008"/>
    <w:qFormat/>
    <w:rPr>
      <w:rFonts w:ascii="Times New Roman" w:hAnsi="Times New Roman" w:eastAsia="宋体" w:cs="Times New Roman"/>
      <w:sz w:val="26"/>
      <w:szCs w:val="24"/>
    </w:rPr>
  </w:style>
  <w:style w:type="table" w:styleId="1010">
    <w:name w:val="网格型"/>
    <w:basedOn w:val="945"/>
    <w:next w:val="1010"/>
    <w:link w:val="934"/>
    <w:uiPriority w:val="59"/>
    <w:qFormat/>
    <w:pPr>
      <w:jc w:val="both"/>
      <w:widowControl w:val="off"/>
    </w:pPr>
    <w:tblPr/>
  </w:style>
  <w:style w:type="character" w:styleId="1011">
    <w:name w:val="尾注引用"/>
    <w:basedOn w:val="944"/>
    <w:next w:val="1011"/>
    <w:link w:val="934"/>
    <w:uiPriority w:val="99"/>
    <w:unhideWhenUsed/>
    <w:rPr>
      <w:vertAlign w:val="superscript"/>
    </w:rPr>
  </w:style>
  <w:style w:type="character" w:styleId="1012">
    <w:name w:val="页码"/>
    <w:basedOn w:val="944"/>
    <w:next w:val="1012"/>
    <w:link w:val="934"/>
    <w:qFormat/>
  </w:style>
  <w:style w:type="character" w:styleId="1013">
    <w:name w:val="超链接"/>
    <w:next w:val="1013"/>
    <w:link w:val="934"/>
    <w:qFormat/>
    <w:rPr>
      <w:color w:val="0000ff"/>
      <w:u w:val="single"/>
    </w:rPr>
  </w:style>
  <w:style w:type="character" w:styleId="1014">
    <w:name w:val="批注引用"/>
    <w:next w:val="1014"/>
    <w:link w:val="934"/>
    <w:qFormat/>
    <w:rPr>
      <w:sz w:val="21"/>
      <w:szCs w:val="21"/>
    </w:rPr>
  </w:style>
  <w:style w:type="character" w:styleId="1015">
    <w:name w:val="脚注引用"/>
    <w:basedOn w:val="944"/>
    <w:next w:val="1015"/>
    <w:link w:val="934"/>
    <w:uiPriority w:val="99"/>
    <w:unhideWhenUsed/>
    <w:rPr>
      <w:vertAlign w:val="superscript"/>
    </w:rPr>
  </w:style>
  <w:style w:type="character" w:styleId="1016">
    <w:name w:val="Heading 1 Char"/>
    <w:basedOn w:val="944"/>
    <w:next w:val="1016"/>
    <w:link w:val="934"/>
    <w:uiPriority w:val="9"/>
    <w:rPr>
      <w:rFonts w:ascii="Arial" w:hAnsi="Arial" w:eastAsia="Arial" w:cs="Arial"/>
      <w:sz w:val="40"/>
      <w:szCs w:val="40"/>
    </w:rPr>
  </w:style>
  <w:style w:type="character" w:styleId="1017">
    <w:name w:val="Heading 2 Char"/>
    <w:basedOn w:val="944"/>
    <w:next w:val="1017"/>
    <w:link w:val="934"/>
    <w:uiPriority w:val="9"/>
    <w:rPr>
      <w:rFonts w:ascii="Arial" w:hAnsi="Arial" w:eastAsia="Arial" w:cs="Arial"/>
      <w:sz w:val="34"/>
    </w:rPr>
  </w:style>
  <w:style w:type="character" w:styleId="1018">
    <w:name w:val="Heading 3 Char"/>
    <w:basedOn w:val="944"/>
    <w:next w:val="1018"/>
    <w:link w:val="934"/>
    <w:uiPriority w:val="9"/>
    <w:rPr>
      <w:rFonts w:ascii="Arial" w:hAnsi="Arial" w:eastAsia="Arial" w:cs="Arial"/>
      <w:sz w:val="30"/>
      <w:szCs w:val="30"/>
    </w:rPr>
  </w:style>
  <w:style w:type="character" w:styleId="1019">
    <w:name w:val="Heading 4 Char"/>
    <w:basedOn w:val="944"/>
    <w:next w:val="1019"/>
    <w:link w:val="934"/>
    <w:uiPriority w:val="9"/>
    <w:rPr>
      <w:rFonts w:ascii="Arial" w:hAnsi="Arial" w:eastAsia="Arial" w:cs="Arial"/>
      <w:b/>
      <w:bCs/>
      <w:sz w:val="26"/>
      <w:szCs w:val="26"/>
    </w:rPr>
  </w:style>
  <w:style w:type="character" w:styleId="1020">
    <w:name w:val="Title Char"/>
    <w:basedOn w:val="944"/>
    <w:next w:val="1020"/>
    <w:link w:val="934"/>
    <w:uiPriority w:val="10"/>
    <w:rPr>
      <w:sz w:val="48"/>
      <w:szCs w:val="48"/>
    </w:rPr>
  </w:style>
  <w:style w:type="character" w:styleId="1021">
    <w:name w:val="Subtitle Char"/>
    <w:basedOn w:val="944"/>
    <w:next w:val="1021"/>
    <w:link w:val="934"/>
    <w:uiPriority w:val="11"/>
    <w:rPr>
      <w:sz w:val="24"/>
      <w:szCs w:val="24"/>
    </w:rPr>
  </w:style>
  <w:style w:type="paragraph" w:styleId="1022">
    <w:name w:val="引用"/>
    <w:basedOn w:val="934"/>
    <w:next w:val="934"/>
    <w:link w:val="1023"/>
    <w:uiPriority w:val="29"/>
    <w:qFormat/>
    <w:pPr>
      <w:ind w:left="720" w:right="720"/>
    </w:pPr>
    <w:rPr>
      <w:rFonts w:eastAsia="宋体"/>
      <w:i/>
      <w:sz w:val="20"/>
    </w:rPr>
  </w:style>
  <w:style w:type="character" w:styleId="1023">
    <w:name w:val="引用 Char"/>
    <w:next w:val="1023"/>
    <w:link w:val="1022"/>
    <w:uiPriority w:val="29"/>
    <w:qFormat/>
    <w:rPr>
      <w:i/>
    </w:rPr>
  </w:style>
  <w:style w:type="paragraph" w:styleId="1024">
    <w:name w:val="明显引用"/>
    <w:basedOn w:val="934"/>
    <w:next w:val="934"/>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25">
    <w:name w:val="明显引用 Char"/>
    <w:next w:val="1025"/>
    <w:link w:val="1024"/>
    <w:uiPriority w:val="30"/>
    <w:qFormat/>
    <w:rPr>
      <w:i/>
    </w:rPr>
  </w:style>
  <w:style w:type="character" w:styleId="1026">
    <w:name w:val="Header Char"/>
    <w:basedOn w:val="944"/>
    <w:next w:val="1026"/>
    <w:link w:val="934"/>
    <w:uiPriority w:val="99"/>
    <w:qFormat/>
  </w:style>
  <w:style w:type="character" w:styleId="1027">
    <w:name w:val="Footer Char"/>
    <w:basedOn w:val="944"/>
    <w:next w:val="1027"/>
    <w:link w:val="934"/>
    <w:uiPriority w:val="99"/>
    <w:qFormat/>
  </w:style>
  <w:style w:type="character" w:styleId="1028">
    <w:name w:val="Caption Char"/>
    <w:next w:val="1028"/>
    <w:link w:val="934"/>
    <w:uiPriority w:val="99"/>
    <w:qFormat/>
  </w:style>
  <w:style w:type="table" w:styleId="1029">
    <w:name w:val="Table Grid Light"/>
    <w:basedOn w:val="945"/>
    <w:next w:val="1029"/>
    <w:link w:val="934"/>
    <w:uiPriority w:val="59"/>
    <w:qFormat/>
    <w:pPr>
      <w:spacing w:after="0" w:line="240" w:lineRule="auto"/>
    </w:pPr>
    <w:tblPr/>
  </w:style>
  <w:style w:type="table" w:styleId="1030">
    <w:name w:val="Plain Table 1"/>
    <w:basedOn w:val="945"/>
    <w:next w:val="1030"/>
    <w:link w:val="934"/>
    <w:uiPriority w:val="59"/>
    <w:qFormat/>
    <w:pPr>
      <w:spacing w:after="0" w:line="240" w:lineRule="auto"/>
    </w:pPr>
    <w:tblPr/>
  </w:style>
  <w:style w:type="table" w:styleId="1031">
    <w:name w:val="Plain Table 2"/>
    <w:basedOn w:val="945"/>
    <w:next w:val="1031"/>
    <w:link w:val="934"/>
    <w:uiPriority w:val="59"/>
    <w:qFormat/>
    <w:pPr>
      <w:spacing w:after="0" w:line="240" w:lineRule="auto"/>
    </w:pPr>
    <w:tblPr/>
  </w:style>
  <w:style w:type="table" w:styleId="1032">
    <w:name w:val="Plain Table 3"/>
    <w:basedOn w:val="945"/>
    <w:next w:val="1032"/>
    <w:link w:val="934"/>
    <w:uiPriority w:val="99"/>
    <w:qFormat/>
    <w:pPr>
      <w:spacing w:after="0" w:line="240" w:lineRule="auto"/>
    </w:pPr>
    <w:tblPr/>
  </w:style>
  <w:style w:type="table" w:styleId="1033">
    <w:name w:val="Plain Table 4"/>
    <w:basedOn w:val="945"/>
    <w:next w:val="1033"/>
    <w:link w:val="934"/>
    <w:uiPriority w:val="99"/>
    <w:qFormat/>
    <w:pPr>
      <w:spacing w:after="0" w:line="240" w:lineRule="auto"/>
    </w:pPr>
    <w:tblPr/>
  </w:style>
  <w:style w:type="table" w:styleId="1034">
    <w:name w:val="Plain Table 5"/>
    <w:basedOn w:val="945"/>
    <w:next w:val="1034"/>
    <w:link w:val="934"/>
    <w:uiPriority w:val="99"/>
    <w:qFormat/>
    <w:pPr>
      <w:spacing w:after="0" w:line="240" w:lineRule="auto"/>
    </w:pPr>
    <w:tblPr/>
  </w:style>
  <w:style w:type="table" w:styleId="1035">
    <w:name w:val="Grid Table 1 Light"/>
    <w:basedOn w:val="945"/>
    <w:next w:val="1035"/>
    <w:link w:val="934"/>
    <w:uiPriority w:val="99"/>
    <w:qFormat/>
    <w:pPr>
      <w:spacing w:after="0" w:line="240" w:lineRule="auto"/>
    </w:pPr>
    <w:tblPr/>
  </w:style>
  <w:style w:type="table" w:styleId="1036">
    <w:name w:val="Grid Table 1 Light - Accent 1"/>
    <w:basedOn w:val="945"/>
    <w:next w:val="1036"/>
    <w:link w:val="934"/>
    <w:uiPriority w:val="99"/>
    <w:qFormat/>
    <w:pPr>
      <w:spacing w:after="0" w:line="240" w:lineRule="auto"/>
    </w:pPr>
    <w:tblPr/>
  </w:style>
  <w:style w:type="table" w:styleId="1037">
    <w:name w:val="Grid Table 1 Light - Accent 2"/>
    <w:basedOn w:val="945"/>
    <w:next w:val="1037"/>
    <w:link w:val="934"/>
    <w:uiPriority w:val="99"/>
    <w:qFormat/>
    <w:pPr>
      <w:spacing w:after="0" w:line="240" w:lineRule="auto"/>
    </w:pPr>
    <w:tblPr/>
  </w:style>
  <w:style w:type="table" w:styleId="1038">
    <w:name w:val="Grid Table 1 Light - Accent 3"/>
    <w:basedOn w:val="945"/>
    <w:next w:val="1038"/>
    <w:link w:val="934"/>
    <w:uiPriority w:val="99"/>
    <w:qFormat/>
    <w:pPr>
      <w:spacing w:after="0" w:line="240" w:lineRule="auto"/>
    </w:pPr>
    <w:tblPr/>
  </w:style>
  <w:style w:type="table" w:styleId="1039">
    <w:name w:val="Grid Table 1 Light - Accent 4"/>
    <w:basedOn w:val="945"/>
    <w:next w:val="1039"/>
    <w:link w:val="934"/>
    <w:uiPriority w:val="99"/>
    <w:qFormat/>
    <w:pPr>
      <w:spacing w:after="0" w:line="240" w:lineRule="auto"/>
    </w:pPr>
    <w:tblPr/>
  </w:style>
  <w:style w:type="table" w:styleId="1040">
    <w:name w:val="Grid Table 1 Light - Accent 5"/>
    <w:basedOn w:val="945"/>
    <w:next w:val="1040"/>
    <w:link w:val="934"/>
    <w:uiPriority w:val="99"/>
    <w:qFormat/>
    <w:pPr>
      <w:spacing w:after="0" w:line="240" w:lineRule="auto"/>
    </w:pPr>
    <w:tblPr/>
  </w:style>
  <w:style w:type="table" w:styleId="1041">
    <w:name w:val="Grid Table 1 Light - Accent 6"/>
    <w:basedOn w:val="945"/>
    <w:next w:val="1041"/>
    <w:link w:val="934"/>
    <w:uiPriority w:val="99"/>
    <w:qFormat/>
    <w:pPr>
      <w:spacing w:after="0" w:line="240" w:lineRule="auto"/>
    </w:pPr>
    <w:tblPr/>
  </w:style>
  <w:style w:type="table" w:styleId="1042">
    <w:name w:val="Grid Table 2"/>
    <w:basedOn w:val="945"/>
    <w:next w:val="1042"/>
    <w:link w:val="934"/>
    <w:uiPriority w:val="99"/>
    <w:qFormat/>
    <w:pPr>
      <w:spacing w:after="0" w:line="240" w:lineRule="auto"/>
    </w:pPr>
    <w:tblPr/>
  </w:style>
  <w:style w:type="table" w:styleId="1043">
    <w:name w:val="Grid Table 2 - Accent 1"/>
    <w:basedOn w:val="945"/>
    <w:next w:val="1043"/>
    <w:link w:val="934"/>
    <w:uiPriority w:val="99"/>
    <w:qFormat/>
    <w:pPr>
      <w:spacing w:after="0" w:line="240" w:lineRule="auto"/>
    </w:pPr>
    <w:tblPr/>
  </w:style>
  <w:style w:type="table" w:styleId="1044">
    <w:name w:val="Grid Table 2 - Accent 2"/>
    <w:basedOn w:val="945"/>
    <w:next w:val="1044"/>
    <w:link w:val="934"/>
    <w:uiPriority w:val="99"/>
    <w:qFormat/>
    <w:pPr>
      <w:spacing w:after="0" w:line="240" w:lineRule="auto"/>
    </w:pPr>
    <w:tblPr/>
  </w:style>
  <w:style w:type="table" w:styleId="1045">
    <w:name w:val="Grid Table 2 - Accent 3"/>
    <w:basedOn w:val="945"/>
    <w:next w:val="1045"/>
    <w:link w:val="934"/>
    <w:uiPriority w:val="99"/>
    <w:qFormat/>
    <w:pPr>
      <w:spacing w:after="0" w:line="240" w:lineRule="auto"/>
    </w:pPr>
    <w:tblPr/>
  </w:style>
  <w:style w:type="table" w:styleId="1046">
    <w:name w:val="Grid Table 2 - Accent 4"/>
    <w:basedOn w:val="945"/>
    <w:next w:val="1046"/>
    <w:link w:val="934"/>
    <w:uiPriority w:val="99"/>
    <w:qFormat/>
    <w:pPr>
      <w:spacing w:after="0" w:line="240" w:lineRule="auto"/>
    </w:pPr>
    <w:tblPr/>
  </w:style>
  <w:style w:type="table" w:styleId="1047">
    <w:name w:val="Grid Table 2 - Accent 5"/>
    <w:basedOn w:val="945"/>
    <w:next w:val="1047"/>
    <w:link w:val="934"/>
    <w:uiPriority w:val="99"/>
    <w:qFormat/>
    <w:pPr>
      <w:spacing w:after="0" w:line="240" w:lineRule="auto"/>
    </w:pPr>
    <w:tblPr/>
  </w:style>
  <w:style w:type="table" w:styleId="1048">
    <w:name w:val="Grid Table 2 - Accent 6"/>
    <w:basedOn w:val="945"/>
    <w:next w:val="1048"/>
    <w:link w:val="934"/>
    <w:uiPriority w:val="99"/>
    <w:qFormat/>
    <w:pPr>
      <w:spacing w:after="0" w:line="240" w:lineRule="auto"/>
    </w:pPr>
    <w:tblPr/>
  </w:style>
  <w:style w:type="table" w:styleId="1049">
    <w:name w:val="Grid Table 3"/>
    <w:basedOn w:val="945"/>
    <w:next w:val="1049"/>
    <w:link w:val="934"/>
    <w:uiPriority w:val="99"/>
    <w:qFormat/>
    <w:pPr>
      <w:spacing w:after="0" w:line="240" w:lineRule="auto"/>
    </w:pPr>
    <w:tblPr/>
  </w:style>
  <w:style w:type="table" w:styleId="1050">
    <w:name w:val="Grid Table 3 - Accent 1"/>
    <w:basedOn w:val="945"/>
    <w:next w:val="1050"/>
    <w:link w:val="934"/>
    <w:uiPriority w:val="99"/>
    <w:qFormat/>
    <w:pPr>
      <w:spacing w:after="0" w:line="240" w:lineRule="auto"/>
    </w:pPr>
    <w:tblPr/>
  </w:style>
  <w:style w:type="table" w:styleId="1051">
    <w:name w:val="Grid Table 3 - Accent 2"/>
    <w:basedOn w:val="945"/>
    <w:next w:val="1051"/>
    <w:link w:val="934"/>
    <w:uiPriority w:val="99"/>
    <w:qFormat/>
    <w:pPr>
      <w:spacing w:after="0" w:line="240" w:lineRule="auto"/>
    </w:pPr>
    <w:tblPr/>
  </w:style>
  <w:style w:type="table" w:styleId="1052">
    <w:name w:val="Grid Table 3 - Accent 3"/>
    <w:basedOn w:val="945"/>
    <w:next w:val="1052"/>
    <w:link w:val="934"/>
    <w:uiPriority w:val="99"/>
    <w:qFormat/>
    <w:pPr>
      <w:spacing w:after="0" w:line="240" w:lineRule="auto"/>
    </w:pPr>
    <w:tblPr/>
  </w:style>
  <w:style w:type="table" w:styleId="1053">
    <w:name w:val="Grid Table 3 - Accent 4"/>
    <w:basedOn w:val="945"/>
    <w:next w:val="1053"/>
    <w:link w:val="934"/>
    <w:uiPriority w:val="99"/>
    <w:qFormat/>
    <w:pPr>
      <w:spacing w:after="0" w:line="240" w:lineRule="auto"/>
    </w:pPr>
    <w:tblPr/>
  </w:style>
  <w:style w:type="table" w:styleId="1054">
    <w:name w:val="Grid Table 3 - Accent 5"/>
    <w:basedOn w:val="945"/>
    <w:next w:val="1054"/>
    <w:link w:val="934"/>
    <w:uiPriority w:val="99"/>
    <w:qFormat/>
    <w:pPr>
      <w:spacing w:after="0" w:line="240" w:lineRule="auto"/>
    </w:pPr>
    <w:tblPr/>
  </w:style>
  <w:style w:type="table" w:styleId="1055">
    <w:name w:val="Grid Table 3 - Accent 6"/>
    <w:basedOn w:val="945"/>
    <w:next w:val="1055"/>
    <w:link w:val="934"/>
    <w:uiPriority w:val="99"/>
    <w:qFormat/>
    <w:pPr>
      <w:spacing w:after="0" w:line="240" w:lineRule="auto"/>
    </w:pPr>
    <w:tblPr/>
  </w:style>
  <w:style w:type="table" w:styleId="1056">
    <w:name w:val="Grid Table 4"/>
    <w:basedOn w:val="945"/>
    <w:next w:val="1056"/>
    <w:link w:val="934"/>
    <w:uiPriority w:val="59"/>
    <w:qFormat/>
    <w:pPr>
      <w:spacing w:after="0" w:line="240" w:lineRule="auto"/>
    </w:pPr>
    <w:tblPr/>
  </w:style>
  <w:style w:type="table" w:styleId="1057">
    <w:name w:val="Grid Table 4 - Accent 1"/>
    <w:basedOn w:val="945"/>
    <w:next w:val="1057"/>
    <w:link w:val="934"/>
    <w:uiPriority w:val="59"/>
    <w:qFormat/>
    <w:pPr>
      <w:spacing w:after="0" w:line="240" w:lineRule="auto"/>
    </w:pPr>
    <w:tblPr/>
  </w:style>
  <w:style w:type="table" w:styleId="1058">
    <w:name w:val="Grid Table 4 - Accent 2"/>
    <w:basedOn w:val="945"/>
    <w:next w:val="1058"/>
    <w:link w:val="934"/>
    <w:uiPriority w:val="59"/>
    <w:qFormat/>
    <w:pPr>
      <w:spacing w:after="0" w:line="240" w:lineRule="auto"/>
    </w:pPr>
    <w:tblPr/>
  </w:style>
  <w:style w:type="table" w:styleId="1059">
    <w:name w:val="Grid Table 4 - Accent 3"/>
    <w:basedOn w:val="945"/>
    <w:next w:val="1059"/>
    <w:link w:val="934"/>
    <w:uiPriority w:val="59"/>
    <w:qFormat/>
    <w:pPr>
      <w:spacing w:after="0" w:line="240" w:lineRule="auto"/>
    </w:pPr>
    <w:tblPr/>
  </w:style>
  <w:style w:type="table" w:styleId="1060">
    <w:name w:val="Grid Table 4 - Accent 4"/>
    <w:basedOn w:val="945"/>
    <w:next w:val="1060"/>
    <w:link w:val="934"/>
    <w:uiPriority w:val="59"/>
    <w:qFormat/>
    <w:pPr>
      <w:spacing w:after="0" w:line="240" w:lineRule="auto"/>
    </w:pPr>
    <w:tblPr/>
  </w:style>
  <w:style w:type="table" w:styleId="1061">
    <w:name w:val="Grid Table 4 - Accent 5"/>
    <w:basedOn w:val="945"/>
    <w:next w:val="1061"/>
    <w:link w:val="934"/>
    <w:uiPriority w:val="59"/>
    <w:qFormat/>
    <w:pPr>
      <w:spacing w:after="0" w:line="240" w:lineRule="auto"/>
    </w:pPr>
    <w:tblPr/>
  </w:style>
  <w:style w:type="table" w:styleId="1062">
    <w:name w:val="Grid Table 4 - Accent 6"/>
    <w:basedOn w:val="945"/>
    <w:next w:val="1062"/>
    <w:link w:val="934"/>
    <w:uiPriority w:val="59"/>
    <w:qFormat/>
    <w:pPr>
      <w:spacing w:after="0" w:line="240" w:lineRule="auto"/>
    </w:pPr>
    <w:tblPr/>
  </w:style>
  <w:style w:type="table" w:styleId="1063">
    <w:name w:val="Grid Table 5 Dark"/>
    <w:basedOn w:val="945"/>
    <w:next w:val="1063"/>
    <w:link w:val="934"/>
    <w:uiPriority w:val="99"/>
    <w:qFormat/>
    <w:pPr>
      <w:spacing w:after="0" w:line="240" w:lineRule="auto"/>
    </w:pPr>
    <w:tblPr/>
  </w:style>
  <w:style w:type="table" w:styleId="1064">
    <w:name w:val="Grid Table 5 Dark- Accent 1"/>
    <w:basedOn w:val="945"/>
    <w:next w:val="1064"/>
    <w:link w:val="934"/>
    <w:uiPriority w:val="99"/>
    <w:qFormat/>
    <w:pPr>
      <w:spacing w:after="0" w:line="240" w:lineRule="auto"/>
    </w:pPr>
    <w:tblPr/>
  </w:style>
  <w:style w:type="table" w:styleId="1065">
    <w:name w:val="Grid Table 5 Dark - Accent 2"/>
    <w:basedOn w:val="945"/>
    <w:next w:val="1065"/>
    <w:link w:val="934"/>
    <w:uiPriority w:val="99"/>
    <w:qFormat/>
    <w:pPr>
      <w:spacing w:after="0" w:line="240" w:lineRule="auto"/>
    </w:pPr>
    <w:tblPr/>
  </w:style>
  <w:style w:type="table" w:styleId="1066">
    <w:name w:val="Grid Table 5 Dark - Accent 3"/>
    <w:basedOn w:val="945"/>
    <w:next w:val="1066"/>
    <w:link w:val="934"/>
    <w:uiPriority w:val="99"/>
    <w:qFormat/>
    <w:pPr>
      <w:spacing w:after="0" w:line="240" w:lineRule="auto"/>
    </w:pPr>
    <w:tblPr/>
  </w:style>
  <w:style w:type="table" w:styleId="1067">
    <w:name w:val="Grid Table 5 Dark- Accent 4"/>
    <w:basedOn w:val="945"/>
    <w:next w:val="1067"/>
    <w:link w:val="934"/>
    <w:uiPriority w:val="99"/>
    <w:qFormat/>
    <w:pPr>
      <w:spacing w:after="0" w:line="240" w:lineRule="auto"/>
    </w:pPr>
    <w:tblPr/>
  </w:style>
  <w:style w:type="table" w:styleId="1068">
    <w:name w:val="Grid Table 5 Dark - Accent 5"/>
    <w:basedOn w:val="945"/>
    <w:next w:val="1068"/>
    <w:link w:val="934"/>
    <w:uiPriority w:val="99"/>
    <w:qFormat/>
    <w:pPr>
      <w:spacing w:after="0" w:line="240" w:lineRule="auto"/>
    </w:pPr>
    <w:tblPr/>
  </w:style>
  <w:style w:type="table" w:styleId="1069">
    <w:name w:val="Grid Table 5 Dark - Accent 6"/>
    <w:basedOn w:val="945"/>
    <w:next w:val="1069"/>
    <w:link w:val="934"/>
    <w:uiPriority w:val="99"/>
    <w:qFormat/>
    <w:pPr>
      <w:spacing w:after="0" w:line="240" w:lineRule="auto"/>
    </w:pPr>
    <w:tblPr/>
  </w:style>
  <w:style w:type="table" w:styleId="1070">
    <w:name w:val="Grid Table 6 Colorful"/>
    <w:basedOn w:val="945"/>
    <w:next w:val="1070"/>
    <w:link w:val="934"/>
    <w:uiPriority w:val="99"/>
    <w:qFormat/>
    <w:pPr>
      <w:spacing w:after="0" w:line="240" w:lineRule="auto"/>
    </w:pPr>
    <w:tblPr/>
  </w:style>
  <w:style w:type="table" w:styleId="1071">
    <w:name w:val="Grid Table 6 Colorful - Accent 1"/>
    <w:basedOn w:val="945"/>
    <w:next w:val="1071"/>
    <w:link w:val="934"/>
    <w:uiPriority w:val="99"/>
    <w:qFormat/>
    <w:pPr>
      <w:spacing w:after="0" w:line="240" w:lineRule="auto"/>
    </w:pPr>
    <w:tblPr/>
  </w:style>
  <w:style w:type="table" w:styleId="1072">
    <w:name w:val="Grid Table 6 Colorful - Accent 2"/>
    <w:basedOn w:val="945"/>
    <w:next w:val="1072"/>
    <w:link w:val="934"/>
    <w:uiPriority w:val="99"/>
    <w:qFormat/>
    <w:pPr>
      <w:spacing w:after="0" w:line="240" w:lineRule="auto"/>
    </w:pPr>
    <w:tblPr/>
  </w:style>
  <w:style w:type="table" w:styleId="1073">
    <w:name w:val="Grid Table 6 Colorful - Accent 3"/>
    <w:basedOn w:val="945"/>
    <w:next w:val="1073"/>
    <w:link w:val="934"/>
    <w:uiPriority w:val="99"/>
    <w:qFormat/>
    <w:pPr>
      <w:spacing w:after="0" w:line="240" w:lineRule="auto"/>
    </w:pPr>
    <w:tblPr/>
  </w:style>
  <w:style w:type="table" w:styleId="1074">
    <w:name w:val="Grid Table 6 Colorful - Accent 4"/>
    <w:basedOn w:val="945"/>
    <w:next w:val="1074"/>
    <w:link w:val="934"/>
    <w:uiPriority w:val="99"/>
    <w:qFormat/>
    <w:pPr>
      <w:spacing w:after="0" w:line="240" w:lineRule="auto"/>
    </w:pPr>
    <w:tblPr/>
  </w:style>
  <w:style w:type="table" w:styleId="1075">
    <w:name w:val="Grid Table 6 Colorful - Accent 5"/>
    <w:basedOn w:val="945"/>
    <w:next w:val="1075"/>
    <w:link w:val="934"/>
    <w:uiPriority w:val="99"/>
    <w:qFormat/>
    <w:pPr>
      <w:spacing w:after="0" w:line="240" w:lineRule="auto"/>
    </w:pPr>
    <w:tblPr/>
  </w:style>
  <w:style w:type="table" w:styleId="1076">
    <w:name w:val="Grid Table 6 Colorful - Accent 6"/>
    <w:basedOn w:val="945"/>
    <w:next w:val="1076"/>
    <w:link w:val="934"/>
    <w:uiPriority w:val="99"/>
    <w:qFormat/>
    <w:pPr>
      <w:spacing w:after="0" w:line="240" w:lineRule="auto"/>
    </w:pPr>
    <w:tblPr/>
  </w:style>
  <w:style w:type="table" w:styleId="1077">
    <w:name w:val="Grid Table 7 Colorful"/>
    <w:basedOn w:val="945"/>
    <w:next w:val="1077"/>
    <w:link w:val="934"/>
    <w:uiPriority w:val="99"/>
    <w:qFormat/>
    <w:pPr>
      <w:spacing w:after="0" w:line="240" w:lineRule="auto"/>
    </w:pPr>
    <w:tblPr/>
  </w:style>
  <w:style w:type="table" w:styleId="1078">
    <w:name w:val="Grid Table 7 Colorful - Accent 1"/>
    <w:basedOn w:val="945"/>
    <w:next w:val="1078"/>
    <w:link w:val="934"/>
    <w:uiPriority w:val="99"/>
    <w:qFormat/>
    <w:pPr>
      <w:spacing w:after="0" w:line="240" w:lineRule="auto"/>
    </w:pPr>
    <w:tblPr/>
  </w:style>
  <w:style w:type="table" w:styleId="1079">
    <w:name w:val="Grid Table 7 Colorful - Accent 2"/>
    <w:basedOn w:val="945"/>
    <w:next w:val="1079"/>
    <w:link w:val="934"/>
    <w:uiPriority w:val="99"/>
    <w:qFormat/>
    <w:pPr>
      <w:spacing w:after="0" w:line="240" w:lineRule="auto"/>
    </w:pPr>
    <w:tblPr/>
  </w:style>
  <w:style w:type="table" w:styleId="1080">
    <w:name w:val="Grid Table 7 Colorful - Accent 3"/>
    <w:basedOn w:val="945"/>
    <w:next w:val="1080"/>
    <w:link w:val="934"/>
    <w:uiPriority w:val="99"/>
    <w:qFormat/>
    <w:pPr>
      <w:spacing w:after="0" w:line="240" w:lineRule="auto"/>
    </w:pPr>
    <w:tblPr/>
  </w:style>
  <w:style w:type="table" w:styleId="1081">
    <w:name w:val="Grid Table 7 Colorful - Accent 4"/>
    <w:basedOn w:val="945"/>
    <w:next w:val="1081"/>
    <w:link w:val="934"/>
    <w:uiPriority w:val="99"/>
    <w:qFormat/>
    <w:pPr>
      <w:spacing w:after="0" w:line="240" w:lineRule="auto"/>
    </w:pPr>
    <w:tblPr/>
  </w:style>
  <w:style w:type="table" w:styleId="1082">
    <w:name w:val="Grid Table 7 Colorful - Accent 5"/>
    <w:basedOn w:val="945"/>
    <w:next w:val="1082"/>
    <w:link w:val="934"/>
    <w:uiPriority w:val="99"/>
    <w:qFormat/>
    <w:pPr>
      <w:spacing w:after="0" w:line="240" w:lineRule="auto"/>
    </w:pPr>
    <w:tblPr/>
  </w:style>
  <w:style w:type="table" w:styleId="1083">
    <w:name w:val="Grid Table 7 Colorful - Accent 6"/>
    <w:basedOn w:val="945"/>
    <w:next w:val="1083"/>
    <w:link w:val="934"/>
    <w:uiPriority w:val="99"/>
    <w:qFormat/>
    <w:pPr>
      <w:spacing w:after="0" w:line="240" w:lineRule="auto"/>
    </w:pPr>
    <w:tblPr/>
  </w:style>
  <w:style w:type="table" w:styleId="1084">
    <w:name w:val="List Table 1 Light"/>
    <w:basedOn w:val="945"/>
    <w:next w:val="1084"/>
    <w:link w:val="934"/>
    <w:uiPriority w:val="99"/>
    <w:pPr>
      <w:spacing w:after="0" w:line="240" w:lineRule="auto"/>
    </w:pPr>
    <w:tblPr/>
  </w:style>
  <w:style w:type="table" w:styleId="1085">
    <w:name w:val="List Table 1 Light - Accent 1"/>
    <w:basedOn w:val="945"/>
    <w:next w:val="1085"/>
    <w:link w:val="934"/>
    <w:uiPriority w:val="99"/>
    <w:qFormat/>
    <w:pPr>
      <w:spacing w:after="0" w:line="240" w:lineRule="auto"/>
    </w:pPr>
    <w:tblPr/>
  </w:style>
  <w:style w:type="table" w:styleId="1086">
    <w:name w:val="List Table 1 Light - Accent 2"/>
    <w:basedOn w:val="945"/>
    <w:next w:val="1086"/>
    <w:link w:val="934"/>
    <w:uiPriority w:val="99"/>
    <w:qFormat/>
    <w:pPr>
      <w:spacing w:after="0" w:line="240" w:lineRule="auto"/>
    </w:pPr>
    <w:tblPr/>
  </w:style>
  <w:style w:type="table" w:styleId="1087">
    <w:name w:val="List Table 1 Light - Accent 3"/>
    <w:basedOn w:val="945"/>
    <w:next w:val="1087"/>
    <w:link w:val="934"/>
    <w:uiPriority w:val="99"/>
    <w:qFormat/>
    <w:pPr>
      <w:spacing w:after="0" w:line="240" w:lineRule="auto"/>
    </w:pPr>
    <w:tblPr/>
  </w:style>
  <w:style w:type="table" w:styleId="1088">
    <w:name w:val="List Table 1 Light - Accent 4"/>
    <w:basedOn w:val="945"/>
    <w:next w:val="1088"/>
    <w:link w:val="934"/>
    <w:uiPriority w:val="99"/>
    <w:qFormat/>
    <w:pPr>
      <w:spacing w:after="0" w:line="240" w:lineRule="auto"/>
    </w:pPr>
    <w:tblPr/>
  </w:style>
  <w:style w:type="table" w:styleId="1089">
    <w:name w:val="List Table 1 Light - Accent 5"/>
    <w:basedOn w:val="945"/>
    <w:next w:val="1089"/>
    <w:link w:val="934"/>
    <w:uiPriority w:val="99"/>
    <w:pPr>
      <w:spacing w:after="0" w:line="240" w:lineRule="auto"/>
    </w:pPr>
    <w:tblPr/>
  </w:style>
  <w:style w:type="table" w:styleId="1090">
    <w:name w:val="List Table 1 Light - Accent 6"/>
    <w:basedOn w:val="945"/>
    <w:next w:val="1090"/>
    <w:link w:val="934"/>
    <w:uiPriority w:val="99"/>
    <w:pPr>
      <w:spacing w:after="0" w:line="240" w:lineRule="auto"/>
    </w:pPr>
    <w:tblPr/>
  </w:style>
  <w:style w:type="table" w:styleId="1091">
    <w:name w:val="List Table 2"/>
    <w:basedOn w:val="945"/>
    <w:next w:val="1091"/>
    <w:link w:val="934"/>
    <w:uiPriority w:val="99"/>
    <w:pPr>
      <w:spacing w:after="0" w:line="240" w:lineRule="auto"/>
    </w:pPr>
    <w:tblPr/>
  </w:style>
  <w:style w:type="table" w:styleId="1092">
    <w:name w:val="List Table 2 - Accent 1"/>
    <w:basedOn w:val="945"/>
    <w:next w:val="1092"/>
    <w:link w:val="934"/>
    <w:uiPriority w:val="99"/>
    <w:qFormat/>
    <w:pPr>
      <w:spacing w:after="0" w:line="240" w:lineRule="auto"/>
    </w:pPr>
    <w:tblPr/>
  </w:style>
  <w:style w:type="table" w:styleId="1093">
    <w:name w:val="List Table 2 - Accent 2"/>
    <w:basedOn w:val="945"/>
    <w:next w:val="1093"/>
    <w:link w:val="934"/>
    <w:uiPriority w:val="99"/>
    <w:qFormat/>
    <w:pPr>
      <w:spacing w:after="0" w:line="240" w:lineRule="auto"/>
    </w:pPr>
    <w:tblPr/>
  </w:style>
  <w:style w:type="table" w:styleId="1094">
    <w:name w:val="List Table 2 - Accent 3"/>
    <w:basedOn w:val="945"/>
    <w:next w:val="1094"/>
    <w:link w:val="934"/>
    <w:uiPriority w:val="99"/>
    <w:qFormat/>
    <w:pPr>
      <w:spacing w:after="0" w:line="240" w:lineRule="auto"/>
    </w:pPr>
    <w:tblPr/>
  </w:style>
  <w:style w:type="table" w:styleId="1095">
    <w:name w:val="List Table 2 - Accent 4"/>
    <w:basedOn w:val="945"/>
    <w:next w:val="1095"/>
    <w:link w:val="934"/>
    <w:uiPriority w:val="99"/>
    <w:qFormat/>
    <w:pPr>
      <w:spacing w:after="0" w:line="240" w:lineRule="auto"/>
    </w:pPr>
    <w:tblPr/>
  </w:style>
  <w:style w:type="table" w:styleId="1096">
    <w:name w:val="List Table 2 - Accent 5"/>
    <w:basedOn w:val="945"/>
    <w:next w:val="1096"/>
    <w:link w:val="934"/>
    <w:uiPriority w:val="99"/>
    <w:qFormat/>
    <w:pPr>
      <w:spacing w:after="0" w:line="240" w:lineRule="auto"/>
    </w:pPr>
    <w:tblPr/>
  </w:style>
  <w:style w:type="table" w:styleId="1097">
    <w:name w:val="List Table 2 - Accent 6"/>
    <w:basedOn w:val="945"/>
    <w:next w:val="1097"/>
    <w:link w:val="934"/>
    <w:uiPriority w:val="99"/>
    <w:qFormat/>
    <w:pPr>
      <w:spacing w:after="0" w:line="240" w:lineRule="auto"/>
    </w:pPr>
    <w:tblPr/>
  </w:style>
  <w:style w:type="table" w:styleId="1098">
    <w:name w:val="List Table 3"/>
    <w:basedOn w:val="945"/>
    <w:next w:val="1098"/>
    <w:link w:val="934"/>
    <w:uiPriority w:val="99"/>
    <w:qFormat/>
    <w:pPr>
      <w:spacing w:after="0" w:line="240" w:lineRule="auto"/>
    </w:pPr>
    <w:tblPr/>
  </w:style>
  <w:style w:type="table" w:styleId="1099">
    <w:name w:val="List Table 3 - Accent 1"/>
    <w:basedOn w:val="945"/>
    <w:next w:val="1099"/>
    <w:link w:val="934"/>
    <w:uiPriority w:val="99"/>
    <w:qFormat/>
    <w:pPr>
      <w:spacing w:after="0" w:line="240" w:lineRule="auto"/>
    </w:pPr>
    <w:tblPr/>
  </w:style>
  <w:style w:type="table" w:styleId="1100">
    <w:name w:val="List Table 3 - Accent 2"/>
    <w:basedOn w:val="945"/>
    <w:next w:val="1100"/>
    <w:link w:val="934"/>
    <w:uiPriority w:val="99"/>
    <w:qFormat/>
    <w:pPr>
      <w:spacing w:after="0" w:line="240" w:lineRule="auto"/>
    </w:pPr>
    <w:tblPr/>
  </w:style>
  <w:style w:type="table" w:styleId="1101">
    <w:name w:val="List Table 3 - Accent 3"/>
    <w:basedOn w:val="945"/>
    <w:next w:val="1101"/>
    <w:link w:val="934"/>
    <w:uiPriority w:val="99"/>
    <w:pPr>
      <w:spacing w:after="0" w:line="240" w:lineRule="auto"/>
    </w:pPr>
    <w:tblPr/>
  </w:style>
  <w:style w:type="table" w:styleId="1102">
    <w:name w:val="List Table 3 - Accent 4"/>
    <w:basedOn w:val="945"/>
    <w:next w:val="1102"/>
    <w:link w:val="934"/>
    <w:uiPriority w:val="99"/>
    <w:qFormat/>
    <w:pPr>
      <w:spacing w:after="0" w:line="240" w:lineRule="auto"/>
    </w:pPr>
    <w:tblPr/>
  </w:style>
  <w:style w:type="table" w:styleId="1103">
    <w:name w:val="List Table 3 - Accent 5"/>
    <w:basedOn w:val="945"/>
    <w:next w:val="1103"/>
    <w:link w:val="934"/>
    <w:uiPriority w:val="99"/>
    <w:pPr>
      <w:spacing w:after="0" w:line="240" w:lineRule="auto"/>
    </w:pPr>
    <w:tblPr/>
  </w:style>
  <w:style w:type="table" w:styleId="1104">
    <w:name w:val="List Table 3 - Accent 6"/>
    <w:basedOn w:val="945"/>
    <w:next w:val="1104"/>
    <w:link w:val="934"/>
    <w:uiPriority w:val="99"/>
    <w:pPr>
      <w:spacing w:after="0" w:line="240" w:lineRule="auto"/>
    </w:pPr>
    <w:tblPr/>
  </w:style>
  <w:style w:type="table" w:styleId="1105">
    <w:name w:val="List Table 4"/>
    <w:basedOn w:val="945"/>
    <w:next w:val="1105"/>
    <w:link w:val="934"/>
    <w:uiPriority w:val="99"/>
    <w:qFormat/>
    <w:pPr>
      <w:spacing w:after="0" w:line="240" w:lineRule="auto"/>
    </w:pPr>
    <w:tblPr/>
  </w:style>
  <w:style w:type="table" w:styleId="1106">
    <w:name w:val="List Table 4 - Accent 1"/>
    <w:basedOn w:val="945"/>
    <w:next w:val="1106"/>
    <w:link w:val="934"/>
    <w:uiPriority w:val="99"/>
    <w:pPr>
      <w:spacing w:after="0" w:line="240" w:lineRule="auto"/>
    </w:pPr>
    <w:tblPr/>
  </w:style>
  <w:style w:type="table" w:styleId="1107">
    <w:name w:val="List Table 4 - Accent 2"/>
    <w:basedOn w:val="945"/>
    <w:next w:val="1107"/>
    <w:link w:val="934"/>
    <w:uiPriority w:val="99"/>
    <w:qFormat/>
    <w:pPr>
      <w:spacing w:after="0" w:line="240" w:lineRule="auto"/>
    </w:pPr>
    <w:tblPr/>
  </w:style>
  <w:style w:type="table" w:styleId="1108">
    <w:name w:val="List Table 4 - Accent 3"/>
    <w:basedOn w:val="945"/>
    <w:next w:val="1108"/>
    <w:link w:val="934"/>
    <w:uiPriority w:val="99"/>
    <w:qFormat/>
    <w:pPr>
      <w:spacing w:after="0" w:line="240" w:lineRule="auto"/>
    </w:pPr>
    <w:tblPr/>
  </w:style>
  <w:style w:type="table" w:styleId="1109">
    <w:name w:val="List Table 4 - Accent 4"/>
    <w:basedOn w:val="945"/>
    <w:next w:val="1109"/>
    <w:link w:val="934"/>
    <w:uiPriority w:val="99"/>
    <w:qFormat/>
    <w:pPr>
      <w:spacing w:after="0" w:line="240" w:lineRule="auto"/>
    </w:pPr>
    <w:tblPr/>
  </w:style>
  <w:style w:type="table" w:styleId="1110">
    <w:name w:val="List Table 4 - Accent 5"/>
    <w:basedOn w:val="945"/>
    <w:next w:val="1110"/>
    <w:link w:val="934"/>
    <w:uiPriority w:val="99"/>
    <w:qFormat/>
    <w:pPr>
      <w:spacing w:after="0" w:line="240" w:lineRule="auto"/>
    </w:pPr>
    <w:tblPr/>
  </w:style>
  <w:style w:type="table" w:styleId="1111">
    <w:name w:val="List Table 4 - Accent 6"/>
    <w:basedOn w:val="945"/>
    <w:next w:val="1111"/>
    <w:link w:val="934"/>
    <w:uiPriority w:val="99"/>
    <w:qFormat/>
    <w:pPr>
      <w:spacing w:after="0" w:line="240" w:lineRule="auto"/>
    </w:pPr>
    <w:tblPr/>
  </w:style>
  <w:style w:type="table" w:styleId="1112">
    <w:name w:val="List Table 5 Dark"/>
    <w:basedOn w:val="945"/>
    <w:next w:val="1112"/>
    <w:link w:val="934"/>
    <w:uiPriority w:val="99"/>
    <w:qFormat/>
    <w:pPr>
      <w:spacing w:after="0" w:line="240" w:lineRule="auto"/>
    </w:pPr>
    <w:tblPr/>
  </w:style>
  <w:style w:type="table" w:styleId="1113">
    <w:name w:val="List Table 5 Dark - Accent 1"/>
    <w:basedOn w:val="945"/>
    <w:next w:val="1113"/>
    <w:link w:val="934"/>
    <w:uiPriority w:val="99"/>
    <w:pPr>
      <w:spacing w:after="0" w:line="240" w:lineRule="auto"/>
    </w:pPr>
    <w:tblPr/>
  </w:style>
  <w:style w:type="table" w:styleId="1114">
    <w:name w:val="List Table 5 Dark - Accent 2"/>
    <w:basedOn w:val="945"/>
    <w:next w:val="1114"/>
    <w:link w:val="934"/>
    <w:uiPriority w:val="99"/>
    <w:qFormat/>
    <w:pPr>
      <w:spacing w:after="0" w:line="240" w:lineRule="auto"/>
    </w:pPr>
    <w:tblPr/>
  </w:style>
  <w:style w:type="table" w:styleId="1115">
    <w:name w:val="List Table 5 Dark - Accent 3"/>
    <w:basedOn w:val="945"/>
    <w:next w:val="1115"/>
    <w:link w:val="934"/>
    <w:uiPriority w:val="99"/>
    <w:qFormat/>
    <w:pPr>
      <w:spacing w:after="0" w:line="240" w:lineRule="auto"/>
    </w:pPr>
    <w:tblPr/>
  </w:style>
  <w:style w:type="table" w:styleId="1116">
    <w:name w:val="List Table 5 Dark - Accent 4"/>
    <w:basedOn w:val="945"/>
    <w:next w:val="1116"/>
    <w:link w:val="934"/>
    <w:uiPriority w:val="99"/>
    <w:pPr>
      <w:spacing w:after="0" w:line="240" w:lineRule="auto"/>
    </w:pPr>
    <w:tblPr/>
  </w:style>
  <w:style w:type="table" w:styleId="1117">
    <w:name w:val="List Table 5 Dark - Accent 5"/>
    <w:basedOn w:val="945"/>
    <w:next w:val="1117"/>
    <w:link w:val="934"/>
    <w:uiPriority w:val="99"/>
    <w:pPr>
      <w:spacing w:after="0" w:line="240" w:lineRule="auto"/>
    </w:pPr>
    <w:tblPr/>
  </w:style>
  <w:style w:type="table" w:styleId="1118">
    <w:name w:val="List Table 5 Dark - Accent 6"/>
    <w:basedOn w:val="945"/>
    <w:next w:val="1118"/>
    <w:link w:val="934"/>
    <w:uiPriority w:val="99"/>
    <w:pPr>
      <w:spacing w:after="0" w:line="240" w:lineRule="auto"/>
    </w:pPr>
    <w:tblPr/>
  </w:style>
  <w:style w:type="table" w:styleId="1119">
    <w:name w:val="List Table 6 Colorful"/>
    <w:basedOn w:val="945"/>
    <w:next w:val="1119"/>
    <w:link w:val="934"/>
    <w:uiPriority w:val="99"/>
    <w:pPr>
      <w:spacing w:after="0" w:line="240" w:lineRule="auto"/>
    </w:pPr>
    <w:tblPr/>
  </w:style>
  <w:style w:type="table" w:styleId="1120">
    <w:name w:val="List Table 6 Colorful - Accent 1"/>
    <w:basedOn w:val="945"/>
    <w:next w:val="1120"/>
    <w:link w:val="934"/>
    <w:uiPriority w:val="99"/>
    <w:pPr>
      <w:spacing w:after="0" w:line="240" w:lineRule="auto"/>
    </w:pPr>
    <w:tblPr/>
  </w:style>
  <w:style w:type="table" w:styleId="1121">
    <w:name w:val="List Table 6 Colorful - Accent 2"/>
    <w:basedOn w:val="945"/>
    <w:next w:val="1121"/>
    <w:link w:val="934"/>
    <w:uiPriority w:val="99"/>
    <w:pPr>
      <w:spacing w:after="0" w:line="240" w:lineRule="auto"/>
    </w:pPr>
    <w:tblPr/>
  </w:style>
  <w:style w:type="table" w:styleId="1122">
    <w:name w:val="List Table 6 Colorful - Accent 3"/>
    <w:basedOn w:val="945"/>
    <w:next w:val="1122"/>
    <w:link w:val="934"/>
    <w:uiPriority w:val="99"/>
    <w:pPr>
      <w:spacing w:after="0" w:line="240" w:lineRule="auto"/>
    </w:pPr>
    <w:tblPr/>
  </w:style>
  <w:style w:type="table" w:styleId="1123">
    <w:name w:val="List Table 6 Colorful - Accent 4"/>
    <w:basedOn w:val="945"/>
    <w:next w:val="1123"/>
    <w:link w:val="934"/>
    <w:uiPriority w:val="99"/>
    <w:pPr>
      <w:spacing w:after="0" w:line="240" w:lineRule="auto"/>
    </w:pPr>
    <w:tblPr/>
  </w:style>
  <w:style w:type="table" w:styleId="1124">
    <w:name w:val="List Table 6 Colorful - Accent 5"/>
    <w:basedOn w:val="945"/>
    <w:next w:val="1124"/>
    <w:link w:val="934"/>
    <w:uiPriority w:val="99"/>
    <w:qFormat/>
    <w:pPr>
      <w:spacing w:after="0" w:line="240" w:lineRule="auto"/>
    </w:pPr>
    <w:tblPr/>
  </w:style>
  <w:style w:type="table" w:styleId="1125">
    <w:name w:val="List Table 6 Colorful - Accent 6"/>
    <w:basedOn w:val="945"/>
    <w:next w:val="1125"/>
    <w:link w:val="934"/>
    <w:uiPriority w:val="99"/>
    <w:qFormat/>
    <w:pPr>
      <w:spacing w:after="0" w:line="240" w:lineRule="auto"/>
    </w:pPr>
    <w:tblPr/>
  </w:style>
  <w:style w:type="table" w:styleId="1126">
    <w:name w:val="List Table 7 Colorful"/>
    <w:basedOn w:val="945"/>
    <w:next w:val="1126"/>
    <w:link w:val="934"/>
    <w:uiPriority w:val="99"/>
    <w:qFormat/>
    <w:pPr>
      <w:spacing w:after="0" w:line="240" w:lineRule="auto"/>
    </w:pPr>
    <w:tblPr/>
  </w:style>
  <w:style w:type="table" w:styleId="1127">
    <w:name w:val="List Table 7 Colorful - Accent 1"/>
    <w:basedOn w:val="945"/>
    <w:next w:val="1127"/>
    <w:link w:val="934"/>
    <w:uiPriority w:val="99"/>
    <w:pPr>
      <w:spacing w:after="0" w:line="240" w:lineRule="auto"/>
    </w:pPr>
    <w:tblPr/>
  </w:style>
  <w:style w:type="table" w:styleId="1128">
    <w:name w:val="List Table 7 Colorful - Accent 2"/>
    <w:basedOn w:val="945"/>
    <w:next w:val="1128"/>
    <w:link w:val="934"/>
    <w:uiPriority w:val="99"/>
    <w:pPr>
      <w:spacing w:after="0" w:line="240" w:lineRule="auto"/>
    </w:pPr>
    <w:tblPr/>
  </w:style>
  <w:style w:type="table" w:styleId="1129">
    <w:name w:val="List Table 7 Colorful - Accent 3"/>
    <w:basedOn w:val="945"/>
    <w:next w:val="1129"/>
    <w:link w:val="934"/>
    <w:uiPriority w:val="99"/>
    <w:pPr>
      <w:spacing w:after="0" w:line="240" w:lineRule="auto"/>
    </w:pPr>
    <w:tblPr/>
  </w:style>
  <w:style w:type="table" w:styleId="1130">
    <w:name w:val="List Table 7 Colorful - Accent 4"/>
    <w:basedOn w:val="945"/>
    <w:next w:val="1130"/>
    <w:link w:val="934"/>
    <w:uiPriority w:val="99"/>
    <w:pPr>
      <w:spacing w:after="0" w:line="240" w:lineRule="auto"/>
    </w:pPr>
    <w:tblPr/>
  </w:style>
  <w:style w:type="table" w:styleId="1131">
    <w:name w:val="List Table 7 Colorful - Accent 5"/>
    <w:basedOn w:val="945"/>
    <w:next w:val="1131"/>
    <w:link w:val="934"/>
    <w:uiPriority w:val="99"/>
    <w:pPr>
      <w:spacing w:after="0" w:line="240" w:lineRule="auto"/>
    </w:pPr>
    <w:tblPr/>
  </w:style>
  <w:style w:type="table" w:styleId="1132">
    <w:name w:val="List Table 7 Colorful - Accent 6"/>
    <w:basedOn w:val="945"/>
    <w:next w:val="1132"/>
    <w:link w:val="934"/>
    <w:uiPriority w:val="99"/>
    <w:qFormat/>
    <w:pPr>
      <w:spacing w:after="0" w:line="240" w:lineRule="auto"/>
    </w:pPr>
    <w:tblPr/>
  </w:style>
  <w:style w:type="table" w:styleId="1133">
    <w:name w:val="Lined - Accent"/>
    <w:basedOn w:val="945"/>
    <w:next w:val="1133"/>
    <w:link w:val="934"/>
    <w:uiPriority w:val="99"/>
    <w:pPr>
      <w:spacing w:after="0" w:line="240" w:lineRule="auto"/>
    </w:pPr>
    <w:rPr>
      <w:color w:val="404040"/>
    </w:rPr>
    <w:tblPr/>
  </w:style>
  <w:style w:type="table" w:styleId="1134">
    <w:name w:val="Lined - Accent 1"/>
    <w:basedOn w:val="945"/>
    <w:next w:val="1134"/>
    <w:link w:val="934"/>
    <w:uiPriority w:val="99"/>
    <w:pPr>
      <w:spacing w:after="0" w:line="240" w:lineRule="auto"/>
    </w:pPr>
    <w:rPr>
      <w:color w:val="404040"/>
    </w:rPr>
    <w:tblPr/>
  </w:style>
  <w:style w:type="table" w:styleId="1135">
    <w:name w:val="Lined - Accent 2"/>
    <w:basedOn w:val="945"/>
    <w:next w:val="1135"/>
    <w:link w:val="934"/>
    <w:uiPriority w:val="99"/>
    <w:pPr>
      <w:spacing w:after="0" w:line="240" w:lineRule="auto"/>
    </w:pPr>
    <w:rPr>
      <w:color w:val="404040"/>
    </w:rPr>
    <w:tblPr/>
  </w:style>
  <w:style w:type="table" w:styleId="1136">
    <w:name w:val="Lined - Accent 3"/>
    <w:basedOn w:val="945"/>
    <w:next w:val="1136"/>
    <w:link w:val="934"/>
    <w:uiPriority w:val="99"/>
    <w:pPr>
      <w:spacing w:after="0" w:line="240" w:lineRule="auto"/>
    </w:pPr>
    <w:rPr>
      <w:color w:val="404040"/>
    </w:rPr>
    <w:tblPr/>
  </w:style>
  <w:style w:type="table" w:styleId="1137">
    <w:name w:val="Lined - Accent 4"/>
    <w:basedOn w:val="945"/>
    <w:next w:val="1137"/>
    <w:link w:val="934"/>
    <w:uiPriority w:val="99"/>
    <w:pPr>
      <w:spacing w:after="0" w:line="240" w:lineRule="auto"/>
    </w:pPr>
    <w:rPr>
      <w:color w:val="404040"/>
    </w:rPr>
    <w:tblPr/>
  </w:style>
  <w:style w:type="table" w:styleId="1138">
    <w:name w:val="Lined - Accent 5"/>
    <w:basedOn w:val="945"/>
    <w:next w:val="1138"/>
    <w:link w:val="934"/>
    <w:uiPriority w:val="99"/>
    <w:pPr>
      <w:spacing w:after="0" w:line="240" w:lineRule="auto"/>
    </w:pPr>
    <w:rPr>
      <w:color w:val="404040"/>
    </w:rPr>
    <w:tblPr/>
  </w:style>
  <w:style w:type="table" w:styleId="1139">
    <w:name w:val="Lined - Accent 6"/>
    <w:basedOn w:val="945"/>
    <w:next w:val="1139"/>
    <w:link w:val="934"/>
    <w:uiPriority w:val="99"/>
    <w:pPr>
      <w:spacing w:after="0" w:line="240" w:lineRule="auto"/>
    </w:pPr>
    <w:rPr>
      <w:color w:val="404040"/>
    </w:rPr>
    <w:tblPr/>
  </w:style>
  <w:style w:type="table" w:styleId="1140">
    <w:name w:val="Bordered &amp; Lined - Accent"/>
    <w:basedOn w:val="945"/>
    <w:next w:val="1140"/>
    <w:link w:val="934"/>
    <w:uiPriority w:val="99"/>
    <w:pPr>
      <w:spacing w:after="0" w:line="240" w:lineRule="auto"/>
    </w:pPr>
    <w:rPr>
      <w:color w:val="404040"/>
    </w:rPr>
    <w:tblPr/>
  </w:style>
  <w:style w:type="table" w:styleId="1141">
    <w:name w:val="Bordered &amp; Lined - Accent 1"/>
    <w:basedOn w:val="945"/>
    <w:next w:val="1141"/>
    <w:link w:val="934"/>
    <w:uiPriority w:val="99"/>
    <w:qFormat/>
    <w:pPr>
      <w:spacing w:after="0" w:line="240" w:lineRule="auto"/>
    </w:pPr>
    <w:rPr>
      <w:color w:val="404040"/>
    </w:rPr>
    <w:tblPr/>
  </w:style>
  <w:style w:type="table" w:styleId="1142">
    <w:name w:val="Bordered &amp; Lined - Accent 2"/>
    <w:basedOn w:val="945"/>
    <w:next w:val="1142"/>
    <w:link w:val="934"/>
    <w:uiPriority w:val="99"/>
    <w:qFormat/>
    <w:pPr>
      <w:spacing w:after="0" w:line="240" w:lineRule="auto"/>
    </w:pPr>
    <w:rPr>
      <w:color w:val="404040"/>
    </w:rPr>
    <w:tblPr/>
  </w:style>
  <w:style w:type="table" w:styleId="1143">
    <w:name w:val="Bordered &amp; Lined - Accent 3"/>
    <w:basedOn w:val="945"/>
    <w:next w:val="1143"/>
    <w:link w:val="934"/>
    <w:uiPriority w:val="99"/>
    <w:pPr>
      <w:spacing w:after="0" w:line="240" w:lineRule="auto"/>
    </w:pPr>
    <w:rPr>
      <w:color w:val="404040"/>
    </w:rPr>
    <w:tblPr/>
  </w:style>
  <w:style w:type="table" w:styleId="1144">
    <w:name w:val="Bordered &amp; Lined - Accent 4"/>
    <w:basedOn w:val="945"/>
    <w:next w:val="1144"/>
    <w:link w:val="934"/>
    <w:uiPriority w:val="99"/>
    <w:pPr>
      <w:spacing w:after="0" w:line="240" w:lineRule="auto"/>
    </w:pPr>
    <w:rPr>
      <w:color w:val="404040"/>
    </w:rPr>
    <w:tblPr/>
  </w:style>
  <w:style w:type="table" w:styleId="1145">
    <w:name w:val="Bordered &amp; Lined - Accent 5"/>
    <w:basedOn w:val="945"/>
    <w:next w:val="1145"/>
    <w:link w:val="934"/>
    <w:uiPriority w:val="99"/>
    <w:pPr>
      <w:spacing w:after="0" w:line="240" w:lineRule="auto"/>
    </w:pPr>
    <w:rPr>
      <w:color w:val="404040"/>
    </w:rPr>
    <w:tblPr/>
  </w:style>
  <w:style w:type="table" w:styleId="1146">
    <w:name w:val="Bordered &amp; Lined - Accent 6"/>
    <w:basedOn w:val="945"/>
    <w:next w:val="1146"/>
    <w:link w:val="934"/>
    <w:uiPriority w:val="99"/>
    <w:pPr>
      <w:spacing w:after="0" w:line="240" w:lineRule="auto"/>
    </w:pPr>
    <w:rPr>
      <w:color w:val="404040"/>
    </w:rPr>
    <w:tblPr/>
  </w:style>
  <w:style w:type="table" w:styleId="1147">
    <w:name w:val="Bordered"/>
    <w:basedOn w:val="945"/>
    <w:next w:val="1147"/>
    <w:link w:val="934"/>
    <w:uiPriority w:val="99"/>
    <w:qFormat/>
    <w:pPr>
      <w:spacing w:after="0" w:line="240" w:lineRule="auto"/>
    </w:pPr>
    <w:tblPr/>
  </w:style>
  <w:style w:type="table" w:styleId="1148">
    <w:name w:val="Bordered - Accent 1"/>
    <w:basedOn w:val="945"/>
    <w:next w:val="1148"/>
    <w:link w:val="934"/>
    <w:uiPriority w:val="99"/>
    <w:pPr>
      <w:spacing w:after="0" w:line="240" w:lineRule="auto"/>
    </w:pPr>
    <w:tblPr/>
  </w:style>
  <w:style w:type="table" w:styleId="1149">
    <w:name w:val="Bordered - Accent 2"/>
    <w:basedOn w:val="945"/>
    <w:next w:val="1149"/>
    <w:link w:val="934"/>
    <w:uiPriority w:val="99"/>
    <w:qFormat/>
    <w:pPr>
      <w:spacing w:after="0" w:line="240" w:lineRule="auto"/>
    </w:pPr>
    <w:tblPr/>
  </w:style>
  <w:style w:type="table" w:styleId="1150">
    <w:name w:val="Bordered - Accent 3"/>
    <w:basedOn w:val="945"/>
    <w:next w:val="1150"/>
    <w:link w:val="934"/>
    <w:uiPriority w:val="99"/>
    <w:pPr>
      <w:spacing w:after="0" w:line="240" w:lineRule="auto"/>
    </w:pPr>
    <w:tblPr/>
  </w:style>
  <w:style w:type="table" w:styleId="1151">
    <w:name w:val="Bordered - Accent 4"/>
    <w:basedOn w:val="945"/>
    <w:next w:val="1151"/>
    <w:link w:val="934"/>
    <w:uiPriority w:val="99"/>
    <w:qFormat/>
    <w:pPr>
      <w:spacing w:after="0" w:line="240" w:lineRule="auto"/>
    </w:pPr>
    <w:tblPr/>
  </w:style>
  <w:style w:type="table" w:styleId="1152">
    <w:name w:val="Bordered - Accent 5"/>
    <w:basedOn w:val="945"/>
    <w:next w:val="1152"/>
    <w:link w:val="934"/>
    <w:uiPriority w:val="99"/>
    <w:pPr>
      <w:spacing w:after="0" w:line="240" w:lineRule="auto"/>
    </w:pPr>
    <w:tblPr/>
  </w:style>
  <w:style w:type="table" w:styleId="1153">
    <w:name w:val="Bordered - Accent 6"/>
    <w:basedOn w:val="945"/>
    <w:next w:val="1153"/>
    <w:link w:val="934"/>
    <w:uiPriority w:val="99"/>
    <w:pPr>
      <w:spacing w:after="0" w:line="240" w:lineRule="auto"/>
    </w:pPr>
    <w:tblPr/>
  </w:style>
  <w:style w:type="paragraph" w:styleId="1154">
    <w:name w:val="TOC Heading"/>
    <w:next w:val="1154"/>
    <w:link w:val="934"/>
    <w:uiPriority w:val="39"/>
    <w:unhideWhenUsed/>
    <w:qFormat/>
    <w:rPr>
      <w:lang w:val="en-US" w:eastAsia="zh-CN" w:bidi="ar-SA"/>
    </w:rPr>
  </w:style>
  <w:style w:type="character" w:styleId="1155">
    <w:name w:val="页眉 Char"/>
    <w:basedOn w:val="944"/>
    <w:next w:val="1155"/>
    <w:link w:val="934"/>
    <w:qFormat/>
    <w:rPr>
      <w:sz w:val="18"/>
      <w:szCs w:val="18"/>
    </w:rPr>
  </w:style>
  <w:style w:type="character" w:styleId="1156">
    <w:name w:val="页脚 Char"/>
    <w:basedOn w:val="944"/>
    <w:next w:val="1156"/>
    <w:link w:val="934"/>
    <w:uiPriority w:val="99"/>
    <w:qFormat/>
    <w:rPr>
      <w:sz w:val="18"/>
      <w:szCs w:val="18"/>
    </w:rPr>
  </w:style>
  <w:style w:type="character" w:styleId="1157">
    <w:name w:val="标题 1 Char"/>
    <w:basedOn w:val="944"/>
    <w:next w:val="1157"/>
    <w:link w:val="934"/>
    <w:qFormat/>
    <w:rPr>
      <w:rFonts w:ascii="Times New Roman" w:hAnsi="Times New Roman" w:eastAsia="楷体_GB2312" w:cs="Times New Roman"/>
      <w:b/>
      <w:sz w:val="44"/>
      <w:szCs w:val="20"/>
    </w:rPr>
  </w:style>
  <w:style w:type="character" w:styleId="1158">
    <w:name w:val="标题 2 Char"/>
    <w:basedOn w:val="944"/>
    <w:next w:val="1158"/>
    <w:link w:val="934"/>
    <w:qFormat/>
    <w:rPr>
      <w:rFonts w:ascii="Arial" w:hAnsi="Arial" w:eastAsia="黑体" w:cs="Times New Roman"/>
      <w:b/>
      <w:bCs/>
      <w:sz w:val="32"/>
      <w:szCs w:val="32"/>
    </w:rPr>
  </w:style>
  <w:style w:type="character" w:styleId="1159">
    <w:name w:val="标题 4 Char"/>
    <w:basedOn w:val="944"/>
    <w:next w:val="1159"/>
    <w:link w:val="934"/>
    <w:qFormat/>
    <w:rPr>
      <w:rFonts w:ascii="Arial" w:hAnsi="Arial" w:eastAsia="黑体" w:cs="Times New Roman"/>
      <w:b/>
      <w:bCs/>
      <w:sz w:val="28"/>
      <w:szCs w:val="28"/>
    </w:rPr>
  </w:style>
  <w:style w:type="paragraph" w:styleId="1160">
    <w:name w:val="纯文本1"/>
    <w:basedOn w:val="934"/>
    <w:next w:val="1160"/>
    <w:link w:val="1161"/>
    <w:qFormat/>
    <w:rPr>
      <w:rFonts w:ascii="宋体" w:hAnsi="Courier New"/>
    </w:rPr>
  </w:style>
  <w:style w:type="character" w:styleId="1161">
    <w:name w:val="Plain Text Char Char"/>
    <w:next w:val="1161"/>
    <w:link w:val="1160"/>
    <w:qFormat/>
    <w:rPr>
      <w:rFonts w:ascii="宋体" w:hAnsi="Courier New" w:eastAsia="楷体_GB2312" w:cs="Times New Roman"/>
      <w:sz w:val="26"/>
      <w:szCs w:val="20"/>
    </w:rPr>
  </w:style>
  <w:style w:type="character" w:styleId="1162">
    <w:name w:val="正文文本 Char"/>
    <w:basedOn w:val="944"/>
    <w:next w:val="1162"/>
    <w:link w:val="934"/>
    <w:qFormat/>
    <w:rPr>
      <w:rFonts w:ascii="楷体_GB2312" w:hAnsi="Times New Roman" w:eastAsia="楷体_GB2312" w:cs="Times New Roman"/>
      <w:sz w:val="28"/>
      <w:szCs w:val="20"/>
    </w:rPr>
  </w:style>
  <w:style w:type="character" w:styleId="1163">
    <w:name w:val="正文首行缩进 Char Char"/>
    <w:next w:val="1163"/>
    <w:link w:val="1164"/>
    <w:qFormat/>
    <w:rPr>
      <w:szCs w:val="24"/>
    </w:rPr>
  </w:style>
  <w:style w:type="paragraph" w:styleId="1164">
    <w:name w:val="正文首行缩进1"/>
    <w:basedOn w:val="964"/>
    <w:next w:val="1164"/>
    <w:link w:val="1163"/>
    <w:qFormat/>
    <w:pPr>
      <w:ind w:firstLine="420"/>
      <w:spacing w:after="120" w:line="240" w:lineRule="auto"/>
    </w:pPr>
    <w:rPr>
      <w:rFonts w:ascii="Times New Roman" w:eastAsia="宋体"/>
      <w:sz w:val="20"/>
      <w:szCs w:val="24"/>
    </w:rPr>
  </w:style>
  <w:style w:type="paragraph" w:styleId="1165">
    <w:name w:val="_Style 24"/>
    <w:basedOn w:val="934"/>
    <w:next w:val="1165"/>
    <w:link w:val="934"/>
    <w:qFormat/>
    <w:rPr>
      <w:rFonts w:eastAsia="宋体"/>
      <w:sz w:val="21"/>
      <w:szCs w:val="24"/>
    </w:rPr>
  </w:style>
  <w:style w:type="character" w:styleId="1166">
    <w:name w:val="Char Char1"/>
    <w:next w:val="1166"/>
    <w:link w:val="934"/>
    <w:qFormat/>
    <w:rPr>
      <w:rFonts w:ascii="宋体" w:hAnsi="Courier New" w:eastAsia="楷体_GB2312"/>
      <w:sz w:val="26"/>
      <w:lang w:val="en-US" w:eastAsia="zh-CN" w:bidi="ar-SA"/>
    </w:rPr>
  </w:style>
  <w:style w:type="paragraph" w:styleId="1167">
    <w:name w:val="纯文本111"/>
    <w:basedOn w:val="934"/>
    <w:next w:val="1167"/>
    <w:link w:val="934"/>
    <w:qFormat/>
    <w:rPr>
      <w:rFonts w:ascii="宋体" w:hAnsi="Courier New"/>
      <w:sz w:val="28"/>
    </w:rPr>
  </w:style>
  <w:style w:type="character" w:styleId="1168">
    <w:name w:val="ca-221"/>
    <w:next w:val="1168"/>
    <w:link w:val="934"/>
    <w:qFormat/>
    <w:rPr>
      <w:rFonts w:hint="eastAsia" w:ascii="宋体" w:hAnsi="宋体" w:eastAsia="宋体"/>
      <w:color w:val="ff0000"/>
      <w:sz w:val="24"/>
      <w:szCs w:val="24"/>
    </w:rPr>
  </w:style>
  <w:style w:type="paragraph" w:styleId="1169">
    <w:name w:val="p0"/>
    <w:basedOn w:val="934"/>
    <w:next w:val="1169"/>
    <w:link w:val="934"/>
    <w:qFormat/>
    <w:pPr>
      <w:jc w:val="left"/>
      <w:spacing w:before="100" w:beforeAutospacing="1" w:after="100" w:afterAutospacing="1"/>
      <w:widowControl/>
    </w:pPr>
    <w:rPr>
      <w:rFonts w:ascii="宋体" w:hAnsi="宋体" w:eastAsia="宋体" w:cs="宋体"/>
      <w:sz w:val="24"/>
      <w:szCs w:val="24"/>
    </w:rPr>
  </w:style>
  <w:style w:type="paragraph" w:styleId="1170">
    <w:name w:val="正文 Char Char"/>
    <w:next w:val="1170"/>
    <w:link w:val="934"/>
    <w:qFormat/>
    <w:pPr>
      <w:jc w:val="both"/>
      <w:widowControl w:val="off"/>
    </w:pPr>
    <w:rPr>
      <w:rFonts w:eastAsia="ヒラギノ角ゴ Pro W3"/>
      <w:color w:val="000000"/>
      <w:sz w:val="26"/>
      <w:lang w:val="en-US" w:eastAsia="en-US" w:bidi="ar-SA"/>
    </w:rPr>
  </w:style>
  <w:style w:type="paragraph" w:styleId="1171">
    <w:name w:val="文字"/>
    <w:basedOn w:val="934"/>
    <w:next w:val="1171"/>
    <w:link w:val="934"/>
    <w:qFormat/>
    <w:pPr>
      <w:ind w:firstLine="420"/>
      <w:spacing w:line="360" w:lineRule="auto"/>
      <w:widowControl/>
    </w:pPr>
    <w:rPr>
      <w:rFonts w:eastAsia="宋体"/>
      <w:sz w:val="24"/>
      <w:szCs w:val="24"/>
    </w:rPr>
  </w:style>
  <w:style w:type="character" w:styleId="1172">
    <w:name w:val="正文缩进 Char"/>
    <w:next w:val="1172"/>
    <w:link w:val="934"/>
    <w:qFormat/>
    <w:rPr>
      <w:rFonts w:eastAsia="楷体_GB2312"/>
      <w:sz w:val="24"/>
      <w:lang w:val="en-US" w:eastAsia="zh-CN" w:bidi="ar-SA"/>
    </w:rPr>
  </w:style>
  <w:style w:type="paragraph" w:styleId="1173">
    <w:name w:val="Default"/>
    <w:next w:val="1173"/>
    <w:link w:val="934"/>
    <w:qFormat/>
    <w:pPr>
      <w:widowControl w:val="off"/>
    </w:pPr>
    <w:rPr>
      <w:rFonts w:ascii="宋体糭.飬.." w:eastAsia="宋体糭.飬.." w:cs="宋体糭.飬.."/>
      <w:color w:val="000000"/>
      <w:sz w:val="24"/>
      <w:szCs w:val="24"/>
      <w:lang w:val="en-US" w:eastAsia="zh-CN" w:bidi="ar-SA"/>
    </w:rPr>
  </w:style>
  <w:style w:type="paragraph" w:styleId="1174">
    <w:name w:val="列出段落"/>
    <w:basedOn w:val="934"/>
    <w:next w:val="1174"/>
    <w:link w:val="934"/>
    <w:uiPriority w:val="34"/>
    <w:qFormat/>
    <w:pPr>
      <w:ind w:firstLine="420"/>
    </w:pPr>
    <w:rPr>
      <w:rFonts w:eastAsia="宋体"/>
      <w:sz w:val="21"/>
      <w:szCs w:val="24"/>
    </w:rPr>
  </w:style>
  <w:style w:type="paragraph" w:styleId="1175">
    <w:name w:val="正文_0_0"/>
    <w:next w:val="1175"/>
    <w:link w:val="934"/>
    <w:qFormat/>
    <w:pPr>
      <w:jc w:val="both"/>
      <w:widowControl w:val="off"/>
    </w:pPr>
    <w:rPr>
      <w:rFonts w:ascii="Calibri" w:hAnsi="Calibri"/>
      <w:lang w:val="en-US" w:eastAsia="zh-CN" w:bidi="ar-SA"/>
    </w:rPr>
  </w:style>
  <w:style w:type="paragraph" w:styleId="1176">
    <w:name w:val="正文1"/>
    <w:next w:val="1176"/>
    <w:link w:val="934"/>
    <w:qFormat/>
    <w:pPr>
      <w:ind w:firstLine="200"/>
      <w:jc w:val="both"/>
      <w:spacing w:line="360" w:lineRule="auto"/>
      <w:widowControl w:val="off"/>
    </w:pPr>
    <w:rPr>
      <w:rFonts w:ascii="Calibri" w:hAnsi="Calibri" w:eastAsia="仿宋_GB2312"/>
      <w:sz w:val="24"/>
      <w:szCs w:val="22"/>
      <w:lang w:val="en-US" w:eastAsia="zh-CN" w:bidi="ar-SA"/>
    </w:rPr>
  </w:style>
  <w:style w:type="paragraph" w:styleId="1177">
    <w:name w:val="修订1"/>
    <w:next w:val="1177"/>
    <w:link w:val="934"/>
    <w:uiPriority w:val="99"/>
    <w:semiHidden/>
    <w:qFormat/>
    <w:rPr>
      <w:rFonts w:eastAsia="楷体_GB2312"/>
      <w:sz w:val="26"/>
      <w:lang w:val="en-US" w:eastAsia="zh-CN" w:bidi="ar-SA"/>
    </w:rPr>
  </w:style>
  <w:style w:type="paragraph" w:styleId="1178">
    <w:name w:val="b4一级标题"/>
    <w:basedOn w:val="934"/>
    <w:next w:val="1178"/>
    <w:link w:val="934"/>
    <w:qFormat/>
    <w:pPr>
      <w:jc w:val="center"/>
      <w:spacing w:line="360" w:lineRule="auto"/>
      <w:outlineLvl w:val="0"/>
    </w:pPr>
    <w:rPr>
      <w:rFonts w:ascii="宋体" w:hAnsi="宋体" w:eastAsia="宋体"/>
      <w:b/>
      <w:sz w:val="36"/>
      <w:szCs w:val="36"/>
    </w:rPr>
  </w:style>
  <w:style w:type="paragraph" w:styleId="1179">
    <w:name w:val="标题3"/>
    <w:basedOn w:val="937"/>
    <w:next w:val="1179"/>
    <w:link w:val="934"/>
    <w:qFormat/>
    <w:pPr>
      <w:contextualSpacing/>
      <w:jc w:val="center"/>
      <w:spacing w:line="240" w:lineRule="auto"/>
    </w:pPr>
    <w:rPr>
      <w:rFonts w:eastAsia="黑体" w:cs="宋体"/>
      <w:sz w:val="28"/>
      <w:szCs w:val="20"/>
    </w:rPr>
  </w:style>
  <w:style w:type="paragraph" w:styleId="1180">
    <w:name w:val="No Spacing1"/>
    <w:next w:val="1180"/>
    <w:link w:val="934"/>
    <w:qFormat/>
    <w:pPr>
      <w:jc w:val="both"/>
      <w:widowControl w:val="off"/>
    </w:pPr>
    <w:rPr>
      <w:rFonts w:ascii="Calibri" w:hAnsi="Calibri"/>
      <w:sz w:val="21"/>
      <w:szCs w:val="22"/>
      <w:lang w:val="en-US" w:eastAsia="zh-CN" w:bidi="ar-SA"/>
    </w:rPr>
  </w:style>
  <w:style w:type="paragraph" w:styleId="1181">
    <w:name w:val="无间隔"/>
    <w:next w:val="1181"/>
    <w:link w:val="1182"/>
    <w:uiPriority w:val="1"/>
    <w:qFormat/>
    <w:rPr>
      <w:rFonts w:ascii="Calibri" w:hAnsi="Calibri" w:eastAsia="Arial"/>
      <w:sz w:val="22"/>
      <w:szCs w:val="22"/>
      <w:lang w:val="en-US" w:eastAsia="zh-CN" w:bidi="ar-SA"/>
    </w:rPr>
  </w:style>
  <w:style w:type="character" w:styleId="1182">
    <w:name w:val="无间隔 Char"/>
    <w:basedOn w:val="944"/>
    <w:next w:val="1182"/>
    <w:link w:val="1181"/>
    <w:uiPriority w:val="1"/>
    <w:qFormat/>
    <w:rPr>
      <w:rFonts w:ascii="Calibri" w:hAnsi="Calibri" w:eastAsia="Arial"/>
      <w:sz w:val="22"/>
      <w:szCs w:val="22"/>
      <w:lang w:val="en-US" w:eastAsia="zh-CN" w:bidi="ar-SA"/>
    </w:rPr>
  </w:style>
  <w:style w:type="character" w:styleId="1183">
    <w:name w:val="ask-title"/>
    <w:basedOn w:val="944"/>
    <w:next w:val="1183"/>
    <w:link w:val="934"/>
    <w:qFormat/>
  </w:style>
  <w:style w:type="paragraph" w:styleId="1184">
    <w:name w:val="hidinshow"/>
    <w:basedOn w:val="934"/>
    <w:next w:val="1184"/>
    <w:link w:val="934"/>
    <w:qFormat/>
    <w:pPr>
      <w:jc w:val="left"/>
      <w:spacing w:before="100" w:beforeAutospacing="1" w:after="100" w:afterAutospacing="1"/>
      <w:widowControl/>
    </w:pPr>
    <w:rPr>
      <w:rFonts w:ascii="宋体" w:hAnsi="宋体" w:eastAsia="宋体" w:cs="宋体"/>
      <w:sz w:val="24"/>
      <w:szCs w:val="24"/>
    </w:rPr>
  </w:style>
  <w:style w:type="paragraph" w:styleId="1185">
    <w:name w:val="纯文本2"/>
    <w:basedOn w:val="934"/>
    <w:next w:val="1185"/>
    <w:link w:val="934"/>
    <w:qFormat/>
    <w:rPr>
      <w:rFonts w:ascii="宋体" w:hAnsi="Courier New"/>
    </w:rPr>
  </w:style>
  <w:style w:type="paragraph" w:styleId="1186">
    <w:name w:val="Plain Text1"/>
    <w:basedOn w:val="934"/>
    <w:next w:val="1186"/>
    <w:link w:val="934"/>
    <w:qFormat/>
    <w:rPr>
      <w:rFonts w:hint="eastAsia" w:ascii="宋体" w:hAnsi="Courier New"/>
      <w:sz w:val="28"/>
    </w:rPr>
  </w:style>
  <w:style w:type="table" w:styleId="1187">
    <w:name w:val="网格型1"/>
    <w:basedOn w:val="945"/>
    <w:next w:val="1187"/>
    <w:link w:val="934"/>
    <w:uiPriority w:val="39"/>
    <w:qFormat/>
    <w:rPr>
      <w:rFonts w:ascii="Calibri" w:hAnsi="Calibri"/>
    </w:rPr>
    <w:tblPr/>
  </w:style>
  <w:style w:type="paragraph" w:styleId="1188">
    <w:name w:val="段"/>
    <w:next w:val="934"/>
    <w:link w:val="934"/>
    <w:qFormat/>
    <w:pPr>
      <w:ind w:firstLine="200"/>
      <w:jc w:val="both"/>
    </w:pPr>
    <w:rPr>
      <w:rFonts w:ascii="宋体"/>
      <w:sz w:val="21"/>
      <w:lang w:val="en-US" w:eastAsia="zh-CN" w:bidi="ar-SA"/>
    </w:rPr>
  </w:style>
  <w:style w:type="paragraph" w:styleId="1189">
    <w:name w:val="*正文"/>
    <w:basedOn w:val="934"/>
    <w:next w:val="1189"/>
    <w:link w:val="934"/>
    <w:qFormat/>
    <w:pPr>
      <w:ind w:firstLine="200"/>
      <w:spacing w:line="360" w:lineRule="auto"/>
      <w:widowControl/>
    </w:pPr>
    <w:rPr>
      <w:rFonts w:ascii="仿宋_GB2312" w:hAnsi="Calibri" w:eastAsia="仿宋_GB2312"/>
      <w:sz w:val="24"/>
      <w:szCs w:val="28"/>
    </w:rPr>
  </w:style>
  <w:style w:type="paragraph" w:styleId="1190">
    <w:name w:val="p25"/>
    <w:basedOn w:val="934"/>
    <w:next w:val="1190"/>
    <w:link w:val="934"/>
    <w:qFormat/>
    <w:rPr>
      <w:rFonts w:ascii="黑体" w:hAnsi="黑体" w:eastAsia="宋体" w:cs="黑体"/>
      <w:sz w:val="21"/>
      <w:szCs w:val="26"/>
    </w:rPr>
  </w:style>
  <w:style w:type="paragraph" w:styleId="1191">
    <w:name w:val="纯文本11"/>
    <w:basedOn w:val="934"/>
    <w:next w:val="1191"/>
    <w:link w:val="934"/>
    <w:qFormat/>
    <w:rPr>
      <w:rFonts w:ascii="宋体" w:hAnsi="Courier New"/>
      <w:sz w:val="28"/>
    </w:rPr>
  </w:style>
  <w:style w:type="paragraph" w:styleId="1192">
    <w:name w:val="修订11"/>
    <w:next w:val="1192"/>
    <w:link w:val="934"/>
    <w:uiPriority w:val="99"/>
    <w:semiHidden/>
    <w:qFormat/>
    <w:rPr>
      <w:rFonts w:eastAsia="楷体_GB2312"/>
      <w:sz w:val="26"/>
      <w:lang w:val="en-US" w:eastAsia="zh-CN" w:bidi="ar-SA"/>
    </w:rPr>
  </w:style>
  <w:style w:type="paragraph" w:styleId="1193">
    <w:name w:val="正文_0"/>
    <w:next w:val="1193"/>
    <w:link w:val="934"/>
    <w:qFormat/>
    <w:pPr>
      <w:jc w:val="both"/>
      <w:widowControl w:val="off"/>
    </w:pPr>
    <w:rPr>
      <w:sz w:val="21"/>
      <w:szCs w:val="24"/>
      <w:lang w:val="en-US" w:eastAsia="zh-CN" w:bidi="ar-SA"/>
    </w:rPr>
  </w:style>
  <w:style w:type="paragraph" w:styleId="1194">
    <w:name w:val="格式３"/>
    <w:basedOn w:val="934"/>
    <w:next w:val="1194"/>
    <w:link w:val="934"/>
    <w:qFormat/>
    <w:pPr>
      <w:ind w:left="600" w:hanging="600"/>
      <w:spacing w:line="420" w:lineRule="exact"/>
    </w:pPr>
    <w:rPr>
      <w:rFonts w:ascii="宋体" w:hAnsi="宋体" w:eastAsia="宋体"/>
      <w:color w:val="000000"/>
      <w:sz w:val="24"/>
    </w:rPr>
  </w:style>
  <w:style w:type="character" w:styleId="1195">
    <w:name w:val="font71"/>
    <w:basedOn w:val="944"/>
    <w:next w:val="1195"/>
    <w:link w:val="934"/>
    <w:qFormat/>
    <w:rPr>
      <w:rFonts w:hint="eastAsia" w:ascii="宋体" w:hAnsi="宋体" w:eastAsia="宋体" w:cs="宋体"/>
      <w:color w:val="000000"/>
      <w:sz w:val="21"/>
      <w:szCs w:val="21"/>
      <w:u w:val="none"/>
    </w:rPr>
  </w:style>
  <w:style w:type="character" w:styleId="1196">
    <w:name w:val="font61"/>
    <w:basedOn w:val="944"/>
    <w:next w:val="1196"/>
    <w:link w:val="934"/>
    <w:qFormat/>
    <w:rPr>
      <w:rFonts w:hint="eastAsia" w:ascii="宋体" w:hAnsi="宋体" w:eastAsia="宋体" w:cs="宋体"/>
      <w:color w:val="ff0000"/>
      <w:sz w:val="21"/>
      <w:szCs w:val="21"/>
      <w:u w:val="none"/>
    </w:rPr>
  </w:style>
  <w:style w:type="character" w:styleId="1197">
    <w:name w:val="font41"/>
    <w:basedOn w:val="944"/>
    <w:next w:val="1197"/>
    <w:link w:val="934"/>
    <w:qFormat/>
    <w:rPr>
      <w:rFonts w:hint="eastAsia" w:ascii="宋体" w:hAnsi="宋体" w:eastAsia="宋体" w:cs="宋体"/>
      <w:color w:val="000000"/>
      <w:sz w:val="21"/>
      <w:szCs w:val="21"/>
      <w:u w:val="none"/>
    </w:rPr>
  </w:style>
  <w:style w:type="character" w:styleId="1198">
    <w:name w:val="font101"/>
    <w:basedOn w:val="944"/>
    <w:next w:val="1198"/>
    <w:link w:val="934"/>
    <w:qFormat/>
    <w:rPr>
      <w:rFonts w:ascii="微软雅黑" w:hAnsi="微软雅黑" w:eastAsia="微软雅黑" w:cs="微软雅黑"/>
      <w:color w:val="000000"/>
      <w:sz w:val="22"/>
      <w:szCs w:val="22"/>
      <w:u w:val="none"/>
    </w:rPr>
  </w:style>
  <w:style w:type="character" w:styleId="1199">
    <w:name w:val="font81"/>
    <w:basedOn w:val="944"/>
    <w:next w:val="1199"/>
    <w:link w:val="934"/>
    <w:qFormat/>
    <w:rPr>
      <w:rFonts w:hint="eastAsia" w:ascii="宋体" w:hAnsi="宋体" w:eastAsia="宋体" w:cs="宋体"/>
      <w:color w:val="ff0000"/>
      <w:sz w:val="21"/>
      <w:szCs w:val="21"/>
      <w:u w:val="none"/>
    </w:rPr>
  </w:style>
  <w:style w:type="character" w:styleId="1200">
    <w:name w:val="font111"/>
    <w:basedOn w:val="944"/>
    <w:next w:val="1200"/>
    <w:link w:val="934"/>
    <w:qFormat/>
    <w:rPr>
      <w:rFonts w:hint="eastAsia" w:ascii="微软雅黑" w:hAnsi="微软雅黑" w:eastAsia="微软雅黑" w:cs="微软雅黑"/>
      <w:color w:val="ff0000"/>
      <w:sz w:val="22"/>
      <w:szCs w:val="22"/>
      <w:u w:val="none"/>
    </w:rPr>
  </w:style>
  <w:style w:type="character" w:styleId="1201">
    <w:name w:val="font122"/>
    <w:basedOn w:val="944"/>
    <w:next w:val="1201"/>
    <w:link w:val="934"/>
    <w:qFormat/>
    <w:rPr>
      <w:rFonts w:hint="eastAsia" w:ascii="宋体" w:hAnsi="宋体" w:eastAsia="宋体" w:cs="宋体"/>
      <w:color w:val="000000"/>
      <w:sz w:val="18"/>
      <w:szCs w:val="18"/>
      <w:u w:val="none"/>
    </w:rPr>
  </w:style>
  <w:style w:type="paragraph" w:styleId="1202">
    <w:name w:val="[基本段落]"/>
    <w:basedOn w:val="934"/>
    <w:next w:val="1202"/>
    <w:link w:val="934"/>
    <w:uiPriority w:val="99"/>
    <w:qFormat/>
    <w:pPr>
      <w:spacing w:line="288" w:lineRule="auto"/>
    </w:pPr>
    <w:rPr>
      <w:rFonts w:ascii="Adobe 宋体 Std L" w:hAnsi="Calibri" w:eastAsia="Adobe 宋体 Std L" w:cs="Adobe 宋体 Std L"/>
      <w:color w:val="000000"/>
      <w:sz w:val="24"/>
      <w:szCs w:val="24"/>
      <w:lang w:val="zh-CN"/>
    </w:rPr>
  </w:style>
  <w:style w:type="paragraph" w:styleId="1203">
    <w:name w:val="正文缩进1"/>
    <w:basedOn w:val="934"/>
    <w:next w:val="1203"/>
    <w:link w:val="934"/>
    <w:qFormat/>
    <w:pPr>
      <w:ind w:firstLine="420"/>
      <w:jc w:val="left"/>
      <w:widowControl/>
    </w:pPr>
    <w:rPr>
      <w:rFonts w:ascii="Calibri" w:hAnsi="Calibri" w:cs="Times New Roman"/>
      <w:sz w:val="24"/>
    </w:rPr>
  </w:style>
  <w:style w:type="paragraph" w:styleId="1204">
    <w:name w:val="正文首行缩进 21"/>
    <w:next w:val="1204"/>
    <w:link w:val="934"/>
    <w:qFormat/>
    <w:pPr>
      <w:ind w:left="420" w:firstLine="420"/>
      <w:jc w:val="both"/>
      <w:spacing w:after="120"/>
      <w:widowControl w:val="off"/>
    </w:pPr>
    <w:rPr>
      <w:rFonts w:ascii="Calibri" w:hAnsi="Calibri"/>
      <w:sz w:val="21"/>
      <w:szCs w:val="22"/>
      <w:lang w:val="en-US" w:eastAsia="zh-CN" w:bidi="ar-SA"/>
    </w:rPr>
  </w:style>
  <w:style w:type="paragraph" w:styleId="1205">
    <w:name w:val="正文_6"/>
    <w:next w:val="1205"/>
    <w:link w:val="934"/>
    <w:qFormat/>
    <w:pPr>
      <w:jc w:val="both"/>
      <w:widowControl w:val="off"/>
    </w:pPr>
    <w:rPr>
      <w:rFonts w:ascii="Calibri" w:hAnsi="Calibri"/>
      <w:lang w:val="en-US" w:eastAsia="zh-CN" w:bidi="ar-SA"/>
    </w:rPr>
  </w:style>
  <w:style w:type="paragraph" w:styleId="1206">
    <w:name w:val="Normal_14"/>
    <w:next w:val="1206"/>
    <w:link w:val="934"/>
    <w:qFormat/>
    <w:pPr>
      <w:jc w:val="both"/>
      <w:widowControl w:val="off"/>
    </w:pPr>
    <w:rPr>
      <w:rFonts w:eastAsia="Times New Roman"/>
      <w:lang w:val="en-US" w:eastAsia="zh-CN" w:bidi="ar-SA"/>
    </w:rPr>
  </w:style>
  <w:style w:type="character" w:styleId="1207">
    <w:name w:val="页脚 字符"/>
    <w:basedOn w:val="944"/>
    <w:next w:val="1207"/>
    <w:link w:val="934"/>
    <w:qFormat/>
    <w:rPr>
      <w:rFonts w:hint="eastAsia" w:ascii="宋体" w:hAnsi="宋体" w:eastAsia="宋体" w:cs="宋体"/>
      <w:sz w:val="18"/>
      <w:szCs w:val="18"/>
    </w:rPr>
  </w:style>
  <w:style w:type="character" w:styleId="1208">
    <w:name w:val="标题 4 字符"/>
    <w:basedOn w:val="944"/>
    <w:next w:val="1208"/>
    <w:link w:val="934"/>
    <w:qFormat/>
    <w:rPr>
      <w:rFonts w:ascii="等线 Light" w:hAnsi="等线 Light" w:eastAsia="等线 Light" w:cs="Times New Roman"/>
      <w:b/>
      <w:bCs/>
      <w:sz w:val="28"/>
      <w:szCs w:val="28"/>
    </w:rPr>
  </w:style>
  <w:style w:type="character" w:styleId="1209">
    <w:name w:val="标题 1 字符"/>
    <w:basedOn w:val="944"/>
    <w:next w:val="1209"/>
    <w:link w:val="934"/>
    <w:qFormat/>
    <w:rPr>
      <w:rFonts w:hint="eastAsia" w:ascii="宋体" w:hAnsi="宋体" w:eastAsia="宋体" w:cs="宋体"/>
      <w:b/>
      <w:bCs/>
      <w:sz w:val="44"/>
      <w:szCs w:val="44"/>
    </w:rPr>
  </w:style>
  <w:style w:type="character" w:styleId="1210">
    <w:name w:val="页眉 字符"/>
    <w:basedOn w:val="944"/>
    <w:next w:val="1210"/>
    <w:link w:val="934"/>
    <w:qFormat/>
    <w:rPr>
      <w:rFonts w:hint="eastAsia" w:ascii="宋体" w:hAnsi="宋体" w:eastAsia="宋体" w:cs="宋体"/>
      <w:sz w:val="18"/>
      <w:szCs w:val="18"/>
    </w:rPr>
  </w:style>
  <w:style w:type="character" w:styleId="1211">
    <w:name w:val="正文文本 3 字符"/>
    <w:basedOn w:val="944"/>
    <w:next w:val="1211"/>
    <w:link w:val="934"/>
    <w:qFormat/>
    <w:rPr>
      <w:rFonts w:hint="eastAsia" w:ascii="宋体" w:hAnsi="宋体" w:eastAsia="宋体" w:cs="宋体"/>
      <w:sz w:val="16"/>
      <w:szCs w:val="16"/>
    </w:rPr>
  </w:style>
  <w:style w:type="paragraph" w:styleId="1212">
    <w:name w:val="msolistparagraph"/>
    <w:basedOn w:val="934"/>
    <w:next w:val="1212"/>
    <w:link w:val="934"/>
    <w:qFormat/>
    <w:pPr>
      <w:ind w:firstLine="420"/>
    </w:pPr>
    <w:rPr>
      <w:rFonts w:hint="eastAsia" w:ascii="宋体" w:eastAsia="宋体"/>
      <w:sz w:val="21"/>
      <w:szCs w:val="24"/>
    </w:rPr>
  </w:style>
  <w:style w:type="character" w:styleId="1213">
    <w:name w:val="标题 2 字符"/>
    <w:basedOn w:val="944"/>
    <w:next w:val="1213"/>
    <w:link w:val="934"/>
    <w:qFormat/>
    <w:rPr>
      <w:rFonts w:hint="eastAsia" w:ascii="等线 Light" w:hAnsi="等线 Light" w:eastAsia="等线 Light" w:cs="Times New Roman"/>
      <w:b/>
      <w:bCs/>
      <w:sz w:val="32"/>
      <w:szCs w:val="32"/>
    </w:rPr>
  </w:style>
  <w:style w:type="character" w:styleId="1214">
    <w:name w:val="正文文本首行缩进 字符"/>
    <w:basedOn w:val="965"/>
    <w:next w:val="1214"/>
    <w:link w:val="934"/>
    <w:qFormat/>
    <w:rPr>
      <w:rFonts w:hint="eastAsia" w:ascii="宋体" w:hAnsi="宋体" w:eastAsia="宋体" w:cs="宋体"/>
      <w:sz w:val="21"/>
      <w:szCs w:val="24"/>
    </w:rPr>
  </w:style>
  <w:style w:type="character" w:styleId="1215">
    <w:name w:val="正文文本首行缩进 字符1"/>
    <w:basedOn w:val="944"/>
    <w:next w:val="1215"/>
    <w:link w:val="934"/>
    <w:qFormat/>
    <w:rPr>
      <w:rFonts w:hint="eastAsia" w:ascii="宋体" w:hAnsi="宋体" w:eastAsia="宋体" w:cs="宋体"/>
      <w:sz w:val="21"/>
      <w:szCs w:val="24"/>
    </w:rPr>
  </w:style>
  <w:style w:type="character" w:styleId="1216">
    <w:name w:val="列表段落 字符1"/>
    <w:basedOn w:val="944"/>
    <w:next w:val="1216"/>
    <w:link w:val="934"/>
    <w:qFormat/>
    <w:rPr>
      <w:rFonts w:hint="eastAsia" w:ascii="宋体" w:hAnsi="宋体" w:eastAsia="宋体" w:cs="宋体"/>
      <w:sz w:val="21"/>
      <w:szCs w:val="24"/>
    </w:rPr>
  </w:style>
  <w:style w:type="character" w:styleId="1217">
    <w:name w:val="列表段落 字符"/>
    <w:basedOn w:val="944"/>
    <w:next w:val="1217"/>
    <w:link w:val="934"/>
    <w:qFormat/>
    <w:rPr>
      <w:rFonts w:hint="eastAsia" w:ascii="宋体" w:hAnsi="宋体" w:eastAsia="宋体" w:cs="宋体"/>
      <w:sz w:val="24"/>
      <w:szCs w:val="24"/>
    </w:rPr>
  </w:style>
  <w:style w:type="paragraph" w:styleId="1218">
    <w:name w:val="列出段落2"/>
    <w:basedOn w:val="934"/>
    <w:next w:val="1218"/>
    <w:link w:val="934"/>
    <w:qFormat/>
    <w:pPr>
      <w:ind w:firstLine="420"/>
    </w:pPr>
    <w:rPr>
      <w:rFonts w:hint="eastAsia" w:ascii="宋体" w:hAnsi="宋体" w:eastAsia="宋体"/>
      <w:sz w:val="24"/>
      <w:szCs w:val="24"/>
    </w:rPr>
  </w:style>
  <w:style w:type="paragraph" w:styleId="1219">
    <w:name w:val="列出段落1"/>
    <w:basedOn w:val="934"/>
    <w:next w:val="1219"/>
    <w:link w:val="934"/>
    <w:uiPriority w:val="34"/>
    <w:qFormat/>
    <w:pPr>
      <w:ind w:firstLine="420"/>
      <w:spacing w:line="360" w:lineRule="auto"/>
    </w:pPr>
    <w:rPr>
      <w:rFonts w:ascii="Calibri" w:hAnsi="Calibri" w:eastAsia="仿宋_GB2312"/>
      <w:sz w:val="24"/>
      <w:szCs w:val="22"/>
    </w:rPr>
  </w:style>
  <w:style w:type="paragraph" w:styleId="1220">
    <w:name w:val="正文3"/>
    <w:next w:val="1220"/>
    <w:link w:val="934"/>
    <w:qFormat/>
    <w:pPr>
      <w:jc w:val="both"/>
      <w:spacing w:line="315" w:lineRule="atLeast"/>
      <w:widowControl w:val="off"/>
    </w:pPr>
    <w:rPr>
      <w:rFonts w:ascii="宋体" w:hAnsi="Calibri"/>
      <w:sz w:val="24"/>
      <w:lang w:val="en-US" w:eastAsia="zh-CN" w:bidi="ar-SA"/>
    </w:rPr>
  </w:style>
  <w:style w:type="paragraph" w:styleId="1221">
    <w:name w:val="首行缩进"/>
    <w:basedOn w:val="934"/>
    <w:next w:val="1221"/>
    <w:link w:val="934"/>
    <w:qFormat/>
    <w:pPr>
      <w:ind w:firstLine="480"/>
    </w:pPr>
    <w:rPr>
      <w:lang w:val="zh-CN"/>
    </w:rPr>
  </w:style>
  <w:style w:type="paragraph" w:styleId="1222">
    <w:name w:val="正文2"/>
    <w:next w:val="1222"/>
    <w:link w:val="934"/>
    <w:qFormat/>
    <w:rPr>
      <w:rFonts w:ascii="Calibri" w:hAnsi="Calibri"/>
      <w:sz w:val="24"/>
      <w:lang w:val="en-US" w:eastAsia="zh-CN" w:bidi="ar-SA"/>
    </w:rPr>
  </w:style>
  <w:style w:type="paragraph" w:styleId="1223">
    <w:name w:val="x_msonormal"/>
    <w:basedOn w:val="934"/>
    <w:next w:val="1223"/>
    <w:link w:val="934"/>
    <w:qFormat/>
    <w:pPr>
      <w:jc w:val="left"/>
      <w:spacing w:before="100" w:beforeAutospacing="1" w:after="100" w:afterAutospacing="1"/>
      <w:widowControl/>
    </w:pPr>
    <w:rPr>
      <w:rFonts w:ascii="宋体" w:hAnsi="宋体" w:cs="宋体"/>
      <w:sz w:val="24"/>
    </w:rPr>
  </w:style>
  <w:style w:type="paragraph" w:styleId="1224">
    <w:name w:val="纯文本4"/>
    <w:basedOn w:val="934"/>
    <w:next w:val="1224"/>
    <w:link w:val="934"/>
    <w:qFormat/>
    <w:rPr>
      <w:rFonts w:ascii="宋体" w:hAnsi="Courier New" w:eastAsia="楷体_GB2312" w:cs="Times New Roman"/>
      <w:sz w:val="26"/>
      <w:szCs w:val="20"/>
    </w:rPr>
  </w:style>
  <w:style w:type="paragraph" w:styleId="1225">
    <w:name w:val="目录 51"/>
    <w:next w:val="934"/>
    <w:link w:val="934"/>
    <w:qFormat/>
    <w:pPr>
      <w:ind w:left="1275"/>
      <w:jc w:val="both"/>
    </w:pPr>
    <w:rPr>
      <w:sz w:val="21"/>
      <w:lang w:val="en-US" w:eastAsia="zh-CN" w:bidi="ar-SA"/>
    </w:rPr>
  </w:style>
  <w:style w:type="character" w:styleId="1226" w:default="1">
    <w:name w:val="Default Paragraph Font"/>
    <w:uiPriority w:val="1"/>
    <w:semiHidden/>
    <w:unhideWhenUsed/>
  </w:style>
  <w:style w:type="numbering" w:styleId="1227" w:default="1">
    <w:name w:val="No List"/>
    <w:uiPriority w:val="99"/>
    <w:semiHidden/>
    <w:unhideWhenUsed/>
  </w:style>
  <w:style w:type="table" w:styleId="12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Sip</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苏州华星周燕萍</cp:lastModifiedBy>
  <cp:revision>12</cp:revision>
  <dcterms:created xsi:type="dcterms:W3CDTF">2026-05-13T07:33:00Z</dcterms:created>
  <dcterms:modified xsi:type="dcterms:W3CDTF">2026-05-28T03:24:52Z</dcterms:modified>
</cp:coreProperties>
</file>