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4366F9">
      <w:pPr>
        <w:pStyle w:val="271"/>
        <w:ind w:firstLine="0"/>
        <w:rPr>
          <w:rFonts w:eastAsia="黑体"/>
          <w:b/>
          <w:bCs/>
          <w:color w:val="auto"/>
          <w:sz w:val="84"/>
          <w:highlight w:val="none"/>
          <w:shd w:val="clear" w:color="FFFFFF" w:fill="D9D9D9"/>
        </w:rPr>
      </w:pPr>
      <w:bookmarkStart w:id="208" w:name="_GoBack"/>
      <w:bookmarkEnd w:id="208"/>
    </w:p>
    <w:p w14:paraId="08039BCB">
      <w:pPr>
        <w:pStyle w:val="271"/>
        <w:ind w:firstLine="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公开招标文件</w:t>
      </w:r>
    </w:p>
    <w:p w14:paraId="1D7DA684">
      <w:pPr>
        <w:pStyle w:val="271"/>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t>（暗标）</w:t>
      </w:r>
    </w:p>
    <w:p w14:paraId="308C1B9E">
      <w:pPr>
        <w:pStyle w:val="271"/>
        <w:ind w:firstLine="0"/>
        <w:jc w:val="center"/>
        <w:rPr>
          <w:rFonts w:ascii="黑体" w:hAnsi="华文中宋" w:eastAsia="黑体"/>
          <w:bCs/>
          <w:color w:val="auto"/>
          <w:spacing w:val="20"/>
          <w:sz w:val="52"/>
          <w:szCs w:val="52"/>
          <w:highlight w:val="none"/>
        </w:rPr>
      </w:pPr>
    </w:p>
    <w:p w14:paraId="2E8F2124">
      <w:pPr>
        <w:pStyle w:val="271"/>
        <w:ind w:firstLine="0"/>
        <w:jc w:val="both"/>
        <w:rPr>
          <w:rFonts w:ascii="黑体" w:hAnsi="华文中宋" w:eastAsia="黑体"/>
          <w:bCs/>
          <w:color w:val="auto"/>
          <w:spacing w:val="20"/>
          <w:sz w:val="52"/>
          <w:szCs w:val="52"/>
          <w:highlight w:val="none"/>
          <w:shd w:val="clear" w:color="FFFFFF" w:fill="D9D9D9"/>
        </w:rPr>
      </w:pPr>
    </w:p>
    <w:p w14:paraId="0D38F3C7">
      <w:pPr>
        <w:pStyle w:val="271"/>
        <w:ind w:firstLine="0"/>
        <w:jc w:val="center"/>
        <w:rPr>
          <w:rFonts w:ascii="黑体" w:hAnsi="华文中宋" w:eastAsia="黑体"/>
          <w:bCs/>
          <w:color w:val="auto"/>
          <w:spacing w:val="20"/>
          <w:sz w:val="52"/>
          <w:szCs w:val="52"/>
          <w:highlight w:val="none"/>
          <w:shd w:val="clear" w:color="FFFFFF" w:fill="D9D9D9"/>
        </w:rPr>
      </w:pPr>
    </w:p>
    <w:p w14:paraId="1C9B0EF0">
      <w:pPr>
        <w:ind w:firstLine="640" w:firstLineChars="20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项目编号：JSZC-320214-XSGC-G2026-0005</w:t>
      </w:r>
    </w:p>
    <w:p w14:paraId="1A4B9177">
      <w:pPr>
        <w:ind w:firstLine="640" w:firstLineChars="200"/>
        <w:jc w:val="center"/>
        <w:rPr>
          <w:rFonts w:hint="eastAsia" w:ascii="黑体" w:hAnsi="华文中宋" w:eastAsia="黑体"/>
          <w:bCs/>
          <w:color w:val="auto"/>
          <w:sz w:val="32"/>
          <w:szCs w:val="32"/>
          <w:highlight w:val="none"/>
        </w:rPr>
      </w:pPr>
    </w:p>
    <w:p w14:paraId="7C535EFF">
      <w:pPr>
        <w:ind w:firstLine="640" w:firstLineChars="20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项目名称：新吴区2026</w:t>
      </w:r>
      <w:r>
        <w:rPr>
          <w:rFonts w:hint="eastAsia" w:ascii="黑体" w:hAnsi="华文中宋" w:eastAsia="黑体"/>
          <w:bCs/>
          <w:color w:val="auto"/>
          <w:sz w:val="32"/>
          <w:szCs w:val="32"/>
          <w:highlight w:val="none"/>
          <w:lang w:eastAsia="zh-CN"/>
        </w:rPr>
        <w:t>—</w:t>
      </w:r>
      <w:r>
        <w:rPr>
          <w:rFonts w:hint="eastAsia" w:ascii="黑体" w:hAnsi="华文中宋" w:eastAsia="黑体"/>
          <w:bCs/>
          <w:color w:val="auto"/>
          <w:sz w:val="32"/>
          <w:szCs w:val="32"/>
          <w:highlight w:val="none"/>
        </w:rPr>
        <w:t>2028年城市精细化管理“第三方”信息采集服务项目</w:t>
      </w:r>
    </w:p>
    <w:p w14:paraId="0DC98B2C">
      <w:pPr>
        <w:ind w:firstLine="640" w:firstLineChars="20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采 购 人：无锡国家高新技术产业开发区（无锡市新吴区）城市管理局</w:t>
      </w:r>
    </w:p>
    <w:p w14:paraId="104BB7B5">
      <w:pPr>
        <w:jc w:val="center"/>
        <w:rPr>
          <w:rFonts w:ascii="黑体" w:hAnsi="华文中宋" w:eastAsia="黑体"/>
          <w:bCs/>
          <w:color w:val="auto"/>
          <w:sz w:val="30"/>
          <w:szCs w:val="30"/>
          <w:highlight w:val="none"/>
        </w:rPr>
      </w:pPr>
    </w:p>
    <w:p w14:paraId="4CEE5316">
      <w:pPr>
        <w:pStyle w:val="271"/>
        <w:spacing w:before="0" w:after="0"/>
        <w:ind w:firstLine="0"/>
        <w:jc w:val="center"/>
        <w:rPr>
          <w:rFonts w:ascii="宋体" w:hAnsi="宋体"/>
          <w:color w:val="auto"/>
          <w:highlight w:val="none"/>
          <w:shd w:val="clear" w:color="FFFFFF" w:fill="D9D9D9"/>
        </w:rPr>
      </w:pPr>
    </w:p>
    <w:p w14:paraId="4225CE23">
      <w:pPr>
        <w:pStyle w:val="271"/>
        <w:spacing w:before="0" w:after="0"/>
        <w:ind w:firstLine="0"/>
        <w:jc w:val="center"/>
        <w:rPr>
          <w:rFonts w:ascii="宋体" w:hAnsi="宋体"/>
          <w:color w:val="auto"/>
          <w:highlight w:val="none"/>
          <w:shd w:val="clear" w:color="FFFFFF" w:fill="D9D9D9"/>
        </w:rPr>
      </w:pPr>
    </w:p>
    <w:p w14:paraId="6408A483">
      <w:pPr>
        <w:pStyle w:val="271"/>
        <w:spacing w:before="0" w:after="0"/>
        <w:ind w:firstLine="0"/>
        <w:jc w:val="center"/>
        <w:rPr>
          <w:rFonts w:ascii="宋体" w:hAnsi="宋体"/>
          <w:color w:val="auto"/>
          <w:highlight w:val="none"/>
          <w:shd w:val="clear" w:color="FFFFFF" w:fill="D9D9D9"/>
        </w:rPr>
      </w:pPr>
    </w:p>
    <w:p w14:paraId="61A4F8EC">
      <w:pPr>
        <w:pStyle w:val="271"/>
        <w:spacing w:before="0" w:after="0"/>
        <w:ind w:firstLine="0"/>
        <w:jc w:val="center"/>
        <w:rPr>
          <w:rFonts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采购代理机构：江苏翔顺工程管理咨询有限公司</w:t>
      </w:r>
    </w:p>
    <w:p w14:paraId="4719B3A4">
      <w:pPr>
        <w:pStyle w:val="27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二〇二六</w:t>
      </w:r>
      <w:r>
        <w:rPr>
          <w:rFonts w:hint="eastAsia" w:ascii="黑体" w:hAnsi="华文中宋" w:eastAsia="黑体"/>
          <w:bCs/>
          <w:color w:val="auto"/>
          <w:sz w:val="32"/>
          <w:szCs w:val="32"/>
          <w:highlight w:val="none"/>
        </w:rPr>
        <w:t>年</w:t>
      </w:r>
      <w:r>
        <w:rPr>
          <w:rFonts w:hint="eastAsia" w:ascii="黑体" w:hAnsi="华文中宋" w:eastAsia="黑体"/>
          <w:bCs/>
          <w:color w:val="auto"/>
          <w:sz w:val="32"/>
          <w:szCs w:val="32"/>
          <w:highlight w:val="none"/>
          <w:lang w:val="en-US" w:eastAsia="zh-CN"/>
        </w:rPr>
        <w:t>四</w:t>
      </w:r>
      <w:r>
        <w:rPr>
          <w:rFonts w:hint="eastAsia" w:ascii="黑体" w:hAnsi="华文中宋" w:eastAsia="黑体"/>
          <w:bCs/>
          <w:color w:val="auto"/>
          <w:sz w:val="32"/>
          <w:szCs w:val="32"/>
          <w:highlight w:val="none"/>
        </w:rPr>
        <w:t>月</w:t>
      </w:r>
    </w:p>
    <w:p w14:paraId="4CC70013">
      <w:pPr>
        <w:pStyle w:val="271"/>
        <w:ind w:firstLine="0"/>
        <w:jc w:val="center"/>
        <w:rPr>
          <w:rFonts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bookmarkStart w:id="1" w:name="_Toc16938516"/>
      <w:bookmarkStart w:id="2" w:name="_Toc513029200"/>
      <w:bookmarkStart w:id="3" w:name="_Toc20823272"/>
      <w:bookmarkStart w:id="4" w:name="_Toc523127445"/>
      <w:bookmarkStart w:id="5" w:name="_Toc479757206"/>
      <w:r>
        <w:rPr>
          <w:rFonts w:hint="eastAsia" w:ascii="黑体" w:hAnsi="黑体" w:eastAsia="黑体"/>
          <w:color w:val="auto"/>
          <w:sz w:val="36"/>
          <w:szCs w:val="36"/>
          <w:highlight w:val="none"/>
        </w:rPr>
        <w:t>总  目  录</w:t>
      </w:r>
    </w:p>
    <w:p w14:paraId="15F4CF46">
      <w:pPr>
        <w:spacing w:line="480" w:lineRule="auto"/>
        <w:jc w:val="center"/>
        <w:outlineLvl w:val="0"/>
        <w:rPr>
          <w:rFonts w:ascii="黑体" w:hAnsi="Arial" w:eastAsia="黑体"/>
          <w:color w:val="auto"/>
          <w:sz w:val="44"/>
          <w:highlight w:val="none"/>
        </w:rPr>
      </w:pPr>
    </w:p>
    <w:p w14:paraId="185905E9">
      <w:pPr>
        <w:numPr>
          <w:ilvl w:val="0"/>
          <w:numId w:val="5"/>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color w:val="auto"/>
          <w:sz w:val="30"/>
          <w:szCs w:val="30"/>
          <w:highlight w:val="none"/>
          <w:lang w:val="en-US" w:eastAsia="zh-CN"/>
        </w:rPr>
        <w:t>3</w:t>
      </w:r>
    </w:p>
    <w:p w14:paraId="41A099B5">
      <w:pPr>
        <w:numPr>
          <w:ilvl w:val="0"/>
          <w:numId w:val="5"/>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r>
        <w:rPr>
          <w:rFonts w:hint="eastAsia" w:ascii="宋体" w:hAnsi="宋体"/>
          <w:color w:val="auto"/>
          <w:sz w:val="30"/>
          <w:szCs w:val="30"/>
          <w:highlight w:val="none"/>
          <w:lang w:val="en-US" w:eastAsia="zh-CN"/>
        </w:rPr>
        <w:t>7</w:t>
      </w:r>
    </w:p>
    <w:p w14:paraId="1C4D75DA">
      <w:pPr>
        <w:numPr>
          <w:ilvl w:val="0"/>
          <w:numId w:val="5"/>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r>
        <w:rPr>
          <w:rFonts w:hint="eastAsia" w:ascii="宋体" w:hAnsi="宋体"/>
          <w:color w:val="auto"/>
          <w:sz w:val="30"/>
          <w:szCs w:val="30"/>
          <w:highlight w:val="none"/>
          <w:lang w:val="en-US" w:eastAsia="zh-CN"/>
        </w:rPr>
        <w:t>21</w:t>
      </w:r>
    </w:p>
    <w:p w14:paraId="46E819D0">
      <w:pPr>
        <w:numPr>
          <w:ilvl w:val="0"/>
          <w:numId w:val="5"/>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r>
        <w:rPr>
          <w:rFonts w:hint="eastAsia" w:ascii="宋体" w:hAnsi="宋体"/>
          <w:color w:val="auto"/>
          <w:sz w:val="30"/>
          <w:szCs w:val="30"/>
          <w:highlight w:val="none"/>
          <w:lang w:val="en-US" w:eastAsia="zh-CN"/>
        </w:rPr>
        <w:t>26</w:t>
      </w:r>
    </w:p>
    <w:p w14:paraId="68E101A9">
      <w:pPr>
        <w:numPr>
          <w:ilvl w:val="0"/>
          <w:numId w:val="5"/>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r>
        <w:rPr>
          <w:rFonts w:hint="eastAsia" w:ascii="宋体" w:hAnsi="宋体"/>
          <w:color w:val="auto"/>
          <w:sz w:val="30"/>
          <w:szCs w:val="30"/>
          <w:highlight w:val="none"/>
          <w:lang w:val="en-US" w:eastAsia="zh-CN"/>
        </w:rPr>
        <w:t>39</w:t>
      </w:r>
    </w:p>
    <w:p w14:paraId="6B02CFD7">
      <w:pPr>
        <w:numPr>
          <w:ilvl w:val="0"/>
          <w:numId w:val="5"/>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r>
        <w:rPr>
          <w:rFonts w:hint="eastAsia" w:ascii="宋体" w:hAnsi="宋体"/>
          <w:color w:val="auto"/>
          <w:sz w:val="30"/>
          <w:szCs w:val="30"/>
          <w:highlight w:val="none"/>
          <w:lang w:val="en-US" w:eastAsia="zh-CN"/>
        </w:rPr>
        <w:t>48</w:t>
      </w:r>
    </w:p>
    <w:p w14:paraId="6C6126F3">
      <w:pPr>
        <w:tabs>
          <w:tab w:val="left" w:pos="1440"/>
        </w:tabs>
        <w:spacing w:line="500" w:lineRule="exact"/>
        <w:jc w:val="center"/>
        <w:outlineLvl w:val="0"/>
        <w:rPr>
          <w:rFonts w:ascii="黑体" w:hAnsi="黑体" w:eastAsia="黑体"/>
          <w:color w:val="auto"/>
          <w:sz w:val="36"/>
          <w:szCs w:val="36"/>
          <w:highlight w:val="none"/>
        </w:rPr>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第一章  投标邀请</w:t>
      </w:r>
    </w:p>
    <w:bookmarkEnd w:id="0"/>
    <w:p w14:paraId="64B4A2E3">
      <w:pP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受无锡国家高新技术产业开发区（无锡市新吴区）城市管理局的委托，江苏翔顺工程管理咨询有限公司就新吴区2026</w:t>
      </w:r>
      <w:r>
        <w:rPr>
          <w:rFonts w:hint="eastAsia" w:ascii="宋体" w:hAnsi="宋体"/>
          <w:color w:val="auto"/>
          <w:sz w:val="24"/>
          <w:szCs w:val="24"/>
          <w:highlight w:val="none"/>
          <w:lang w:eastAsia="zh-CN"/>
        </w:rPr>
        <w:t>—</w:t>
      </w:r>
      <w:r>
        <w:rPr>
          <w:rFonts w:hint="eastAsia" w:ascii="宋体" w:hAnsi="宋体"/>
          <w:color w:val="auto"/>
          <w:sz w:val="24"/>
          <w:szCs w:val="24"/>
          <w:highlight w:val="none"/>
        </w:rPr>
        <w:t>2028年城市精细化管理“第三方”信息采集服务项目（</w:t>
      </w:r>
      <w:r>
        <w:rPr>
          <w:rFonts w:hint="eastAsia" w:ascii="宋体" w:hAnsi="宋体"/>
          <w:color w:val="auto"/>
          <w:sz w:val="24"/>
          <w:szCs w:val="24"/>
          <w:highlight w:val="none"/>
          <w:lang w:val="en-US" w:eastAsia="zh-CN"/>
        </w:rPr>
        <w:t>项目编号：JSZC-320214-XSGC-G2026-0005</w:t>
      </w:r>
      <w:r>
        <w:rPr>
          <w:rFonts w:hint="eastAsia" w:ascii="宋体" w:hAnsi="宋体"/>
          <w:color w:val="auto"/>
          <w:sz w:val="24"/>
          <w:szCs w:val="24"/>
          <w:highlight w:val="none"/>
        </w:rPr>
        <w:t>）进行公开招标采购，欢迎符合条件的供应商投标。</w:t>
      </w:r>
    </w:p>
    <w:p w14:paraId="57231905">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4C6FBDC1">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新吴区2026</w:t>
      </w:r>
      <w:r>
        <w:rPr>
          <w:rFonts w:hint="eastAsia" w:ascii="宋体" w:hAnsi="宋体"/>
          <w:color w:val="auto"/>
          <w:sz w:val="24"/>
          <w:szCs w:val="24"/>
          <w:highlight w:val="none"/>
          <w:lang w:eastAsia="zh-CN"/>
        </w:rPr>
        <w:t>—</w:t>
      </w:r>
      <w:r>
        <w:rPr>
          <w:rFonts w:hint="eastAsia" w:ascii="宋体" w:hAnsi="宋体"/>
          <w:color w:val="auto"/>
          <w:sz w:val="24"/>
          <w:szCs w:val="24"/>
          <w:highlight w:val="none"/>
        </w:rPr>
        <w:t>2028年城市精细化管理“第三方”信息采集服务项目的潜在投标人应在“江苏政府采购网”自行浏览招标文件，如有投标意向须在本招标文件有效获取期内通过登录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下载的方式依法获取招标文件，并于2026年</w:t>
      </w:r>
      <w:r>
        <w:rPr>
          <w:rFonts w:hint="eastAsia" w:ascii="宋体" w:hAnsi="宋体"/>
          <w:color w:val="auto"/>
          <w:sz w:val="24"/>
          <w:szCs w:val="24"/>
          <w:highlight w:val="none"/>
          <w:lang w:val="en-US" w:eastAsia="zh-CN"/>
        </w:rPr>
        <w:t>05</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18</w:t>
      </w:r>
      <w:r>
        <w:rPr>
          <w:rFonts w:hint="eastAsia" w:ascii="宋体" w:hAnsi="宋体"/>
          <w:color w:val="auto"/>
          <w:sz w:val="24"/>
          <w:szCs w:val="24"/>
          <w:highlight w:val="none"/>
        </w:rPr>
        <w:t>日09点30分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2C385EB7">
      <w:pPr>
        <w:pStyle w:val="188"/>
        <w:keepNext w:val="0"/>
        <w:keepLines w:val="0"/>
        <w:spacing w:before="0" w:after="0" w:line="500" w:lineRule="exact"/>
        <w:ind w:firstLine="452"/>
        <w:rPr>
          <w:color w:val="auto"/>
          <w:sz w:val="30"/>
          <w:szCs w:val="30"/>
          <w:highlight w:val="none"/>
        </w:rPr>
      </w:pPr>
      <w:bookmarkStart w:id="6" w:name="_Toc28359079"/>
      <w:bookmarkStart w:id="7" w:name="_Toc35393621"/>
      <w:bookmarkStart w:id="8" w:name="_Toc35393790"/>
      <w:bookmarkStart w:id="9" w:name="_Toc28359002"/>
      <w:bookmarkStart w:id="10" w:name="_Toc38985263"/>
      <w:bookmarkStart w:id="11" w:name="_Hlk24379207"/>
      <w:r>
        <w:rPr>
          <w:rFonts w:hint="eastAsia"/>
          <w:color w:val="auto"/>
          <w:sz w:val="30"/>
          <w:szCs w:val="30"/>
          <w:highlight w:val="none"/>
        </w:rPr>
        <w:t>一、项目基本情况</w:t>
      </w:r>
      <w:bookmarkEnd w:id="6"/>
      <w:bookmarkEnd w:id="7"/>
      <w:bookmarkEnd w:id="8"/>
      <w:bookmarkEnd w:id="9"/>
      <w:bookmarkEnd w:id="10"/>
    </w:p>
    <w:p w14:paraId="3069469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1.项目编号：JSZC-320214-XSGC-G2026-0005</w:t>
      </w:r>
    </w:p>
    <w:p w14:paraId="390CEAA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2.项目名称：新吴区2026</w:t>
      </w:r>
      <w:r>
        <w:rPr>
          <w:rFonts w:hint="eastAsia" w:ascii="宋体" w:hAnsi="宋体"/>
          <w:color w:val="auto"/>
          <w:sz w:val="24"/>
          <w:szCs w:val="24"/>
          <w:highlight w:val="none"/>
          <w:lang w:eastAsia="zh-CN"/>
        </w:rPr>
        <w:t>—</w:t>
      </w:r>
      <w:r>
        <w:rPr>
          <w:rFonts w:hint="eastAsia" w:ascii="宋体" w:hAnsi="宋体"/>
          <w:color w:val="auto"/>
          <w:sz w:val="24"/>
          <w:szCs w:val="24"/>
          <w:highlight w:val="none"/>
        </w:rPr>
        <w:t>2028年城市精细化管理“第三方”信息采集服务项目</w:t>
      </w:r>
    </w:p>
    <w:bookmarkEnd w:id="11"/>
    <w:p w14:paraId="58B9A06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3.项目预算金额：440万元/2年</w:t>
      </w:r>
    </w:p>
    <w:p w14:paraId="2F4F9C5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4.项目最高限价：440万元/2年</w:t>
      </w:r>
    </w:p>
    <w:p w14:paraId="1E04B74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5.采购方式：公开招标</w:t>
      </w:r>
    </w:p>
    <w:p w14:paraId="00EB7E9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6.采购需求：</w:t>
      </w:r>
      <w:r>
        <w:rPr>
          <w:rFonts w:hint="eastAsia" w:ascii="宋体" w:hAnsi="宋体" w:cs="宋体"/>
          <w:color w:val="auto"/>
          <w:sz w:val="24"/>
          <w:szCs w:val="24"/>
          <w:highlight w:val="none"/>
        </w:rPr>
        <w:t>详见招标文件第四章《采购需求》</w:t>
      </w:r>
    </w:p>
    <w:p w14:paraId="3F672225">
      <w:pPr>
        <w:spacing w:line="500" w:lineRule="exact"/>
        <w:ind w:firstLine="480"/>
        <w:rPr>
          <w:rFonts w:ascii="宋体" w:hAnsi="宋体" w:cs="宋体"/>
          <w:color w:val="auto"/>
          <w:sz w:val="24"/>
          <w:szCs w:val="24"/>
          <w:highlight w:val="none"/>
        </w:rPr>
      </w:pPr>
      <w:r>
        <w:rPr>
          <w:rFonts w:hint="eastAsia" w:ascii="宋体" w:hAnsi="宋体"/>
          <w:color w:val="auto"/>
          <w:sz w:val="24"/>
          <w:szCs w:val="24"/>
          <w:highlight w:val="none"/>
        </w:rPr>
        <w:t>7.合同履行期限：</w:t>
      </w:r>
      <w:r>
        <w:rPr>
          <w:rFonts w:hint="eastAsia" w:ascii="宋体" w:hAnsi="宋体" w:cs="宋体"/>
          <w:color w:val="auto"/>
          <w:sz w:val="24"/>
          <w:szCs w:val="24"/>
          <w:highlight w:val="none"/>
        </w:rPr>
        <w:t>详见招标文件第四章《采购需求》</w:t>
      </w:r>
    </w:p>
    <w:p w14:paraId="6CBD0885">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8.本项目不接受联合体投标。</w:t>
      </w:r>
    </w:p>
    <w:p w14:paraId="21B7C325">
      <w:pPr>
        <w:pStyle w:val="188"/>
        <w:keepNext w:val="0"/>
        <w:keepLines w:val="0"/>
        <w:spacing w:before="0" w:after="0" w:line="500" w:lineRule="exact"/>
        <w:ind w:firstLine="452"/>
        <w:rPr>
          <w:color w:val="auto"/>
          <w:sz w:val="30"/>
          <w:szCs w:val="30"/>
          <w:highlight w:val="none"/>
        </w:rPr>
      </w:pPr>
      <w:bookmarkStart w:id="12" w:name="_Toc28359080"/>
      <w:bookmarkStart w:id="13" w:name="_Toc38985264"/>
      <w:bookmarkStart w:id="14" w:name="_Toc28359003"/>
      <w:bookmarkStart w:id="15" w:name="_Toc35393791"/>
      <w:bookmarkStart w:id="16" w:name="_Toc35393622"/>
      <w:r>
        <w:rPr>
          <w:rFonts w:hint="eastAsia"/>
          <w:color w:val="auto"/>
          <w:sz w:val="30"/>
          <w:szCs w:val="30"/>
          <w:highlight w:val="none"/>
        </w:rPr>
        <w:t>二、申请人的资格要求</w:t>
      </w:r>
      <w:bookmarkEnd w:id="12"/>
      <w:bookmarkEnd w:id="13"/>
      <w:bookmarkEnd w:id="14"/>
      <w:bookmarkEnd w:id="15"/>
      <w:bookmarkEnd w:id="16"/>
    </w:p>
    <w:p w14:paraId="2B9F2D52">
      <w:pPr>
        <w:spacing w:line="500" w:lineRule="exact"/>
        <w:ind w:firstLine="480"/>
        <w:rPr>
          <w:rFonts w:ascii="宋体" w:hAnsi="宋体"/>
          <w:color w:val="auto"/>
          <w:sz w:val="24"/>
          <w:szCs w:val="24"/>
          <w:highlight w:val="none"/>
        </w:rPr>
      </w:pPr>
      <w:bookmarkStart w:id="17" w:name="_Toc28359004"/>
      <w:bookmarkStart w:id="18" w:name="_Toc28359081"/>
      <w:bookmarkStart w:id="19" w:name="_Toc35393792"/>
      <w:bookmarkStart w:id="20" w:name="_Toc35393623"/>
      <w:bookmarkStart w:id="21" w:name="_Toc38985265"/>
      <w:r>
        <w:rPr>
          <w:rFonts w:hint="eastAsia" w:ascii="宋体" w:hAnsi="宋体"/>
          <w:color w:val="auto"/>
          <w:sz w:val="24"/>
          <w:szCs w:val="24"/>
          <w:highlight w:val="none"/>
        </w:rPr>
        <w:t>1.满足《中华人民共和国政府采购法》第二十二条规定；</w:t>
      </w:r>
    </w:p>
    <w:p w14:paraId="79A28DF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902517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2.1中小企业政策：本项目专门面向中小企业；</w:t>
      </w:r>
    </w:p>
    <w:p w14:paraId="2DBBA05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color w:val="auto"/>
          <w:sz w:val="24"/>
          <w:szCs w:val="24"/>
          <w:highlight w:val="none"/>
          <w:lang w:eastAsia="zh-CN"/>
        </w:rPr>
        <w:t>）</w:t>
      </w:r>
      <w:r>
        <w:rPr>
          <w:rFonts w:hint="eastAsia" w:ascii="宋体" w:hAnsi="宋体"/>
          <w:color w:val="auto"/>
          <w:sz w:val="24"/>
          <w:szCs w:val="24"/>
          <w:highlight w:val="none"/>
        </w:rPr>
        <w:t>查询，无被列入失信被执行人、重大税收违法</w:t>
      </w:r>
      <w:r>
        <w:rPr>
          <w:rFonts w:hint="eastAsia" w:ascii="宋体" w:hAnsi="宋体"/>
          <w:color w:val="auto"/>
          <w:sz w:val="24"/>
          <w:szCs w:val="24"/>
          <w:highlight w:val="none"/>
          <w:lang w:val="en-US" w:eastAsia="zh-CN"/>
        </w:rPr>
        <w:t>失信主体</w:t>
      </w:r>
      <w:r>
        <w:rPr>
          <w:rFonts w:hint="eastAsia" w:ascii="宋体" w:hAnsi="宋体"/>
          <w:color w:val="auto"/>
          <w:sz w:val="24"/>
          <w:szCs w:val="24"/>
          <w:highlight w:val="none"/>
        </w:rPr>
        <w:t>名单、政府采购严重失信行为记录名单及其他不符合《中华人民共和国政府采购法》第二十二条规定条件的信用记录；</w:t>
      </w:r>
    </w:p>
    <w:p w14:paraId="6CC6D1C3">
      <w:pPr>
        <w:spacing w:line="500" w:lineRule="exact"/>
        <w:ind w:firstLine="480"/>
        <w:rPr>
          <w:rFonts w:ascii="宋体" w:hAnsi="宋体" w:cs="宋体"/>
          <w:color w:val="auto"/>
          <w:sz w:val="24"/>
          <w:szCs w:val="24"/>
          <w:highlight w:val="none"/>
        </w:rPr>
      </w:pPr>
      <w:r>
        <w:rPr>
          <w:rFonts w:hint="eastAsia" w:ascii="宋体" w:hAnsi="宋体"/>
          <w:color w:val="auto"/>
          <w:sz w:val="24"/>
          <w:szCs w:val="24"/>
          <w:highlight w:val="none"/>
        </w:rPr>
        <w:t>3.本项目的特定资格要求：无。</w:t>
      </w:r>
    </w:p>
    <w:p w14:paraId="412ACCF5">
      <w:pPr>
        <w:pStyle w:val="188"/>
        <w:keepNext w:val="0"/>
        <w:keepLines w:val="0"/>
        <w:spacing w:before="0" w:after="0" w:line="500" w:lineRule="exact"/>
        <w:ind w:firstLine="452"/>
        <w:rPr>
          <w:color w:val="auto"/>
          <w:sz w:val="30"/>
          <w:szCs w:val="30"/>
          <w:highlight w:val="none"/>
        </w:rPr>
      </w:pPr>
      <w:r>
        <w:rPr>
          <w:rFonts w:hint="eastAsia"/>
          <w:color w:val="auto"/>
          <w:sz w:val="30"/>
          <w:szCs w:val="30"/>
          <w:highlight w:val="none"/>
        </w:rPr>
        <w:t>三、获取招标文件</w:t>
      </w:r>
      <w:bookmarkEnd w:id="17"/>
      <w:bookmarkEnd w:id="18"/>
      <w:bookmarkEnd w:id="19"/>
      <w:bookmarkEnd w:id="20"/>
      <w:bookmarkEnd w:id="21"/>
    </w:p>
    <w:p w14:paraId="1F228471">
      <w:pPr>
        <w:spacing w:line="500" w:lineRule="exact"/>
        <w:ind w:firstLine="540"/>
        <w:rPr>
          <w:rFonts w:ascii="宋体" w:hAnsi="宋体"/>
          <w:color w:val="auto"/>
          <w:sz w:val="24"/>
          <w:szCs w:val="24"/>
          <w:highlight w:val="none"/>
        </w:rPr>
      </w:pPr>
      <w:bookmarkStart w:id="22" w:name="_Toc28359005"/>
      <w:bookmarkStart w:id="23" w:name="_Toc28359082"/>
      <w:bookmarkStart w:id="24" w:name="_Toc35393793"/>
      <w:bookmarkStart w:id="25" w:name="_Toc35393624"/>
      <w:bookmarkStart w:id="26" w:name="_Toc38985266"/>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本招标文件有效获取期限以本项目招标公告中规定的获取招标文件时间为准。</w:t>
      </w:r>
    </w:p>
    <w:p w14:paraId="261E4903">
      <w:pPr>
        <w:spacing w:line="500" w:lineRule="exact"/>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p>
    <w:p w14:paraId="1E8CEFF1">
      <w:pPr>
        <w:spacing w:line="500" w:lineRule="exact"/>
        <w:ind w:firstLine="540"/>
        <w:rPr>
          <w:rStyle w:val="260"/>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“江苏省政府采购（苏采云）平台”（http://jszfcg.jscz.gov.cn/jszc/login）获取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4D0936E4">
      <w:pPr>
        <w:spacing w:line="500" w:lineRule="exact"/>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728C2230">
      <w:pPr>
        <w:pStyle w:val="188"/>
        <w:keepNext w:val="0"/>
        <w:keepLines w:val="0"/>
        <w:spacing w:before="0" w:after="0" w:line="500" w:lineRule="exact"/>
        <w:ind w:firstLine="452"/>
        <w:rPr>
          <w:color w:val="auto"/>
          <w:sz w:val="30"/>
          <w:szCs w:val="30"/>
          <w:highlight w:val="none"/>
        </w:rPr>
      </w:pPr>
      <w:r>
        <w:rPr>
          <w:rFonts w:hint="eastAsia"/>
          <w:color w:val="auto"/>
          <w:sz w:val="30"/>
          <w:szCs w:val="30"/>
          <w:highlight w:val="none"/>
        </w:rPr>
        <w:t>四、提交投标文件</w:t>
      </w:r>
      <w:bookmarkEnd w:id="22"/>
      <w:bookmarkEnd w:id="23"/>
      <w:r>
        <w:rPr>
          <w:rFonts w:hint="eastAsia"/>
          <w:color w:val="auto"/>
          <w:sz w:val="30"/>
          <w:szCs w:val="30"/>
          <w:highlight w:val="none"/>
        </w:rPr>
        <w:t>截止时间、开标时间和地点</w:t>
      </w:r>
      <w:bookmarkEnd w:id="24"/>
      <w:bookmarkEnd w:id="25"/>
      <w:bookmarkEnd w:id="26"/>
    </w:p>
    <w:p w14:paraId="572AD1FE">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1.时间：2026年</w:t>
      </w:r>
      <w:r>
        <w:rPr>
          <w:rFonts w:hint="eastAsia" w:ascii="宋体" w:hAnsi="宋体"/>
          <w:bCs/>
          <w:color w:val="auto"/>
          <w:sz w:val="24"/>
          <w:szCs w:val="24"/>
          <w:highlight w:val="none"/>
          <w:lang w:val="en-US" w:eastAsia="zh-CN"/>
        </w:rPr>
        <w:t>05</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18</w:t>
      </w:r>
      <w:r>
        <w:rPr>
          <w:rFonts w:hint="eastAsia" w:ascii="宋体" w:hAnsi="宋体"/>
          <w:bCs/>
          <w:color w:val="auto"/>
          <w:sz w:val="24"/>
          <w:szCs w:val="24"/>
          <w:highlight w:val="none"/>
        </w:rPr>
        <w:t>日09点30分（北京时间）</w:t>
      </w:r>
    </w:p>
    <w:p w14:paraId="0A89E453">
      <w:pPr>
        <w:spacing w:line="500" w:lineRule="exact"/>
        <w:ind w:firstLine="480"/>
        <w:rPr>
          <w:rFonts w:ascii="宋体" w:hAnsi="宋体"/>
          <w:bCs/>
          <w:color w:val="auto"/>
          <w:sz w:val="24"/>
          <w:szCs w:val="24"/>
          <w:highlight w:val="none"/>
          <w:u w:val="singl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4FE62B50">
      <w:pPr>
        <w:pStyle w:val="188"/>
        <w:keepNext w:val="0"/>
        <w:keepLines w:val="0"/>
        <w:spacing w:before="0" w:after="0" w:line="500" w:lineRule="exact"/>
        <w:ind w:firstLine="452"/>
        <w:rPr>
          <w:color w:val="auto"/>
          <w:sz w:val="30"/>
          <w:szCs w:val="30"/>
          <w:highlight w:val="none"/>
        </w:rPr>
      </w:pPr>
      <w:bookmarkStart w:id="27" w:name="_Toc28359007"/>
      <w:bookmarkStart w:id="28" w:name="_Toc35393794"/>
      <w:bookmarkStart w:id="29" w:name="_Toc28359084"/>
      <w:bookmarkStart w:id="30" w:name="_Toc35393625"/>
      <w:bookmarkStart w:id="31" w:name="_Toc38985267"/>
      <w:r>
        <w:rPr>
          <w:rFonts w:hint="eastAsia"/>
          <w:color w:val="auto"/>
          <w:sz w:val="30"/>
          <w:szCs w:val="30"/>
          <w:highlight w:val="none"/>
        </w:rPr>
        <w:t>五、公告期限</w:t>
      </w:r>
      <w:bookmarkEnd w:id="27"/>
      <w:bookmarkEnd w:id="28"/>
      <w:bookmarkEnd w:id="29"/>
      <w:bookmarkEnd w:id="30"/>
      <w:bookmarkEnd w:id="31"/>
    </w:p>
    <w:p w14:paraId="2F9804A4">
      <w:pPr>
        <w:spacing w:line="500" w:lineRule="exact"/>
        <w:ind w:firstLine="480"/>
        <w:rPr>
          <w:rFonts w:ascii="宋体" w:hAnsi="宋体" w:cs="宋体"/>
          <w:color w:val="auto"/>
          <w:sz w:val="24"/>
          <w:szCs w:val="24"/>
          <w:highlight w:val="none"/>
        </w:rPr>
      </w:pPr>
      <w:bookmarkStart w:id="32" w:name="_Toc35393795"/>
      <w:bookmarkStart w:id="33" w:name="_Toc38985268"/>
      <w:bookmarkStart w:id="34" w:name="_Toc35393626"/>
      <w:r>
        <w:rPr>
          <w:rFonts w:hint="eastAsia" w:ascii="宋体" w:hAnsi="宋体" w:cs="宋体"/>
          <w:color w:val="auto"/>
          <w:sz w:val="24"/>
          <w:szCs w:val="24"/>
          <w:highlight w:val="none"/>
        </w:rPr>
        <w:t>（招标公告及招标文件公告期限）自本公告发布之日起5个工作日。</w:t>
      </w:r>
    </w:p>
    <w:p w14:paraId="1DA19085">
      <w:pPr>
        <w:pStyle w:val="188"/>
        <w:keepNext w:val="0"/>
        <w:keepLines w:val="0"/>
        <w:spacing w:before="0" w:after="0" w:line="500" w:lineRule="exact"/>
        <w:ind w:firstLine="452"/>
        <w:rPr>
          <w:color w:val="auto"/>
          <w:sz w:val="30"/>
          <w:szCs w:val="30"/>
          <w:highlight w:val="none"/>
        </w:rPr>
      </w:pPr>
      <w:r>
        <w:rPr>
          <w:rFonts w:hint="eastAsia"/>
          <w:color w:val="auto"/>
          <w:sz w:val="30"/>
          <w:szCs w:val="30"/>
          <w:highlight w:val="none"/>
        </w:rPr>
        <w:t>六、其他补充事宜</w:t>
      </w:r>
      <w:bookmarkEnd w:id="32"/>
      <w:bookmarkEnd w:id="33"/>
      <w:bookmarkEnd w:id="34"/>
    </w:p>
    <w:p w14:paraId="64B61C2E">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1C15107A">
      <w:pPr>
        <w:pStyle w:val="188"/>
        <w:keepNext w:val="0"/>
        <w:keepLines w:val="0"/>
        <w:spacing w:before="0" w:after="0" w:line="500" w:lineRule="exact"/>
        <w:ind w:firstLine="452"/>
        <w:rPr>
          <w:color w:val="auto"/>
          <w:sz w:val="30"/>
          <w:szCs w:val="30"/>
          <w:highlight w:val="none"/>
        </w:rPr>
      </w:pPr>
      <w:bookmarkStart w:id="35" w:name="_Toc38985269"/>
      <w:bookmarkStart w:id="36" w:name="_Toc28359008"/>
      <w:bookmarkStart w:id="37" w:name="_Toc35393796"/>
      <w:bookmarkStart w:id="38" w:name="_Toc28359085"/>
      <w:bookmarkStart w:id="39" w:name="_Toc35393627"/>
      <w:r>
        <w:rPr>
          <w:rFonts w:hint="eastAsia"/>
          <w:color w:val="auto"/>
          <w:sz w:val="30"/>
          <w:szCs w:val="30"/>
          <w:highlight w:val="none"/>
        </w:rPr>
        <w:t>七、本项目联系方式</w:t>
      </w:r>
      <w:bookmarkEnd w:id="35"/>
      <w:bookmarkEnd w:id="36"/>
      <w:bookmarkEnd w:id="37"/>
      <w:bookmarkEnd w:id="38"/>
      <w:bookmarkEnd w:id="39"/>
    </w:p>
    <w:p w14:paraId="672F2AB1">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50C55971">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名    称：无锡国家高新技术产业开发区（无锡市新吴区）城市管理局</w:t>
      </w:r>
    </w:p>
    <w:p w14:paraId="2483D249">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无锡市新吴区净慧东道交大联云科技园三楼</w:t>
      </w:r>
    </w:p>
    <w:p w14:paraId="50BAF8A1">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w:t>
      </w:r>
      <w:bookmarkStart w:id="40" w:name="_Toc28359086"/>
      <w:bookmarkStart w:id="41" w:name="_Toc28359009"/>
      <w:r>
        <w:rPr>
          <w:rFonts w:hint="eastAsia" w:ascii="宋体" w:hAnsi="宋体" w:cs="宋体"/>
          <w:color w:val="auto"/>
          <w:sz w:val="24"/>
          <w:szCs w:val="24"/>
          <w:highlight w:val="none"/>
        </w:rPr>
        <w:t>见“项目联系方式”</w:t>
      </w:r>
    </w:p>
    <w:p w14:paraId="36E0C4F3">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bookmarkEnd w:id="40"/>
      <w:bookmarkEnd w:id="41"/>
      <w:r>
        <w:rPr>
          <w:rFonts w:hint="eastAsia" w:ascii="宋体" w:hAnsi="宋体" w:cs="宋体"/>
          <w:color w:val="auto"/>
          <w:sz w:val="24"/>
          <w:szCs w:val="24"/>
          <w:highlight w:val="none"/>
        </w:rPr>
        <w:t>采购代理机构信息</w:t>
      </w:r>
    </w:p>
    <w:p w14:paraId="4BE266E0">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名    称：江苏翔顺工程管理咨询有限公司</w:t>
      </w:r>
    </w:p>
    <w:p w14:paraId="7040104F">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地    址：无锡市新区金城东路333号中国工业博览园总部园区30幢</w:t>
      </w:r>
    </w:p>
    <w:p w14:paraId="3FEFCA34">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联系方式：见“项目联系方式”</w:t>
      </w:r>
    </w:p>
    <w:p w14:paraId="3B9C7CA8">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456D8EFD">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采购人项目咨询联系人：马航；电话：0510-80595266</w:t>
      </w:r>
    </w:p>
    <w:p w14:paraId="6179F449">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采购人质疑受理联系人：马航；电话：0510-80595266</w:t>
      </w:r>
    </w:p>
    <w:p w14:paraId="7CC36ADB">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代理机构项目联系人：</w:t>
      </w:r>
      <w:r>
        <w:rPr>
          <w:rFonts w:hint="eastAsia" w:ascii="宋体" w:hAnsi="宋体" w:cs="宋体"/>
          <w:color w:val="auto"/>
          <w:sz w:val="24"/>
          <w:szCs w:val="24"/>
          <w:highlight w:val="none"/>
          <w:lang w:eastAsia="zh-CN"/>
        </w:rPr>
        <w:t>李工</w:t>
      </w:r>
      <w:r>
        <w:rPr>
          <w:rFonts w:hint="eastAsia" w:ascii="宋体" w:hAnsi="宋体" w:cs="宋体"/>
          <w:color w:val="auto"/>
          <w:sz w:val="24"/>
          <w:szCs w:val="24"/>
          <w:highlight w:val="none"/>
        </w:rPr>
        <w:t>；电话：</w:t>
      </w:r>
      <w:r>
        <w:rPr>
          <w:rFonts w:hint="eastAsia" w:ascii="宋体" w:hAnsi="宋体" w:cs="宋体"/>
          <w:color w:val="auto"/>
          <w:sz w:val="24"/>
          <w:szCs w:val="24"/>
          <w:highlight w:val="none"/>
          <w:lang w:val="en-US" w:eastAsia="zh-CN"/>
        </w:rPr>
        <w:t>0510-81892506、0510-81892528</w:t>
      </w:r>
    </w:p>
    <w:p w14:paraId="474FC75E">
      <w:pPr>
        <w:pStyle w:val="188"/>
        <w:keepNext w:val="0"/>
        <w:keepLines w:val="0"/>
        <w:spacing w:before="0" w:after="0" w:line="500" w:lineRule="exact"/>
        <w:ind w:firstLine="452"/>
        <w:rPr>
          <w:color w:val="auto"/>
          <w:sz w:val="30"/>
          <w:szCs w:val="30"/>
          <w:highlight w:val="none"/>
        </w:rPr>
      </w:pPr>
      <w:r>
        <w:rPr>
          <w:rFonts w:hint="eastAsia"/>
          <w:color w:val="auto"/>
          <w:sz w:val="30"/>
          <w:szCs w:val="30"/>
          <w:highlight w:val="none"/>
        </w:rPr>
        <w:t>八、其他</w:t>
      </w:r>
    </w:p>
    <w:p w14:paraId="6C2DAB92">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31197B26">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06E87940">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）访问“无锡政府采购网”点击“江苏省政府采购（苏采云）平台”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29E8ED44">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53358973">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1EF6C466">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账号登录页面，点击“驱动下载”链接中的“政务CA、方正签章控件驱动安装包及安装说明”可以直接下载驱动安装包，安装包中附有驱动安装手册。</w:t>
      </w:r>
    </w:p>
    <w:p w14:paraId="7BAF9F3B">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0A06DD4B">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3DC1A7EF">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3164E1EC">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08A8A8FB">
      <w:pPr>
        <w:widowControl/>
        <w:shd w:val="clear" w:color="auto" w:fill="FFFFFF"/>
        <w:spacing w:line="500" w:lineRule="exact"/>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3B1CA1D9">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2A2D540F">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3FEE215F">
      <w:pPr>
        <w:tabs>
          <w:tab w:val="left" w:pos="900"/>
        </w:tabs>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（三）有关本次采购的事项若存在变动或修改，敬请及时关注江苏翔顺工程管理咨询有限公司在“江苏政府采购网”发布的更正公告。</w:t>
      </w:r>
    </w:p>
    <w:p w14:paraId="5C5E22DE">
      <w:pPr>
        <w:tabs>
          <w:tab w:val="left" w:pos="900"/>
        </w:tabs>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（四）本次采购不收取投标保证金。</w:t>
      </w:r>
    </w:p>
    <w:p w14:paraId="41088583">
      <w:pPr>
        <w:tabs>
          <w:tab w:val="left" w:pos="900"/>
        </w:tabs>
        <w:spacing w:line="500" w:lineRule="exact"/>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p>
    <w:p w14:paraId="5FDD82AF">
      <w:pPr>
        <w:tabs>
          <w:tab w:val="left" w:pos="1440"/>
        </w:tabs>
        <w:spacing w:line="500" w:lineRule="exact"/>
        <w:jc w:val="center"/>
        <w:outlineLvl w:val="0"/>
        <w:rPr>
          <w:rFonts w:ascii="黑体" w:hAnsi="黑体" w:eastAsia="黑体"/>
          <w:color w:val="auto"/>
          <w:sz w:val="36"/>
          <w:szCs w:val="36"/>
          <w:highlight w:val="none"/>
        </w:rPr>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bookmarkEnd w:id="2"/>
      <w:bookmarkEnd w:id="3"/>
      <w:bookmarkEnd w:id="4"/>
      <w:bookmarkEnd w:id="5"/>
      <w:bookmarkEnd w:id="42"/>
      <w:bookmarkStart w:id="43" w:name="_Toc16938518"/>
      <w:bookmarkStart w:id="44" w:name="_Toc513029202"/>
      <w:bookmarkStart w:id="45" w:name="_Toc120614213"/>
      <w:bookmarkStart w:id="46" w:name="_Toc20823274"/>
      <w:r>
        <w:rPr>
          <w:rFonts w:hint="eastAsia" w:ascii="黑体" w:hAnsi="黑体" w:eastAsia="黑体"/>
          <w:color w:val="auto"/>
          <w:sz w:val="36"/>
          <w:szCs w:val="36"/>
          <w:highlight w:val="none"/>
        </w:rPr>
        <w:t>投标人须知</w:t>
      </w:r>
      <w:bookmarkEnd w:id="43"/>
      <w:bookmarkEnd w:id="44"/>
      <w:bookmarkEnd w:id="45"/>
      <w:bookmarkEnd w:id="46"/>
    </w:p>
    <w:p w14:paraId="777DB0BF">
      <w:pPr>
        <w:pStyle w:val="188"/>
        <w:keepNext w:val="0"/>
        <w:keepLines w:val="0"/>
        <w:spacing w:before="0" w:after="0" w:line="500" w:lineRule="exact"/>
        <w:ind w:firstLine="452"/>
        <w:rPr>
          <w:color w:val="auto"/>
          <w:sz w:val="30"/>
          <w:szCs w:val="30"/>
          <w:highlight w:val="none"/>
        </w:rPr>
      </w:pPr>
      <w:bookmarkStart w:id="47" w:name="_Toc16938519"/>
      <w:bookmarkStart w:id="48" w:name="_Toc120614214"/>
      <w:bookmarkStart w:id="49" w:name="_Toc20823275"/>
      <w:bookmarkStart w:id="50" w:name="_Toc513029203"/>
      <w:r>
        <w:rPr>
          <w:rFonts w:hint="eastAsia"/>
          <w:color w:val="auto"/>
          <w:sz w:val="30"/>
          <w:szCs w:val="30"/>
          <w:highlight w:val="none"/>
        </w:rPr>
        <w:t>一、总则</w:t>
      </w:r>
      <w:bookmarkEnd w:id="47"/>
      <w:bookmarkEnd w:id="48"/>
      <w:bookmarkEnd w:id="49"/>
      <w:bookmarkEnd w:id="50"/>
    </w:p>
    <w:p w14:paraId="161DE671">
      <w:pPr>
        <w:pStyle w:val="189"/>
        <w:keepNext w:val="0"/>
        <w:keepLines w:val="0"/>
        <w:spacing w:before="0" w:after="0" w:line="500" w:lineRule="exact"/>
        <w:ind w:firstLine="422"/>
        <w:rPr>
          <w:rFonts w:ascii="宋体" w:hAnsi="宋体" w:eastAsia="宋体"/>
          <w:bCs w:val="0"/>
          <w:color w:val="auto"/>
          <w:highlight w:val="none"/>
        </w:rPr>
      </w:pPr>
      <w:bookmarkStart w:id="51" w:name="_Hlt16619475"/>
      <w:bookmarkEnd w:id="51"/>
      <w:bookmarkStart w:id="52" w:name="_Toc513029204"/>
      <w:bookmarkStart w:id="53" w:name="_Toc20823276"/>
      <w:bookmarkStart w:id="54" w:name="_Toc16938520"/>
      <w:r>
        <w:rPr>
          <w:rFonts w:hint="eastAsia" w:ascii="宋体" w:hAnsi="宋体" w:eastAsia="宋体"/>
          <w:bCs w:val="0"/>
          <w:color w:val="auto"/>
          <w:highlight w:val="none"/>
        </w:rPr>
        <w:t>1.招标方式</w:t>
      </w:r>
      <w:bookmarkEnd w:id="52"/>
      <w:bookmarkEnd w:id="53"/>
      <w:bookmarkEnd w:id="54"/>
    </w:p>
    <w:p w14:paraId="0EACCD89">
      <w:pPr>
        <w:spacing w:line="500" w:lineRule="exact"/>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645C0343">
      <w:pPr>
        <w:pStyle w:val="189"/>
        <w:keepNext w:val="0"/>
        <w:keepLines w:val="0"/>
        <w:spacing w:before="0" w:after="0" w:line="500" w:lineRule="exact"/>
        <w:ind w:firstLine="422"/>
        <w:rPr>
          <w:rFonts w:ascii="宋体" w:hAnsi="宋体" w:eastAsia="宋体"/>
          <w:bCs w:val="0"/>
          <w:color w:val="auto"/>
          <w:highlight w:val="none"/>
        </w:rPr>
      </w:pPr>
      <w:bookmarkStart w:id="55" w:name="_Toc20823277"/>
      <w:bookmarkStart w:id="56" w:name="_Toc16938521"/>
      <w:bookmarkStart w:id="57" w:name="_Toc513029205"/>
      <w:r>
        <w:rPr>
          <w:rFonts w:hint="eastAsia" w:ascii="宋体" w:hAnsi="宋体" w:eastAsia="宋体"/>
          <w:bCs w:val="0"/>
          <w:color w:val="auto"/>
          <w:highlight w:val="none"/>
        </w:rPr>
        <w:t>2.</w:t>
      </w:r>
      <w:bookmarkEnd w:id="55"/>
      <w:bookmarkEnd w:id="56"/>
      <w:bookmarkEnd w:id="57"/>
      <w:r>
        <w:rPr>
          <w:rFonts w:hint="eastAsia" w:ascii="宋体" w:hAnsi="宋体" w:eastAsia="宋体"/>
          <w:bCs w:val="0"/>
          <w:color w:val="auto"/>
          <w:highlight w:val="none"/>
        </w:rPr>
        <w:t>采购人、采购代理机构、投标人、联合体</w:t>
      </w:r>
    </w:p>
    <w:p w14:paraId="4D8497A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02BDD8E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color w:val="auto"/>
          <w:sz w:val="24"/>
          <w:szCs w:val="24"/>
          <w:highlight w:val="none"/>
          <w:lang w:eastAsia="zh-CN"/>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578DBF0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DED317E">
      <w:pPr>
        <w:pStyle w:val="189"/>
        <w:keepNext w:val="0"/>
        <w:keepLines w:val="0"/>
        <w:spacing w:before="0" w:after="0" w:line="500" w:lineRule="exact"/>
        <w:ind w:firstLine="422"/>
        <w:rPr>
          <w:rFonts w:ascii="宋体" w:hAnsi="宋体" w:eastAsia="宋体"/>
          <w:bCs w:val="0"/>
          <w:color w:val="auto"/>
          <w:highlight w:val="none"/>
        </w:rPr>
      </w:pPr>
      <w:bookmarkStart w:id="58" w:name="_Toc20823278"/>
      <w:bookmarkStart w:id="59" w:name="_Toc513029206"/>
      <w:bookmarkStart w:id="60" w:name="_Toc16938522"/>
      <w:r>
        <w:rPr>
          <w:rFonts w:hint="eastAsia" w:ascii="宋体" w:hAnsi="宋体" w:eastAsia="宋体"/>
          <w:bCs w:val="0"/>
          <w:color w:val="auto"/>
          <w:highlight w:val="none"/>
        </w:rPr>
        <w:t>3.适用法律</w:t>
      </w:r>
      <w:bookmarkEnd w:id="58"/>
      <w:bookmarkEnd w:id="59"/>
      <w:bookmarkEnd w:id="60"/>
    </w:p>
    <w:p w14:paraId="609C680A">
      <w:pPr>
        <w:spacing w:line="500" w:lineRule="exact"/>
        <w:ind w:firstLine="480"/>
        <w:rPr>
          <w:rFonts w:ascii="宋体" w:hAnsi="宋体"/>
          <w:color w:val="auto"/>
          <w:sz w:val="24"/>
          <w:highlight w:val="none"/>
        </w:rPr>
      </w:pPr>
      <w:r>
        <w:rPr>
          <w:rFonts w:hint="eastAsia" w:ascii="宋体" w:hAnsi="宋体"/>
          <w:color w:val="auto"/>
          <w:sz w:val="24"/>
          <w:highlight w:val="none"/>
        </w:rPr>
        <w:t>3.1本次招标及由此产生的合同受中华人民共和国法律的制约和保护。</w:t>
      </w:r>
    </w:p>
    <w:p w14:paraId="768A84A3">
      <w:pPr>
        <w:pStyle w:val="189"/>
        <w:keepNext w:val="0"/>
        <w:keepLines w:val="0"/>
        <w:spacing w:before="0" w:after="0" w:line="500" w:lineRule="exact"/>
        <w:ind w:firstLine="422"/>
        <w:rPr>
          <w:rFonts w:ascii="宋体" w:hAnsi="宋体" w:eastAsia="宋体"/>
          <w:bCs w:val="0"/>
          <w:color w:val="auto"/>
          <w:highlight w:val="none"/>
        </w:rPr>
      </w:pPr>
      <w:bookmarkStart w:id="61" w:name="_Toc20823279"/>
      <w:bookmarkStart w:id="62" w:name="_Toc513029207"/>
      <w:bookmarkStart w:id="63" w:name="_Toc16938523"/>
      <w:bookmarkStart w:id="64" w:name="_Toc462564067"/>
      <w:r>
        <w:rPr>
          <w:rFonts w:hint="eastAsia" w:ascii="宋体" w:hAnsi="宋体" w:eastAsia="宋体"/>
          <w:bCs w:val="0"/>
          <w:color w:val="auto"/>
          <w:highlight w:val="none"/>
        </w:rPr>
        <w:t>4.投标费用</w:t>
      </w:r>
      <w:bookmarkEnd w:id="61"/>
      <w:bookmarkEnd w:id="62"/>
      <w:bookmarkEnd w:id="63"/>
      <w:bookmarkEnd w:id="64"/>
    </w:p>
    <w:p w14:paraId="4518AC6A">
      <w:pPr>
        <w:spacing w:line="500" w:lineRule="exact"/>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投标人应自行承担所有与参加投标有关的费用，无论投标过程中的做法和结果如何，江苏翔顺工程管理咨询有限公司（以下简称代理机构）在任何情况下均无义务和责任承担这些费用。</w:t>
      </w:r>
    </w:p>
    <w:p w14:paraId="4EB8F832">
      <w:pPr>
        <w:spacing w:line="500" w:lineRule="exact"/>
        <w:ind w:firstLine="480"/>
        <w:rPr>
          <w:rFonts w:ascii="宋体" w:hAnsi="宋体"/>
          <w:color w:val="auto"/>
          <w:sz w:val="24"/>
          <w:highlight w:val="none"/>
        </w:rPr>
      </w:pPr>
      <w:r>
        <w:rPr>
          <w:rFonts w:hint="eastAsia" w:ascii="宋体" w:hAnsi="宋体"/>
          <w:color w:val="auto"/>
          <w:sz w:val="24"/>
          <w:highlight w:val="none"/>
        </w:rPr>
        <w:t>4.2本次招标标书工本费、招标文件均免费。</w:t>
      </w:r>
    </w:p>
    <w:p w14:paraId="658C4921">
      <w:pPr>
        <w:pStyle w:val="189"/>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5.招标文件的约束力</w:t>
      </w:r>
    </w:p>
    <w:p w14:paraId="744E798E">
      <w:pPr>
        <w:spacing w:line="500" w:lineRule="exact"/>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7501158C">
      <w:pPr>
        <w:pStyle w:val="188"/>
        <w:keepNext w:val="0"/>
        <w:keepLines w:val="0"/>
        <w:spacing w:before="0" w:after="0" w:line="500" w:lineRule="exact"/>
        <w:ind w:firstLine="452"/>
        <w:rPr>
          <w:color w:val="auto"/>
          <w:sz w:val="30"/>
          <w:szCs w:val="30"/>
          <w:highlight w:val="none"/>
        </w:rPr>
      </w:pPr>
      <w:bookmarkStart w:id="65" w:name="_Toc120614215"/>
      <w:bookmarkStart w:id="66" w:name="_Toc16938525"/>
      <w:bookmarkStart w:id="67" w:name="_Toc20823281"/>
      <w:bookmarkStart w:id="68" w:name="_Toc513029209"/>
      <w:r>
        <w:rPr>
          <w:rFonts w:hint="eastAsia"/>
          <w:color w:val="auto"/>
          <w:sz w:val="30"/>
          <w:szCs w:val="30"/>
          <w:highlight w:val="none"/>
        </w:rPr>
        <w:t>二、招标文件</w:t>
      </w:r>
      <w:bookmarkEnd w:id="65"/>
      <w:bookmarkEnd w:id="66"/>
      <w:bookmarkEnd w:id="67"/>
      <w:bookmarkEnd w:id="68"/>
    </w:p>
    <w:p w14:paraId="26588F0F">
      <w:pPr>
        <w:pStyle w:val="189"/>
        <w:keepNext w:val="0"/>
        <w:keepLines w:val="0"/>
        <w:spacing w:before="0" w:after="0" w:line="500" w:lineRule="exact"/>
        <w:ind w:firstLine="422"/>
        <w:rPr>
          <w:rFonts w:ascii="宋体" w:hAnsi="宋体" w:eastAsia="宋体"/>
          <w:bCs w:val="0"/>
          <w:color w:val="auto"/>
          <w:highlight w:val="none"/>
        </w:rPr>
      </w:pPr>
      <w:bookmarkStart w:id="69" w:name="_Toc513029210"/>
      <w:bookmarkStart w:id="70" w:name="_Toc16938526"/>
      <w:bookmarkStart w:id="71" w:name="_Toc20823282"/>
      <w:r>
        <w:rPr>
          <w:rFonts w:hint="eastAsia" w:ascii="宋体" w:hAnsi="宋体" w:eastAsia="宋体"/>
          <w:bCs w:val="0"/>
          <w:color w:val="auto"/>
          <w:highlight w:val="none"/>
        </w:rPr>
        <w:t>6.招标文件构成</w:t>
      </w:r>
      <w:bookmarkEnd w:id="69"/>
      <w:bookmarkEnd w:id="70"/>
      <w:bookmarkEnd w:id="71"/>
    </w:p>
    <w:p w14:paraId="52427D21">
      <w:pPr>
        <w:spacing w:line="500" w:lineRule="exact"/>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0D1C526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3BBB1AD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4F55D59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1601F76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30D85D26">
      <w:pPr>
        <w:spacing w:line="500" w:lineRule="exact"/>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7A9C5561">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359B184F">
      <w:pPr>
        <w:spacing w:line="500" w:lineRule="exact"/>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请仔细检查招标文件是否齐全，如有缺漏请立即与代理机构联系解决。</w:t>
      </w:r>
    </w:p>
    <w:p w14:paraId="5E1CC377">
      <w:pPr>
        <w:spacing w:line="500" w:lineRule="exact"/>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950BB13">
      <w:pPr>
        <w:pStyle w:val="189"/>
        <w:keepNext w:val="0"/>
        <w:keepLines w:val="0"/>
        <w:spacing w:before="0" w:after="0" w:line="500" w:lineRule="exact"/>
        <w:ind w:firstLine="422"/>
        <w:rPr>
          <w:rFonts w:ascii="宋体" w:hAnsi="宋体" w:eastAsia="宋体"/>
          <w:bCs w:val="0"/>
          <w:color w:val="auto"/>
          <w:highlight w:val="none"/>
        </w:rPr>
      </w:pPr>
      <w:bookmarkStart w:id="72" w:name="_Toc20823283"/>
      <w:bookmarkStart w:id="73" w:name="_Toc513029211"/>
      <w:bookmarkStart w:id="74" w:name="_Toc16938527"/>
      <w:bookmarkStart w:id="75" w:name="_Toc462564070"/>
      <w:r>
        <w:rPr>
          <w:rFonts w:hint="eastAsia" w:ascii="宋体" w:hAnsi="宋体" w:eastAsia="宋体"/>
          <w:bCs w:val="0"/>
          <w:color w:val="auto"/>
          <w:highlight w:val="none"/>
        </w:rPr>
        <w:t>7.招标文件的澄清</w:t>
      </w:r>
      <w:bookmarkEnd w:id="72"/>
      <w:bookmarkEnd w:id="73"/>
      <w:bookmarkEnd w:id="74"/>
      <w:bookmarkEnd w:id="75"/>
    </w:p>
    <w:p w14:paraId="5AE5D6B7">
      <w:pPr>
        <w:spacing w:line="500" w:lineRule="exact"/>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代理机构以书面形式提出。</w:t>
      </w:r>
    </w:p>
    <w:p w14:paraId="15DFBD38">
      <w:pPr>
        <w:pStyle w:val="189"/>
        <w:keepNext w:val="0"/>
        <w:keepLines w:val="0"/>
        <w:spacing w:before="0" w:after="0" w:line="500" w:lineRule="exact"/>
        <w:ind w:firstLine="422"/>
        <w:rPr>
          <w:rFonts w:ascii="宋体" w:hAnsi="宋体" w:eastAsia="宋体"/>
          <w:bCs w:val="0"/>
          <w:color w:val="auto"/>
          <w:highlight w:val="none"/>
        </w:rPr>
      </w:pPr>
      <w:bookmarkStart w:id="76" w:name="_Toc16938528"/>
      <w:bookmarkStart w:id="77" w:name="_Toc462564071"/>
      <w:bookmarkStart w:id="78" w:name="_Toc513029212"/>
      <w:bookmarkStart w:id="79" w:name="_Toc20823284"/>
      <w:r>
        <w:rPr>
          <w:rFonts w:hint="eastAsia" w:ascii="宋体" w:hAnsi="宋体" w:eastAsia="宋体"/>
          <w:bCs w:val="0"/>
          <w:color w:val="auto"/>
          <w:highlight w:val="none"/>
        </w:rPr>
        <w:t>8.招标文件的修改</w:t>
      </w:r>
      <w:bookmarkEnd w:id="76"/>
      <w:bookmarkEnd w:id="77"/>
      <w:bookmarkEnd w:id="78"/>
      <w:bookmarkEnd w:id="79"/>
    </w:p>
    <w:p w14:paraId="5B4DB56E">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8.1代理机构可在投标截止时间十五日前对招标文件进行必要的澄清或者修改，不足十五日的，将顺延提交投标文件的截止时间和开标日期。</w:t>
      </w:r>
    </w:p>
    <w:p w14:paraId="7948128D">
      <w:pPr>
        <w:spacing w:line="500" w:lineRule="exact"/>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548C470E">
      <w:pPr>
        <w:pStyle w:val="188"/>
        <w:keepNext w:val="0"/>
        <w:keepLines w:val="0"/>
        <w:spacing w:before="0" w:after="0" w:line="500" w:lineRule="exact"/>
        <w:ind w:firstLine="452"/>
        <w:rPr>
          <w:color w:val="auto"/>
          <w:sz w:val="30"/>
          <w:szCs w:val="30"/>
          <w:highlight w:val="none"/>
        </w:rPr>
      </w:pPr>
      <w:bookmarkStart w:id="80" w:name="_Toc462564072"/>
      <w:bookmarkStart w:id="81" w:name="_Toc20823285"/>
      <w:bookmarkStart w:id="82" w:name="_Toc513029213"/>
      <w:bookmarkStart w:id="83" w:name="_Toc120614216"/>
      <w:bookmarkStart w:id="84" w:name="_Toc16938529"/>
      <w:r>
        <w:rPr>
          <w:rFonts w:hint="eastAsia"/>
          <w:color w:val="auto"/>
          <w:sz w:val="30"/>
          <w:szCs w:val="30"/>
          <w:highlight w:val="none"/>
        </w:rPr>
        <w:t>三、投标文件的编制</w:t>
      </w:r>
      <w:bookmarkEnd w:id="80"/>
      <w:bookmarkEnd w:id="81"/>
      <w:bookmarkEnd w:id="82"/>
      <w:bookmarkEnd w:id="83"/>
      <w:bookmarkEnd w:id="84"/>
    </w:p>
    <w:p w14:paraId="1987170E">
      <w:pPr>
        <w:pStyle w:val="189"/>
        <w:keepNext w:val="0"/>
        <w:keepLines w:val="0"/>
        <w:spacing w:before="0" w:after="0" w:line="500" w:lineRule="exact"/>
        <w:ind w:firstLine="422"/>
        <w:rPr>
          <w:rFonts w:ascii="宋体" w:hAnsi="宋体" w:eastAsia="宋体"/>
          <w:bCs w:val="0"/>
          <w:color w:val="auto"/>
          <w:highlight w:val="none"/>
        </w:rPr>
      </w:pPr>
      <w:bookmarkStart w:id="85" w:name="_Toc20823286"/>
      <w:bookmarkStart w:id="86" w:name="_Toc16938530"/>
      <w:bookmarkStart w:id="87" w:name="_Toc513029214"/>
      <w:bookmarkStart w:id="88" w:name="_Toc462564073"/>
      <w:r>
        <w:rPr>
          <w:rFonts w:hint="eastAsia" w:ascii="宋体" w:hAnsi="宋体" w:eastAsia="宋体"/>
          <w:bCs w:val="0"/>
          <w:color w:val="auto"/>
          <w:highlight w:val="none"/>
        </w:rPr>
        <w:t>9.投标文件的语言及度量衡单位</w:t>
      </w:r>
      <w:bookmarkEnd w:id="85"/>
      <w:bookmarkEnd w:id="86"/>
      <w:bookmarkEnd w:id="87"/>
      <w:bookmarkEnd w:id="88"/>
    </w:p>
    <w:p w14:paraId="4B0B507D">
      <w:pPr>
        <w:spacing w:line="500" w:lineRule="exact"/>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投标人提交的投标文件以及投标人与代理机构就有关投标的所有来往通知、函件和文件均应使用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0C014930">
      <w:pPr>
        <w:spacing w:line="500" w:lineRule="exact"/>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55B8F8DD">
      <w:pPr>
        <w:pStyle w:val="189"/>
        <w:keepNext w:val="0"/>
        <w:keepLines w:val="0"/>
        <w:spacing w:before="0" w:after="0" w:line="500" w:lineRule="exact"/>
        <w:ind w:firstLine="422"/>
        <w:rPr>
          <w:rFonts w:ascii="宋体" w:hAnsi="宋体" w:eastAsia="宋体"/>
          <w:bCs w:val="0"/>
          <w:color w:val="auto"/>
          <w:highlight w:val="none"/>
        </w:rPr>
      </w:pPr>
      <w:bookmarkStart w:id="89" w:name="_Toc16938531"/>
      <w:bookmarkStart w:id="90" w:name="_Toc462564074"/>
      <w:bookmarkStart w:id="91" w:name="_Toc513029215"/>
      <w:bookmarkStart w:id="92" w:name="_Toc20823287"/>
      <w:r>
        <w:rPr>
          <w:rFonts w:hint="eastAsia" w:ascii="宋体" w:hAnsi="宋体" w:eastAsia="宋体"/>
          <w:bCs w:val="0"/>
          <w:color w:val="auto"/>
          <w:highlight w:val="none"/>
        </w:rPr>
        <w:t>10.投标文件构成</w:t>
      </w:r>
      <w:bookmarkEnd w:id="89"/>
      <w:bookmarkEnd w:id="90"/>
      <w:bookmarkEnd w:id="91"/>
      <w:bookmarkEnd w:id="92"/>
    </w:p>
    <w:p w14:paraId="3E5E14C0">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69305059">
      <w:pPr>
        <w:spacing w:line="360" w:lineRule="auto"/>
        <w:ind w:firstLine="480"/>
        <w:rPr>
          <w:rFonts w:hint="eastAsia"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21D1673">
      <w:pPr>
        <w:spacing w:before="1" w:line="360" w:lineRule="auto"/>
        <w:ind w:left="11" w:right="42" w:firstLine="500"/>
        <w:rPr>
          <w:rFonts w:ascii="宋体" w:hAnsi="宋体" w:eastAsia="宋体" w:cs="宋体"/>
          <w:color w:val="auto"/>
          <w:sz w:val="24"/>
          <w:szCs w:val="24"/>
          <w:highlight w:val="none"/>
        </w:rPr>
      </w:pPr>
      <w:r>
        <w:rPr>
          <w:rFonts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3</w:t>
      </w:r>
      <w:r>
        <w:rPr>
          <w:rFonts w:ascii="宋体" w:hAnsi="宋体" w:eastAsia="宋体" w:cs="宋体"/>
          <w:b/>
          <w:bCs/>
          <w:color w:val="auto"/>
          <w:sz w:val="24"/>
          <w:szCs w:val="24"/>
          <w:highlight w:val="none"/>
        </w:rPr>
        <w:t>在评分标准中除了投标报价外，还须包含明</w:t>
      </w:r>
      <w:r>
        <w:rPr>
          <w:rFonts w:ascii="宋体" w:hAnsi="宋体" w:eastAsia="宋体" w:cs="宋体"/>
          <w:b/>
          <w:bCs/>
          <w:color w:val="auto"/>
          <w:spacing w:val="-1"/>
          <w:sz w:val="24"/>
          <w:szCs w:val="24"/>
          <w:highlight w:val="none"/>
        </w:rPr>
        <w:t>标（</w:t>
      </w:r>
      <w:r>
        <w:rPr>
          <w:rFonts w:hint="eastAsia" w:ascii="宋体" w:hAnsi="宋体" w:cs="宋体"/>
          <w:b/>
          <w:bCs/>
          <w:color w:val="auto"/>
          <w:spacing w:val="-1"/>
          <w:sz w:val="24"/>
          <w:szCs w:val="24"/>
          <w:highlight w:val="none"/>
          <w:lang w:val="en-US" w:eastAsia="zh-CN"/>
        </w:rPr>
        <w:t>商务部分</w:t>
      </w:r>
      <w:r>
        <w:rPr>
          <w:rFonts w:ascii="宋体" w:hAnsi="宋体" w:eastAsia="宋体" w:cs="宋体"/>
          <w:b/>
          <w:bCs/>
          <w:color w:val="auto"/>
          <w:spacing w:val="-1"/>
          <w:sz w:val="24"/>
          <w:szCs w:val="24"/>
          <w:highlight w:val="none"/>
        </w:rPr>
        <w:t>、</w:t>
      </w:r>
      <w:r>
        <w:rPr>
          <w:rFonts w:hint="eastAsia" w:ascii="宋体" w:hAnsi="宋体" w:cs="宋体"/>
          <w:b/>
          <w:bCs/>
          <w:color w:val="auto"/>
          <w:spacing w:val="-1"/>
          <w:sz w:val="24"/>
          <w:szCs w:val="24"/>
          <w:highlight w:val="none"/>
          <w:lang w:val="en-US" w:eastAsia="zh-CN"/>
        </w:rPr>
        <w:t>平台演示视频</w:t>
      </w:r>
      <w:r>
        <w:rPr>
          <w:rFonts w:ascii="宋体" w:hAnsi="宋体" w:eastAsia="宋体" w:cs="宋体"/>
          <w:b/>
          <w:bCs/>
          <w:color w:val="auto"/>
          <w:spacing w:val="-2"/>
          <w:sz w:val="24"/>
          <w:szCs w:val="24"/>
          <w:highlight w:val="none"/>
        </w:rPr>
        <w:t>）和暗标（</w:t>
      </w:r>
      <w:r>
        <w:rPr>
          <w:rFonts w:hint="eastAsia" w:ascii="宋体" w:hAnsi="宋体" w:cs="宋体"/>
          <w:b/>
          <w:bCs/>
          <w:color w:val="auto"/>
          <w:spacing w:val="-2"/>
          <w:sz w:val="24"/>
          <w:szCs w:val="24"/>
          <w:highlight w:val="none"/>
          <w:lang w:val="en-US" w:eastAsia="zh-CN"/>
        </w:rPr>
        <w:t>项目</w:t>
      </w:r>
      <w:r>
        <w:rPr>
          <w:rFonts w:ascii="宋体" w:hAnsi="宋体" w:eastAsia="宋体" w:cs="宋体"/>
          <w:b/>
          <w:bCs/>
          <w:color w:val="auto"/>
          <w:spacing w:val="-2"/>
          <w:sz w:val="24"/>
          <w:szCs w:val="24"/>
          <w:highlight w:val="none"/>
        </w:rPr>
        <w:t>方案）两大部分，其暗标编制要求如下：</w:t>
      </w:r>
    </w:p>
    <w:p w14:paraId="2A6BC345">
      <w:pPr>
        <w:spacing w:before="34" w:line="360" w:lineRule="auto"/>
        <w:ind w:left="11" w:right="2" w:firstLine="493"/>
        <w:rPr>
          <w:rFonts w:ascii="宋体" w:hAnsi="宋体" w:eastAsia="宋体" w:cs="宋体"/>
          <w:color w:val="auto"/>
          <w:sz w:val="24"/>
          <w:szCs w:val="24"/>
          <w:highlight w:val="none"/>
        </w:rPr>
      </w:pPr>
      <w:r>
        <w:rPr>
          <w:rFonts w:ascii="宋体" w:hAnsi="宋体" w:eastAsia="宋体" w:cs="宋体"/>
          <w:b/>
          <w:bCs/>
          <w:color w:val="auto"/>
          <w:spacing w:val="-1"/>
          <w:sz w:val="24"/>
          <w:szCs w:val="24"/>
          <w:highlight w:val="none"/>
        </w:rPr>
        <w:t>（1）暗标编制应按采购文件规定的格式制作，要求版面整洁、字迹清楚、不得涂改、不得标</w:t>
      </w:r>
      <w:r>
        <w:rPr>
          <w:rFonts w:ascii="宋体" w:hAnsi="宋体" w:eastAsia="宋体" w:cs="宋体"/>
          <w:b/>
          <w:bCs/>
          <w:color w:val="auto"/>
          <w:spacing w:val="-8"/>
          <w:sz w:val="24"/>
          <w:szCs w:val="24"/>
          <w:highlight w:val="none"/>
        </w:rPr>
        <w:t>注。</w:t>
      </w:r>
    </w:p>
    <w:p w14:paraId="0DF8B46D">
      <w:pPr>
        <w:spacing w:before="29" w:line="360" w:lineRule="auto"/>
        <w:ind w:left="11" w:right="2" w:firstLine="493"/>
        <w:jc w:val="both"/>
        <w:rPr>
          <w:rFonts w:ascii="宋体" w:hAnsi="宋体" w:eastAsia="宋体" w:cs="宋体"/>
          <w:color w:val="auto"/>
          <w:sz w:val="24"/>
          <w:szCs w:val="24"/>
          <w:highlight w:val="none"/>
        </w:rPr>
      </w:pPr>
      <w:r>
        <w:rPr>
          <w:rFonts w:ascii="宋体" w:hAnsi="宋体" w:eastAsia="宋体" w:cs="宋体"/>
          <w:b/>
          <w:bCs/>
          <w:color w:val="auto"/>
          <w:spacing w:val="-1"/>
          <w:sz w:val="24"/>
          <w:szCs w:val="24"/>
          <w:highlight w:val="none"/>
        </w:rPr>
        <w:t>（2）暗标中所有正文中均不得出现可识别供应商身份的任何字符、徽标，包括文字、符号、</w:t>
      </w:r>
      <w:r>
        <w:rPr>
          <w:rFonts w:ascii="宋体" w:hAnsi="宋体" w:eastAsia="宋体" w:cs="宋体"/>
          <w:b/>
          <w:bCs/>
          <w:color w:val="auto"/>
          <w:spacing w:val="2"/>
          <w:sz w:val="24"/>
          <w:szCs w:val="24"/>
          <w:highlight w:val="none"/>
        </w:rPr>
        <w:t>图案、标识、标志、人员姓名、企业名称、以往项目名称、投标人独有的标准名称或编号、电子签章等，不得出现其他具有标识性作用的符号、图案等，也不得采用任何不符合常规、有别于其</w:t>
      </w:r>
      <w:r>
        <w:rPr>
          <w:rFonts w:ascii="宋体" w:hAnsi="宋体" w:eastAsia="宋体" w:cs="宋体"/>
          <w:b/>
          <w:bCs/>
          <w:color w:val="auto"/>
          <w:spacing w:val="-3"/>
          <w:sz w:val="24"/>
          <w:szCs w:val="24"/>
          <w:highlight w:val="none"/>
        </w:rPr>
        <w:t>他供应商的特殊做法。</w:t>
      </w:r>
    </w:p>
    <w:p w14:paraId="6EC978E0">
      <w:pPr>
        <w:spacing w:before="35" w:line="360" w:lineRule="auto"/>
        <w:ind w:left="505"/>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（3）字体、段落、页码、页面布局的设置：</w:t>
      </w:r>
    </w:p>
    <w:p w14:paraId="6B35D3B1">
      <w:pPr>
        <w:spacing w:before="183" w:line="360" w:lineRule="auto"/>
        <w:ind w:left="495" w:right="222"/>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字体：一级标题为宋体黑色二号字，其余正文均采用宋体黑色小四号字体，不得出现手写。</w:t>
      </w:r>
      <w:r>
        <w:rPr>
          <w:rFonts w:ascii="宋体" w:hAnsi="宋体" w:eastAsia="宋体" w:cs="宋体"/>
          <w:b/>
          <w:bCs/>
          <w:color w:val="auto"/>
          <w:spacing w:val="-4"/>
          <w:sz w:val="24"/>
          <w:szCs w:val="24"/>
          <w:highlight w:val="none"/>
        </w:rPr>
        <w:t>段落：使用1.5倍行间距、字间距标准、每段段前空两格。</w:t>
      </w:r>
    </w:p>
    <w:p w14:paraId="23298681">
      <w:pPr>
        <w:spacing w:before="34" w:line="360" w:lineRule="auto"/>
        <w:ind w:left="16" w:right="2" w:firstLine="483"/>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页码：页码应当连续居中，不得有空白页。</w:t>
      </w:r>
      <w:r>
        <w:rPr>
          <w:rFonts w:ascii="宋体" w:hAnsi="宋体" w:eastAsia="宋体" w:cs="宋体"/>
          <w:b/>
          <w:bCs/>
          <w:color w:val="auto"/>
          <w:spacing w:val="2"/>
          <w:sz w:val="24"/>
          <w:szCs w:val="24"/>
          <w:highlight w:val="none"/>
        </w:rPr>
        <w:t>不得设置页眉，页脚只准出现页码，采用黑色小</w:t>
      </w:r>
      <w:r>
        <w:rPr>
          <w:rFonts w:ascii="宋体" w:hAnsi="宋体" w:eastAsia="宋体" w:cs="宋体"/>
          <w:b/>
          <w:bCs/>
          <w:color w:val="auto"/>
          <w:spacing w:val="-4"/>
          <w:sz w:val="24"/>
          <w:szCs w:val="24"/>
          <w:highlight w:val="none"/>
        </w:rPr>
        <w:t>5号阿拉伯数字格式，设在页脚对中位置。</w:t>
      </w:r>
    </w:p>
    <w:p w14:paraId="5430E275">
      <w:pPr>
        <w:spacing w:line="360" w:lineRule="auto"/>
        <w:ind w:firstLine="480"/>
        <w:rPr>
          <w:rFonts w:hint="eastAsia" w:ascii="宋体" w:hAnsi="宋体"/>
          <w:color w:val="auto"/>
          <w:sz w:val="24"/>
          <w:highlight w:val="none"/>
        </w:rPr>
      </w:pPr>
      <w:r>
        <w:rPr>
          <w:rFonts w:ascii="宋体" w:hAnsi="宋体" w:eastAsia="宋体" w:cs="宋体"/>
          <w:b/>
          <w:bCs/>
          <w:color w:val="auto"/>
          <w:spacing w:val="-3"/>
          <w:sz w:val="24"/>
          <w:szCs w:val="24"/>
          <w:highlight w:val="none"/>
        </w:rPr>
        <w:t>页面布局：纸张方向纵向、页面底色白色，分栏为一栏。</w:t>
      </w:r>
    </w:p>
    <w:p w14:paraId="734D18A2">
      <w:pPr>
        <w:spacing w:line="360" w:lineRule="auto"/>
        <w:ind w:firstLine="480"/>
        <w:rPr>
          <w:rFonts w:hint="eastAsia" w:ascii="宋体" w:hAnsi="宋体"/>
          <w:color w:val="auto"/>
          <w:sz w:val="24"/>
          <w:highlight w:val="none"/>
        </w:rPr>
      </w:pPr>
      <w:r>
        <w:rPr>
          <w:rFonts w:hint="eastAsia" w:ascii="宋体" w:hAnsi="宋体"/>
          <w:color w:val="auto"/>
          <w:sz w:val="24"/>
          <w:highlight w:val="none"/>
        </w:rPr>
        <w:t>10.</w:t>
      </w:r>
      <w:r>
        <w:rPr>
          <w:rFonts w:hint="eastAsia" w:ascii="宋体" w:hAnsi="宋体"/>
          <w:color w:val="auto"/>
          <w:sz w:val="24"/>
          <w:highlight w:val="none"/>
          <w:lang w:val="en-US" w:eastAsia="zh-CN"/>
        </w:rPr>
        <w:t>4</w:t>
      </w:r>
      <w:r>
        <w:rPr>
          <w:rFonts w:hint="eastAsia" w:ascii="宋体" w:hAnsi="宋体"/>
          <w:color w:val="auto"/>
          <w:sz w:val="24"/>
          <w:highlight w:val="none"/>
        </w:rPr>
        <w:t>如标书制作工具中格式和内容与招标文件不一致的，请以招标文件为准。</w:t>
      </w:r>
    </w:p>
    <w:p w14:paraId="05C180DD">
      <w:pPr>
        <w:spacing w:line="360" w:lineRule="auto"/>
        <w:ind w:firstLine="480"/>
        <w:rPr>
          <w:rFonts w:hint="eastAsia" w:ascii="宋体" w:hAnsi="宋体" w:eastAsia="宋体" w:cs="Times New Roman"/>
          <w:b w:val="0"/>
          <w:color w:val="auto"/>
          <w:sz w:val="24"/>
          <w:highlight w:val="none"/>
          <w:u w:val="none"/>
          <w:lang w:val="en-US" w:eastAsia="zh-CN"/>
        </w:rPr>
      </w:pPr>
      <w:r>
        <w:rPr>
          <w:rFonts w:hint="eastAsia" w:ascii="宋体" w:hAnsi="宋体" w:cs="Times New Roman"/>
          <w:b w:val="0"/>
          <w:bCs w:val="0"/>
          <w:color w:val="auto"/>
          <w:spacing w:val="0"/>
          <w:sz w:val="24"/>
          <w:szCs w:val="21"/>
          <w:highlight w:val="none"/>
          <w:u w:val="none"/>
          <w:lang w:val="en-US" w:eastAsia="zh-CN"/>
        </w:rPr>
        <w:t>10.5项目</w:t>
      </w:r>
      <w:r>
        <w:rPr>
          <w:rFonts w:hint="eastAsia" w:ascii="宋体" w:hAnsi="宋体" w:eastAsia="宋体" w:cs="Times New Roman"/>
          <w:b w:val="0"/>
          <w:bCs w:val="0"/>
          <w:color w:val="auto"/>
          <w:spacing w:val="0"/>
          <w:sz w:val="24"/>
          <w:szCs w:val="21"/>
          <w:highlight w:val="none"/>
          <w:u w:val="none"/>
        </w:rPr>
        <w:t>方案</w:t>
      </w:r>
      <w:r>
        <w:rPr>
          <w:rFonts w:hint="eastAsia" w:ascii="宋体" w:hAnsi="宋体" w:cs="Times New Roman"/>
          <w:b w:val="0"/>
          <w:bCs w:val="0"/>
          <w:color w:val="auto"/>
          <w:spacing w:val="0"/>
          <w:sz w:val="24"/>
          <w:szCs w:val="21"/>
          <w:highlight w:val="none"/>
          <w:u w:val="none"/>
          <w:lang w:eastAsia="zh-CN"/>
        </w:rPr>
        <w:t>的</w:t>
      </w:r>
      <w:r>
        <w:rPr>
          <w:rFonts w:hint="eastAsia" w:ascii="宋体" w:hAnsi="宋体" w:cs="Times New Roman"/>
          <w:b w:val="0"/>
          <w:color w:val="auto"/>
          <w:sz w:val="24"/>
          <w:szCs w:val="21"/>
          <w:highlight w:val="none"/>
          <w:u w:val="none"/>
        </w:rPr>
        <w:t>页数不得少于</w:t>
      </w:r>
      <w:r>
        <w:rPr>
          <w:rFonts w:hint="eastAsia" w:ascii="宋体" w:hAnsi="宋体" w:cs="Times New Roman"/>
          <w:b w:val="0"/>
          <w:color w:val="auto"/>
          <w:sz w:val="24"/>
          <w:szCs w:val="21"/>
          <w:highlight w:val="none"/>
          <w:u w:val="none"/>
          <w:lang w:val="en-US" w:eastAsia="zh-CN"/>
        </w:rPr>
        <w:t>50</w:t>
      </w:r>
      <w:r>
        <w:rPr>
          <w:rFonts w:hint="eastAsia" w:ascii="宋体" w:hAnsi="宋体" w:cs="Times New Roman"/>
          <w:b w:val="0"/>
          <w:color w:val="auto"/>
          <w:sz w:val="24"/>
          <w:szCs w:val="21"/>
          <w:highlight w:val="none"/>
          <w:u w:val="none"/>
        </w:rPr>
        <w:t>页，不得多于</w:t>
      </w:r>
      <w:r>
        <w:rPr>
          <w:rFonts w:hint="eastAsia" w:ascii="宋体" w:hAnsi="宋体" w:cs="Times New Roman"/>
          <w:b w:val="0"/>
          <w:color w:val="auto"/>
          <w:sz w:val="24"/>
          <w:szCs w:val="21"/>
          <w:highlight w:val="none"/>
          <w:u w:val="none"/>
          <w:lang w:val="en-US" w:eastAsia="zh-CN"/>
        </w:rPr>
        <w:t>200</w:t>
      </w:r>
      <w:r>
        <w:rPr>
          <w:rFonts w:hint="eastAsia" w:ascii="宋体" w:hAnsi="宋体" w:cs="Times New Roman"/>
          <w:b w:val="0"/>
          <w:color w:val="auto"/>
          <w:sz w:val="24"/>
          <w:szCs w:val="21"/>
          <w:highlight w:val="none"/>
          <w:u w:val="none"/>
        </w:rPr>
        <w:t>页</w:t>
      </w:r>
      <w:r>
        <w:rPr>
          <w:rFonts w:hint="eastAsia" w:ascii="宋体" w:hAnsi="宋体" w:cs="Times New Roman"/>
          <w:b w:val="0"/>
          <w:color w:val="auto"/>
          <w:sz w:val="24"/>
          <w:szCs w:val="21"/>
          <w:highlight w:val="none"/>
          <w:u w:val="none"/>
          <w:lang w:eastAsia="zh-CN"/>
        </w:rPr>
        <w:t>。</w:t>
      </w:r>
    </w:p>
    <w:p w14:paraId="71C5B6F0">
      <w:pPr>
        <w:pStyle w:val="189"/>
        <w:keepNext w:val="0"/>
        <w:keepLines w:val="0"/>
        <w:spacing w:before="0" w:after="0" w:line="500" w:lineRule="exact"/>
        <w:ind w:firstLine="422"/>
        <w:rPr>
          <w:rFonts w:ascii="宋体" w:hAnsi="宋体" w:eastAsia="宋体"/>
          <w:bCs w:val="0"/>
          <w:color w:val="auto"/>
          <w:highlight w:val="none"/>
        </w:rPr>
      </w:pPr>
      <w:bookmarkStart w:id="93" w:name="_Hlt26670360"/>
      <w:bookmarkEnd w:id="93"/>
      <w:bookmarkStart w:id="94" w:name="_Hlt26668975"/>
      <w:bookmarkEnd w:id="94"/>
      <w:bookmarkStart w:id="95" w:name="_Hlt26954838"/>
      <w:bookmarkEnd w:id="95"/>
      <w:bookmarkStart w:id="96" w:name="_Toc513029219"/>
      <w:bookmarkStart w:id="97" w:name="_Toc49090509"/>
      <w:bookmarkStart w:id="98" w:name="_Toc14577357"/>
      <w:bookmarkStart w:id="99" w:name="_Toc513029216"/>
      <w:bookmarkStart w:id="100" w:name="_Toc49090507"/>
      <w:bookmarkStart w:id="101" w:name="_Toc14577354"/>
      <w:r>
        <w:rPr>
          <w:rFonts w:hint="eastAsia" w:ascii="宋体" w:hAnsi="宋体" w:eastAsia="宋体"/>
          <w:bCs w:val="0"/>
          <w:color w:val="auto"/>
          <w:highlight w:val="none"/>
        </w:rPr>
        <w:t>11.证明投标人及投标标的符合招标文件规定的文件</w:t>
      </w:r>
      <w:bookmarkEnd w:id="96"/>
      <w:bookmarkEnd w:id="97"/>
      <w:bookmarkEnd w:id="98"/>
    </w:p>
    <w:bookmarkEnd w:id="99"/>
    <w:bookmarkEnd w:id="100"/>
    <w:bookmarkEnd w:id="101"/>
    <w:p w14:paraId="677AEEBB">
      <w:pPr>
        <w:spacing w:line="500" w:lineRule="exact"/>
        <w:ind w:firstLine="480"/>
        <w:rPr>
          <w:rFonts w:ascii="宋体" w:hAnsi="宋体"/>
          <w:bCs/>
          <w:color w:val="auto"/>
          <w:sz w:val="24"/>
          <w:highlight w:val="none"/>
        </w:rPr>
      </w:pPr>
      <w:bookmarkStart w:id="102" w:name="_Toc49090508"/>
      <w:bookmarkStart w:id="103" w:name="_Toc14577355"/>
      <w:r>
        <w:rPr>
          <w:rFonts w:hint="eastAsia" w:ascii="宋体" w:hAnsi="宋体"/>
          <w:bCs/>
          <w:color w:val="auto"/>
          <w:sz w:val="24"/>
          <w:highlight w:val="none"/>
        </w:rPr>
        <w:t>11.1投标人应按照法律、法规、规章和规范性文件以及招标文件要求提交证明文件，证明其及投标标的符合招标文件规定。</w:t>
      </w:r>
    </w:p>
    <w:p w14:paraId="2F854ED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54601D01">
      <w:pPr>
        <w:pStyle w:val="189"/>
        <w:keepNext w:val="0"/>
        <w:keepLines w:val="0"/>
        <w:spacing w:before="0" w:after="0" w:line="500" w:lineRule="exact"/>
        <w:ind w:firstLine="422"/>
        <w:rPr>
          <w:rFonts w:ascii="宋体" w:hAnsi="宋体" w:eastAsia="宋体"/>
          <w:bCs w:val="0"/>
          <w:color w:val="auto"/>
          <w:highlight w:val="none"/>
        </w:rPr>
      </w:pPr>
      <w:bookmarkStart w:id="104" w:name="_Toc14577359"/>
      <w:bookmarkStart w:id="105" w:name="_Toc49090510"/>
      <w:r>
        <w:rPr>
          <w:rFonts w:hint="eastAsia" w:ascii="宋体" w:hAnsi="宋体" w:eastAsia="宋体"/>
          <w:bCs w:val="0"/>
          <w:color w:val="auto"/>
          <w:highlight w:val="none"/>
        </w:rPr>
        <w:t>12.投标函、承诺书和开标一览表</w:t>
      </w:r>
    </w:p>
    <w:p w14:paraId="6BE6A1AF">
      <w:pPr>
        <w:spacing w:line="500" w:lineRule="exact"/>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投标人应按照招标文件中提供的格式，完整、正确填写投标函、承诺书；投标人应按照“苏采云”系统中的给定格式模块为准，完整、正确填写开标一览表。</w:t>
      </w:r>
    </w:p>
    <w:p w14:paraId="431933AF">
      <w:pPr>
        <w:spacing w:line="500" w:lineRule="exact"/>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p>
    <w:bookmarkEnd w:id="104"/>
    <w:bookmarkEnd w:id="105"/>
    <w:p w14:paraId="6A887645">
      <w:pPr>
        <w:pStyle w:val="189"/>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13.</w:t>
      </w:r>
      <w:bookmarkEnd w:id="102"/>
      <w:bookmarkEnd w:id="103"/>
      <w:r>
        <w:rPr>
          <w:rFonts w:hint="eastAsia" w:ascii="宋体" w:hAnsi="宋体" w:eastAsia="宋体"/>
          <w:bCs w:val="0"/>
          <w:color w:val="auto"/>
          <w:highlight w:val="none"/>
        </w:rPr>
        <w:t>分项报价表</w:t>
      </w:r>
    </w:p>
    <w:p w14:paraId="720D435F">
      <w:pPr>
        <w:spacing w:line="500" w:lineRule="exact"/>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106" w:name="_Hlt26954840"/>
      <w:bookmarkEnd w:id="106"/>
      <w:r>
        <w:rPr>
          <w:rFonts w:hint="eastAsia" w:ascii="宋体" w:hAnsi="宋体"/>
          <w:color w:val="auto"/>
          <w:sz w:val="24"/>
          <w:highlight w:val="none"/>
        </w:rPr>
        <w:t>标人根据招标文件采购需求</w:t>
      </w:r>
      <w:bookmarkStart w:id="107" w:name="_Hlt26670399"/>
      <w:bookmarkEnd w:id="107"/>
      <w:r>
        <w:rPr>
          <w:rFonts w:hint="eastAsia" w:ascii="宋体" w:hAnsi="宋体"/>
          <w:color w:val="auto"/>
          <w:sz w:val="24"/>
          <w:highlight w:val="none"/>
          <w:lang w:val="en-US" w:eastAsia="zh-CN"/>
        </w:rPr>
        <w:t>对</w:t>
      </w:r>
      <w:r>
        <w:rPr>
          <w:rFonts w:hint="eastAsia" w:ascii="宋体" w:hAnsi="宋体"/>
          <w:color w:val="auto"/>
          <w:sz w:val="24"/>
          <w:highlight w:val="none"/>
        </w:rPr>
        <w:t>分项报价表</w:t>
      </w:r>
      <w:r>
        <w:rPr>
          <w:rFonts w:hint="eastAsia" w:ascii="宋体" w:hAnsi="宋体"/>
          <w:color w:val="auto"/>
          <w:sz w:val="24"/>
          <w:highlight w:val="none"/>
          <w:lang w:eastAsia="zh-CN"/>
        </w:rPr>
        <w:t>进行投标报价</w:t>
      </w:r>
      <w:r>
        <w:rPr>
          <w:rFonts w:hint="eastAsia" w:ascii="宋体" w:hAnsi="宋体"/>
          <w:color w:val="auto"/>
          <w:sz w:val="24"/>
          <w:highlight w:val="none"/>
        </w:rPr>
        <w:t>。</w:t>
      </w:r>
    </w:p>
    <w:p w14:paraId="04D7220E">
      <w:pPr>
        <w:spacing w:line="500" w:lineRule="exact"/>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5CE342F0">
      <w:pPr>
        <w:pStyle w:val="189"/>
        <w:keepNext w:val="0"/>
        <w:keepLines w:val="0"/>
        <w:spacing w:before="0" w:after="0" w:line="500" w:lineRule="exact"/>
        <w:ind w:firstLine="422"/>
        <w:rPr>
          <w:rFonts w:ascii="宋体" w:hAnsi="宋体" w:eastAsia="宋体"/>
          <w:bCs w:val="0"/>
          <w:color w:val="auto"/>
          <w:highlight w:val="none"/>
        </w:rPr>
      </w:pPr>
      <w:bookmarkStart w:id="108" w:name="_Hlt26670403"/>
      <w:bookmarkEnd w:id="108"/>
      <w:bookmarkStart w:id="109" w:name="_Hlt26668983"/>
      <w:bookmarkEnd w:id="109"/>
      <w:bookmarkStart w:id="110" w:name="_Hlt26954848"/>
      <w:bookmarkEnd w:id="110"/>
      <w:bookmarkStart w:id="111" w:name="_Hlt26954842"/>
      <w:bookmarkEnd w:id="111"/>
      <w:bookmarkStart w:id="112" w:name="_Hlt26670482"/>
      <w:bookmarkEnd w:id="112"/>
      <w:bookmarkStart w:id="113" w:name="_Hlt26954731"/>
      <w:bookmarkEnd w:id="113"/>
      <w:bookmarkStart w:id="114" w:name="_Hlt26954844"/>
      <w:bookmarkEnd w:id="114"/>
      <w:bookmarkStart w:id="115" w:name="_Hlt26954846"/>
      <w:bookmarkEnd w:id="115"/>
      <w:bookmarkStart w:id="116" w:name="_Hlt26670425"/>
      <w:bookmarkEnd w:id="116"/>
      <w:bookmarkStart w:id="117" w:name="_Hlt26670486"/>
      <w:bookmarkEnd w:id="117"/>
      <w:r>
        <w:rPr>
          <w:rFonts w:hint="eastAsia" w:ascii="宋体" w:hAnsi="宋体" w:eastAsia="宋体"/>
          <w:bCs w:val="0"/>
          <w:color w:val="auto"/>
          <w:highlight w:val="none"/>
        </w:rPr>
        <w:t>14.投标偏离表</w:t>
      </w:r>
    </w:p>
    <w:p w14:paraId="2B8AD416">
      <w:pPr>
        <w:tabs>
          <w:tab w:val="left" w:pos="1035"/>
        </w:tabs>
        <w:spacing w:line="500" w:lineRule="exact"/>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2096B6B1">
      <w:pPr>
        <w:pStyle w:val="189"/>
        <w:keepNext w:val="0"/>
        <w:keepLines w:val="0"/>
        <w:spacing w:before="0" w:after="0" w:line="500" w:lineRule="exact"/>
        <w:ind w:firstLine="422"/>
        <w:rPr>
          <w:rFonts w:ascii="宋体" w:hAnsi="宋体" w:eastAsia="宋体"/>
          <w:bCs w:val="0"/>
          <w:color w:val="auto"/>
          <w:highlight w:val="none"/>
        </w:rPr>
      </w:pPr>
      <w:bookmarkStart w:id="118" w:name="_Hlt26954850"/>
      <w:bookmarkEnd w:id="118"/>
      <w:bookmarkStart w:id="119" w:name="_Hlt26954734"/>
      <w:bookmarkEnd w:id="119"/>
      <w:bookmarkStart w:id="120" w:name="_Hlt26670489"/>
      <w:bookmarkEnd w:id="120"/>
      <w:bookmarkStart w:id="121" w:name="_Toc14577360"/>
      <w:bookmarkStart w:id="122" w:name="_Toc49090511"/>
      <w:r>
        <w:rPr>
          <w:rFonts w:hint="eastAsia" w:ascii="宋体" w:hAnsi="宋体" w:eastAsia="宋体"/>
          <w:bCs w:val="0"/>
          <w:color w:val="auto"/>
          <w:highlight w:val="none"/>
        </w:rPr>
        <w:t>15.投标有效期</w:t>
      </w:r>
      <w:bookmarkEnd w:id="121"/>
      <w:bookmarkEnd w:id="122"/>
    </w:p>
    <w:p w14:paraId="0852FB83">
      <w:pPr>
        <w:spacing w:line="500" w:lineRule="exact"/>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投标有效期为招标文件规定的开标之日后一百二十</w:t>
      </w:r>
      <w:r>
        <w:rPr>
          <w:rFonts w:hint="eastAsia" w:ascii="宋体" w:hAnsi="宋体"/>
          <w:color w:val="auto"/>
          <w:sz w:val="24"/>
          <w:highlight w:val="none"/>
        </w:rPr>
        <w:t>（120）天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2DC4F286">
      <w:pPr>
        <w:pStyle w:val="189"/>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16.投标有效期的延长</w:t>
      </w:r>
    </w:p>
    <w:p w14:paraId="5DA94FE7">
      <w:pPr>
        <w:spacing w:line="500" w:lineRule="exact"/>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660C7D5E">
      <w:pPr>
        <w:pStyle w:val="188"/>
        <w:keepNext w:val="0"/>
        <w:keepLines w:val="0"/>
        <w:spacing w:before="0" w:after="0" w:line="500" w:lineRule="exact"/>
        <w:ind w:firstLine="452"/>
        <w:rPr>
          <w:color w:val="auto"/>
          <w:sz w:val="30"/>
          <w:szCs w:val="30"/>
          <w:highlight w:val="none"/>
        </w:rPr>
      </w:pPr>
      <w:bookmarkStart w:id="123" w:name="_Hlt26954852"/>
      <w:bookmarkEnd w:id="123"/>
      <w:bookmarkStart w:id="124" w:name="_Hlt26954739"/>
      <w:bookmarkEnd w:id="124"/>
      <w:bookmarkStart w:id="125" w:name="_Toc513029224"/>
      <w:bookmarkStart w:id="126" w:name="_Toc16938540"/>
      <w:bookmarkStart w:id="127" w:name="_Toc20823296"/>
      <w:bookmarkStart w:id="128" w:name="_Toc120614217"/>
      <w:r>
        <w:rPr>
          <w:rFonts w:hint="eastAsia"/>
          <w:color w:val="auto"/>
          <w:sz w:val="30"/>
          <w:szCs w:val="30"/>
          <w:highlight w:val="none"/>
        </w:rPr>
        <w:t>四、投标文件的递交</w:t>
      </w:r>
      <w:bookmarkEnd w:id="125"/>
      <w:bookmarkEnd w:id="126"/>
      <w:bookmarkEnd w:id="127"/>
      <w:bookmarkEnd w:id="128"/>
    </w:p>
    <w:p w14:paraId="623AEC90">
      <w:pPr>
        <w:pStyle w:val="189"/>
        <w:keepNext w:val="0"/>
        <w:keepLines w:val="0"/>
        <w:spacing w:before="0" w:after="0" w:line="500" w:lineRule="exact"/>
        <w:ind w:firstLine="422"/>
        <w:rPr>
          <w:rFonts w:ascii="宋体" w:hAnsi="宋体" w:eastAsia="宋体"/>
          <w:bCs w:val="0"/>
          <w:color w:val="auto"/>
          <w:highlight w:val="none"/>
        </w:rPr>
      </w:pPr>
      <w:bookmarkStart w:id="129" w:name="_Toc513029225"/>
      <w:bookmarkStart w:id="130" w:name="_Toc20823297"/>
      <w:bookmarkStart w:id="131" w:name="_Toc462564084"/>
      <w:bookmarkStart w:id="132" w:name="_Toc16938541"/>
      <w:r>
        <w:rPr>
          <w:rFonts w:hint="eastAsia" w:ascii="宋体" w:hAnsi="宋体" w:eastAsia="宋体"/>
          <w:bCs w:val="0"/>
          <w:color w:val="auto"/>
          <w:highlight w:val="none"/>
        </w:rPr>
        <w:t>17.投标文件</w:t>
      </w:r>
      <w:bookmarkEnd w:id="129"/>
      <w:bookmarkEnd w:id="130"/>
      <w:bookmarkEnd w:id="131"/>
      <w:bookmarkEnd w:id="132"/>
      <w:r>
        <w:rPr>
          <w:rFonts w:hint="eastAsia" w:ascii="宋体" w:hAnsi="宋体" w:eastAsia="宋体"/>
          <w:bCs w:val="0"/>
          <w:color w:val="auto"/>
          <w:highlight w:val="none"/>
        </w:rPr>
        <w:t>的递交</w:t>
      </w:r>
    </w:p>
    <w:p w14:paraId="648D633E">
      <w:pPr>
        <w:spacing w:line="500" w:lineRule="exact"/>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672A01D1">
      <w:pPr>
        <w:pStyle w:val="296"/>
        <w:spacing w:line="500" w:lineRule="exact"/>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3" w:name="_Toc20823298"/>
      <w:bookmarkStart w:id="134" w:name="_Toc16938542"/>
      <w:bookmarkStart w:id="135" w:name="_Toc513029226"/>
    </w:p>
    <w:p w14:paraId="41D63261">
      <w:pPr>
        <w:pStyle w:val="189"/>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18.投标截止</w:t>
      </w:r>
      <w:bookmarkEnd w:id="133"/>
      <w:bookmarkEnd w:id="134"/>
      <w:bookmarkEnd w:id="135"/>
      <w:r>
        <w:rPr>
          <w:rFonts w:hint="eastAsia" w:ascii="宋体" w:hAnsi="宋体" w:eastAsia="宋体"/>
          <w:bCs w:val="0"/>
          <w:color w:val="auto"/>
          <w:highlight w:val="none"/>
        </w:rPr>
        <w:t>时间</w:t>
      </w:r>
    </w:p>
    <w:p w14:paraId="2211D436">
      <w:pPr>
        <w:spacing w:line="500" w:lineRule="exact"/>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05D9DE07">
      <w:pPr>
        <w:spacing w:line="500" w:lineRule="exact"/>
        <w:ind w:firstLine="480"/>
        <w:rPr>
          <w:rFonts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auto"/>
          <w:sz w:val="24"/>
          <w:highlight w:val="none"/>
          <w:lang w:eastAsia="zh-CN"/>
        </w:rPr>
        <w:t>作</w:t>
      </w:r>
      <w:r>
        <w:rPr>
          <w:rFonts w:hint="eastAsia" w:ascii="宋体" w:hAnsi="宋体"/>
          <w:bCs/>
          <w:color w:val="auto"/>
          <w:sz w:val="24"/>
          <w:highlight w:val="none"/>
        </w:rPr>
        <w:t>无效投标处理。</w:t>
      </w:r>
    </w:p>
    <w:p w14:paraId="71F20221">
      <w:pPr>
        <w:spacing w:line="500" w:lineRule="exact"/>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代理机构可以按照规定，通过更正公告修改投标截止时间，投标人的所有权利和义务以及投标人受制的截止时间均应以延长后新的截止时间为准。</w:t>
      </w:r>
    </w:p>
    <w:p w14:paraId="1321AD65">
      <w:pPr>
        <w:pStyle w:val="189"/>
        <w:keepNext w:val="0"/>
        <w:keepLines w:val="0"/>
        <w:spacing w:before="0" w:after="0" w:line="500" w:lineRule="exact"/>
        <w:ind w:firstLine="422"/>
        <w:rPr>
          <w:rFonts w:ascii="宋体" w:hAnsi="宋体" w:eastAsia="宋体"/>
          <w:bCs w:val="0"/>
          <w:color w:val="auto"/>
          <w:highlight w:val="none"/>
        </w:rPr>
      </w:pPr>
      <w:bookmarkStart w:id="136" w:name="_Toc513029227"/>
      <w:bookmarkStart w:id="137" w:name="_Toc16938543"/>
      <w:bookmarkStart w:id="138" w:name="_Toc20823299"/>
      <w:r>
        <w:rPr>
          <w:rFonts w:hint="eastAsia" w:ascii="宋体" w:hAnsi="宋体" w:eastAsia="宋体"/>
          <w:bCs w:val="0"/>
          <w:color w:val="auto"/>
          <w:highlight w:val="none"/>
        </w:rPr>
        <w:t>19.投标文件</w:t>
      </w:r>
      <w:bookmarkEnd w:id="136"/>
      <w:bookmarkEnd w:id="137"/>
      <w:bookmarkEnd w:id="138"/>
      <w:r>
        <w:rPr>
          <w:rFonts w:hint="eastAsia" w:ascii="宋体" w:hAnsi="宋体" w:eastAsia="宋体"/>
          <w:bCs w:val="0"/>
          <w:color w:val="auto"/>
          <w:highlight w:val="none"/>
        </w:rPr>
        <w:t>的拒收</w:t>
      </w:r>
    </w:p>
    <w:p w14:paraId="76F6492E">
      <w:pPr>
        <w:spacing w:line="500" w:lineRule="exact"/>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rPr>
        <w:t>代理机构拒绝接收在其规定的投标截止时间后上传的任何投标文件。</w:t>
      </w:r>
    </w:p>
    <w:p w14:paraId="240A31B5">
      <w:pPr>
        <w:pStyle w:val="189"/>
        <w:keepNext w:val="0"/>
        <w:keepLines w:val="0"/>
        <w:spacing w:before="0" w:after="0" w:line="500" w:lineRule="exact"/>
        <w:ind w:firstLine="422"/>
        <w:rPr>
          <w:rFonts w:ascii="宋体" w:hAnsi="宋体" w:eastAsia="宋体"/>
          <w:bCs w:val="0"/>
          <w:color w:val="auto"/>
          <w:highlight w:val="none"/>
        </w:rPr>
      </w:pPr>
      <w:bookmarkStart w:id="139" w:name="_Toc513029228"/>
      <w:bookmarkStart w:id="140" w:name="_Toc16938544"/>
      <w:bookmarkStart w:id="141" w:name="_Toc20823300"/>
      <w:r>
        <w:rPr>
          <w:rFonts w:hint="eastAsia" w:ascii="宋体" w:hAnsi="宋体" w:eastAsia="宋体"/>
          <w:bCs w:val="0"/>
          <w:color w:val="auto"/>
          <w:highlight w:val="none"/>
        </w:rPr>
        <w:t>20.投标文件的撤回和修改</w:t>
      </w:r>
      <w:bookmarkEnd w:id="139"/>
      <w:bookmarkEnd w:id="140"/>
      <w:bookmarkEnd w:id="141"/>
    </w:p>
    <w:p w14:paraId="72006C23">
      <w:pPr>
        <w:spacing w:line="500" w:lineRule="exact"/>
        <w:ind w:firstLine="480"/>
        <w:rPr>
          <w:rFonts w:ascii="宋体" w:hAnsi="宋体"/>
          <w:color w:val="auto"/>
          <w:sz w:val="24"/>
          <w:highlight w:val="none"/>
        </w:rPr>
      </w:pPr>
      <w:r>
        <w:rPr>
          <w:rFonts w:hint="eastAsia" w:ascii="宋体" w:hAnsi="宋体"/>
          <w:color w:val="auto"/>
          <w:sz w:val="24"/>
          <w:highlight w:val="none"/>
        </w:rPr>
        <w:t>20.1投标文件的撤回</w:t>
      </w:r>
    </w:p>
    <w:p w14:paraId="7BF6F9EB">
      <w:pPr>
        <w:spacing w:line="500" w:lineRule="exact"/>
        <w:ind w:firstLine="480"/>
        <w:rPr>
          <w:rFonts w:ascii="宋体" w:hAnsi="宋体"/>
          <w:color w:val="auto"/>
          <w:sz w:val="24"/>
          <w:highlight w:val="none"/>
        </w:rPr>
      </w:pPr>
      <w:r>
        <w:rPr>
          <w:rFonts w:hint="eastAsia" w:ascii="宋体" w:hAnsi="宋体"/>
          <w:color w:val="auto"/>
          <w:sz w:val="24"/>
          <w:highlight w:val="none"/>
        </w:rPr>
        <w:t>21.1.1电子投标文件的撤回</w:t>
      </w:r>
    </w:p>
    <w:p w14:paraId="674203EE">
      <w:pPr>
        <w:spacing w:line="500" w:lineRule="exact"/>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66E984D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1535905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2CDAC3F2">
      <w:pPr>
        <w:spacing w:line="500" w:lineRule="exact"/>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78ED7521">
      <w:pPr>
        <w:spacing w:line="500" w:lineRule="exact"/>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58B703E4">
      <w:pPr>
        <w:spacing w:line="500" w:lineRule="exact"/>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7309D5ED">
      <w:pPr>
        <w:pStyle w:val="188"/>
        <w:keepNext w:val="0"/>
        <w:keepLines w:val="0"/>
        <w:spacing w:before="0" w:after="0" w:line="500" w:lineRule="exact"/>
        <w:ind w:firstLine="452"/>
        <w:rPr>
          <w:color w:val="auto"/>
          <w:sz w:val="30"/>
          <w:szCs w:val="30"/>
          <w:highlight w:val="none"/>
        </w:rPr>
      </w:pPr>
      <w:bookmarkStart w:id="142" w:name="_Toc16938545"/>
      <w:bookmarkStart w:id="143" w:name="_Toc513029229"/>
      <w:bookmarkStart w:id="144" w:name="_Toc120614218"/>
      <w:bookmarkStart w:id="145" w:name="_Toc20823301"/>
      <w:r>
        <w:rPr>
          <w:rFonts w:hint="eastAsia"/>
          <w:color w:val="auto"/>
          <w:sz w:val="30"/>
          <w:szCs w:val="30"/>
          <w:highlight w:val="none"/>
        </w:rPr>
        <w:t>五、开标与评标</w:t>
      </w:r>
      <w:bookmarkEnd w:id="142"/>
      <w:bookmarkEnd w:id="143"/>
      <w:bookmarkEnd w:id="144"/>
      <w:bookmarkEnd w:id="145"/>
    </w:p>
    <w:p w14:paraId="00E8228B">
      <w:pPr>
        <w:pStyle w:val="189"/>
        <w:keepNext w:val="0"/>
        <w:keepLines w:val="0"/>
        <w:spacing w:before="0" w:after="0" w:line="500" w:lineRule="exact"/>
        <w:ind w:firstLine="422"/>
        <w:rPr>
          <w:rFonts w:ascii="宋体" w:hAnsi="宋体" w:eastAsia="宋体"/>
          <w:bCs w:val="0"/>
          <w:color w:val="auto"/>
          <w:highlight w:val="none"/>
        </w:rPr>
      </w:pPr>
      <w:bookmarkStart w:id="146" w:name="_Toc16938546"/>
      <w:bookmarkStart w:id="147" w:name="_Toc513029230"/>
      <w:bookmarkStart w:id="148" w:name="_Toc20823302"/>
      <w:r>
        <w:rPr>
          <w:rFonts w:hint="eastAsia" w:ascii="宋体" w:hAnsi="宋体" w:eastAsia="宋体"/>
          <w:bCs w:val="0"/>
          <w:color w:val="auto"/>
          <w:highlight w:val="none"/>
        </w:rPr>
        <w:t>21.开标</w:t>
      </w:r>
      <w:bookmarkEnd w:id="146"/>
      <w:bookmarkEnd w:id="147"/>
      <w:bookmarkEnd w:id="148"/>
    </w:p>
    <w:p w14:paraId="3E808C9D">
      <w:pPr>
        <w:spacing w:line="500" w:lineRule="exact"/>
        <w:ind w:firstLine="480"/>
        <w:rPr>
          <w:color w:val="auto"/>
          <w:highlight w:val="none"/>
        </w:rPr>
      </w:pPr>
      <w:r>
        <w:rPr>
          <w:rFonts w:hint="eastAsia" w:ascii="宋体" w:hAnsi="宋体"/>
          <w:color w:val="auto"/>
          <w:sz w:val="24"/>
          <w:highlight w:val="none"/>
        </w:rPr>
        <w:t>21.1</w:t>
      </w:r>
      <w:r>
        <w:rPr>
          <w:rFonts w:hint="eastAsia" w:ascii="宋体" w:hAnsi="宋体"/>
          <w:bCs/>
          <w:color w:val="auto"/>
          <w:sz w:val="24"/>
          <w:highlight w:val="none"/>
        </w:rPr>
        <w:t>代理机构将在招标公告中规定的时间和地点组织公开开标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F5EF595">
      <w:pPr>
        <w:spacing w:line="500" w:lineRule="exact"/>
        <w:ind w:firstLine="480"/>
        <w:rPr>
          <w:rFonts w:ascii="宋体" w:hAnsi="宋体"/>
          <w:color w:val="auto"/>
          <w:sz w:val="24"/>
          <w:highlight w:val="none"/>
        </w:rPr>
      </w:pPr>
      <w:r>
        <w:rPr>
          <w:rFonts w:hint="eastAsia" w:ascii="宋体" w:hAnsi="宋体"/>
          <w:color w:val="auto"/>
          <w:sz w:val="24"/>
          <w:highlight w:val="none"/>
        </w:rPr>
        <w:t>21.2开标仪式由代理机构组织。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1B082174">
      <w:pPr>
        <w:spacing w:line="500" w:lineRule="exact"/>
        <w:ind w:firstLine="480"/>
        <w:rPr>
          <w:rFonts w:ascii="宋体" w:hAnsi="宋体"/>
          <w:color w:val="auto"/>
          <w:sz w:val="24"/>
          <w:highlight w:val="none"/>
        </w:rPr>
      </w:pPr>
      <w:r>
        <w:rPr>
          <w:rFonts w:hint="eastAsia" w:ascii="宋体" w:hAnsi="宋体"/>
          <w:color w:val="auto"/>
          <w:sz w:val="24"/>
          <w:highlight w:val="none"/>
        </w:rPr>
        <w:t>21.3投标人在开标过程中涉及的投标文件解密、开标结果确认等工作，应按照《操作手册》规定执行。</w:t>
      </w:r>
    </w:p>
    <w:p w14:paraId="15FE3F78">
      <w:pPr>
        <w:spacing w:line="500" w:lineRule="exact"/>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0577D49A">
      <w:pPr>
        <w:pStyle w:val="189"/>
        <w:keepNext w:val="0"/>
        <w:keepLines w:val="0"/>
        <w:spacing w:before="0" w:after="0" w:line="500" w:lineRule="exact"/>
        <w:ind w:firstLine="422"/>
        <w:rPr>
          <w:rFonts w:ascii="宋体" w:hAnsi="宋体" w:eastAsia="宋体"/>
          <w:bCs w:val="0"/>
          <w:color w:val="auto"/>
          <w:highlight w:val="none"/>
        </w:rPr>
      </w:pPr>
      <w:bookmarkStart w:id="149" w:name="_Toc20823303"/>
      <w:bookmarkStart w:id="150" w:name="_Toc16938547"/>
      <w:bookmarkStart w:id="151" w:name="_Toc513029231"/>
      <w:r>
        <w:rPr>
          <w:rFonts w:hint="eastAsia" w:ascii="宋体" w:hAnsi="宋体" w:eastAsia="宋体"/>
          <w:bCs w:val="0"/>
          <w:color w:val="auto"/>
          <w:highlight w:val="none"/>
        </w:rPr>
        <w:t>22.评标委员会</w:t>
      </w:r>
    </w:p>
    <w:p w14:paraId="569C880D">
      <w:pPr>
        <w:spacing w:line="500" w:lineRule="exact"/>
        <w:ind w:firstLine="480"/>
        <w:rPr>
          <w:rFonts w:ascii="宋体" w:hAnsi="宋体"/>
          <w:b/>
          <w:color w:val="auto"/>
          <w:sz w:val="24"/>
          <w:szCs w:val="24"/>
          <w:highlight w:val="none"/>
        </w:rPr>
      </w:pPr>
      <w:r>
        <w:rPr>
          <w:rFonts w:hint="eastAsia" w:ascii="宋体" w:hAnsi="宋体"/>
          <w:color w:val="auto"/>
          <w:sz w:val="24"/>
          <w:szCs w:val="24"/>
          <w:highlight w:val="none"/>
        </w:rPr>
        <w:t>22.1开标后，代理机构将立即组织评标委员会（以下简称评委会）进行评标。</w:t>
      </w:r>
    </w:p>
    <w:p w14:paraId="775FF25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4511BED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22.3评委会独立工作，负责对招标</w:t>
      </w:r>
      <w:r>
        <w:rPr>
          <w:rFonts w:hint="eastAsia" w:ascii="宋体" w:hAnsi="宋体"/>
          <w:color w:val="auto"/>
          <w:sz w:val="24"/>
          <w:highlight w:val="none"/>
        </w:rPr>
        <w:t>文件进行审核，确认其不存在歧视性、排他性等不合理条款后，开始</w:t>
      </w:r>
      <w:r>
        <w:rPr>
          <w:rFonts w:hint="eastAsia" w:ascii="宋体" w:hAnsi="宋体"/>
          <w:color w:val="auto"/>
          <w:sz w:val="24"/>
          <w:szCs w:val="24"/>
          <w:highlight w:val="none"/>
        </w:rPr>
        <w:t>负责评审所有投标文件并确定中标候选人。</w:t>
      </w:r>
    </w:p>
    <w:p w14:paraId="7B06EC7C">
      <w:pPr>
        <w:pStyle w:val="189"/>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23.评标过程的保密与公正</w:t>
      </w:r>
    </w:p>
    <w:bookmarkEnd w:id="149"/>
    <w:bookmarkEnd w:id="150"/>
    <w:bookmarkEnd w:id="151"/>
    <w:p w14:paraId="0D3574FD">
      <w:pPr>
        <w:spacing w:line="500" w:lineRule="exact"/>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凡是与审查、澄清、评价和比较投标的有关资料以及授标建议等，采购人、评委、代理机构均不得向投标人或与评标无关的其他人员透露。</w:t>
      </w:r>
    </w:p>
    <w:p w14:paraId="53BFC4C3">
      <w:pPr>
        <w:spacing w:line="500" w:lineRule="exact"/>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7A21CE9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rPr>
        <w:t>代理机构和评标委员会不向未中标的投标人解释未中标原因，也不公布评标过程中的相关细节。</w:t>
      </w:r>
    </w:p>
    <w:p w14:paraId="7543B4B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52ACB302">
      <w:pPr>
        <w:pStyle w:val="189"/>
        <w:keepNext w:val="0"/>
        <w:keepLines w:val="0"/>
        <w:spacing w:before="0" w:after="0" w:line="500" w:lineRule="exact"/>
        <w:ind w:firstLine="422"/>
        <w:rPr>
          <w:rFonts w:ascii="宋体" w:hAnsi="宋体" w:eastAsia="宋体"/>
          <w:bCs w:val="0"/>
          <w:color w:val="auto"/>
          <w:highlight w:val="none"/>
        </w:rPr>
      </w:pPr>
      <w:bookmarkStart w:id="152" w:name="_Toc16938548"/>
      <w:bookmarkStart w:id="153" w:name="_Toc513029232"/>
      <w:bookmarkStart w:id="154" w:name="_Toc20823304"/>
      <w:r>
        <w:rPr>
          <w:rFonts w:hint="eastAsia" w:ascii="宋体" w:hAnsi="宋体" w:eastAsia="宋体"/>
          <w:bCs w:val="0"/>
          <w:color w:val="auto"/>
          <w:highlight w:val="none"/>
        </w:rPr>
        <w:t>24.投标文件的澄清</w:t>
      </w:r>
      <w:bookmarkEnd w:id="152"/>
      <w:bookmarkEnd w:id="153"/>
      <w:bookmarkEnd w:id="154"/>
    </w:p>
    <w:p w14:paraId="416213AC">
      <w:pPr>
        <w:spacing w:line="50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0B0303B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5A193A3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412E9E7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24.3接到评委会澄清、说明和补正要求的投标人如未按规定及时做出澄清、说明和补正，其风险由投标人自行承担。</w:t>
      </w:r>
    </w:p>
    <w:p w14:paraId="0D59B6C1">
      <w:pPr>
        <w:pStyle w:val="189"/>
        <w:keepNext w:val="0"/>
        <w:keepLines w:val="0"/>
        <w:spacing w:before="0" w:after="0" w:line="500" w:lineRule="exact"/>
        <w:ind w:firstLine="422"/>
        <w:rPr>
          <w:rFonts w:ascii="宋体" w:hAnsi="宋体" w:eastAsia="宋体"/>
          <w:bCs w:val="0"/>
          <w:color w:val="auto"/>
          <w:highlight w:val="none"/>
        </w:rPr>
      </w:pPr>
      <w:bookmarkStart w:id="155" w:name="_Toc20823305"/>
      <w:bookmarkStart w:id="156" w:name="_Toc16938549"/>
      <w:bookmarkStart w:id="157" w:name="_Toc513029233"/>
      <w:r>
        <w:rPr>
          <w:rFonts w:hint="eastAsia" w:ascii="宋体" w:hAnsi="宋体" w:eastAsia="宋体"/>
          <w:bCs w:val="0"/>
          <w:color w:val="auto"/>
          <w:highlight w:val="none"/>
        </w:rPr>
        <w:t>25.对投标文件的初审</w:t>
      </w:r>
      <w:bookmarkEnd w:id="155"/>
      <w:bookmarkEnd w:id="156"/>
      <w:bookmarkEnd w:id="157"/>
    </w:p>
    <w:p w14:paraId="7CF6BDFD">
      <w:pPr>
        <w:spacing w:line="500" w:lineRule="exact"/>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43F49F20">
      <w:pPr>
        <w:spacing w:line="500" w:lineRule="exact"/>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10FA69F1">
      <w:pPr>
        <w:spacing w:line="500" w:lineRule="exact"/>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w:t>
      </w:r>
      <w:r>
        <w:rPr>
          <w:rFonts w:hint="eastAsia" w:ascii="宋体" w:hAnsi="宋体" w:cs="宋体"/>
          <w:color w:val="auto"/>
          <w:sz w:val="24"/>
          <w:szCs w:val="24"/>
          <w:highlight w:val="none"/>
          <w:lang w:val="en-US" w:eastAsia="zh-CN"/>
        </w:rPr>
        <w:t>失信主体</w:t>
      </w:r>
      <w:r>
        <w:rPr>
          <w:rFonts w:hint="eastAsia" w:ascii="宋体" w:hAnsi="宋体" w:cs="宋体"/>
          <w:color w:val="auto"/>
          <w:sz w:val="24"/>
          <w:szCs w:val="24"/>
          <w:highlight w:val="none"/>
        </w:rPr>
        <w:t>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5E52313C">
      <w:pPr>
        <w:spacing w:line="500" w:lineRule="exact"/>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bCs/>
          <w:color w:val="auto"/>
          <w:sz w:val="24"/>
          <w:highlight w:val="none"/>
          <w:lang w:eastAsia="zh-CN"/>
        </w:rPr>
        <w:t>，</w:t>
      </w:r>
      <w:r>
        <w:rPr>
          <w:rFonts w:hint="eastAsia" w:ascii="宋体" w:hAnsi="宋体"/>
          <w:bCs/>
          <w:color w:val="auto"/>
          <w:sz w:val="24"/>
          <w:highlight w:val="none"/>
        </w:rPr>
        <w:t>联合体成员存在不良信用记录的，视同联合体存在不良信用记录。</w:t>
      </w:r>
    </w:p>
    <w:p w14:paraId="5C3C8362">
      <w:pPr>
        <w:spacing w:line="500" w:lineRule="exact"/>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48944411">
      <w:pPr>
        <w:spacing w:line="500" w:lineRule="exact"/>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35B4D473">
      <w:pPr>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1E70D00C">
      <w:pPr>
        <w:spacing w:line="500" w:lineRule="exact"/>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441E1DD">
      <w:pPr>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1D633B88">
      <w:pPr>
        <w:spacing w:line="500" w:lineRule="exact"/>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78927671">
      <w:pPr>
        <w:spacing w:line="50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B1BCE1F">
      <w:pPr>
        <w:spacing w:line="50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4FE6FE12">
      <w:pPr>
        <w:spacing w:line="50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3A152947">
      <w:pPr>
        <w:spacing w:line="500" w:lineRule="exact"/>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207EE7A9">
      <w:pPr>
        <w:spacing w:line="500" w:lineRule="exact"/>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776307DB">
      <w:pPr>
        <w:spacing w:line="500" w:lineRule="exact"/>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2178FE76">
      <w:pPr>
        <w:spacing w:line="500" w:lineRule="exact"/>
        <w:ind w:firstLine="420"/>
        <w:rPr>
          <w:rFonts w:ascii="宋体" w:hAnsi="宋体"/>
          <w:color w:val="auto"/>
          <w:sz w:val="24"/>
          <w:highlight w:val="none"/>
        </w:rPr>
      </w:pPr>
      <w:bookmarkStart w:id="158" w:name="_Toc16938550"/>
      <w:bookmarkStart w:id="159" w:name="_Toc20823306"/>
      <w:bookmarkStart w:id="160" w:name="_Toc513029234"/>
      <w:r>
        <w:rPr>
          <w:rFonts w:hint="eastAsia" w:ascii="宋体" w:hAnsi="宋体"/>
          <w:color w:val="auto"/>
          <w:sz w:val="24"/>
          <w:highlight w:val="none"/>
        </w:rPr>
        <w:t>25.6投标人在开、评标全过程中应</w:t>
      </w:r>
      <w:r>
        <w:rPr>
          <w:rFonts w:hint="eastAsia" w:ascii="宋体" w:hAnsi="宋体"/>
          <w:color w:val="auto"/>
          <w:sz w:val="24"/>
          <w:highlight w:val="none"/>
          <w:lang w:eastAsia="zh-CN"/>
        </w:rPr>
        <w:t>保持通信畅通</w:t>
      </w:r>
      <w:r>
        <w:rPr>
          <w:rFonts w:hint="eastAsia" w:ascii="宋体" w:hAnsi="宋体"/>
          <w:color w:val="auto"/>
          <w:sz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6F784C3B">
      <w:pPr>
        <w:pStyle w:val="189"/>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26</w:t>
      </w:r>
      <w:bookmarkEnd w:id="158"/>
      <w:bookmarkEnd w:id="159"/>
      <w:bookmarkEnd w:id="160"/>
      <w:r>
        <w:rPr>
          <w:rFonts w:hint="eastAsia" w:ascii="宋体" w:hAnsi="宋体" w:eastAsia="宋体"/>
          <w:bCs w:val="0"/>
          <w:color w:val="auto"/>
          <w:highlight w:val="none"/>
        </w:rPr>
        <w:t>.无效投标条款和废标条款</w:t>
      </w:r>
    </w:p>
    <w:p w14:paraId="61775877">
      <w:pPr>
        <w:spacing w:line="500" w:lineRule="exact"/>
        <w:ind w:left="479"/>
        <w:rPr>
          <w:rFonts w:ascii="宋体" w:hAnsi="宋体"/>
          <w:bCs/>
          <w:color w:val="auto"/>
          <w:sz w:val="24"/>
          <w:highlight w:val="none"/>
        </w:rPr>
      </w:pPr>
      <w:bookmarkStart w:id="161" w:name="_Toc16938551"/>
      <w:bookmarkStart w:id="162" w:name="_Toc513029235"/>
      <w:bookmarkStart w:id="163" w:name="_Toc20823307"/>
      <w:r>
        <w:rPr>
          <w:rFonts w:hint="eastAsia" w:ascii="宋体" w:hAnsi="宋体"/>
          <w:bCs/>
          <w:color w:val="auto"/>
          <w:sz w:val="24"/>
          <w:highlight w:val="none"/>
        </w:rPr>
        <w:t>26.1无效投标条款</w:t>
      </w:r>
    </w:p>
    <w:p w14:paraId="22B516A1">
      <w:pPr>
        <w:spacing w:line="500" w:lineRule="exact"/>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42F81670">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0A7361AD">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1C12A12A">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0A05EDA8">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215AEBF4">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196B76F8">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79F8368C">
      <w:pPr>
        <w:spacing w:line="500" w:lineRule="exact"/>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列入失信被执行人或重大税收违法</w:t>
      </w:r>
      <w:r>
        <w:rPr>
          <w:rFonts w:hint="eastAsia" w:ascii="宋体" w:hAnsi="宋体"/>
          <w:color w:val="auto"/>
          <w:sz w:val="24"/>
          <w:szCs w:val="24"/>
          <w:highlight w:val="none"/>
          <w:lang w:val="en-US" w:eastAsia="zh-CN"/>
        </w:rPr>
        <w:t>失信主体</w:t>
      </w:r>
      <w:r>
        <w:rPr>
          <w:rFonts w:hint="eastAsia" w:ascii="宋体" w:hAnsi="宋体"/>
          <w:color w:val="auto"/>
          <w:sz w:val="24"/>
          <w:szCs w:val="24"/>
          <w:highlight w:val="none"/>
        </w:rPr>
        <w:t>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70945880">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07DB7B70">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项目（采购包、标项、标段）投标总价超过本项目（本采购包、本标项、本标段）预算或最高限价的。</w:t>
      </w:r>
    </w:p>
    <w:p w14:paraId="3C8D4BCD">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6E84FF4A">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03CE11DD">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304AD6E0">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096B4D1B">
      <w:pPr>
        <w:spacing w:line="500" w:lineRule="exact"/>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4BCFE5E0">
      <w:pPr>
        <w:spacing w:line="500" w:lineRule="exact"/>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44D026BC">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6668A65F">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2116C40C">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584AAF4">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286529E4">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780779F5">
      <w:pPr>
        <w:widowControl/>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w:t>
      </w:r>
      <w:r>
        <w:rPr>
          <w:rFonts w:hint="eastAsia" w:ascii="宋体" w:hAnsi="宋体"/>
          <w:bCs/>
          <w:color w:val="auto"/>
          <w:sz w:val="24"/>
          <w:highlight w:val="none"/>
        </w:rPr>
        <w:t>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72DB695B">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评标</w:t>
      </w:r>
      <w:r>
        <w:rPr>
          <w:rFonts w:hint="eastAsia" w:ascii="宋体" w:hAnsi="宋体"/>
          <w:bCs/>
          <w:color w:val="auto"/>
          <w:sz w:val="24"/>
          <w:szCs w:val="24"/>
          <w:highlight w:val="none"/>
        </w:rPr>
        <w:t>委员会启动异常低价投标（响应）审查的情形和具体要求，包括：</w:t>
      </w:r>
    </w:p>
    <w:p w14:paraId="60307D8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（1）评审过程中出现下列情形之一的，</w:t>
      </w:r>
      <w:r>
        <w:rPr>
          <w:rFonts w:hint="eastAsia" w:ascii="宋体" w:hAnsi="宋体"/>
          <w:bCs/>
          <w:color w:val="auto"/>
          <w:sz w:val="24"/>
          <w:highlight w:val="none"/>
        </w:rPr>
        <w:t>评标委员会</w:t>
      </w:r>
      <w:r>
        <w:rPr>
          <w:rFonts w:hint="eastAsia" w:ascii="宋体" w:hAnsi="宋体"/>
          <w:bCs/>
          <w:color w:val="auto"/>
          <w:sz w:val="24"/>
          <w:szCs w:val="24"/>
          <w:highlight w:val="none"/>
        </w:rPr>
        <w:t>应当启动异常低价投标（响应）审查程序：</w:t>
      </w:r>
    </w:p>
    <w:p w14:paraId="2DFC9A83">
      <w:pPr>
        <w:widowControl/>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1.投标（响应）报价低于全部通过符合性审查供应商投标（响应）报价平均值50%的，即投标（响应）报价&lt;全部通过符合性审查供应商投标（响应）报价平均值×50%；</w:t>
      </w:r>
    </w:p>
    <w:p w14:paraId="385B2F82">
      <w:pPr>
        <w:widowControl/>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2.投标（响应）报价低于通过符合性审查的次低报价供应商投标（响应）报价50%的，即投标（响应）报价&lt;通过符合性审查的次低报价供应商投标（响应）报价×50%；</w:t>
      </w:r>
    </w:p>
    <w:p w14:paraId="151B97E9">
      <w:pPr>
        <w:widowControl/>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3.投标（响应）报价低于采购项目最高限价45%的，即投标（响应）报价&lt;采购项目最高限价×45%；</w:t>
      </w:r>
    </w:p>
    <w:p w14:paraId="44FF2ABE">
      <w:pPr>
        <w:widowControl/>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4.评审委员会基于专业判断，认为供应商报价过低，有可能影响产品质量或者不能诚信履约的其他情形。</w:t>
      </w:r>
    </w:p>
    <w:p w14:paraId="370CE772">
      <w:pPr>
        <w:widowControl/>
        <w:spacing w:line="360" w:lineRule="auto"/>
        <w:ind w:firstLine="480"/>
        <w:jc w:val="left"/>
        <w:rPr>
          <w:rFonts w:ascii="宋体" w:hAnsi="宋体"/>
          <w:bCs/>
          <w:color w:val="auto"/>
          <w:sz w:val="24"/>
          <w:highlight w:val="none"/>
        </w:rPr>
      </w:pPr>
      <w:r>
        <w:rPr>
          <w:rFonts w:hint="eastAsia" w:ascii="宋体" w:hAnsi="宋体"/>
          <w:bCs/>
          <w:color w:val="auto"/>
          <w:sz w:val="24"/>
          <w:szCs w:val="24"/>
          <w:highlight w:val="none"/>
        </w:rPr>
        <w:t>（2）</w:t>
      </w:r>
      <w:r>
        <w:rPr>
          <w:rFonts w:hint="eastAsia" w:ascii="宋体" w:hAnsi="宋体"/>
          <w:bCs/>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DAEB8D">
      <w:pPr>
        <w:widowControl/>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707EE5D">
      <w:pPr>
        <w:widowControl/>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CC403B3">
      <w:pPr>
        <w:widowControl/>
        <w:spacing w:line="360" w:lineRule="auto"/>
        <w:ind w:firstLine="480"/>
        <w:jc w:val="left"/>
        <w:rPr>
          <w:rFonts w:ascii="宋体" w:hAnsi="宋体"/>
          <w:bCs/>
          <w:color w:val="auto"/>
          <w:sz w:val="24"/>
          <w:szCs w:val="24"/>
          <w:highlight w:val="none"/>
        </w:rPr>
      </w:pPr>
      <w:r>
        <w:rPr>
          <w:rFonts w:hint="eastAsia" w:ascii="宋体" w:hAnsi="宋体"/>
          <w:bCs/>
          <w:color w:val="auto"/>
          <w:sz w:val="24"/>
          <w:highlight w:val="none"/>
        </w:rPr>
        <w:t>异常低价投标（响应）审查的启动原因、审查意见和审查结果应当在评审报告中记录，并</w:t>
      </w:r>
      <w:r>
        <w:rPr>
          <w:rFonts w:hint="eastAsia" w:ascii="宋体" w:hAnsi="宋体"/>
          <w:bCs/>
          <w:color w:val="auto"/>
          <w:sz w:val="24"/>
          <w:highlight w:val="none"/>
          <w:lang w:eastAsia="zh-CN"/>
        </w:rPr>
        <w:t>附</w:t>
      </w:r>
      <w:r>
        <w:rPr>
          <w:rFonts w:hint="eastAsia" w:ascii="宋体" w:hAnsi="宋体"/>
          <w:bCs/>
          <w:color w:val="auto"/>
          <w:sz w:val="24"/>
          <w:highlight w:val="none"/>
        </w:rPr>
        <w:t>供应商提供的相关书面说明及证明材料，以及评审委员会有关互联网浏览、查询历史一并归档。</w:t>
      </w:r>
    </w:p>
    <w:p w14:paraId="3E7620B2">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26.1.23投标文件内容不全或不符合招标文件中规定的其他实质性要求和条件的。</w:t>
      </w:r>
    </w:p>
    <w:p w14:paraId="7E90F3CF">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26.1.24其他法律、法规及本招标文件规定的属无效投标的情形。</w:t>
      </w:r>
    </w:p>
    <w:p w14:paraId="22FB0CE6">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1F3116C3">
      <w:pPr>
        <w:spacing w:line="360" w:lineRule="auto"/>
        <w:ind w:left="479"/>
        <w:rPr>
          <w:rFonts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26.2.1符合专业条件的供应商或者对招标文件作实质响应的供应商不足三家的。26.2.2出现影响采购公正的违法、违规行为的。</w:t>
      </w:r>
    </w:p>
    <w:p w14:paraId="2CAA62CA">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7822B1DA">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7E747F1C">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7E81ABC1">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14B9825B">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649E44C0">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6ECA9930">
      <w:pPr>
        <w:pStyle w:val="188"/>
        <w:keepNext w:val="0"/>
        <w:keepLines w:val="0"/>
        <w:spacing w:before="0" w:after="0" w:line="360" w:lineRule="auto"/>
        <w:ind w:firstLine="452"/>
        <w:rPr>
          <w:color w:val="auto"/>
          <w:sz w:val="30"/>
          <w:szCs w:val="30"/>
          <w:highlight w:val="none"/>
        </w:rPr>
      </w:pPr>
      <w:bookmarkStart w:id="164" w:name="_Toc120614219"/>
      <w:r>
        <w:rPr>
          <w:rFonts w:hint="eastAsia"/>
          <w:color w:val="auto"/>
          <w:sz w:val="30"/>
          <w:szCs w:val="30"/>
          <w:highlight w:val="none"/>
        </w:rPr>
        <w:t>六、</w:t>
      </w:r>
      <w:bookmarkEnd w:id="161"/>
      <w:bookmarkEnd w:id="162"/>
      <w:bookmarkEnd w:id="163"/>
      <w:r>
        <w:rPr>
          <w:rFonts w:hint="eastAsia"/>
          <w:color w:val="auto"/>
          <w:sz w:val="30"/>
          <w:szCs w:val="30"/>
          <w:highlight w:val="none"/>
        </w:rPr>
        <w:t>定标</w:t>
      </w:r>
      <w:bookmarkEnd w:id="164"/>
    </w:p>
    <w:p w14:paraId="10189821">
      <w:pPr>
        <w:pStyle w:val="189"/>
        <w:keepNext w:val="0"/>
        <w:keepLines w:val="0"/>
        <w:spacing w:before="0" w:after="0" w:line="360" w:lineRule="auto"/>
        <w:ind w:firstLine="422"/>
        <w:rPr>
          <w:rFonts w:ascii="宋体" w:hAnsi="宋体" w:eastAsia="宋体"/>
          <w:bCs w:val="0"/>
          <w:color w:val="auto"/>
          <w:highlight w:val="none"/>
        </w:rPr>
      </w:pPr>
      <w:bookmarkStart w:id="165" w:name="_Toc513029238"/>
      <w:bookmarkStart w:id="166" w:name="_Toc20823310"/>
      <w:bookmarkStart w:id="167" w:name="_Toc16938554"/>
      <w:r>
        <w:rPr>
          <w:rFonts w:hint="eastAsia" w:ascii="宋体" w:hAnsi="宋体" w:eastAsia="宋体"/>
          <w:bCs w:val="0"/>
          <w:color w:val="auto"/>
          <w:highlight w:val="none"/>
        </w:rPr>
        <w:t>27</w:t>
      </w:r>
      <w:bookmarkEnd w:id="165"/>
      <w:r>
        <w:rPr>
          <w:rFonts w:hint="eastAsia" w:ascii="宋体" w:hAnsi="宋体" w:eastAsia="宋体"/>
          <w:bCs w:val="0"/>
          <w:color w:val="auto"/>
          <w:highlight w:val="none"/>
        </w:rPr>
        <w:t>.确定</w:t>
      </w:r>
      <w:bookmarkEnd w:id="166"/>
      <w:bookmarkEnd w:id="167"/>
      <w:r>
        <w:rPr>
          <w:rFonts w:hint="eastAsia" w:ascii="宋体" w:hAnsi="宋体" w:eastAsia="宋体"/>
          <w:bCs w:val="0"/>
          <w:color w:val="auto"/>
          <w:highlight w:val="none"/>
        </w:rPr>
        <w:t>中标单位</w:t>
      </w:r>
    </w:p>
    <w:p w14:paraId="4A424FF8">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5CD73A6A">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27.2采购人应根据评委会推荐的中标候选人名单中按排名先后顺序确定一个投标人为中标单位。联合体中标的，联合体各方应当共同与采购人签订合同，就中标项目向采购人承担连带责任。</w:t>
      </w:r>
    </w:p>
    <w:p w14:paraId="2835643E">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color w:val="auto"/>
          <w:sz w:val="24"/>
          <w:szCs w:val="24"/>
          <w:highlight w:val="none"/>
        </w:rPr>
        <w:t>代理机构将在“江苏政府采购网”发布中标公告，公告期限为1个工作日。</w:t>
      </w:r>
    </w:p>
    <w:p w14:paraId="73DB017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770715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7597302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00DBC6F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27.4.2向采购人、代理机构行贿或者提供其他不正当利益的。</w:t>
      </w:r>
    </w:p>
    <w:p w14:paraId="11D5194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6F8527B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67881E0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26E803FA">
      <w:pPr>
        <w:spacing w:line="500" w:lineRule="exact"/>
        <w:ind w:firstLine="480"/>
        <w:rPr>
          <w:rFonts w:ascii="宋体" w:hAnsi="宋体"/>
          <w:color w:val="auto"/>
          <w:sz w:val="24"/>
          <w:szCs w:val="24"/>
          <w:highlight w:val="none"/>
        </w:rPr>
      </w:pPr>
      <w:bookmarkStart w:id="168"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6C39ED5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3F92313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729BFCC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3EB108A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645135D0">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5A56FF21">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7FBD535F">
      <w:pPr>
        <w:pStyle w:val="189"/>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28.质疑处理</w:t>
      </w:r>
      <w:bookmarkEnd w:id="168"/>
    </w:p>
    <w:p w14:paraId="0020864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84778E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069FCBB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3C02D64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18120B6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13C9907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供应商应当在法定质疑期内一次性提出针对同一采购程序环节的质疑。供应商如在法定期限内对同一采购程序环节提出多次质疑的，代理机构、</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68076F0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7C159AA9">
      <w:pP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4F0270A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采购人、代理机构只接收以纸质原件形式送达的质疑</w:t>
      </w:r>
      <w:r>
        <w:rPr>
          <w:rFonts w:hint="eastAsia" w:ascii="宋体" w:hAnsi="宋体"/>
          <w:color w:val="auto"/>
          <w:sz w:val="24"/>
          <w:szCs w:val="24"/>
          <w:highlight w:val="none"/>
          <w:lang w:eastAsia="zh-CN"/>
        </w:rPr>
        <w:t>，</w:t>
      </w:r>
      <w:r>
        <w:rPr>
          <w:rFonts w:hint="eastAsia" w:ascii="宋体" w:hAnsi="宋体"/>
          <w:color w:val="auto"/>
          <w:sz w:val="24"/>
          <w:szCs w:val="24"/>
          <w:highlight w:val="none"/>
        </w:rPr>
        <w:t>质疑供应商可通过面交或邮寄方式送达（采购人和代理机构不接受未填写快递运单的快件）。</w:t>
      </w:r>
    </w:p>
    <w:p w14:paraId="4495E98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采购人、代理机构联系人、联系方式、通信地址见招标文件第一章。</w:t>
      </w:r>
    </w:p>
    <w:p w14:paraId="26BEBB6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2D2A354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2A7E006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11467F01">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506463D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182C3E4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61E01DB7">
      <w:pPr>
        <w:spacing w:line="500" w:lineRule="exact"/>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一经查实，代理机构有权依据政府采购的有关规定，报请政府采购监管部门对该供应商进行相应的行政处罚和记录该供应商的失信信息。</w:t>
      </w:r>
    </w:p>
    <w:p w14:paraId="3B3DECD1">
      <w:pPr>
        <w:pStyle w:val="189"/>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29.中标通知书</w:t>
      </w:r>
    </w:p>
    <w:p w14:paraId="6149238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29.l中标结果确定后，代理机构将向中标人发出中标通知书。请中标人在中标结果公告届满之日起30日内</w:t>
      </w:r>
      <w:r>
        <w:rPr>
          <w:rFonts w:hint="eastAsia" w:ascii="宋体" w:hAnsi="宋体"/>
          <w:color w:val="auto"/>
          <w:sz w:val="24"/>
          <w:szCs w:val="24"/>
          <w:highlight w:val="none"/>
          <w:lang w:eastAsia="zh-CN"/>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color w:val="auto"/>
          <w:sz w:val="24"/>
          <w:szCs w:val="24"/>
          <w:highlight w:val="none"/>
          <w:lang w:eastAsia="zh-CN"/>
        </w:rPr>
        <w:t>，</w:t>
      </w:r>
      <w:r>
        <w:rPr>
          <w:rFonts w:hint="eastAsia" w:ascii="宋体" w:hAnsi="宋体"/>
          <w:color w:val="auto"/>
          <w:sz w:val="24"/>
          <w:szCs w:val="24"/>
          <w:highlight w:val="none"/>
        </w:rPr>
        <w:t>因未及时下载而造成的不利后果由中标人自行承担。</w:t>
      </w:r>
    </w:p>
    <w:p w14:paraId="33E8DE5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0B08FA65">
      <w:pPr>
        <w:pStyle w:val="188"/>
        <w:keepNext w:val="0"/>
        <w:keepLines w:val="0"/>
        <w:spacing w:before="0" w:after="0" w:line="500" w:lineRule="exact"/>
        <w:ind w:firstLine="452"/>
        <w:rPr>
          <w:color w:val="auto"/>
          <w:sz w:val="30"/>
          <w:szCs w:val="30"/>
          <w:highlight w:val="none"/>
        </w:rPr>
      </w:pPr>
      <w:bookmarkStart w:id="169" w:name="_Toc120614220"/>
      <w:bookmarkStart w:id="170" w:name="_Toc513029236"/>
      <w:bookmarkStart w:id="171" w:name="_Toc16938552"/>
      <w:bookmarkStart w:id="172" w:name="_Toc20823308"/>
      <w:r>
        <w:rPr>
          <w:rFonts w:hint="eastAsia"/>
          <w:color w:val="auto"/>
          <w:sz w:val="30"/>
          <w:szCs w:val="30"/>
          <w:highlight w:val="none"/>
        </w:rPr>
        <w:t>七、授予合同</w:t>
      </w:r>
      <w:bookmarkEnd w:id="169"/>
    </w:p>
    <w:bookmarkEnd w:id="170"/>
    <w:bookmarkEnd w:id="171"/>
    <w:bookmarkEnd w:id="172"/>
    <w:p w14:paraId="45652A34">
      <w:pPr>
        <w:pStyle w:val="189"/>
        <w:keepNext w:val="0"/>
        <w:keepLines w:val="0"/>
        <w:spacing w:before="0" w:after="0" w:line="500" w:lineRule="exact"/>
        <w:ind w:firstLine="422"/>
        <w:rPr>
          <w:rFonts w:ascii="宋体" w:hAnsi="宋体" w:eastAsia="宋体"/>
          <w:bCs w:val="0"/>
          <w:color w:val="auto"/>
          <w:highlight w:val="none"/>
        </w:rPr>
      </w:pPr>
      <w:bookmarkStart w:id="173" w:name="_Toc20823309"/>
      <w:bookmarkStart w:id="174" w:name="_Toc16938553"/>
      <w:bookmarkStart w:id="175" w:name="_Toc513029237"/>
      <w:r>
        <w:rPr>
          <w:rFonts w:hint="eastAsia" w:ascii="宋体" w:hAnsi="宋体" w:eastAsia="宋体"/>
          <w:bCs w:val="0"/>
          <w:color w:val="auto"/>
          <w:highlight w:val="none"/>
        </w:rPr>
        <w:t>30.签订合同</w:t>
      </w:r>
    </w:p>
    <w:p w14:paraId="583CF719">
      <w:pPr>
        <w:spacing w:line="500" w:lineRule="exact"/>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12DFE501">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30.2中标人非因不可抗力未履行招、投标文件和合同规定的义务，一经查实，代理机构将根据具体情况提请政府采购管理部门作出相应处理。</w:t>
      </w:r>
    </w:p>
    <w:p w14:paraId="00F1C413">
      <w:pPr>
        <w:spacing w:line="500" w:lineRule="exact"/>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FE49E9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06966F7">
      <w:pPr>
        <w:pStyle w:val="189"/>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31.服务（包含与服务相关的货物）的追加</w:t>
      </w:r>
    </w:p>
    <w:p w14:paraId="4968784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403A3B8">
      <w:pPr>
        <w:spacing w:line="500" w:lineRule="exact"/>
        <w:ind w:firstLine="480"/>
        <w:rPr>
          <w:rFonts w:hint="eastAsia" w:ascii="宋体" w:hAnsi="宋体" w:eastAsia="宋体"/>
          <w:b/>
          <w:bCs w:val="0"/>
          <w:color w:val="auto"/>
          <w:sz w:val="28"/>
          <w:szCs w:val="28"/>
          <w:highlight w:val="none"/>
          <w:lang w:val="en-US" w:eastAsia="zh-CN"/>
        </w:rPr>
      </w:pPr>
      <w:r>
        <w:rPr>
          <w:rFonts w:hint="eastAsia" w:ascii="宋体" w:hAnsi="宋体"/>
          <w:b/>
          <w:color w:val="auto"/>
          <w:sz w:val="28"/>
          <w:szCs w:val="28"/>
          <w:highlight w:val="none"/>
          <w:lang w:val="en-US" w:eastAsia="zh-CN"/>
        </w:rPr>
        <w:t>32.其他约定</w:t>
      </w:r>
    </w:p>
    <w:p w14:paraId="47B264B3">
      <w:pPr>
        <w:spacing w:line="500" w:lineRule="exact"/>
        <w:ind w:firstLine="480"/>
        <w:rPr>
          <w:rFonts w:hint="eastAsia" w:ascii="宋体" w:hAnsi="宋体"/>
          <w:b w:val="0"/>
          <w:bCs w:val="0"/>
          <w:color w:val="auto"/>
          <w:kern w:val="0"/>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.1</w:t>
      </w:r>
      <w:r>
        <w:rPr>
          <w:rFonts w:hint="eastAsia" w:ascii="宋体" w:hAnsi="宋体"/>
          <w:b w:val="0"/>
          <w:bCs w:val="0"/>
          <w:color w:val="auto"/>
          <w:kern w:val="0"/>
          <w:sz w:val="24"/>
          <w:szCs w:val="24"/>
          <w:highlight w:val="none"/>
          <w:lang w:eastAsia="zh-CN"/>
        </w:rPr>
        <w:t>本项目招标代理机构的代理费由</w:t>
      </w:r>
      <w:r>
        <w:rPr>
          <w:rFonts w:hint="eastAsia" w:ascii="宋体" w:hAnsi="宋体"/>
          <w:b w:val="0"/>
          <w:bCs w:val="0"/>
          <w:color w:val="auto"/>
          <w:kern w:val="0"/>
          <w:sz w:val="24"/>
          <w:szCs w:val="24"/>
          <w:highlight w:val="none"/>
        </w:rPr>
        <w:t>中标、成交供应商支付，代理费收取标准</w:t>
      </w:r>
      <w:r>
        <w:rPr>
          <w:rFonts w:hint="eastAsia" w:ascii="宋体" w:hAnsi="宋体"/>
          <w:b w:val="0"/>
          <w:bCs w:val="0"/>
          <w:color w:val="auto"/>
          <w:kern w:val="0"/>
          <w:sz w:val="24"/>
          <w:szCs w:val="24"/>
          <w:highlight w:val="none"/>
          <w:lang w:eastAsia="zh-CN"/>
        </w:rPr>
        <w:t>：</w:t>
      </w:r>
      <w:r>
        <w:rPr>
          <w:rFonts w:hint="eastAsia" w:ascii="宋体" w:hAnsi="宋体"/>
          <w:b w:val="0"/>
          <w:bCs w:val="0"/>
          <w:color w:val="auto"/>
          <w:kern w:val="0"/>
          <w:sz w:val="24"/>
          <w:szCs w:val="24"/>
          <w:highlight w:val="none"/>
        </w:rPr>
        <w:t>以</w:t>
      </w:r>
      <w:r>
        <w:rPr>
          <w:rFonts w:hint="eastAsia" w:ascii="宋体" w:hAnsi="宋体"/>
          <w:b w:val="0"/>
          <w:bCs w:val="0"/>
          <w:color w:val="auto"/>
          <w:kern w:val="0"/>
          <w:sz w:val="24"/>
          <w:szCs w:val="24"/>
          <w:highlight w:val="none"/>
          <w:lang w:eastAsia="zh-CN"/>
        </w:rPr>
        <w:t>中标的投标总报价（代理费除外）</w:t>
      </w:r>
      <w:r>
        <w:rPr>
          <w:rFonts w:hint="eastAsia" w:ascii="宋体" w:hAnsi="宋体"/>
          <w:b w:val="0"/>
          <w:bCs w:val="0"/>
          <w:color w:val="auto"/>
          <w:kern w:val="0"/>
          <w:sz w:val="24"/>
          <w:szCs w:val="24"/>
          <w:highlight w:val="none"/>
        </w:rPr>
        <w:t>金额为计费基数，按《国家计委关于印发〈招标代理服务收费管理暂行办法〉的通知》（计价格〔2002〕1980号）规定的</w:t>
      </w:r>
      <w:r>
        <w:rPr>
          <w:rFonts w:hint="eastAsia" w:ascii="宋体" w:hAnsi="宋体"/>
          <w:b w:val="0"/>
          <w:bCs w:val="0"/>
          <w:color w:val="auto"/>
          <w:kern w:val="0"/>
          <w:sz w:val="24"/>
          <w:szCs w:val="24"/>
          <w:highlight w:val="none"/>
          <w:lang w:eastAsia="zh-CN"/>
        </w:rPr>
        <w:t>服务招标的</w:t>
      </w:r>
      <w:r>
        <w:rPr>
          <w:rFonts w:hint="eastAsia" w:ascii="宋体" w:hAnsi="宋体"/>
          <w:b w:val="0"/>
          <w:bCs w:val="0"/>
          <w:color w:val="auto"/>
          <w:kern w:val="0"/>
          <w:sz w:val="24"/>
          <w:szCs w:val="24"/>
          <w:highlight w:val="none"/>
        </w:rPr>
        <w:t>费率及计算方法（差额定率累进法）</w:t>
      </w:r>
      <w:r>
        <w:rPr>
          <w:rFonts w:hint="eastAsia" w:ascii="宋体" w:hAnsi="宋体" w:cs="宋体"/>
          <w:color w:val="auto"/>
          <w:sz w:val="24"/>
          <w:szCs w:val="24"/>
          <w:highlight w:val="none"/>
          <w:shd w:val="clear" w:color="auto" w:fill="FFFFFF"/>
        </w:rPr>
        <w:t>计算后打</w:t>
      </w:r>
      <w:r>
        <w:rPr>
          <w:rFonts w:hint="eastAsia" w:ascii="宋体" w:hAnsi="宋体" w:cs="宋体"/>
          <w:color w:val="auto"/>
          <w:sz w:val="24"/>
          <w:szCs w:val="24"/>
          <w:highlight w:val="none"/>
          <w:shd w:val="clear" w:color="auto" w:fill="FFFFFF"/>
          <w:lang w:val="en-US" w:eastAsia="zh-CN"/>
        </w:rPr>
        <w:t>7</w:t>
      </w:r>
      <w:r>
        <w:rPr>
          <w:rFonts w:hint="eastAsia" w:ascii="宋体" w:hAnsi="宋体" w:cs="宋体"/>
          <w:color w:val="auto"/>
          <w:sz w:val="24"/>
          <w:szCs w:val="24"/>
          <w:highlight w:val="none"/>
          <w:shd w:val="clear" w:color="auto" w:fill="FFFFFF"/>
        </w:rPr>
        <w:t>折计取</w:t>
      </w:r>
      <w:r>
        <w:rPr>
          <w:rFonts w:hint="eastAsia" w:ascii="宋体" w:hAnsi="宋体"/>
          <w:b w:val="0"/>
          <w:bCs w:val="0"/>
          <w:color w:val="auto"/>
          <w:kern w:val="0"/>
          <w:sz w:val="24"/>
          <w:szCs w:val="24"/>
          <w:highlight w:val="none"/>
        </w:rPr>
        <w:t>。中标、成交供应商</w:t>
      </w:r>
      <w:r>
        <w:rPr>
          <w:rFonts w:hint="eastAsia" w:ascii="宋体" w:hAnsi="宋体"/>
          <w:b w:val="0"/>
          <w:bCs w:val="0"/>
          <w:color w:val="auto"/>
          <w:kern w:val="0"/>
          <w:sz w:val="24"/>
          <w:szCs w:val="24"/>
          <w:highlight w:val="none"/>
          <w:lang w:eastAsia="zh-CN"/>
        </w:rPr>
        <w:t>领取中标通知书时，一次性付清。</w:t>
      </w:r>
      <w:r>
        <w:rPr>
          <w:rFonts w:hint="eastAsia" w:ascii="宋体" w:hAnsi="宋体"/>
          <w:b w:val="0"/>
          <w:bCs w:val="0"/>
          <w:color w:val="auto"/>
          <w:kern w:val="0"/>
          <w:sz w:val="24"/>
          <w:szCs w:val="24"/>
          <w:highlight w:val="none"/>
        </w:rPr>
        <w:t>供应商报价应当包含代理费。</w:t>
      </w:r>
    </w:p>
    <w:p w14:paraId="6179F6D5">
      <w:pPr>
        <w:spacing w:line="500" w:lineRule="exact"/>
        <w:ind w:firstLine="480"/>
        <w:rPr>
          <w:rFonts w:hint="eastAsia" w:ascii="宋体" w:hAnsi="宋体"/>
          <w:color w:val="auto"/>
          <w:sz w:val="24"/>
          <w:szCs w:val="24"/>
          <w:highlight w:val="none"/>
          <w:lang w:val="en-US" w:eastAsia="zh-CN"/>
        </w:rPr>
      </w:pPr>
    </w:p>
    <w:bookmarkEnd w:id="173"/>
    <w:bookmarkEnd w:id="174"/>
    <w:bookmarkEnd w:id="175"/>
    <w:p w14:paraId="4C4E6FC9">
      <w:pPr>
        <w:tabs>
          <w:tab w:val="left" w:pos="1440"/>
        </w:tabs>
        <w:spacing w:line="500" w:lineRule="exact"/>
        <w:jc w:val="center"/>
        <w:outlineLvl w:val="0"/>
        <w:rPr>
          <w:rFonts w:ascii="黑体" w:hAnsi="黑体" w:eastAsia="黑体"/>
          <w:color w:val="auto"/>
          <w:sz w:val="36"/>
          <w:szCs w:val="36"/>
          <w:highlight w:val="none"/>
        </w:rPr>
      </w:pPr>
      <w:bookmarkStart w:id="176" w:name="_Toc20823314"/>
      <w:bookmarkStart w:id="177" w:name="_Toc16938558"/>
      <w:bookmarkStart w:id="178" w:name="_Toc513029242"/>
      <w:bookmarkStart w:id="179" w:name="_Toc120614221"/>
      <w:bookmarkStart w:id="180" w:name="_Toc479757207"/>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第三章  合同</w:t>
      </w:r>
      <w:bookmarkEnd w:id="176"/>
      <w:bookmarkEnd w:id="177"/>
      <w:bookmarkEnd w:id="178"/>
      <w:bookmarkEnd w:id="179"/>
      <w:bookmarkEnd w:id="180"/>
      <w:r>
        <w:rPr>
          <w:rFonts w:hint="eastAsia" w:ascii="黑体" w:hAnsi="黑体" w:eastAsia="黑体"/>
          <w:color w:val="auto"/>
          <w:sz w:val="36"/>
          <w:szCs w:val="36"/>
          <w:highlight w:val="none"/>
        </w:rPr>
        <w:t>文本</w:t>
      </w:r>
    </w:p>
    <w:p w14:paraId="5F19CEAC">
      <w:pPr>
        <w:spacing w:line="400" w:lineRule="exact"/>
        <w:ind w:firstLine="480"/>
        <w:rPr>
          <w:rFonts w:ascii="宋体" w:hAnsi="宋体"/>
          <w:bCs/>
          <w:color w:val="auto"/>
          <w:sz w:val="24"/>
          <w:highlight w:val="none"/>
        </w:rPr>
      </w:pPr>
      <w:bookmarkStart w:id="181" w:name="_Toc20823315"/>
      <w:bookmarkStart w:id="182" w:name="_Toc513029243"/>
      <w:bookmarkStart w:id="183" w:name="_Toc16938559"/>
      <w:r>
        <w:rPr>
          <w:rFonts w:hint="eastAsia" w:ascii="宋体" w:hAnsi="宋体"/>
          <w:bCs/>
          <w:color w:val="auto"/>
          <w:sz w:val="24"/>
          <w:highlight w:val="none"/>
        </w:rPr>
        <w:t>以下为中标后签订本项目合同的通用条款，中标人不得提出实质性的修改。</w:t>
      </w:r>
    </w:p>
    <w:p w14:paraId="224BA6AD">
      <w:pPr>
        <w:spacing w:line="400" w:lineRule="exact"/>
        <w:jc w:val="center"/>
        <w:outlineLvl w:val="0"/>
        <w:rPr>
          <w:rFonts w:ascii="宋体" w:hAnsi="宋体"/>
          <w:b/>
          <w:bCs/>
          <w:color w:val="auto"/>
          <w:sz w:val="30"/>
          <w:szCs w:val="20"/>
          <w:highlight w:val="none"/>
        </w:rPr>
      </w:pPr>
      <w:r>
        <w:rPr>
          <w:rFonts w:hint="eastAsia" w:ascii="宋体" w:hAnsi="宋体"/>
          <w:b/>
          <w:color w:val="auto"/>
          <w:sz w:val="30"/>
          <w:highlight w:val="none"/>
        </w:rPr>
        <w:t>江苏省政府采购合同（服务）（合同编号）</w:t>
      </w:r>
    </w:p>
    <w:p w14:paraId="65A2F3BB">
      <w:pPr>
        <w:pStyle w:val="222"/>
        <w:spacing w:line="400" w:lineRule="exact"/>
        <w:rPr>
          <w:rFonts w:hAnsi="宋体"/>
          <w:color w:val="auto"/>
          <w:sz w:val="24"/>
          <w:szCs w:val="24"/>
          <w:highlight w:val="none"/>
        </w:rPr>
      </w:pPr>
      <w:r>
        <w:rPr>
          <w:rFonts w:hAnsi="宋体"/>
          <w:color w:val="auto"/>
          <w:sz w:val="24"/>
          <w:szCs w:val="24"/>
          <w:highlight w:val="none"/>
        </w:rPr>
        <w:t>甲方：（采购人）_________</w:t>
      </w:r>
    </w:p>
    <w:p w14:paraId="41A9669D">
      <w:pPr>
        <w:pStyle w:val="222"/>
        <w:spacing w:line="400" w:lineRule="exact"/>
        <w:rPr>
          <w:rFonts w:hAnsi="宋体"/>
          <w:b/>
          <w:color w:val="auto"/>
          <w:sz w:val="24"/>
          <w:szCs w:val="24"/>
          <w:highlight w:val="none"/>
        </w:rPr>
      </w:pPr>
      <w:r>
        <w:rPr>
          <w:rFonts w:hAnsi="宋体"/>
          <w:color w:val="auto"/>
          <w:sz w:val="24"/>
          <w:szCs w:val="24"/>
          <w:highlight w:val="none"/>
        </w:rPr>
        <w:t>乙方：（供应商）_________</w:t>
      </w:r>
    </w:p>
    <w:p w14:paraId="452E5D0E">
      <w:pPr>
        <w:spacing w:line="400" w:lineRule="exact"/>
        <w:ind w:firstLine="480"/>
        <w:rPr>
          <w:rFonts w:ascii="宋体" w:hAnsi="宋体" w:cs="宋体"/>
          <w:color w:val="auto"/>
          <w:sz w:val="24"/>
          <w:highlight w:val="none"/>
          <w:u w:val="single"/>
        </w:rPr>
      </w:pPr>
      <w:r>
        <w:rPr>
          <w:rFonts w:hint="eastAsia" w:ascii="宋体" w:hAnsi="宋体" w:cs="宋体"/>
          <w:color w:val="auto"/>
          <w:sz w:val="24"/>
          <w:highlight w:val="none"/>
        </w:rPr>
        <w:t>一、政府采购编号：</w:t>
      </w:r>
      <w:r>
        <w:rPr>
          <w:rFonts w:hint="eastAsia" w:ascii="宋体" w:hAnsi="宋体" w:cs="宋体"/>
          <w:color w:val="auto"/>
          <w:sz w:val="24"/>
          <w:highlight w:val="none"/>
          <w:u w:val="single"/>
        </w:rPr>
        <w:t>JSZC-320214-XSGC-G2026-0005</w:t>
      </w:r>
    </w:p>
    <w:p w14:paraId="5C99613D">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二、采购内容：</w:t>
      </w:r>
      <w:r>
        <w:rPr>
          <w:rFonts w:hint="eastAsia" w:ascii="宋体" w:hAnsi="宋体" w:cs="宋体"/>
          <w:color w:val="auto"/>
          <w:sz w:val="24"/>
          <w:highlight w:val="none"/>
          <w:u w:val="single"/>
        </w:rPr>
        <w:t xml:space="preserve"> 新吴区2026</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 xml:space="preserve">2028年城市精细化管理“第三方”信息采集服务项目 </w:t>
      </w:r>
    </w:p>
    <w:p w14:paraId="5178F07F">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三、中标金额：</w:t>
      </w:r>
    </w:p>
    <w:p w14:paraId="07796B13">
      <w:pPr>
        <w:spacing w:line="400" w:lineRule="exact"/>
        <w:ind w:firstLine="480"/>
        <w:rPr>
          <w:rFonts w:ascii="宋体" w:hAnsi="宋体" w:cs="宋体"/>
          <w:color w:val="auto"/>
          <w:sz w:val="24"/>
          <w:highlight w:val="none"/>
          <w:u w:val="single"/>
        </w:rPr>
      </w:pPr>
      <w:r>
        <w:rPr>
          <w:rFonts w:hint="eastAsia" w:ascii="宋体" w:hAnsi="宋体" w:cs="宋体"/>
          <w:color w:val="auto"/>
          <w:sz w:val="24"/>
          <w:highlight w:val="none"/>
        </w:rPr>
        <w:t>（大写）</w:t>
      </w:r>
      <w:r>
        <w:rPr>
          <w:rFonts w:hint="eastAsia" w:ascii="宋体" w:hAnsi="宋体" w:cs="宋体"/>
          <w:color w:val="auto"/>
          <w:sz w:val="24"/>
          <w:highlight w:val="none"/>
          <w:u w:val="single"/>
        </w:rPr>
        <w:t xml:space="preserve">       </w:t>
      </w:r>
    </w:p>
    <w:p w14:paraId="7C4AF6AD">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w:t>
      </w:r>
    </w:p>
    <w:p w14:paraId="10B2023E">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四、质量要求及验收标准：</w:t>
      </w:r>
      <w:r>
        <w:rPr>
          <w:rFonts w:hint="eastAsia" w:ascii="宋体" w:hAnsi="宋体" w:cs="宋体"/>
          <w:color w:val="auto"/>
          <w:sz w:val="24"/>
          <w:highlight w:val="none"/>
          <w:u w:val="single"/>
        </w:rPr>
        <w:t xml:space="preserve">              </w:t>
      </w:r>
    </w:p>
    <w:p w14:paraId="055F3976">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五、服务期：</w:t>
      </w:r>
      <w:r>
        <w:rPr>
          <w:rFonts w:hint="eastAsia" w:ascii="宋体" w:hAnsi="宋体" w:cs="宋体"/>
          <w:color w:val="auto"/>
          <w:sz w:val="24"/>
          <w:highlight w:val="none"/>
          <w:u w:val="single"/>
        </w:rPr>
        <w:t xml:space="preserve">2年，满足7*24小时服务。   年  月  日至    年  月  日       </w:t>
      </w:r>
    </w:p>
    <w:p w14:paraId="3B5D6167">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六、交货地点和方式：</w:t>
      </w:r>
      <w:r>
        <w:rPr>
          <w:rFonts w:hint="eastAsia" w:ascii="宋体" w:hAnsi="宋体" w:cs="宋体"/>
          <w:color w:val="auto"/>
          <w:sz w:val="24"/>
          <w:highlight w:val="none"/>
          <w:u w:val="single"/>
        </w:rPr>
        <w:t xml:space="preserve">         </w:t>
      </w:r>
    </w:p>
    <w:p w14:paraId="078D373E">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七、货款支付步骤办法：每半年支付合同总额的20%，截留合同总额的20%根据采购方对供应商</w:t>
      </w:r>
      <w:r>
        <w:rPr>
          <w:rFonts w:hint="eastAsia" w:ascii="宋体" w:hAnsi="宋体"/>
          <w:bCs/>
          <w:color w:val="auto"/>
          <w:sz w:val="24"/>
          <w:szCs w:val="24"/>
          <w:highlight w:val="none"/>
        </w:rPr>
        <w:t>合同期末对每半年度考核情况的扣款及审计</w:t>
      </w:r>
      <w:r>
        <w:rPr>
          <w:rFonts w:hint="eastAsia" w:ascii="宋体" w:hAnsi="宋体" w:cs="宋体"/>
          <w:color w:val="auto"/>
          <w:sz w:val="24"/>
          <w:highlight w:val="none"/>
        </w:rPr>
        <w:t>结果一次性付清。</w:t>
      </w:r>
    </w:p>
    <w:p w14:paraId="67CA07FC">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八、服务要求及服务内容：</w:t>
      </w:r>
    </w:p>
    <w:p w14:paraId="2CF0F71F">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1.服务要求</w:t>
      </w:r>
    </w:p>
    <w:p w14:paraId="23FDDDF0">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1.1按照采购编号为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的招标文件及投标文件为准；</w:t>
      </w:r>
    </w:p>
    <w:p w14:paraId="2DF924C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1.2服务内容：</w:t>
      </w:r>
    </w:p>
    <w:p w14:paraId="6E923A8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1.2.1 人工信息采集</w:t>
      </w:r>
    </w:p>
    <w:p w14:paraId="3B3254F2">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（1）每月根据新吴区数字监督指挥中心平台大数据，分析、查摆城市管理中存在的问题，提出初步解决建议，配合局相关业务部门最终确定效能督查和问题解决方案。</w:t>
      </w:r>
    </w:p>
    <w:p w14:paraId="4254D1E3">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2）对城市精细化管理重难点工作推进专项的提前研判，协助做好区级重难点工作推进项目的问题收集、梳理、排查、核实、更新以及优秀项目长效管理落实情况与警示项目整改情况的复核等，每月出初选报告。</w:t>
      </w:r>
    </w:p>
    <w:p w14:paraId="4ACE2F29">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（3）每月针对区级平台反馈的</w:t>
      </w:r>
      <w:r>
        <w:rPr>
          <w:rFonts w:hint="eastAsia" w:ascii="宋体" w:hAnsi="宋体" w:cs="宋体"/>
          <w:color w:val="auto"/>
          <w:sz w:val="24"/>
          <w:highlight w:val="none"/>
          <w:lang w:eastAsia="zh-CN"/>
        </w:rPr>
        <w:t>涉及</w:t>
      </w:r>
      <w:r>
        <w:rPr>
          <w:rFonts w:hint="eastAsia" w:ascii="宋体" w:hAnsi="宋体" w:cs="宋体"/>
          <w:color w:val="auto"/>
          <w:sz w:val="24"/>
          <w:highlight w:val="none"/>
        </w:rPr>
        <w:t>执法队员、管理队员721工作法开展情况、重复投诉问题跟踪监督、对巡防效能开展抽查评估。</w:t>
      </w:r>
    </w:p>
    <w:p w14:paraId="01A08044">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（4）对市容难点、热点、重点管理区域</w:t>
      </w:r>
      <w:r>
        <w:rPr>
          <w:rFonts w:hint="eastAsia" w:ascii="宋体" w:hAnsi="宋体" w:cs="宋体"/>
          <w:color w:val="auto"/>
          <w:sz w:val="24"/>
          <w:highlight w:val="none"/>
          <w:lang w:eastAsia="zh-CN"/>
        </w:rPr>
        <w:t>及垃圾分类情况</w:t>
      </w:r>
      <w:r>
        <w:rPr>
          <w:rFonts w:hint="eastAsia" w:ascii="宋体" w:hAnsi="宋体" w:cs="宋体"/>
          <w:color w:val="auto"/>
          <w:sz w:val="24"/>
          <w:highlight w:val="none"/>
        </w:rPr>
        <w:t>进行专项分析评估，出具评估意见，并配合局相关业务部门提出综合施策方法。</w:t>
      </w:r>
    </w:p>
    <w:p w14:paraId="14880DB1">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（5）按市级标准对全区管理单元信息采集，每月出具大数据分析报告。</w:t>
      </w:r>
    </w:p>
    <w:p w14:paraId="6D320BB4">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（6）对上级督办、领导交办、反复投诉的案件整改情况进行复核，提出整改建议。</w:t>
      </w:r>
    </w:p>
    <w:p w14:paraId="2736AF22">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（7）对城市精细化管理年度目标任务完成情况进行摸排与核实，并出具相关报告。</w:t>
      </w:r>
    </w:p>
    <w:p w14:paraId="6724C72C">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（8）协助做好对城管服务热线“962020”进行接听、登记、派单以及回复。</w:t>
      </w:r>
    </w:p>
    <w:p w14:paraId="07E98222">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（9）完成采购人交办的其他相关任务。</w:t>
      </w:r>
    </w:p>
    <w:p w14:paraId="3C5EF26C">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1.2.2  智能化信息采集</w:t>
      </w:r>
    </w:p>
    <w:p w14:paraId="0982CF67">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（1）配备工业级无人机，通过无人机对重点区域进行视频、热成像采集，通过智能分析技术地面垃圾、占道经营、非机动车违停、植物枯萎等问题。</w:t>
      </w:r>
    </w:p>
    <w:p w14:paraId="42561CBF">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（2）配备工业级无人船，通过无人船对重点河道进行视频采集，通过智能分析技术自动识别水面漂浮物，岸坡垃圾、护栏破损等问题。</w:t>
      </w:r>
    </w:p>
    <w:p w14:paraId="7C81EDA0">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（3）配置车载智能采集设备，通过智能分析技术自动识别店外经营、流动摊贩、乱堆物料、沿街晾挂、非机动车、机动车违停等常见问题。</w:t>
      </w:r>
    </w:p>
    <w:p w14:paraId="5EDA4CC3">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1.3.工作标准与要求</w:t>
      </w:r>
    </w:p>
    <w:p w14:paraId="6CC364CD">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1.3.1  人工信息采集</w:t>
      </w:r>
    </w:p>
    <w:p w14:paraId="1FB8CDA1">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（1）配备车辆（其中至少一辆五座</w:t>
      </w:r>
      <w:r>
        <w:rPr>
          <w:rFonts w:hint="eastAsia" w:ascii="宋体" w:hAnsi="宋体" w:cs="宋体"/>
          <w:color w:val="auto"/>
          <w:sz w:val="24"/>
          <w:highlight w:val="none"/>
          <w:lang w:eastAsia="zh-CN"/>
        </w:rPr>
        <w:t>（</w:t>
      </w:r>
      <w:r>
        <w:rPr>
          <w:rFonts w:hint="eastAsia" w:ascii="宋体" w:hAnsi="宋体" w:cs="宋体"/>
          <w:color w:val="auto"/>
          <w:sz w:val="24"/>
          <w:highlight w:val="none"/>
        </w:rPr>
        <w:t>及以上</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汽车），统一着装，挂牌上岗，保持人员仪容仪表和举止形象规范良好。</w:t>
      </w:r>
    </w:p>
    <w:p w14:paraId="21221118">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（2）文明采集，每月出相应报告，并提供针对性解决方案。对受核查单位，确保每月至少覆盖一遍。</w:t>
      </w:r>
    </w:p>
    <w:p w14:paraId="76AE2BCE">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（3）配置项目负责人统筹负责服务内容，确保沟通顺畅，及时按采购方要求调整工作安排，做好相关资料的归档汇总工作。</w:t>
      </w:r>
    </w:p>
    <w:p w14:paraId="6234A33D">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（4）由乙方提供工作开展所需的必要的软件支持。</w:t>
      </w:r>
    </w:p>
    <w:p w14:paraId="310FD95C">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（5）要求对新吴区管辖范围内所有管理单元，每周覆盖巡查至少一次。</w:t>
      </w:r>
    </w:p>
    <w:p w14:paraId="275DCDFD">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（6）基本人员配置要求：项目团队总人数不低于25人，其中项目负责人1名、大数据分析员2名、文案人员2名、平台人员5名、采集人员若干。</w:t>
      </w:r>
    </w:p>
    <w:p w14:paraId="56E1CB4D">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（7）内勤人员（项目负责人、大数据分析员、文案人员、平台人员）要求：年龄40岁以内（有相关工作经验的可适当放宽年限）大专及以上学历，熟悉城市管理事部件划分，有较强的文字表达和学习沟通能力。</w:t>
      </w:r>
    </w:p>
    <w:p w14:paraId="3CA4185D">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（8）采集人员要求：年龄50岁以内，高中及以上学历，身体健康吃苦耐劳，能适应户外高强度工作需要，熟悉数字化城市管理业务流程，熟悉数字化城市管理信息采集规范。</w:t>
      </w:r>
    </w:p>
    <w:p w14:paraId="7BE018DF">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（9）项目负责人、大数据分析员、文案人员、平台，人员在服务期内未经采购人同意不得随意更换。</w:t>
      </w:r>
    </w:p>
    <w:p w14:paraId="695CC8B5">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1.3.2  智能化信息采集</w:t>
      </w:r>
    </w:p>
    <w:p w14:paraId="061934CE">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（1）组建相应的技术服务团队，需熟悉城管业务，并提供飞行、巡航、视频采集、数据分析等服务。</w:t>
      </w:r>
    </w:p>
    <w:p w14:paraId="349FDB27">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（2）获取新吴区管辖范围内禁飞区空域飞行权限，保证新吴区管辖范围内的无障碍巡查。</w:t>
      </w:r>
    </w:p>
    <w:p w14:paraId="383101B1">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（3）无人机飞行每周至少1次，每月完成全域覆盖，总服务次数不少于105次，针对采集内容提供巡检事件分析报告。</w:t>
      </w:r>
    </w:p>
    <w:p w14:paraId="1F8E5B78">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（4）无人船巡航至少每月1次，总服务次数不少于24次，针对采集内容提供巡检事件分析报告。</w:t>
      </w:r>
    </w:p>
    <w:p w14:paraId="74672515">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（5）配置不少于35套车载智能采集设备</w:t>
      </w:r>
      <w:r>
        <w:rPr>
          <w:rFonts w:hint="eastAsia" w:ascii="宋体" w:hAnsi="宋体" w:cs="宋体"/>
          <w:color w:val="auto"/>
          <w:sz w:val="24"/>
          <w:highlight w:val="none"/>
          <w:lang w:eastAsia="zh-CN"/>
        </w:rPr>
        <w:t>，</w:t>
      </w:r>
      <w:r>
        <w:rPr>
          <w:rFonts w:hint="eastAsia" w:ascii="宋体" w:hAnsi="宋体" w:cs="宋体"/>
          <w:color w:val="auto"/>
          <w:sz w:val="24"/>
          <w:highlight w:val="none"/>
        </w:rPr>
        <w:t>提供实时事件告警并推送至区城市精细化管理平台，每月提供一份分析报告。</w:t>
      </w:r>
    </w:p>
    <w:p w14:paraId="3EA1EA36">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1.4.质量管理要求。</w:t>
      </w:r>
    </w:p>
    <w:p w14:paraId="247F1C37">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（1）供应商根据采购方需求出台相应可行的运行方案（人工及智能化信息采集方案、考核方案，无锡高新区（新吴区）城市管理局效能评估运行方案等）。</w:t>
      </w:r>
    </w:p>
    <w:p w14:paraId="77D29E1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（2）每年采集事件总数量不低于20万件，智能化采集事件数量不低于40%。</w:t>
      </w:r>
    </w:p>
    <w:p w14:paraId="3291339E">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1.5.采集终端管理要求。</w:t>
      </w:r>
    </w:p>
    <w:p w14:paraId="3ADB108D">
      <w:pPr>
        <w:spacing w:line="400" w:lineRule="exact"/>
        <w:ind w:firstLine="480"/>
        <w:rPr>
          <w:rFonts w:ascii="宋体" w:hAnsi="宋体" w:cs="宋体"/>
          <w:color w:val="auto"/>
          <w:sz w:val="24"/>
          <w:highlight w:val="none"/>
        </w:rPr>
      </w:pPr>
      <w:r>
        <w:rPr>
          <w:rFonts w:hint="eastAsia" w:ascii="宋体" w:hAnsi="宋体"/>
          <w:bCs/>
          <w:color w:val="auto"/>
          <w:sz w:val="24"/>
          <w:highlight w:val="none"/>
          <w:lang w:val="zh-CN"/>
        </w:rPr>
        <w:t>人工及智能化信息采集终端由供应商自行配备并管理，终端使用中所产生的无线通信网络服务费等全部由供应商支付，目前新吴区智慧城管APP仅支持安卓系统。</w:t>
      </w:r>
    </w:p>
    <w:p w14:paraId="377137EA">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2.其他要求</w:t>
      </w:r>
    </w:p>
    <w:p w14:paraId="3DDB0C7D">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bCs/>
          <w:color w:val="auto"/>
          <w:sz w:val="24"/>
          <w:highlight w:val="none"/>
          <w:lang w:val="zh-CN"/>
        </w:rPr>
        <w:t>供应商应在签订合同之日起15日历天内配齐所有人员及设备，并完成对所有人员的岗前培训，以满足采购方工作需求。采购方提供业务培训协助。若未在规定时限内完成，供应商应承担中标金额5%的违约责任金，采购方有权解除合同。</w:t>
      </w:r>
    </w:p>
    <w:p w14:paraId="212802E9">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供应商招募的所有人员，应</w:t>
      </w:r>
      <w:r>
        <w:rPr>
          <w:rFonts w:hint="eastAsia" w:ascii="宋体" w:hAnsi="宋体" w:cs="宋体"/>
          <w:color w:val="auto"/>
          <w:sz w:val="24"/>
          <w:highlight w:val="none"/>
          <w:lang w:eastAsia="zh-CN"/>
        </w:rPr>
        <w:t>按照《中华人民共和国劳动法</w:t>
      </w:r>
      <w:r>
        <w:rPr>
          <w:rFonts w:ascii="宋体" w:hAnsi="宋体" w:cs="宋体"/>
          <w:color w:val="auto"/>
          <w:sz w:val="24"/>
          <w:highlight w:val="none"/>
        </w:rPr>
        <w:t>》等相关要求用工。</w:t>
      </w:r>
    </w:p>
    <w:p w14:paraId="16252679">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合同履行期内，供应商招募的实有人员数因调走、辞职、休假或被供应商辞退等原因导致在岗人员数无法满足采购方需要的，供应商应在10日内及时补齐符合项目要求的人员，期间，由供应商调剂合格人员顶岗顶班。若未在规定时限内补齐，则视为供应商主动违约，采购方有权终止合同，并有权拒绝支付本季度项目服务费。</w:t>
      </w:r>
    </w:p>
    <w:p w14:paraId="50D7DCC7">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在合同履行过程中，采购方有权要求供应商进行岗位调配，对不能胜任或不符合业务要求的人员进行更换。</w:t>
      </w:r>
    </w:p>
    <w:p w14:paraId="24685071">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（5）</w:t>
      </w:r>
      <w:r>
        <w:rPr>
          <w:rFonts w:ascii="宋体" w:hAnsi="宋体" w:cs="宋体"/>
          <w:color w:val="auto"/>
          <w:sz w:val="24"/>
          <w:highlight w:val="none"/>
        </w:rPr>
        <w:t>如因实际需要所产生的相关业务规范和标准变化，供应商必须无条件接受。</w:t>
      </w:r>
    </w:p>
    <w:p w14:paraId="24457E3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（6）</w:t>
      </w:r>
      <w:r>
        <w:rPr>
          <w:rFonts w:ascii="宋体" w:hAnsi="宋体" w:cs="宋体"/>
          <w:color w:val="auto"/>
          <w:sz w:val="24"/>
          <w:highlight w:val="none"/>
        </w:rPr>
        <w:t>供应商签订合同前必须按照国家相关保密规定和采购方签订《保密协议》，对违反《保密协议》相关内容规定的，采购方有权追究其法律责任。</w:t>
      </w:r>
    </w:p>
    <w:p w14:paraId="0DB2A1B4">
      <w:pPr>
        <w:spacing w:line="400" w:lineRule="exact"/>
        <w:ind w:firstLine="480"/>
        <w:rPr>
          <w:rFonts w:ascii="宋体" w:hAnsi="宋体" w:cs="宋体"/>
          <w:color w:val="auto"/>
          <w:sz w:val="24"/>
          <w:highlight w:val="none"/>
        </w:rPr>
      </w:pPr>
    </w:p>
    <w:p w14:paraId="0FF74BCC">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九、甲方的权利和义务</w:t>
      </w:r>
    </w:p>
    <w:p w14:paraId="7773D91D">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1.甲方的权利</w:t>
      </w:r>
    </w:p>
    <w:p w14:paraId="5A7D4A4D">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（1）对乙方服务质量有指导、监督、检查、考核并实施奖罚的权利。</w:t>
      </w:r>
    </w:p>
    <w:p w14:paraId="345B7458">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（2）对乙方服务人员有监督、管理的权利。</w:t>
      </w:r>
    </w:p>
    <w:p w14:paraId="2CBBED61">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（3）对乙方违反合同中规定义务的行为，有扣除其服务费用的权利。</w:t>
      </w:r>
    </w:p>
    <w:p w14:paraId="1145FE70">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（4）对乙方违约造成不良社会影响的行为，有实施惩罚的权利。</w:t>
      </w:r>
    </w:p>
    <w:p w14:paraId="499AB232">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（5）对乙方有召开业务会议的权利。</w:t>
      </w:r>
    </w:p>
    <w:p w14:paraId="37FF6D48">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2.甲方的义务</w:t>
      </w:r>
    </w:p>
    <w:p w14:paraId="3DCF1FDE">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（1）甲方有协助乙方对员工进行业务培训和指导的义务。</w:t>
      </w:r>
    </w:p>
    <w:p w14:paraId="35BB07E8">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（2）甲方有协助乙方协调服务期间涉及有关部门业务管理部门事宜的义务。</w:t>
      </w:r>
    </w:p>
    <w:p w14:paraId="2030BC2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十、乙方的权利和义务</w:t>
      </w:r>
    </w:p>
    <w:p w14:paraId="4810E119">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1.乙方的权利</w:t>
      </w:r>
    </w:p>
    <w:p w14:paraId="66F69961">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（1）在执行服务合同过程中，有自主调配人员的权利。</w:t>
      </w:r>
    </w:p>
    <w:p w14:paraId="47543654">
      <w:pPr>
        <w:spacing w:line="400" w:lineRule="exact"/>
        <w:ind w:firstLine="480"/>
        <w:rPr>
          <w:rFonts w:ascii="宋体" w:hAnsi="宋体" w:cs="宋体"/>
          <w:color w:val="auto"/>
          <w:sz w:val="24"/>
          <w:highlight w:val="none"/>
          <w:u w:val="single"/>
        </w:rPr>
      </w:pPr>
      <w:r>
        <w:rPr>
          <w:rFonts w:hint="eastAsia" w:ascii="宋体" w:hAnsi="宋体" w:cs="宋体"/>
          <w:color w:val="auto"/>
          <w:sz w:val="24"/>
          <w:highlight w:val="none"/>
        </w:rPr>
        <w:t>（2）对甲方不及时履行义务，出现纠纷（包括对甲方扣除服务费用有异议），有要求仲裁的权利。</w:t>
      </w:r>
    </w:p>
    <w:p w14:paraId="7CA6AD0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（3）对甲方违约所造成的经济损失，有要求赔偿的权利。</w:t>
      </w:r>
    </w:p>
    <w:p w14:paraId="21A7928C">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2.乙方的义务</w:t>
      </w:r>
    </w:p>
    <w:p w14:paraId="7EED2DD9">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（1）乙方有自觉接受甲方业务指导、监督管理、服务质量考核检查的义务。</w:t>
      </w:r>
    </w:p>
    <w:p w14:paraId="6CD306BA">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（2）乙方有严格按照甲方制定的服务时间和服务质量标准完成任务的义务。</w:t>
      </w:r>
    </w:p>
    <w:p w14:paraId="76D6E6FA">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（3）乙方对甲方提出存在的问题，应及时整改。</w:t>
      </w:r>
    </w:p>
    <w:p w14:paraId="4D411771">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（4）乙方有无条件服从和配合区各项重大活动、创建迎检等保障，确保服务质量达标的义务。</w:t>
      </w:r>
    </w:p>
    <w:p w14:paraId="3BEE6ADF">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（5）乙方的责任路段范围内发现易燃易爆、有毒有害物质遗撒物，乙方应及时报告行政主管部门</w:t>
      </w:r>
      <w:r>
        <w:rPr>
          <w:rFonts w:ascii="宋体" w:hAnsi="宋体" w:cs="宋体"/>
          <w:color w:val="auto"/>
          <w:sz w:val="24"/>
          <w:highlight w:val="none"/>
        </w:rPr>
        <w:t>。</w:t>
      </w:r>
    </w:p>
    <w:p w14:paraId="128A36D5">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（6）乙方在服务期内自行承担生产、交通等安全责任及其他责任。如发生事故或法外事宜所造成的经济损失，一律由乙方承担。</w:t>
      </w:r>
    </w:p>
    <w:p w14:paraId="2CFA057F">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7）乙方须在本合同生效之日起的两周内对所有甲方采购需求人员完成业务培训、安全教育等岗前工作，并确保所有甲方采购需求人员在合同生效之日起的两周内正式上岗并为甲方提供服务，乙方若在本合同生效之日起的两周时间内无法使所有甲方采购需求人员正式上岗并为甲方提供服务，乙方每日应按万分之五的比例向甲方支付违约金。</w:t>
      </w:r>
    </w:p>
    <w:p w14:paraId="5268D82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十一、合同的签订和终止</w:t>
      </w:r>
    </w:p>
    <w:p w14:paraId="408813DF">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1.有下列情形之一的，本合同自行解除。</w:t>
      </w:r>
    </w:p>
    <w:p w14:paraId="0CD1594A">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（1）因建设需要或不可抗力及政策性因素，造成合同无法履行的。</w:t>
      </w:r>
    </w:p>
    <w:p w14:paraId="175AD522">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（2）经双方协商一致，自愿解除的。</w:t>
      </w:r>
    </w:p>
    <w:p w14:paraId="27D6449E">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2.有下列情形之一的，甲方有权单方终止合同。</w:t>
      </w:r>
    </w:p>
    <w:p w14:paraId="5FC85DB9">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（1）未经甲方同意，乙方擅自转分包他人的。</w:t>
      </w:r>
    </w:p>
    <w:p w14:paraId="150B5F5F">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（2）乙方不履行义务，连续三个月考核不达标和因服务质量不到位被新闻媒体连续三次曝光的，</w:t>
      </w:r>
      <w:r>
        <w:rPr>
          <w:rFonts w:hint="eastAsia" w:ascii="宋体" w:hAnsi="宋体" w:cs="宋体"/>
          <w:color w:val="auto"/>
          <w:sz w:val="24"/>
          <w:highlight w:val="none"/>
          <w:lang w:eastAsia="zh-CN"/>
        </w:rPr>
        <w:t>终</w:t>
      </w:r>
      <w:r>
        <w:rPr>
          <w:rFonts w:hint="eastAsia" w:ascii="宋体" w:hAnsi="宋体" w:cs="宋体"/>
          <w:color w:val="auto"/>
          <w:sz w:val="24"/>
          <w:highlight w:val="none"/>
        </w:rPr>
        <w:t>止服务合同。</w:t>
      </w:r>
    </w:p>
    <w:p w14:paraId="3F597483">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3.除自行解除和甲方有权单方终止合同外，任何一方需要终止合同的，应提前三个月向对方提出书面申请，经双方协商</w:t>
      </w:r>
      <w:r>
        <w:rPr>
          <w:rFonts w:hint="eastAsia" w:ascii="宋体" w:hAnsi="宋体" w:cs="宋体"/>
          <w:color w:val="auto"/>
          <w:sz w:val="24"/>
          <w:highlight w:val="none"/>
          <w:lang w:eastAsia="zh-CN"/>
        </w:rPr>
        <w:t>，经</w:t>
      </w:r>
      <w:r>
        <w:rPr>
          <w:rFonts w:hint="eastAsia" w:ascii="宋体" w:hAnsi="宋体" w:cs="宋体"/>
          <w:color w:val="auto"/>
          <w:sz w:val="24"/>
          <w:highlight w:val="none"/>
        </w:rPr>
        <w:t>有关部门批准后决定是否终止合同。</w:t>
      </w:r>
    </w:p>
    <w:p w14:paraId="3D939817">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十二、奖惩</w:t>
      </w:r>
    </w:p>
    <w:p w14:paraId="329785F0">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1.作业单位自觉接受市、区城市管理主管部门和专业管理机构的服务质量考核，对服务质量不达标，造成不良影响的作业单位，给予通报批评和一定的经济惩罚。</w:t>
      </w:r>
    </w:p>
    <w:p w14:paraId="05152180">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2.经考核，发现服务质量不达标，按考核标准扣减相应服务费用。</w:t>
      </w:r>
    </w:p>
    <w:p w14:paraId="3F281E2E">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3.建立完善劳务用工分配保障机制。劳务用工月工资标准不得低于无锡市最低工资110%标准。</w:t>
      </w:r>
    </w:p>
    <w:p w14:paraId="407C3BD8">
      <w:pPr>
        <w:spacing w:line="400" w:lineRule="exact"/>
        <w:ind w:firstLine="480"/>
        <w:rPr>
          <w:rFonts w:ascii="宋体" w:hAnsi="宋体" w:cs="宋体"/>
          <w:b/>
          <w:bCs/>
          <w:color w:val="auto"/>
          <w:sz w:val="24"/>
          <w:highlight w:val="none"/>
        </w:rPr>
      </w:pPr>
      <w:r>
        <w:rPr>
          <w:rFonts w:hint="eastAsia" w:ascii="宋体" w:hAnsi="宋体" w:cs="宋体"/>
          <w:color w:val="auto"/>
          <w:sz w:val="24"/>
          <w:highlight w:val="none"/>
        </w:rPr>
        <w:t>4.规范劳务用工，依法与劳动者签订劳动合同并</w:t>
      </w:r>
      <w:r>
        <w:rPr>
          <w:rFonts w:hint="eastAsia" w:ascii="宋体" w:hAnsi="宋体" w:cs="宋体"/>
          <w:color w:val="auto"/>
          <w:sz w:val="24"/>
          <w:highlight w:val="none"/>
          <w:lang w:eastAsia="zh-CN"/>
        </w:rPr>
        <w:t>缴纳社会保险</w:t>
      </w:r>
      <w:r>
        <w:rPr>
          <w:rFonts w:hint="eastAsia" w:ascii="宋体" w:hAnsi="宋体" w:cs="宋体"/>
          <w:color w:val="auto"/>
          <w:sz w:val="24"/>
          <w:highlight w:val="none"/>
        </w:rPr>
        <w:t>。</w:t>
      </w:r>
    </w:p>
    <w:p w14:paraId="748F1F3D">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十三、其他</w:t>
      </w:r>
    </w:p>
    <w:p w14:paraId="0A769C31">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1.以上事项以政府采购编号：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为准</w:t>
      </w:r>
    </w:p>
    <w:p w14:paraId="04CA0C59">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2.中标后，在服务期内，中标书所承诺的各项条款一律不作调整。</w:t>
      </w:r>
    </w:p>
    <w:p w14:paraId="3D1065B7">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3.具体考核细则及办法，详见附件1.</w:t>
      </w:r>
    </w:p>
    <w:p w14:paraId="16848E40">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4.招标文件及合同中所述“不可抗力”系指不可预见、不可避免、不可克服的事件，包括但不限于：战争、洪水、台风、地震及其他</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规定的事件；</w:t>
      </w:r>
    </w:p>
    <w:p w14:paraId="5F432D53">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5.如果乙方在本合同履行完毕之前破产或无清偿能力，甲方可在任何时候以书面形式通知供应方，提出解除合同。该终止合同将不</w:t>
      </w:r>
      <w:r>
        <w:rPr>
          <w:rFonts w:hint="eastAsia" w:ascii="宋体" w:hAnsi="宋体" w:cs="宋体"/>
          <w:color w:val="auto"/>
          <w:sz w:val="24"/>
          <w:highlight w:val="none"/>
          <w:lang w:eastAsia="zh-CN"/>
        </w:rPr>
        <w:t>损害</w:t>
      </w:r>
      <w:r>
        <w:rPr>
          <w:rFonts w:hint="eastAsia" w:ascii="宋体" w:hAnsi="宋体" w:cs="宋体"/>
          <w:color w:val="auto"/>
          <w:sz w:val="24"/>
          <w:highlight w:val="none"/>
        </w:rPr>
        <w:t>或影响采购方已经采取或将要采取的任何行动或补救措施的权利；</w:t>
      </w:r>
    </w:p>
    <w:p w14:paraId="0CA7CBAE">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6.本合同正本一式五份，甲方执贰份，乙方执贰份、见证方执壹份。本合同由甲乙双方签字、盖章，并经见证后生效。</w:t>
      </w:r>
    </w:p>
    <w:p w14:paraId="16E6AFEA">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7.关于因本合同引起的，以及与本合同相关的一切纠纷，甲乙双方应友好协商解决。协商不成的，由无锡仲裁委员会裁决。</w:t>
      </w:r>
    </w:p>
    <w:p w14:paraId="0871D4E5">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8.本合同的解释权在无锡国家高新技术产业开发区（无锡市高新区）城市管理局。</w:t>
      </w:r>
    </w:p>
    <w:p w14:paraId="373FEE81">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附件1：</w:t>
      </w:r>
      <w:r>
        <w:rPr>
          <w:rFonts w:ascii="宋体" w:hAnsi="宋体" w:cs="宋体"/>
          <w:color w:val="auto"/>
          <w:sz w:val="24"/>
          <w:highlight w:val="none"/>
        </w:rPr>
        <w:t>新吴区城市精细化管理“第三方”信息采集服务考核标准</w:t>
      </w:r>
    </w:p>
    <w:p w14:paraId="5A0C81F5">
      <w:pPr>
        <w:spacing w:line="400" w:lineRule="exact"/>
        <w:ind w:firstLine="480"/>
        <w:rPr>
          <w:rFonts w:ascii="宋体" w:hAnsi="宋体" w:cs="宋体"/>
          <w:color w:val="auto"/>
          <w:sz w:val="24"/>
          <w:highlight w:val="none"/>
        </w:rPr>
      </w:pPr>
    </w:p>
    <w:p w14:paraId="77325E61">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1DFC6B3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代表人：                       代表人： </w:t>
      </w:r>
    </w:p>
    <w:p w14:paraId="191F864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电话：                         电话： </w:t>
      </w:r>
    </w:p>
    <w:p w14:paraId="730A1020">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21726E65">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 xml:space="preserve">账号：                         账号： </w:t>
      </w:r>
    </w:p>
    <w:p w14:paraId="584FDC4F">
      <w:pPr>
        <w:spacing w:line="400" w:lineRule="exact"/>
        <w:ind w:firstLine="480"/>
        <w:rPr>
          <w:rFonts w:ascii="宋体" w:hAnsi="宋体" w:cs="宋体"/>
          <w:color w:val="auto"/>
          <w:sz w:val="24"/>
          <w:highlight w:val="none"/>
        </w:rPr>
      </w:pPr>
    </w:p>
    <w:p w14:paraId="4E884818">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签订日期：    年    月    日</w:t>
      </w:r>
    </w:p>
    <w:p w14:paraId="72665409">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见证方：</w:t>
      </w:r>
    </w:p>
    <w:p w14:paraId="0E0A789E">
      <w:pPr>
        <w:tabs>
          <w:tab w:val="left" w:pos="1440"/>
        </w:tabs>
        <w:spacing w:line="500" w:lineRule="exact"/>
        <w:jc w:val="center"/>
        <w:outlineLvl w:val="0"/>
        <w:rPr>
          <w:rFonts w:ascii="黑体" w:hAnsi="黑体" w:eastAsia="黑体"/>
          <w:color w:val="auto"/>
          <w:sz w:val="36"/>
          <w:szCs w:val="36"/>
          <w:highlight w:val="none"/>
        </w:rPr>
      </w:pPr>
      <w:r>
        <w:rPr>
          <w:rFonts w:ascii="宋体" w:hAnsi="宋体"/>
          <w:bCs/>
          <w:color w:val="auto"/>
          <w:sz w:val="24"/>
          <w:szCs w:val="24"/>
          <w:highlight w:val="none"/>
        </w:rPr>
        <w:br w:type="page" w:clear="all"/>
      </w:r>
      <w:bookmarkEnd w:id="181"/>
      <w:bookmarkEnd w:id="182"/>
      <w:bookmarkEnd w:id="183"/>
      <w:bookmarkStart w:id="184" w:name="_Hlt16619369"/>
      <w:bookmarkEnd w:id="184"/>
      <w:bookmarkStart w:id="185" w:name="_Hlt16619350"/>
      <w:bookmarkStart w:id="186" w:name="_Toc16938590"/>
      <w:bookmarkStart w:id="187" w:name="_Toc120614244"/>
      <w:bookmarkStart w:id="188" w:name="_Toc20823346"/>
      <w:bookmarkStart w:id="189" w:name="_Toc462564139"/>
      <w:bookmarkStart w:id="190" w:name="_Toc479757211"/>
      <w:r>
        <w:rPr>
          <w:rFonts w:hint="eastAsia" w:ascii="黑体" w:hAnsi="黑体" w:eastAsia="黑体"/>
          <w:color w:val="auto"/>
          <w:sz w:val="36"/>
          <w:szCs w:val="36"/>
          <w:highlight w:val="none"/>
        </w:rPr>
        <w:t>第</w:t>
      </w:r>
      <w:bookmarkEnd w:id="185"/>
      <w:r>
        <w:rPr>
          <w:rFonts w:hint="eastAsia" w:ascii="黑体" w:hAnsi="黑体" w:eastAsia="黑体"/>
          <w:color w:val="auto"/>
          <w:sz w:val="36"/>
          <w:szCs w:val="36"/>
          <w:highlight w:val="none"/>
        </w:rPr>
        <w:t>四章 采购需求</w:t>
      </w:r>
      <w:bookmarkEnd w:id="186"/>
      <w:bookmarkEnd w:id="187"/>
      <w:bookmarkEnd w:id="188"/>
    </w:p>
    <w:p w14:paraId="756B70A4">
      <w:pPr>
        <w:spacing w:line="360" w:lineRule="auto"/>
        <w:ind w:firstLine="600"/>
        <w:jc w:val="left"/>
        <w:rPr>
          <w:rFonts w:ascii="黑体" w:hAnsi="黑体" w:eastAsia="黑体"/>
          <w:color w:val="auto"/>
          <w:sz w:val="30"/>
          <w:szCs w:val="30"/>
          <w:highlight w:val="none"/>
        </w:rPr>
      </w:pPr>
      <w:bookmarkStart w:id="191" w:name="_Toc49090575"/>
      <w:bookmarkStart w:id="192" w:name="_Toc26554093"/>
      <w:r>
        <w:rPr>
          <w:rFonts w:hint="eastAsia" w:ascii="黑体" w:hAnsi="黑体" w:eastAsia="黑体"/>
          <w:color w:val="auto"/>
          <w:sz w:val="30"/>
          <w:szCs w:val="30"/>
          <w:highlight w:val="none"/>
        </w:rPr>
        <w:t>本项目属性：服务类项目</w:t>
      </w:r>
    </w:p>
    <w:p w14:paraId="69A7DFAE">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投标人所投内容必须满足以下要求，不得有负偏离。</w:t>
      </w:r>
    </w:p>
    <w:p w14:paraId="1981FC2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本项目标的物所属行业：其他未列明行业。（根据中小企业划型标准规定（工信部联企业</w:t>
      </w:r>
      <w:r>
        <w:rPr>
          <w:rFonts w:hint="eastAsia" w:ascii="宋体" w:hAnsi="宋体"/>
          <w:bCs/>
          <w:color w:val="auto"/>
          <w:sz w:val="24"/>
          <w:szCs w:val="24"/>
          <w:highlight w:val="none"/>
          <w:lang w:eastAsia="zh-CN"/>
        </w:rPr>
        <w:t>〔2011〕300号</w:t>
      </w:r>
      <w:r>
        <w:rPr>
          <w:rFonts w:hint="eastAsia" w:ascii="宋体" w:hAnsi="宋体"/>
          <w:bCs/>
          <w:color w:val="auto"/>
          <w:sz w:val="24"/>
          <w:szCs w:val="24"/>
          <w:highlight w:val="none"/>
        </w:rPr>
        <w:t>）从业人员300人以下的为中小微型企业。其中，从业人员100人及以上的为中型企业；从业人员10人及以上的为小型企业；从业人员10人以下的为微型企业）。</w:t>
      </w:r>
    </w:p>
    <w:p w14:paraId="7FB5C1E7">
      <w:pPr>
        <w:spacing w:line="360" w:lineRule="auto"/>
        <w:ind w:firstLine="602"/>
        <w:rPr>
          <w:rFonts w:ascii="宋体" w:hAnsi="宋体"/>
          <w:b/>
          <w:color w:val="auto"/>
          <w:sz w:val="30"/>
          <w:szCs w:val="30"/>
          <w:highlight w:val="none"/>
        </w:rPr>
      </w:pPr>
      <w:r>
        <w:rPr>
          <w:rFonts w:hint="eastAsia" w:ascii="宋体" w:hAnsi="宋体"/>
          <w:b/>
          <w:color w:val="auto"/>
          <w:sz w:val="30"/>
          <w:szCs w:val="30"/>
          <w:highlight w:val="none"/>
        </w:rPr>
        <w:t>第一部分  项目技术要求</w:t>
      </w:r>
    </w:p>
    <w:p w14:paraId="78A6EFC1">
      <w:pPr>
        <w:spacing w:line="360" w:lineRule="auto"/>
        <w:ind w:firstLine="560"/>
        <w:jc w:val="left"/>
        <w:rPr>
          <w:rFonts w:ascii="宋体" w:hAnsi="宋体"/>
          <w:b/>
          <w:bCs/>
          <w:color w:val="auto"/>
          <w:sz w:val="28"/>
          <w:highlight w:val="none"/>
        </w:rPr>
      </w:pPr>
      <w:bookmarkStart w:id="193" w:name="_Hlk6257390"/>
      <w:r>
        <w:rPr>
          <w:rFonts w:hint="eastAsia" w:ascii="宋体" w:hAnsi="宋体"/>
          <w:b/>
          <w:bCs/>
          <w:color w:val="auto"/>
          <w:sz w:val="28"/>
          <w:highlight w:val="none"/>
        </w:rPr>
        <w:t>（一）采购标的需实现的功能或者目标，以及为落实政府采购政策需满足的要求：</w:t>
      </w:r>
    </w:p>
    <w:p w14:paraId="300B9471">
      <w:pPr>
        <w:snapToGrid w:val="0"/>
        <w:spacing w:line="360" w:lineRule="auto"/>
        <w:outlineLvl w:val="0"/>
        <w:rPr>
          <w:rFonts w:ascii="宋体" w:hAnsi="宋体" w:cs="宋体"/>
          <w:color w:val="auto"/>
          <w:sz w:val="24"/>
          <w:highlight w:val="none"/>
        </w:rPr>
      </w:pPr>
      <w:r>
        <w:rPr>
          <w:rFonts w:hint="eastAsia" w:ascii="宋体" w:hAnsi="宋体"/>
          <w:b/>
          <w:bCs/>
          <w:color w:val="auto"/>
          <w:sz w:val="24"/>
          <w:highlight w:val="none"/>
        </w:rPr>
        <w:t>1.采购标的需实现的功能或者目标：</w:t>
      </w:r>
      <w:r>
        <w:rPr>
          <w:rFonts w:hint="eastAsia" w:ascii="宋体" w:hAnsi="宋体"/>
          <w:bCs/>
          <w:color w:val="auto"/>
          <w:sz w:val="24"/>
          <w:highlight w:val="none"/>
        </w:rPr>
        <w:t>为做好我区城市精细化管理工作，提升城市精细化管理水平，实现各管理单元的长效管理，拟通过人工及智能手段</w:t>
      </w:r>
      <w:r>
        <w:rPr>
          <w:rFonts w:hint="eastAsia" w:ascii="宋体" w:hAnsi="宋体"/>
          <w:bCs/>
          <w:color w:val="auto"/>
          <w:sz w:val="24"/>
          <w:highlight w:val="none"/>
          <w:lang w:val="en-US" w:eastAsia="zh-CN"/>
        </w:rPr>
        <w:t>对</w:t>
      </w:r>
      <w:r>
        <w:rPr>
          <w:rFonts w:hint="eastAsia" w:ascii="宋体" w:hAnsi="宋体"/>
          <w:bCs/>
          <w:color w:val="auto"/>
          <w:sz w:val="24"/>
          <w:highlight w:val="none"/>
        </w:rPr>
        <w:t>各类城市精细化管理信息进行采集，做到提前发现问题、派遣问题、解决问题。主要工作内容：针对新吴区管辖范围内开展区域综合提升高质量发展考核的日常监测信息采集工作；聚焦新吴区管辖范围内城市管理重点区域、保障路线及节假日、恶劣天气等特殊场景开展专项信息采集；服务商配置采集设备，通过采集人员以及运用人工智能采集手段及系统对各类城市精细化管理信息进行“水陆空三位一体”智能识别、智能采集，实现多场景城市管理信息的快速采集</w:t>
      </w:r>
      <w:r>
        <w:rPr>
          <w:rFonts w:hint="eastAsia" w:ascii="宋体" w:hAnsi="宋体" w:cs="宋体"/>
          <w:color w:val="auto"/>
          <w:sz w:val="24"/>
          <w:highlight w:val="none"/>
        </w:rPr>
        <w:t>。</w:t>
      </w:r>
    </w:p>
    <w:p w14:paraId="7FBEF0F1">
      <w:pPr>
        <w:spacing w:line="360" w:lineRule="auto"/>
        <w:ind w:firstLine="480"/>
        <w:rPr>
          <w:rFonts w:ascii="宋体" w:hAnsi="宋体"/>
          <w:bCs/>
          <w:color w:val="auto"/>
          <w:sz w:val="24"/>
          <w:highlight w:val="none"/>
        </w:rPr>
      </w:pPr>
      <w:r>
        <w:rPr>
          <w:rFonts w:hint="eastAsia" w:ascii="宋体" w:hAnsi="宋体"/>
          <w:b/>
          <w:bCs/>
          <w:color w:val="auto"/>
          <w:sz w:val="24"/>
          <w:highlight w:val="none"/>
          <w:lang w:eastAsia="zh-CN"/>
        </w:rPr>
        <w:t>2.</w:t>
      </w:r>
      <w:r>
        <w:rPr>
          <w:rFonts w:ascii="宋体" w:hAnsi="宋体"/>
          <w:b/>
          <w:bCs/>
          <w:color w:val="auto"/>
          <w:sz w:val="24"/>
          <w:highlight w:val="none"/>
        </w:rPr>
        <w:t>为落实政府采购政策需满足的要求：</w:t>
      </w:r>
      <w:r>
        <w:rPr>
          <w:rFonts w:hint="eastAsia" w:ascii="宋体" w:hAnsi="宋体" w:cs="宋体"/>
          <w:color w:val="auto"/>
          <w:sz w:val="24"/>
          <w:highlight w:val="none"/>
        </w:rPr>
        <w:t>本项目专门面向中小企业（含监狱企业、残疾人福利性单位）采购</w:t>
      </w:r>
      <w:r>
        <w:rPr>
          <w:rFonts w:hint="eastAsia" w:ascii="宋体" w:hAnsi="宋体"/>
          <w:bCs/>
          <w:color w:val="auto"/>
          <w:sz w:val="24"/>
          <w:highlight w:val="none"/>
        </w:rPr>
        <w:t>。</w:t>
      </w:r>
    </w:p>
    <w:p w14:paraId="49E873F6">
      <w:pPr>
        <w:spacing w:line="360" w:lineRule="auto"/>
        <w:ind w:firstLine="560"/>
        <w:rPr>
          <w:rFonts w:ascii="宋体" w:hAnsi="宋体"/>
          <w:b/>
          <w:bCs/>
          <w:color w:val="auto"/>
          <w:sz w:val="28"/>
          <w:highlight w:val="none"/>
        </w:rPr>
      </w:pPr>
      <w:r>
        <w:rPr>
          <w:rFonts w:ascii="宋体" w:hAnsi="宋体"/>
          <w:b/>
          <w:bCs/>
          <w:color w:val="auto"/>
          <w:sz w:val="28"/>
          <w:highlight w:val="none"/>
        </w:rPr>
        <w:t>（二）采购标的需执行的国家相关标准、行业标准、地方标准或者其他标准、规范：</w:t>
      </w:r>
    </w:p>
    <w:p w14:paraId="3D07B321">
      <w:pPr>
        <w:spacing w:line="360" w:lineRule="auto"/>
        <w:ind w:firstLine="480"/>
        <w:rPr>
          <w:rFonts w:ascii="宋体" w:hAnsi="宋体"/>
          <w:bCs/>
          <w:color w:val="auto"/>
          <w:sz w:val="24"/>
          <w:highlight w:val="none"/>
        </w:rPr>
      </w:pPr>
      <w:r>
        <w:rPr>
          <w:rFonts w:hint="eastAsia" w:ascii="宋体" w:hAnsi="宋体"/>
          <w:bCs/>
          <w:color w:val="auto"/>
          <w:sz w:val="24"/>
          <w:highlight w:val="none"/>
        </w:rPr>
        <w:t>《2024年无锡市城市精细化管理工作考核办法》（锡城管委发〔2024〕4号）、《2023年无锡市城市精细化管理工作考核办法》（锡城管委发〔2023〕5号）、《无锡高新区（新吴区）对优美环境合格区管理单元内市场化作业单位绩效考核的意见（2020年修订）》（锡新城管委发〔2020〕4号）、《关于加快推进优美环境合格区管理单元建设及工作体系建立的通知》（锡新城管委发〔2018〕6号）、《高新区</w:t>
      </w:r>
      <w:r>
        <w:rPr>
          <w:rFonts w:hint="eastAsia" w:ascii="宋体" w:hAnsi="宋体"/>
          <w:bCs/>
          <w:color w:val="auto"/>
          <w:sz w:val="24"/>
          <w:highlight w:val="none"/>
          <w:lang w:eastAsia="zh-CN"/>
        </w:rPr>
        <w:t>（</w:t>
      </w:r>
      <w:r>
        <w:rPr>
          <w:rFonts w:hint="eastAsia" w:ascii="宋体" w:hAnsi="宋体"/>
          <w:bCs/>
          <w:color w:val="auto"/>
          <w:sz w:val="24"/>
          <w:highlight w:val="none"/>
        </w:rPr>
        <w:t>新吴区</w:t>
      </w:r>
      <w:r>
        <w:rPr>
          <w:rFonts w:hint="eastAsia" w:ascii="宋体" w:hAnsi="宋体"/>
          <w:bCs/>
          <w:color w:val="auto"/>
          <w:sz w:val="24"/>
          <w:highlight w:val="none"/>
          <w:lang w:eastAsia="zh-CN"/>
        </w:rPr>
        <w:t>）</w:t>
      </w:r>
      <w:r>
        <w:rPr>
          <w:rFonts w:hint="eastAsia" w:ascii="宋体" w:hAnsi="宋体"/>
          <w:bCs/>
          <w:color w:val="auto"/>
          <w:sz w:val="24"/>
          <w:highlight w:val="none"/>
        </w:rPr>
        <w:t>建设优美环境合格区工作细则（试行）》（锡新城管委发〔2018〕4号）、《高新区</w:t>
      </w:r>
      <w:r>
        <w:rPr>
          <w:rFonts w:hint="eastAsia" w:ascii="宋体" w:hAnsi="宋体"/>
          <w:bCs/>
          <w:color w:val="auto"/>
          <w:sz w:val="24"/>
          <w:highlight w:val="none"/>
          <w:lang w:eastAsia="zh-CN"/>
        </w:rPr>
        <w:t>（</w:t>
      </w:r>
      <w:r>
        <w:rPr>
          <w:rFonts w:hint="eastAsia" w:ascii="宋体" w:hAnsi="宋体"/>
          <w:bCs/>
          <w:color w:val="auto"/>
          <w:sz w:val="24"/>
          <w:highlight w:val="none"/>
        </w:rPr>
        <w:t>新吴区</w:t>
      </w:r>
      <w:r>
        <w:rPr>
          <w:rFonts w:hint="eastAsia" w:ascii="宋体" w:hAnsi="宋体"/>
          <w:bCs/>
          <w:color w:val="auto"/>
          <w:sz w:val="24"/>
          <w:highlight w:val="none"/>
          <w:lang w:eastAsia="zh-CN"/>
        </w:rPr>
        <w:t>）</w:t>
      </w:r>
      <w:r>
        <w:rPr>
          <w:rFonts w:hint="eastAsia" w:ascii="宋体" w:hAnsi="宋体"/>
          <w:bCs/>
          <w:color w:val="auto"/>
          <w:sz w:val="24"/>
          <w:highlight w:val="none"/>
        </w:rPr>
        <w:t>建设优美环境合格区考核办法（试行）》（锡新城管委发〔2018〕3号）、新吴区《2024年度城市精细化管理工作目标任务书》。</w:t>
      </w:r>
    </w:p>
    <w:p w14:paraId="1F252EA6">
      <w:pPr>
        <w:spacing w:line="360" w:lineRule="auto"/>
        <w:ind w:firstLine="480"/>
        <w:rPr>
          <w:rFonts w:ascii="宋体" w:hAnsi="宋体"/>
          <w:bCs/>
          <w:color w:val="auto"/>
          <w:sz w:val="24"/>
          <w:highlight w:val="none"/>
        </w:rPr>
      </w:pPr>
      <w:r>
        <w:rPr>
          <w:rFonts w:hint="eastAsia" w:ascii="宋体" w:hAnsi="宋体"/>
          <w:bCs/>
          <w:color w:val="auto"/>
          <w:sz w:val="24"/>
          <w:highlight w:val="none"/>
        </w:rPr>
        <w:t>《无锡市城市管理监督指挥中心信息采集服务考核指标</w:t>
      </w:r>
      <w:r>
        <w:rPr>
          <w:rFonts w:hint="eastAsia" w:ascii="宋体" w:hAnsi="宋体"/>
          <w:bCs/>
          <w:color w:val="auto"/>
          <w:sz w:val="24"/>
          <w:highlight w:val="none"/>
          <w:lang w:eastAsia="zh-CN"/>
        </w:rPr>
        <w:t>》《</w:t>
      </w:r>
      <w:r>
        <w:rPr>
          <w:rFonts w:hint="eastAsia" w:ascii="宋体" w:hAnsi="宋体"/>
          <w:bCs/>
          <w:color w:val="auto"/>
          <w:sz w:val="24"/>
          <w:highlight w:val="none"/>
        </w:rPr>
        <w:t>江苏省数字化城市管理系统验收标准》苏建城〔2011〕416号、《数字化城市管理信息系统 第2部分：管理部件和事件》（</w:t>
      </w:r>
      <w:r>
        <w:rPr>
          <w:rFonts w:ascii="宋体" w:hAnsi="宋体"/>
          <w:bCs/>
          <w:color w:val="auto"/>
          <w:sz w:val="24"/>
          <w:highlight w:val="none"/>
        </w:rPr>
        <w:t>GB/T30428.2-2013</w:t>
      </w:r>
      <w:r>
        <w:rPr>
          <w:rFonts w:hint="eastAsia" w:ascii="宋体" w:hAnsi="宋体"/>
          <w:bCs/>
          <w:color w:val="auto"/>
          <w:sz w:val="24"/>
          <w:highlight w:val="none"/>
        </w:rPr>
        <w:t>），</w:t>
      </w:r>
      <w:r>
        <w:rPr>
          <w:rFonts w:hint="eastAsia" w:ascii="宋体" w:hAnsi="宋体" w:cs="宋体"/>
          <w:color w:val="auto"/>
          <w:sz w:val="24"/>
          <w:highlight w:val="none"/>
        </w:rPr>
        <w:t>数字化城市管理信息系统 第3部分：地理编码GB/T30428.3-2016，数字化城市管理信息系统 第4部分：绩效评价GB/T30428.4-2016，数字化城市管理信息系统 第5部分：监管信息采集设备GB/T30428.5-2017，数字化城市管理信息系统 第6部分：验收GB/T30428.6-2017，数字化城市管理信息系统 第7部分：监管信息采集GB/T30428.7-2017，城市市政综合监管信息系统技术规范CJJ/T106-2010，城市市政综合监管信息系统</w:t>
      </w:r>
      <w:r>
        <w:rPr>
          <w:rFonts w:hint="eastAsia" w:ascii="宋体" w:hAnsi="宋体" w:cs="宋体"/>
          <w:color w:val="auto"/>
          <w:sz w:val="24"/>
          <w:highlight w:val="none"/>
          <w:lang w:eastAsia="zh-CN"/>
        </w:rPr>
        <w:t>－</w:t>
      </w:r>
      <w:r>
        <w:rPr>
          <w:rFonts w:hint="eastAsia" w:ascii="宋体" w:hAnsi="宋体" w:cs="宋体"/>
          <w:color w:val="auto"/>
          <w:sz w:val="24"/>
          <w:highlight w:val="none"/>
        </w:rPr>
        <w:t>监管案件立案、处置与结案 CJ/T315-2009，</w:t>
      </w:r>
      <w:r>
        <w:rPr>
          <w:rFonts w:hint="eastAsia" w:ascii="宋体" w:hAnsi="宋体"/>
          <w:bCs/>
          <w:color w:val="auto"/>
          <w:sz w:val="24"/>
          <w:highlight w:val="none"/>
        </w:rPr>
        <w:t>（锡政办发</w:t>
      </w:r>
      <w:r>
        <w:rPr>
          <w:rFonts w:hint="eastAsia" w:ascii="宋体" w:hAnsi="宋体"/>
          <w:bCs/>
          <w:color w:val="auto"/>
          <w:sz w:val="24"/>
          <w:highlight w:val="none"/>
          <w:lang w:eastAsia="zh-CN"/>
        </w:rPr>
        <w:t>〔2015〕95号</w:t>
      </w:r>
      <w:r>
        <w:rPr>
          <w:rFonts w:hint="eastAsia" w:ascii="宋体" w:hAnsi="宋体"/>
          <w:bCs/>
          <w:color w:val="auto"/>
          <w:sz w:val="24"/>
          <w:highlight w:val="none"/>
        </w:rPr>
        <w:t>《市政府办公室关于下发无锡市数字化城管专业部门绩效评价办法及无锡市数字化城管案件立案处置与结案标准的通知》、锡政</w:t>
      </w:r>
      <w:r>
        <w:rPr>
          <w:rFonts w:hint="eastAsia" w:ascii="宋体" w:hAnsi="宋体"/>
          <w:bCs/>
          <w:color w:val="auto"/>
          <w:sz w:val="24"/>
          <w:highlight w:val="none"/>
          <w:lang w:eastAsia="zh-CN"/>
        </w:rPr>
        <w:t>〔2018〕35号</w:t>
      </w:r>
      <w:r>
        <w:rPr>
          <w:rFonts w:hint="eastAsia" w:ascii="宋体" w:hAnsi="宋体"/>
          <w:bCs/>
          <w:color w:val="auto"/>
          <w:sz w:val="24"/>
          <w:highlight w:val="none"/>
        </w:rPr>
        <w:t>《市政府关于开展优美环境合格区建设全面提升城市精细化管理水平的实施意见》、</w:t>
      </w:r>
      <w:r>
        <w:rPr>
          <w:rFonts w:hint="eastAsia"/>
          <w:color w:val="auto"/>
          <w:sz w:val="24"/>
          <w:highlight w:val="none"/>
          <w:lang w:val="zh-CN"/>
        </w:rPr>
        <w:t>锡高管</w:t>
      </w:r>
      <w:r>
        <w:rPr>
          <w:rFonts w:hint="eastAsia" w:ascii="宋体" w:hAnsi="宋体"/>
          <w:color w:val="auto"/>
          <w:sz w:val="24"/>
          <w:highlight w:val="none"/>
          <w:lang w:val="zh-CN"/>
        </w:rPr>
        <w:t>发〔2018〕33号</w:t>
      </w:r>
      <w:r>
        <w:rPr>
          <w:rFonts w:hint="eastAsia"/>
          <w:color w:val="auto"/>
          <w:sz w:val="24"/>
          <w:highlight w:val="none"/>
          <w:lang w:val="zh-CN"/>
        </w:rPr>
        <w:t>《</w:t>
      </w:r>
      <w:r>
        <w:rPr>
          <w:rFonts w:hint="eastAsia" w:ascii="宋体" w:hAnsi="宋体"/>
          <w:color w:val="auto"/>
          <w:sz w:val="24"/>
          <w:highlight w:val="none"/>
          <w:lang w:val="zh-CN"/>
        </w:rPr>
        <w:t>无锡市高新区（新吴区）</w:t>
      </w:r>
      <w:r>
        <w:rPr>
          <w:rFonts w:hint="eastAsia"/>
          <w:color w:val="auto"/>
          <w:sz w:val="24"/>
          <w:highlight w:val="none"/>
          <w:lang w:val="zh-CN"/>
        </w:rPr>
        <w:t>关于提升城市精细化管理水平建设优美环境合格区的实施意见》《</w:t>
      </w:r>
      <w:r>
        <w:rPr>
          <w:rFonts w:hint="eastAsia" w:ascii="宋体" w:hAnsi="宋体"/>
          <w:bCs/>
          <w:color w:val="auto"/>
          <w:sz w:val="24"/>
          <w:highlight w:val="none"/>
        </w:rPr>
        <w:t>新吴区数字城管指挥中心运行规定》</w:t>
      </w:r>
      <w:r>
        <w:rPr>
          <w:rFonts w:hint="eastAsia" w:ascii="宋体" w:hAnsi="宋体" w:cs="宋体"/>
          <w:color w:val="auto"/>
          <w:sz w:val="24"/>
          <w:highlight w:val="none"/>
        </w:rPr>
        <w:t>等其他法律法规以及江苏省和无锡市行业主管部门颁布的相关文件规定，如</w:t>
      </w:r>
      <w:r>
        <w:rPr>
          <w:rFonts w:hint="eastAsia" w:ascii="宋体" w:hAnsi="宋体" w:cs="宋体"/>
          <w:color w:val="auto"/>
          <w:sz w:val="24"/>
          <w:highlight w:val="none"/>
          <w:lang w:eastAsia="zh-CN"/>
        </w:rPr>
        <w:t>地方性法规</w:t>
      </w:r>
      <w:r>
        <w:rPr>
          <w:rFonts w:hint="eastAsia" w:ascii="宋体" w:hAnsi="宋体" w:cs="宋体"/>
          <w:color w:val="auto"/>
          <w:sz w:val="24"/>
          <w:highlight w:val="none"/>
        </w:rPr>
        <w:t>与国家法规相抵触，按国家法规执行。</w:t>
      </w:r>
      <w:r>
        <w:rPr>
          <w:rFonts w:hint="eastAsia" w:ascii="宋体" w:hAnsi="宋体" w:cs="Arial"/>
          <w:color w:val="auto"/>
          <w:sz w:val="24"/>
          <w:highlight w:val="none"/>
        </w:rPr>
        <w:t>服务期间如有新规范按新规范实施。</w:t>
      </w:r>
    </w:p>
    <w:p w14:paraId="0AF4FC9D">
      <w:pPr>
        <w:spacing w:line="360" w:lineRule="auto"/>
        <w:ind w:firstLine="280"/>
        <w:rPr>
          <w:rFonts w:ascii="宋体" w:hAnsi="宋体"/>
          <w:b/>
          <w:bCs/>
          <w:color w:val="auto"/>
          <w:sz w:val="28"/>
          <w:highlight w:val="none"/>
        </w:rPr>
      </w:pPr>
      <w:r>
        <w:rPr>
          <w:rFonts w:hint="eastAsia" w:ascii="宋体" w:hAnsi="宋体"/>
          <w:b/>
          <w:bCs/>
          <w:color w:val="auto"/>
          <w:sz w:val="28"/>
          <w:highlight w:val="none"/>
        </w:rPr>
        <w:t>（三）采购标的需满足的质量、安全、技术规格、物理特性等要求：</w:t>
      </w:r>
    </w:p>
    <w:p w14:paraId="57660228">
      <w:pPr>
        <w:spacing w:line="360" w:lineRule="auto"/>
        <w:ind w:firstLine="424"/>
        <w:jc w:val="left"/>
        <w:rPr>
          <w:rFonts w:ascii="宋体" w:hAnsi="宋体"/>
          <w:bCs/>
          <w:color w:val="auto"/>
          <w:sz w:val="24"/>
          <w:highlight w:val="none"/>
        </w:rPr>
      </w:pPr>
      <w:r>
        <w:rPr>
          <w:rFonts w:hint="eastAsia" w:ascii="宋体" w:hAnsi="宋体"/>
          <w:bCs/>
          <w:color w:val="auto"/>
          <w:sz w:val="24"/>
          <w:highlight w:val="none"/>
        </w:rPr>
        <w:t>1.质量要求：</w:t>
      </w:r>
      <w:r>
        <w:rPr>
          <w:rFonts w:ascii="宋体" w:hAnsi="宋体"/>
          <w:bCs/>
          <w:color w:val="auto"/>
          <w:sz w:val="24"/>
          <w:highlight w:val="none"/>
        </w:rPr>
        <w:t>满足采购人要求</w:t>
      </w:r>
      <w:r>
        <w:rPr>
          <w:rFonts w:hint="eastAsia" w:ascii="宋体" w:hAnsi="宋体"/>
          <w:bCs/>
          <w:color w:val="auto"/>
          <w:sz w:val="24"/>
          <w:highlight w:val="none"/>
          <w:lang w:val="zh-CN"/>
        </w:rPr>
        <w:t>。</w:t>
      </w:r>
    </w:p>
    <w:p w14:paraId="4EAA6AA8">
      <w:pPr>
        <w:spacing w:line="360" w:lineRule="auto"/>
        <w:ind w:firstLine="280"/>
        <w:rPr>
          <w:rFonts w:ascii="宋体" w:hAnsi="宋体"/>
          <w:b/>
          <w:bCs/>
          <w:color w:val="auto"/>
          <w:sz w:val="28"/>
          <w:highlight w:val="none"/>
        </w:rPr>
      </w:pPr>
      <w:r>
        <w:rPr>
          <w:rFonts w:hint="eastAsia" w:ascii="宋体" w:hAnsi="宋体"/>
          <w:b/>
          <w:bCs/>
          <w:color w:val="auto"/>
          <w:sz w:val="28"/>
          <w:highlight w:val="none"/>
        </w:rPr>
        <w:t>（四）采购标的的数量、采购项目交付或者实施的时间和地点：</w:t>
      </w:r>
    </w:p>
    <w:p w14:paraId="1B3ADE78">
      <w:pPr>
        <w:spacing w:line="360" w:lineRule="auto"/>
        <w:ind w:firstLine="424"/>
        <w:jc w:val="left"/>
        <w:rPr>
          <w:rFonts w:ascii="宋体" w:hAnsi="宋体"/>
          <w:bCs/>
          <w:color w:val="auto"/>
          <w:sz w:val="24"/>
          <w:highlight w:val="none"/>
        </w:rPr>
      </w:pPr>
      <w:r>
        <w:rPr>
          <w:rFonts w:hint="eastAsia" w:ascii="宋体" w:hAnsi="宋体"/>
          <w:bCs/>
          <w:color w:val="auto"/>
          <w:sz w:val="24"/>
          <w:highlight w:val="none"/>
        </w:rPr>
        <w:t>1.采购数量：新吴区城市精细化管理“第三方”信息采集服务，包含人工信息采集服务及智能化信息采集服务</w:t>
      </w:r>
      <w:r>
        <w:rPr>
          <w:rFonts w:hint="eastAsia" w:ascii="宋体" w:hAnsi="宋体" w:cs="宋体"/>
          <w:color w:val="auto"/>
          <w:sz w:val="24"/>
          <w:highlight w:val="none"/>
        </w:rPr>
        <w:t>。</w:t>
      </w:r>
    </w:p>
    <w:p w14:paraId="51D64E98">
      <w:pPr>
        <w:spacing w:line="360" w:lineRule="auto"/>
        <w:ind w:firstLine="424"/>
        <w:jc w:val="left"/>
        <w:rPr>
          <w:rFonts w:ascii="宋体" w:hAnsi="宋体"/>
          <w:bCs/>
          <w:color w:val="auto"/>
          <w:sz w:val="24"/>
          <w:highlight w:val="none"/>
        </w:rPr>
      </w:pPr>
      <w:r>
        <w:rPr>
          <w:rFonts w:hint="eastAsia" w:ascii="宋体" w:hAnsi="宋体"/>
          <w:bCs/>
          <w:color w:val="auto"/>
          <w:sz w:val="24"/>
          <w:highlight w:val="none"/>
        </w:rPr>
        <w:t>2.服务期：</w:t>
      </w:r>
      <w:r>
        <w:rPr>
          <w:rFonts w:hint="eastAsia" w:ascii="宋体" w:hAnsi="宋体"/>
          <w:b/>
          <w:color w:val="auto"/>
          <w:sz w:val="24"/>
          <w:highlight w:val="none"/>
        </w:rPr>
        <w:t>2年</w:t>
      </w:r>
      <w:r>
        <w:rPr>
          <w:rFonts w:hint="eastAsia" w:ascii="宋体" w:hAnsi="宋体"/>
          <w:bCs/>
          <w:color w:val="auto"/>
          <w:sz w:val="24"/>
          <w:highlight w:val="none"/>
        </w:rPr>
        <w:t>，满足7*24小时服务。</w:t>
      </w:r>
    </w:p>
    <w:p w14:paraId="5E6F5030">
      <w:pPr>
        <w:spacing w:line="360" w:lineRule="auto"/>
        <w:ind w:firstLine="424"/>
        <w:jc w:val="left"/>
        <w:rPr>
          <w:rFonts w:ascii="宋体" w:hAnsi="宋体"/>
          <w:bCs/>
          <w:color w:val="auto"/>
          <w:sz w:val="24"/>
          <w:highlight w:val="none"/>
        </w:rPr>
      </w:pPr>
      <w:r>
        <w:rPr>
          <w:rFonts w:hint="eastAsia" w:ascii="宋体" w:hAnsi="宋体"/>
          <w:bCs/>
          <w:color w:val="auto"/>
          <w:sz w:val="24"/>
          <w:highlight w:val="none"/>
        </w:rPr>
        <w:t>3.本项目实施地点：</w:t>
      </w:r>
      <w:r>
        <w:rPr>
          <w:rFonts w:hint="eastAsia" w:ascii="宋体" w:hAnsi="宋体"/>
          <w:bCs/>
          <w:color w:val="auto"/>
          <w:sz w:val="24"/>
          <w:highlight w:val="none"/>
          <w:lang w:val="zh-CN"/>
        </w:rPr>
        <w:t>无锡市新吴区。</w:t>
      </w:r>
    </w:p>
    <w:p w14:paraId="0D0795B5">
      <w:pPr>
        <w:spacing w:line="360" w:lineRule="auto"/>
        <w:ind w:firstLine="280"/>
        <w:rPr>
          <w:rFonts w:ascii="宋体" w:hAnsi="宋体"/>
          <w:b/>
          <w:bCs/>
          <w:color w:val="auto"/>
          <w:sz w:val="28"/>
          <w:highlight w:val="none"/>
        </w:rPr>
      </w:pPr>
      <w:r>
        <w:rPr>
          <w:rFonts w:hint="eastAsia" w:ascii="宋体" w:hAnsi="宋体"/>
          <w:b/>
          <w:bCs/>
          <w:color w:val="auto"/>
          <w:sz w:val="28"/>
          <w:highlight w:val="none"/>
        </w:rPr>
        <w:t>（五）采购标的需满足的服务标准、期限、效率等要求：</w:t>
      </w:r>
    </w:p>
    <w:p w14:paraId="7368E4CF">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rPr>
        <w:t>服务内容：</w:t>
      </w:r>
    </w:p>
    <w:p w14:paraId="07339BF7">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1.1</w:t>
      </w:r>
      <w:r>
        <w:rPr>
          <w:rFonts w:ascii="宋体" w:hAnsi="宋体"/>
          <w:bCs/>
          <w:color w:val="auto"/>
          <w:sz w:val="24"/>
          <w:highlight w:val="none"/>
        </w:rPr>
        <w:t xml:space="preserve"> </w:t>
      </w:r>
      <w:r>
        <w:rPr>
          <w:rFonts w:hint="eastAsia" w:ascii="宋体" w:hAnsi="宋体"/>
          <w:bCs/>
          <w:color w:val="auto"/>
          <w:sz w:val="24"/>
          <w:highlight w:val="none"/>
        </w:rPr>
        <w:t>人工信息采集</w:t>
      </w:r>
    </w:p>
    <w:p w14:paraId="5B0F6E9E">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（1）每月根据新吴区数字监督指挥中心平台大数据，分析、查摆城市管理中存在的问题，提出初步解决建议，配合局相关业务部门最终确定效能督查和问题解决方案。</w:t>
      </w:r>
    </w:p>
    <w:p w14:paraId="60A1FBA4">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（2）对城市精细化管理重难点工作推进专项的提前研判，协助做好区级重难点工作推进项目的问题收集</w:t>
      </w:r>
      <w:r>
        <w:rPr>
          <w:rFonts w:hint="eastAsia" w:ascii="宋体" w:hAnsi="宋体" w:cs="宋体"/>
          <w:color w:val="auto"/>
          <w:sz w:val="24"/>
          <w:highlight w:val="none"/>
        </w:rPr>
        <w:t>、</w:t>
      </w:r>
      <w:r>
        <w:rPr>
          <w:rFonts w:ascii="宋体" w:hAnsi="宋体" w:cs="宋体"/>
          <w:color w:val="auto"/>
          <w:sz w:val="24"/>
          <w:highlight w:val="none"/>
        </w:rPr>
        <w:t>梳理、排查、核实、更新以及优秀项目长效管理落实情况与警示项目整改情况的复核等，每月出初选报告。</w:t>
      </w:r>
    </w:p>
    <w:p w14:paraId="3CCBE04E">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（3）每月针对区级平台反馈的</w:t>
      </w:r>
      <w:r>
        <w:rPr>
          <w:rFonts w:hint="eastAsia" w:ascii="宋体" w:hAnsi="宋体" w:cs="宋体"/>
          <w:color w:val="auto"/>
          <w:sz w:val="24"/>
          <w:highlight w:val="none"/>
          <w:lang w:eastAsia="zh-CN"/>
        </w:rPr>
        <w:t>涉及</w:t>
      </w:r>
      <w:r>
        <w:rPr>
          <w:rFonts w:ascii="宋体" w:hAnsi="宋体" w:cs="宋体"/>
          <w:color w:val="auto"/>
          <w:sz w:val="24"/>
          <w:highlight w:val="none"/>
        </w:rPr>
        <w:t>执法队员、管理队员721工作法开展情况、重复投诉问题跟踪监督、对巡防效能开展抽查评估。</w:t>
      </w:r>
    </w:p>
    <w:p w14:paraId="5BF2E504">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（4）对市容难点、热点、重点管理区域</w:t>
      </w:r>
      <w:r>
        <w:rPr>
          <w:rFonts w:hint="eastAsia" w:ascii="宋体" w:hAnsi="宋体" w:cs="宋体"/>
          <w:color w:val="auto"/>
          <w:sz w:val="24"/>
          <w:highlight w:val="none"/>
          <w:lang w:eastAsia="zh-CN"/>
        </w:rPr>
        <w:t>及垃圾分类情况</w:t>
      </w:r>
      <w:r>
        <w:rPr>
          <w:rFonts w:ascii="宋体" w:hAnsi="宋体" w:cs="宋体"/>
          <w:color w:val="auto"/>
          <w:sz w:val="24"/>
          <w:highlight w:val="none"/>
        </w:rPr>
        <w:t>进行专项分析评估，出具评估意见，并配合局相关业务部门提出综合施策方法。</w:t>
      </w:r>
    </w:p>
    <w:p w14:paraId="412717C0">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（5）按市级标准对全区管理单元信息采集</w:t>
      </w:r>
      <w:r>
        <w:rPr>
          <w:rFonts w:hint="eastAsia" w:ascii="宋体" w:hAnsi="宋体" w:cs="宋体"/>
          <w:color w:val="auto"/>
          <w:sz w:val="24"/>
          <w:highlight w:val="none"/>
        </w:rPr>
        <w:t>，</w:t>
      </w:r>
      <w:r>
        <w:rPr>
          <w:rFonts w:ascii="宋体" w:hAnsi="宋体" w:cs="宋体"/>
          <w:color w:val="auto"/>
          <w:sz w:val="24"/>
          <w:highlight w:val="none"/>
        </w:rPr>
        <w:t>每月出具大数据分析报告。</w:t>
      </w:r>
    </w:p>
    <w:p w14:paraId="612A4578">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（6）对上级督办、领导交办、反复投诉的案件整改情况进行复核，提出整改建议。</w:t>
      </w:r>
    </w:p>
    <w:p w14:paraId="7D9D73CC">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（7）对城市精细化管理年度目标任务完成情况进行</w:t>
      </w:r>
      <w:r>
        <w:rPr>
          <w:rFonts w:hint="eastAsia" w:ascii="宋体" w:hAnsi="宋体" w:cs="宋体"/>
          <w:color w:val="auto"/>
          <w:sz w:val="24"/>
          <w:highlight w:val="none"/>
        </w:rPr>
        <w:t>摸排与核实，并出具相关报告</w:t>
      </w:r>
      <w:r>
        <w:rPr>
          <w:rFonts w:ascii="宋体" w:hAnsi="宋体" w:cs="宋体"/>
          <w:color w:val="auto"/>
          <w:sz w:val="24"/>
          <w:highlight w:val="none"/>
        </w:rPr>
        <w:t>。</w:t>
      </w:r>
    </w:p>
    <w:p w14:paraId="125B047C">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（8）</w:t>
      </w:r>
      <w:r>
        <w:rPr>
          <w:rFonts w:hint="eastAsia" w:ascii="宋体" w:hAnsi="宋体" w:cs="宋体"/>
          <w:color w:val="auto"/>
          <w:sz w:val="24"/>
          <w:highlight w:val="none"/>
        </w:rPr>
        <w:t>协助做好</w:t>
      </w:r>
      <w:r>
        <w:rPr>
          <w:rFonts w:ascii="宋体" w:hAnsi="宋体" w:cs="宋体"/>
          <w:color w:val="auto"/>
          <w:sz w:val="24"/>
          <w:highlight w:val="none"/>
        </w:rPr>
        <w:t>对城管服务热线“962020”进行接听、登记、派</w:t>
      </w:r>
      <w:r>
        <w:rPr>
          <w:rFonts w:hint="eastAsia" w:ascii="宋体" w:hAnsi="宋体" w:cs="宋体"/>
          <w:color w:val="auto"/>
          <w:sz w:val="24"/>
          <w:highlight w:val="none"/>
        </w:rPr>
        <w:t>单以及</w:t>
      </w:r>
      <w:r>
        <w:rPr>
          <w:rFonts w:ascii="宋体" w:hAnsi="宋体" w:cs="宋体"/>
          <w:color w:val="auto"/>
          <w:sz w:val="24"/>
          <w:highlight w:val="none"/>
        </w:rPr>
        <w:t>回复。</w:t>
      </w:r>
    </w:p>
    <w:p w14:paraId="42B273FB">
      <w:pPr>
        <w:spacing w:line="360" w:lineRule="auto"/>
        <w:ind w:firstLine="480"/>
        <w:jc w:val="left"/>
        <w:rPr>
          <w:rFonts w:ascii="宋体" w:hAnsi="宋体" w:cs="宋体"/>
          <w:color w:val="auto"/>
          <w:sz w:val="24"/>
          <w:highlight w:val="none"/>
        </w:rPr>
      </w:pPr>
      <w:r>
        <w:rPr>
          <w:rFonts w:ascii="宋体" w:hAnsi="宋体" w:cs="宋体"/>
          <w:color w:val="auto"/>
          <w:sz w:val="24"/>
          <w:highlight w:val="none"/>
        </w:rPr>
        <w:t>（9）完成采购人交办的</w:t>
      </w:r>
      <w:r>
        <w:rPr>
          <w:rFonts w:hint="eastAsia" w:ascii="宋体" w:hAnsi="宋体" w:cs="宋体"/>
          <w:color w:val="auto"/>
          <w:sz w:val="24"/>
          <w:highlight w:val="none"/>
        </w:rPr>
        <w:t>其他</w:t>
      </w:r>
      <w:r>
        <w:rPr>
          <w:rFonts w:ascii="宋体" w:hAnsi="宋体" w:cs="宋体"/>
          <w:color w:val="auto"/>
          <w:sz w:val="24"/>
          <w:highlight w:val="none"/>
        </w:rPr>
        <w:t>相关任务。</w:t>
      </w:r>
    </w:p>
    <w:p w14:paraId="02AE4DFB">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1.2</w:t>
      </w:r>
      <w:r>
        <w:rPr>
          <w:rFonts w:ascii="宋体" w:hAnsi="宋体"/>
          <w:bCs/>
          <w:color w:val="auto"/>
          <w:sz w:val="24"/>
          <w:highlight w:val="none"/>
        </w:rPr>
        <w:t xml:space="preserve">  </w:t>
      </w:r>
      <w:r>
        <w:rPr>
          <w:rFonts w:hint="eastAsia" w:ascii="宋体" w:hAnsi="宋体"/>
          <w:bCs/>
          <w:color w:val="auto"/>
          <w:sz w:val="24"/>
          <w:highlight w:val="none"/>
        </w:rPr>
        <w:t>智能化信息采集</w:t>
      </w:r>
    </w:p>
    <w:p w14:paraId="419E7893">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）配备工业级无人机，通过</w:t>
      </w:r>
      <w:r>
        <w:rPr>
          <w:rFonts w:ascii="宋体" w:hAnsi="宋体" w:cs="宋体"/>
          <w:color w:val="auto"/>
          <w:sz w:val="24"/>
          <w:highlight w:val="none"/>
        </w:rPr>
        <w:t>无人机对重点区域进行</w:t>
      </w:r>
      <w:r>
        <w:rPr>
          <w:rFonts w:hint="eastAsia" w:ascii="宋体" w:hAnsi="宋体" w:cs="宋体"/>
          <w:color w:val="auto"/>
          <w:sz w:val="24"/>
          <w:highlight w:val="none"/>
        </w:rPr>
        <w:t>视频</w:t>
      </w:r>
      <w:r>
        <w:rPr>
          <w:rFonts w:ascii="宋体" w:hAnsi="宋体" w:cs="宋体"/>
          <w:color w:val="auto"/>
          <w:sz w:val="24"/>
          <w:highlight w:val="none"/>
        </w:rPr>
        <w:t>、热成像采集，</w:t>
      </w:r>
      <w:r>
        <w:rPr>
          <w:rFonts w:hint="eastAsia" w:ascii="宋体" w:hAnsi="宋体" w:cs="宋体"/>
          <w:color w:val="auto"/>
          <w:sz w:val="24"/>
          <w:highlight w:val="none"/>
        </w:rPr>
        <w:t>通过智能分析技术地面垃圾、占道经营、非机动车违停、植物枯萎等问题。</w:t>
      </w:r>
    </w:p>
    <w:p w14:paraId="7C5F8364">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配备工业级无人船，通过</w:t>
      </w:r>
      <w:r>
        <w:rPr>
          <w:rFonts w:ascii="宋体" w:hAnsi="宋体" w:cs="宋体"/>
          <w:color w:val="auto"/>
          <w:sz w:val="24"/>
          <w:highlight w:val="none"/>
        </w:rPr>
        <w:t>无人船对重点河道进行</w:t>
      </w:r>
      <w:r>
        <w:rPr>
          <w:rFonts w:hint="eastAsia" w:ascii="宋体" w:hAnsi="宋体" w:cs="宋体"/>
          <w:color w:val="auto"/>
          <w:sz w:val="24"/>
          <w:highlight w:val="none"/>
        </w:rPr>
        <w:t>视频采集，通过智能分析技术自动识别水面漂浮物，岸坡垃圾、护栏破损等问题。</w:t>
      </w:r>
    </w:p>
    <w:p w14:paraId="269BE9F1">
      <w:pPr>
        <w:spacing w:line="360" w:lineRule="auto"/>
        <w:ind w:firstLine="480"/>
        <w:jc w:val="left"/>
        <w:rPr>
          <w:rFonts w:ascii="宋体"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配置车载智能采集设备，通过智能分析技术自动识别店外经营、流动摊贩、乱堆物料、沿街晾挂、非机动车、机动车违停等常见问题。</w:t>
      </w:r>
    </w:p>
    <w:p w14:paraId="6E3B3E30">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lang w:val="zh-CN"/>
        </w:rPr>
        <w:t>2.1</w:t>
      </w:r>
      <w:r>
        <w:rPr>
          <w:rFonts w:ascii="宋体" w:hAnsi="宋体"/>
          <w:bCs/>
          <w:color w:val="auto"/>
          <w:sz w:val="24"/>
          <w:highlight w:val="none"/>
          <w:lang w:val="zh-CN"/>
        </w:rPr>
        <w:t xml:space="preserve">  </w:t>
      </w:r>
      <w:r>
        <w:rPr>
          <w:rFonts w:hint="eastAsia" w:ascii="宋体" w:hAnsi="宋体"/>
          <w:bCs/>
          <w:color w:val="auto"/>
          <w:sz w:val="24"/>
          <w:highlight w:val="none"/>
          <w:lang w:val="zh-CN"/>
        </w:rPr>
        <w:t>人工信息采集</w:t>
      </w:r>
    </w:p>
    <w:p w14:paraId="1A7C2555">
      <w:p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（1）配备车辆（其中至少一辆五座（及以上）的汽车），</w:t>
      </w:r>
      <w:r>
        <w:rPr>
          <w:rFonts w:ascii="宋体" w:hAnsi="宋体"/>
          <w:bCs/>
          <w:color w:val="auto"/>
          <w:sz w:val="24"/>
          <w:highlight w:val="none"/>
          <w:lang w:val="zh-CN"/>
        </w:rPr>
        <w:t>统一着装</w:t>
      </w:r>
      <w:r>
        <w:rPr>
          <w:rFonts w:hint="eastAsia" w:ascii="宋体" w:hAnsi="宋体"/>
          <w:bCs/>
          <w:color w:val="auto"/>
          <w:sz w:val="24"/>
          <w:highlight w:val="none"/>
          <w:lang w:val="zh-CN"/>
        </w:rPr>
        <w:t>，</w:t>
      </w:r>
      <w:r>
        <w:rPr>
          <w:rFonts w:ascii="宋体" w:hAnsi="宋体"/>
          <w:bCs/>
          <w:color w:val="auto"/>
          <w:sz w:val="24"/>
          <w:highlight w:val="none"/>
          <w:lang w:val="zh-CN"/>
        </w:rPr>
        <w:t>挂牌</w:t>
      </w:r>
      <w:r>
        <w:rPr>
          <w:rFonts w:hint="eastAsia" w:ascii="宋体" w:hAnsi="宋体"/>
          <w:bCs/>
          <w:color w:val="auto"/>
          <w:sz w:val="24"/>
          <w:highlight w:val="none"/>
          <w:lang w:val="zh-CN"/>
        </w:rPr>
        <w:t>上岗，保持人员仪容仪表和举止形象规范良好。</w:t>
      </w:r>
    </w:p>
    <w:p w14:paraId="4F6B46D0">
      <w:p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（2）文明采集，每月出相应报告，并提供针对性解决方案。对受核查单位，确保每月至少覆盖一遍。</w:t>
      </w:r>
    </w:p>
    <w:p w14:paraId="4A627F59">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（3）配置项目负责人统筹负责服务内容，确保沟通顺畅，及时按采购方要求调整工作安排，做好相关资料的归档汇总工作。</w:t>
      </w:r>
    </w:p>
    <w:p w14:paraId="7C8CD0A4">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（4）由乙方提供工作开展所需的必要的软件支持。</w:t>
      </w:r>
    </w:p>
    <w:p w14:paraId="613CC1E1">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（5）要求对新吴区管辖范围内所有管理单元，每周覆盖巡查至少一次。</w:t>
      </w:r>
    </w:p>
    <w:p w14:paraId="24E667D4">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（6）基本人员配置要求：</w:t>
      </w:r>
      <w:r>
        <w:rPr>
          <w:rFonts w:hint="eastAsia" w:ascii="宋体" w:hAnsi="宋体" w:cs="宋体"/>
          <w:color w:val="auto"/>
          <w:sz w:val="24"/>
          <w:highlight w:val="none"/>
        </w:rPr>
        <w:t>项目团队总人数不低于25人</w:t>
      </w:r>
      <w:r>
        <w:rPr>
          <w:rFonts w:hint="eastAsia" w:ascii="宋体" w:hAnsi="宋体"/>
          <w:bCs/>
          <w:color w:val="auto"/>
          <w:sz w:val="24"/>
          <w:highlight w:val="none"/>
        </w:rPr>
        <w:t>，其中项目负责人1名、大数据分析员2名、文案人员2名、平台人员5名、</w:t>
      </w:r>
      <w:r>
        <w:rPr>
          <w:rFonts w:hint="eastAsia" w:ascii="宋体" w:hAnsi="宋体"/>
          <w:bCs/>
          <w:color w:val="auto"/>
          <w:sz w:val="24"/>
          <w:highlight w:val="none"/>
          <w:lang w:val="zh-CN"/>
        </w:rPr>
        <w:t>采集</w:t>
      </w:r>
      <w:r>
        <w:rPr>
          <w:rFonts w:hint="eastAsia" w:ascii="宋体" w:hAnsi="宋体"/>
          <w:bCs/>
          <w:color w:val="auto"/>
          <w:sz w:val="24"/>
          <w:highlight w:val="none"/>
        </w:rPr>
        <w:t>人员若干。</w:t>
      </w:r>
    </w:p>
    <w:p w14:paraId="3F591BE7">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（7）内勤人员（项目负责人、大数据分析员、文案人员、平台人员）要求：年龄40岁以内（有相关工作经验的可适当放宽年限）大专及以上学历，熟悉城市管理事部件划分，有较强的文字表达和学习沟通能力。</w:t>
      </w:r>
    </w:p>
    <w:p w14:paraId="65DF7DE8">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（8）采集人员要求：年龄50岁以内，高中及以上学历，身体健康吃苦耐劳，能适应户外高强度工作需要，熟悉数字化城市管理业务流程，熟悉数字化城市管理信息采集规范。</w:t>
      </w:r>
    </w:p>
    <w:p w14:paraId="00A57EB3">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（9）项目负责人、大数据分析员、文案人员、平台，人员在服务期内未经采购人同意不得随意更换。</w:t>
      </w:r>
    </w:p>
    <w:p w14:paraId="2EF09A78">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 xml:space="preserve"> 2.2 </w:t>
      </w:r>
      <w:r>
        <w:rPr>
          <w:rFonts w:ascii="宋体" w:hAnsi="宋体"/>
          <w:bCs/>
          <w:color w:val="auto"/>
          <w:sz w:val="24"/>
          <w:highlight w:val="none"/>
        </w:rPr>
        <w:t xml:space="preserve"> </w:t>
      </w:r>
      <w:r>
        <w:rPr>
          <w:rFonts w:hint="eastAsia" w:ascii="宋体" w:hAnsi="宋体"/>
          <w:bCs/>
          <w:color w:val="auto"/>
          <w:sz w:val="24"/>
          <w:highlight w:val="none"/>
        </w:rPr>
        <w:t>智能化信息采集</w:t>
      </w:r>
    </w:p>
    <w:p w14:paraId="0A4D2C06">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组建相应的技术服务团队，需熟悉城管业务，并提供飞行、巡航、视频采集、数据分析等服务。</w:t>
      </w:r>
    </w:p>
    <w:p w14:paraId="1D474CBC">
      <w:pPr>
        <w:spacing w:line="360" w:lineRule="auto"/>
        <w:ind w:firstLine="480"/>
        <w:jc w:val="left"/>
        <w:rPr>
          <w:rFonts w:ascii="宋体" w:hAnsi="宋体" w:cs="宋体"/>
          <w:color w:val="auto"/>
          <w:sz w:val="24"/>
          <w:highlight w:val="none"/>
        </w:rPr>
      </w:pPr>
      <w:r>
        <w:rPr>
          <w:rFonts w:ascii="宋体" w:hAnsi="宋体" w:cs="宋体"/>
          <w:color w:val="auto"/>
          <w:sz w:val="24"/>
          <w:highlight w:val="none"/>
        </w:rPr>
        <w:t>（</w:t>
      </w:r>
      <w:r>
        <w:rPr>
          <w:rFonts w:hint="eastAsia" w:ascii="宋体" w:hAnsi="宋体" w:cs="宋体"/>
          <w:color w:val="auto"/>
          <w:sz w:val="24"/>
          <w:highlight w:val="none"/>
        </w:rPr>
        <w:t>2</w:t>
      </w:r>
      <w:r>
        <w:rPr>
          <w:rFonts w:ascii="宋体" w:hAnsi="宋体" w:cs="宋体"/>
          <w:color w:val="auto"/>
          <w:sz w:val="24"/>
          <w:highlight w:val="none"/>
        </w:rPr>
        <w:t>）</w:t>
      </w:r>
      <w:r>
        <w:rPr>
          <w:rFonts w:hint="eastAsia" w:ascii="宋体" w:hAnsi="宋体" w:cs="宋体"/>
          <w:color w:val="auto"/>
          <w:sz w:val="24"/>
          <w:highlight w:val="none"/>
        </w:rPr>
        <w:t>获取新吴区管辖范围内禁飞区空域飞行权限，保证新吴区管辖范围内的无障碍巡查。</w:t>
      </w:r>
    </w:p>
    <w:p w14:paraId="76F87B39">
      <w:pPr>
        <w:snapToGrid w:val="0"/>
        <w:spacing w:line="360" w:lineRule="auto"/>
        <w:ind w:firstLine="480" w:firstLineChars="200"/>
        <w:outlineLvl w:val="0"/>
        <w:rPr>
          <w:rFonts w:ascii="宋体" w:hAnsi="宋体" w:cs="宋体"/>
          <w:color w:val="auto"/>
          <w:sz w:val="24"/>
          <w:highlight w:val="none"/>
        </w:rPr>
      </w:pPr>
      <w:r>
        <w:rPr>
          <w:rFonts w:ascii="宋体" w:hAnsi="宋体" w:cs="宋体"/>
          <w:color w:val="auto"/>
          <w:sz w:val="24"/>
          <w:highlight w:val="none"/>
        </w:rPr>
        <w:t>（</w:t>
      </w:r>
      <w:r>
        <w:rPr>
          <w:rFonts w:hint="eastAsia" w:ascii="宋体" w:hAnsi="宋体" w:cs="宋体"/>
          <w:color w:val="auto"/>
          <w:sz w:val="24"/>
          <w:highlight w:val="none"/>
        </w:rPr>
        <w:t>3</w:t>
      </w:r>
      <w:r>
        <w:rPr>
          <w:rFonts w:ascii="宋体" w:hAnsi="宋体" w:cs="宋体"/>
          <w:color w:val="auto"/>
          <w:sz w:val="24"/>
          <w:highlight w:val="none"/>
        </w:rPr>
        <w:t>）</w:t>
      </w:r>
      <w:r>
        <w:rPr>
          <w:rFonts w:hint="eastAsia" w:ascii="宋体" w:hAnsi="宋体" w:cs="宋体"/>
          <w:color w:val="auto"/>
          <w:sz w:val="24"/>
          <w:highlight w:val="none"/>
        </w:rPr>
        <w:t>无人机飞行</w:t>
      </w:r>
      <w:r>
        <w:rPr>
          <w:rFonts w:ascii="宋体" w:hAnsi="宋体" w:cs="宋体"/>
          <w:color w:val="auto"/>
          <w:sz w:val="24"/>
          <w:highlight w:val="none"/>
          <w:lang w:bidi="ar"/>
        </w:rPr>
        <w:t>每周</w:t>
      </w:r>
      <w:r>
        <w:rPr>
          <w:rFonts w:hint="eastAsia" w:ascii="宋体" w:hAnsi="宋体" w:cs="宋体"/>
          <w:color w:val="auto"/>
          <w:sz w:val="24"/>
          <w:highlight w:val="none"/>
          <w:lang w:bidi="ar"/>
        </w:rPr>
        <w:t>至少</w:t>
      </w:r>
      <w:r>
        <w:rPr>
          <w:rFonts w:ascii="宋体" w:hAnsi="宋体" w:cs="宋体"/>
          <w:color w:val="auto"/>
          <w:sz w:val="24"/>
          <w:highlight w:val="none"/>
          <w:lang w:bidi="ar"/>
        </w:rPr>
        <w:t>1次</w:t>
      </w:r>
      <w:r>
        <w:rPr>
          <w:rFonts w:hint="eastAsia" w:ascii="宋体" w:hAnsi="宋体" w:cs="宋体"/>
          <w:color w:val="auto"/>
          <w:sz w:val="24"/>
          <w:highlight w:val="none"/>
          <w:lang w:bidi="ar"/>
        </w:rPr>
        <w:t>，每月完成全域覆盖，</w:t>
      </w:r>
      <w:r>
        <w:rPr>
          <w:rFonts w:hint="eastAsia" w:ascii="Segoe UI" w:hAnsi="Segoe UI" w:cs="Segoe UI"/>
          <w:color w:val="auto"/>
          <w:sz w:val="24"/>
          <w:highlight w:val="none"/>
          <w:shd w:val="clear" w:color="auto" w:fill="FFFFFF"/>
        </w:rPr>
        <w:t>总服务次数不少于105次，</w:t>
      </w:r>
      <w:r>
        <w:rPr>
          <w:rFonts w:hint="eastAsia" w:ascii="宋体" w:hAnsi="宋体" w:cs="宋体"/>
          <w:color w:val="auto"/>
          <w:sz w:val="24"/>
          <w:highlight w:val="none"/>
          <w:lang w:bidi="ar"/>
        </w:rPr>
        <w:t>针对采集内容提供巡检事件分析报告</w:t>
      </w:r>
      <w:r>
        <w:rPr>
          <w:rFonts w:hint="eastAsia" w:ascii="Segoe UI" w:hAnsi="Segoe UI" w:cs="Segoe UI"/>
          <w:color w:val="auto"/>
          <w:sz w:val="24"/>
          <w:highlight w:val="none"/>
          <w:shd w:val="clear" w:color="auto" w:fill="FFFFFF"/>
        </w:rPr>
        <w:t>。</w:t>
      </w:r>
    </w:p>
    <w:p w14:paraId="658F63E1">
      <w:pPr>
        <w:snapToGrid w:val="0"/>
        <w:spacing w:line="360" w:lineRule="auto"/>
        <w:ind w:firstLine="480" w:firstLineChars="200"/>
        <w:outlineLvl w:val="0"/>
        <w:rPr>
          <w:rFonts w:ascii="Segoe UI" w:hAnsi="Segoe UI" w:cs="Segoe UI"/>
          <w:color w:val="auto"/>
          <w:sz w:val="24"/>
          <w:highlight w:val="none"/>
          <w:lang w:bidi="ar"/>
        </w:rPr>
      </w:pPr>
      <w:r>
        <w:rPr>
          <w:rFonts w:hint="eastAsia" w:ascii="宋体" w:hAnsi="宋体"/>
          <w:bCs/>
          <w:color w:val="auto"/>
          <w:sz w:val="24"/>
          <w:highlight w:val="none"/>
        </w:rPr>
        <w:t>（4）无人船巡航</w:t>
      </w:r>
      <w:r>
        <w:rPr>
          <w:rFonts w:hint="eastAsia" w:ascii="Segoe UI" w:hAnsi="Segoe UI" w:cs="Segoe UI"/>
          <w:color w:val="auto"/>
          <w:sz w:val="24"/>
          <w:highlight w:val="none"/>
          <w:lang w:bidi="ar"/>
        </w:rPr>
        <w:t>至少</w:t>
      </w:r>
      <w:r>
        <w:rPr>
          <w:rFonts w:ascii="Segoe UI" w:hAnsi="Segoe UI" w:eastAsia="Segoe UI" w:cs="Segoe UI"/>
          <w:color w:val="auto"/>
          <w:sz w:val="24"/>
          <w:highlight w:val="none"/>
          <w:lang w:bidi="ar"/>
        </w:rPr>
        <w:t>每月</w:t>
      </w:r>
      <w:r>
        <w:rPr>
          <w:rFonts w:hint="eastAsia" w:ascii="宋体" w:hAnsi="宋体" w:cs="宋体"/>
          <w:color w:val="auto"/>
          <w:sz w:val="24"/>
          <w:highlight w:val="none"/>
          <w:lang w:bidi="ar"/>
        </w:rPr>
        <w:t>1</w:t>
      </w:r>
      <w:r>
        <w:rPr>
          <w:rFonts w:ascii="Segoe UI" w:hAnsi="Segoe UI" w:eastAsia="Segoe UI" w:cs="Segoe UI"/>
          <w:color w:val="auto"/>
          <w:sz w:val="24"/>
          <w:highlight w:val="none"/>
          <w:lang w:bidi="ar"/>
        </w:rPr>
        <w:t>次</w:t>
      </w:r>
      <w:r>
        <w:rPr>
          <w:rFonts w:hint="eastAsia" w:ascii="Segoe UI" w:hAnsi="Segoe UI" w:eastAsia="Segoe UI" w:cs="Segoe UI"/>
          <w:color w:val="auto"/>
          <w:sz w:val="24"/>
          <w:highlight w:val="none"/>
          <w:lang w:bidi="ar"/>
        </w:rPr>
        <w:t>，总服务次数不少于</w:t>
      </w:r>
      <w:r>
        <w:rPr>
          <w:rFonts w:hint="eastAsia" w:cs="Segoe UI" w:asciiTheme="minorEastAsia" w:hAnsiTheme="minorEastAsia" w:eastAsiaTheme="minorEastAsia"/>
          <w:color w:val="auto"/>
          <w:sz w:val="24"/>
          <w:highlight w:val="none"/>
          <w:lang w:bidi="ar"/>
        </w:rPr>
        <w:t>24</w:t>
      </w:r>
      <w:r>
        <w:rPr>
          <w:rFonts w:hint="eastAsia" w:ascii="Segoe UI" w:hAnsi="Segoe UI" w:eastAsia="Segoe UI" w:cs="Segoe UI"/>
          <w:color w:val="auto"/>
          <w:sz w:val="24"/>
          <w:highlight w:val="none"/>
          <w:lang w:bidi="ar"/>
        </w:rPr>
        <w:t>次</w:t>
      </w:r>
      <w:r>
        <w:rPr>
          <w:rFonts w:hint="eastAsia" w:ascii="Segoe UI" w:hAnsi="Segoe UI" w:cs="Segoe UI"/>
          <w:color w:val="auto"/>
          <w:sz w:val="24"/>
          <w:highlight w:val="none"/>
          <w:lang w:bidi="ar"/>
        </w:rPr>
        <w:t>，</w:t>
      </w:r>
      <w:r>
        <w:rPr>
          <w:rFonts w:hint="eastAsia" w:ascii="宋体" w:hAnsi="宋体" w:cs="宋体"/>
          <w:color w:val="auto"/>
          <w:sz w:val="24"/>
          <w:highlight w:val="none"/>
          <w:lang w:bidi="ar"/>
        </w:rPr>
        <w:t>针对采集内容提供巡检事件分析报告</w:t>
      </w:r>
      <w:r>
        <w:rPr>
          <w:rFonts w:hint="eastAsia" w:ascii="Segoe UI" w:hAnsi="Segoe UI" w:cs="Segoe UI"/>
          <w:color w:val="auto"/>
          <w:sz w:val="24"/>
          <w:highlight w:val="none"/>
          <w:shd w:val="clear" w:color="auto" w:fill="FFFFFF"/>
        </w:rPr>
        <w:t>。</w:t>
      </w:r>
    </w:p>
    <w:p w14:paraId="10F1C5B9">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（5）配置不少于35套车载智能</w:t>
      </w:r>
      <w:r>
        <w:rPr>
          <w:rFonts w:hint="eastAsia" w:ascii="宋体" w:hAnsi="宋体" w:cs="宋体"/>
          <w:color w:val="auto"/>
          <w:sz w:val="24"/>
          <w:highlight w:val="none"/>
        </w:rPr>
        <w:t>采集设备</w:t>
      </w:r>
      <w:r>
        <w:rPr>
          <w:rFonts w:hint="eastAsia" w:ascii="宋体" w:hAnsi="宋体" w:cs="宋体"/>
          <w:color w:val="auto"/>
          <w:sz w:val="24"/>
          <w:highlight w:val="none"/>
          <w:lang w:eastAsia="zh-CN"/>
        </w:rPr>
        <w:t>，</w:t>
      </w:r>
      <w:r>
        <w:rPr>
          <w:rFonts w:hint="eastAsia" w:ascii="宋体" w:hAnsi="宋体"/>
          <w:bCs/>
          <w:color w:val="auto"/>
          <w:sz w:val="24"/>
          <w:highlight w:val="none"/>
        </w:rPr>
        <w:t>提供实时</w:t>
      </w:r>
      <w:r>
        <w:rPr>
          <w:rFonts w:hint="eastAsia" w:ascii="宋体" w:hAnsi="宋体" w:cs="宋体"/>
          <w:color w:val="auto"/>
          <w:sz w:val="24"/>
          <w:highlight w:val="none"/>
          <w:lang w:bidi="ar"/>
        </w:rPr>
        <w:t>事件告警并推送至区城市精细化管理平台，每月提供一份分析报告</w:t>
      </w:r>
      <w:r>
        <w:rPr>
          <w:rFonts w:hint="eastAsia" w:ascii="宋体" w:hAnsi="宋体"/>
          <w:bCs/>
          <w:color w:val="auto"/>
          <w:sz w:val="24"/>
          <w:highlight w:val="none"/>
        </w:rPr>
        <w:t>。</w:t>
      </w:r>
    </w:p>
    <w:p w14:paraId="01111848">
      <w:pPr>
        <w:spacing w:line="360" w:lineRule="auto"/>
        <w:ind w:firstLine="240"/>
        <w:rPr>
          <w:rFonts w:ascii="宋体" w:hAnsi="宋体"/>
          <w:bCs/>
          <w:color w:val="auto"/>
          <w:sz w:val="24"/>
          <w:highlight w:val="none"/>
        </w:rPr>
      </w:pPr>
      <w:r>
        <w:rPr>
          <w:rFonts w:hint="eastAsia" w:ascii="宋体" w:hAnsi="宋体"/>
          <w:bCs/>
          <w:color w:val="auto"/>
          <w:sz w:val="24"/>
          <w:highlight w:val="none"/>
          <w:lang w:eastAsia="zh-CN"/>
        </w:rPr>
        <w:t>3.</w:t>
      </w:r>
      <w:r>
        <w:rPr>
          <w:rFonts w:hint="eastAsia" w:ascii="宋体" w:hAnsi="宋体"/>
          <w:bCs/>
          <w:color w:val="auto"/>
          <w:sz w:val="24"/>
          <w:highlight w:val="none"/>
        </w:rPr>
        <w:t>质量管理要求。</w:t>
      </w:r>
    </w:p>
    <w:p w14:paraId="5EF7B25B">
      <w:pPr>
        <w:spacing w:line="360" w:lineRule="auto"/>
        <w:ind w:firstLine="480"/>
        <w:rPr>
          <w:rFonts w:ascii="宋体" w:hAnsi="宋体"/>
          <w:bCs/>
          <w:color w:val="auto"/>
          <w:sz w:val="24"/>
          <w:highlight w:val="none"/>
          <w:lang w:val="zh-CN"/>
        </w:rPr>
      </w:pPr>
      <w:r>
        <w:rPr>
          <w:rFonts w:ascii="宋体" w:hAnsi="宋体" w:cs="宋体"/>
          <w:color w:val="auto"/>
          <w:sz w:val="24"/>
          <w:highlight w:val="none"/>
        </w:rPr>
        <w:t>（1</w:t>
      </w:r>
      <w:r>
        <w:rPr>
          <w:rFonts w:hint="eastAsia" w:ascii="宋体" w:hAnsi="宋体" w:cs="宋体"/>
          <w:color w:val="auto"/>
          <w:sz w:val="24"/>
          <w:highlight w:val="none"/>
        </w:rPr>
        <w:t>）</w:t>
      </w:r>
      <w:r>
        <w:rPr>
          <w:rFonts w:hint="eastAsia" w:ascii="宋体" w:hAnsi="宋体"/>
          <w:bCs/>
          <w:color w:val="auto"/>
          <w:sz w:val="24"/>
          <w:highlight w:val="none"/>
          <w:lang w:val="zh-CN"/>
        </w:rPr>
        <w:t>供应商根据采购方需求出台相应可行的运行方案（人工及智能化信息采集方案、考核方案，无锡高新区（新吴区）城市管理局效能评估运行方案等）。</w:t>
      </w:r>
    </w:p>
    <w:p w14:paraId="6674B7AC">
      <w:pPr>
        <w:spacing w:line="360" w:lineRule="auto"/>
        <w:ind w:firstLine="480"/>
        <w:rPr>
          <w:rFonts w:ascii="宋体" w:hAnsi="宋体"/>
          <w:bCs/>
          <w:color w:val="auto"/>
          <w:sz w:val="24"/>
          <w:highlight w:val="none"/>
        </w:rPr>
      </w:pPr>
      <w:r>
        <w:rPr>
          <w:rFonts w:ascii="宋体" w:hAnsi="宋体" w:cs="宋体"/>
          <w:color w:val="auto"/>
          <w:sz w:val="24"/>
          <w:highlight w:val="none"/>
        </w:rPr>
        <w:t>（</w:t>
      </w:r>
      <w:r>
        <w:rPr>
          <w:rFonts w:hint="eastAsia" w:ascii="宋体" w:hAnsi="宋体" w:cs="宋体"/>
          <w:color w:val="auto"/>
          <w:sz w:val="24"/>
          <w:highlight w:val="none"/>
        </w:rPr>
        <w:t>2</w:t>
      </w:r>
      <w:r>
        <w:rPr>
          <w:rFonts w:ascii="宋体" w:hAnsi="宋体" w:cs="宋体"/>
          <w:color w:val="auto"/>
          <w:sz w:val="24"/>
          <w:highlight w:val="none"/>
        </w:rPr>
        <w:t>）</w:t>
      </w:r>
      <w:r>
        <w:rPr>
          <w:rFonts w:hint="eastAsia" w:ascii="宋体" w:hAnsi="宋体" w:cs="宋体"/>
          <w:color w:val="auto"/>
          <w:sz w:val="24"/>
          <w:highlight w:val="none"/>
        </w:rPr>
        <w:t>每年采集事件总数量不低于20万件，智能化采集事件数量不低于40%。</w:t>
      </w:r>
    </w:p>
    <w:p w14:paraId="7772C869">
      <w:pPr>
        <w:spacing w:line="360" w:lineRule="auto"/>
        <w:ind w:firstLine="240"/>
        <w:rPr>
          <w:rFonts w:ascii="宋体" w:hAnsi="宋体"/>
          <w:bCs/>
          <w:color w:val="auto"/>
          <w:sz w:val="24"/>
          <w:highlight w:val="none"/>
        </w:rPr>
      </w:pPr>
      <w:r>
        <w:rPr>
          <w:rFonts w:hint="eastAsia" w:ascii="宋体" w:hAnsi="宋体"/>
          <w:bCs/>
          <w:color w:val="auto"/>
          <w:sz w:val="24"/>
          <w:highlight w:val="none"/>
          <w:lang w:eastAsia="zh-CN"/>
        </w:rPr>
        <w:t>4.</w:t>
      </w:r>
      <w:r>
        <w:rPr>
          <w:rFonts w:hint="eastAsia" w:ascii="宋体" w:hAnsi="宋体"/>
          <w:bCs/>
          <w:color w:val="auto"/>
          <w:sz w:val="24"/>
          <w:highlight w:val="none"/>
        </w:rPr>
        <w:t>采集终端管理要求。</w:t>
      </w:r>
    </w:p>
    <w:p w14:paraId="035617CF">
      <w:p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人工及智能化信息采集终端由供应商自行配备并管理，终端使用中所产生的无线通信网络服务费等全部由供应商支付，目前新吴区智慧城管APP仅支持安卓系统。</w:t>
      </w:r>
      <w:r>
        <w:rPr>
          <w:rFonts w:ascii="宋体" w:hAnsi="宋体"/>
          <w:bCs/>
          <w:color w:val="auto"/>
          <w:sz w:val="24"/>
          <w:highlight w:val="none"/>
          <w:lang w:val="zh-CN"/>
        </w:rPr>
        <w:t xml:space="preserve"> </w:t>
      </w:r>
    </w:p>
    <w:p w14:paraId="70424689">
      <w:pPr>
        <w:spacing w:line="360" w:lineRule="auto"/>
        <w:rPr>
          <w:rFonts w:ascii="宋体" w:hAnsi="宋体"/>
          <w:b/>
          <w:bCs/>
          <w:color w:val="auto"/>
          <w:sz w:val="28"/>
          <w:highlight w:val="none"/>
        </w:rPr>
      </w:pPr>
      <w:r>
        <w:rPr>
          <w:rFonts w:hint="eastAsia" w:ascii="宋体" w:hAnsi="宋体"/>
          <w:b/>
          <w:bCs/>
          <w:color w:val="auto"/>
          <w:sz w:val="28"/>
          <w:highlight w:val="none"/>
        </w:rPr>
        <w:t>（六）采购标的验收标准：</w:t>
      </w:r>
    </w:p>
    <w:p w14:paraId="45614842">
      <w:pPr>
        <w:tabs>
          <w:tab w:val="left" w:pos="945"/>
          <w:tab w:val="left" w:pos="1080"/>
        </w:tabs>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《新吴区城市精细化管理“第三方”信息采集服务考核标准》</w:t>
      </w:r>
    </w:p>
    <w:p w14:paraId="3918C908">
      <w:pPr>
        <w:spacing w:line="360" w:lineRule="auto"/>
        <w:rPr>
          <w:rFonts w:ascii="宋体" w:hAnsi="宋体"/>
          <w:b/>
          <w:bCs/>
          <w:color w:val="auto"/>
          <w:sz w:val="28"/>
          <w:highlight w:val="none"/>
        </w:rPr>
      </w:pPr>
      <w:r>
        <w:rPr>
          <w:rFonts w:hint="eastAsia" w:ascii="宋体" w:hAnsi="宋体"/>
          <w:b/>
          <w:bCs/>
          <w:color w:val="auto"/>
          <w:sz w:val="28"/>
          <w:highlight w:val="none"/>
        </w:rPr>
        <w:t>（七）采购标的的其他技术、服务等要求：</w:t>
      </w:r>
    </w:p>
    <w:p w14:paraId="2A9B6E27">
      <w:pPr>
        <w:tabs>
          <w:tab w:val="left" w:pos="945"/>
          <w:tab w:val="left" w:pos="1080"/>
        </w:tabs>
        <w:spacing w:line="360" w:lineRule="auto"/>
        <w:ind w:firstLine="480"/>
        <w:rPr>
          <w:rFonts w:ascii="宋体" w:hAnsi="宋体"/>
          <w:color w:val="auto"/>
          <w:sz w:val="24"/>
          <w:highlight w:val="none"/>
        </w:rPr>
      </w:pPr>
      <w:r>
        <w:rPr>
          <w:rFonts w:hint="eastAsia" w:ascii="宋体" w:hAnsi="宋体"/>
          <w:color w:val="auto"/>
          <w:sz w:val="24"/>
          <w:highlight w:val="none"/>
        </w:rPr>
        <w:t>1.本项目投标总报价包括无锡高新区（新吴区）城市精细化管理“第三方”信息采集服务项目中标起到项目合同终止日期内所发生的一切费用（包括但不限于人员工资、奖金、福利、社保、机动车购置运行费、采集终端配置及维修维护费、交通费、培训费、加班费、税费、服装费、办公费、开办费、管理费、代理服务费等）。</w:t>
      </w:r>
    </w:p>
    <w:p w14:paraId="15CD4071">
      <w:pPr>
        <w:tabs>
          <w:tab w:val="left" w:pos="945"/>
          <w:tab w:val="left" w:pos="1080"/>
        </w:tabs>
        <w:spacing w:line="360" w:lineRule="auto"/>
        <w:ind w:firstLine="480"/>
        <w:rPr>
          <w:rFonts w:ascii="宋体" w:hAnsi="宋体"/>
          <w:color w:val="auto"/>
          <w:sz w:val="24"/>
          <w:highlight w:val="none"/>
        </w:rPr>
      </w:pPr>
      <w:r>
        <w:rPr>
          <w:rFonts w:hint="eastAsia" w:ascii="宋体" w:hAnsi="宋体"/>
          <w:color w:val="auto"/>
          <w:sz w:val="24"/>
          <w:highlight w:val="none"/>
        </w:rPr>
        <w:t>2.根据以上服务外包的内容和标准要求，供应商应进一步制定具有可行性的实施方案，确保上述要求得以实现。</w:t>
      </w:r>
    </w:p>
    <w:p w14:paraId="2A47B371">
      <w:p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3.供应商应在签订合同之日起15日历天内配齐所有人员及设备，并完成对所有人员的岗前培训，以满足采购方工作需求。采购方提供业务培训协助。若未在规定时限内完成，供应商应承担中标金额5%的违约责任金，采购方有权解除合同。</w:t>
      </w:r>
    </w:p>
    <w:p w14:paraId="4335182E">
      <w:p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4.供应商招募的所有人员，应按照《中华人民共和国劳动法》等相关要求用工。</w:t>
      </w:r>
    </w:p>
    <w:p w14:paraId="2C06F9F6">
      <w:p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5.合同履行期内，供应商招募的实有人员数因调走、辞职、休假或被供应商辞退等原因导致在岗人员数无法满足采购方需要的，供应商应在10日内及时补齐符合项目要求的人员，期间，由供应商调剂合格人员顶岗顶班。若未在规定时限内补齐，则视为供应商主动违约，采购方有权终止合同，并有权拒绝支付本季度项目服务费。</w:t>
      </w:r>
    </w:p>
    <w:p w14:paraId="66803783">
      <w:p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6.在合同履行过程中，采购方有权要求供应商进行岗位调配，对不能胜任或不符合业务要求的人员进行更换。</w:t>
      </w:r>
    </w:p>
    <w:p w14:paraId="72EE8BF0">
      <w:pPr>
        <w:spacing w:line="360" w:lineRule="auto"/>
        <w:ind w:firstLine="480"/>
        <w:jc w:val="left"/>
        <w:rPr>
          <w:rFonts w:ascii="宋体" w:hAnsi="宋体"/>
          <w:color w:val="auto"/>
          <w:sz w:val="24"/>
          <w:highlight w:val="none"/>
        </w:rPr>
      </w:pPr>
      <w:r>
        <w:rPr>
          <w:rFonts w:hint="eastAsia" w:ascii="宋体" w:hAnsi="宋体"/>
          <w:color w:val="auto"/>
          <w:sz w:val="24"/>
          <w:highlight w:val="none"/>
        </w:rPr>
        <w:t>7.如因实际需要所产生的相关业务规范和标准变化，供应商必须无条件接受。</w:t>
      </w:r>
    </w:p>
    <w:p w14:paraId="20D675E9">
      <w:pPr>
        <w:spacing w:line="360" w:lineRule="auto"/>
        <w:ind w:firstLine="480"/>
        <w:jc w:val="left"/>
        <w:rPr>
          <w:rFonts w:ascii="宋体" w:hAnsi="宋体"/>
          <w:bCs/>
          <w:color w:val="auto"/>
          <w:sz w:val="24"/>
          <w:highlight w:val="none"/>
          <w:lang w:val="zh-CN"/>
        </w:rPr>
      </w:pPr>
      <w:r>
        <w:rPr>
          <w:rFonts w:hint="eastAsia" w:ascii="宋体" w:hAnsi="宋体"/>
          <w:color w:val="auto"/>
          <w:sz w:val="24"/>
          <w:highlight w:val="none"/>
        </w:rPr>
        <w:t>8.</w:t>
      </w:r>
      <w:r>
        <w:rPr>
          <w:rFonts w:hint="eastAsia" w:ascii="宋体" w:hAnsi="宋体"/>
          <w:bCs/>
          <w:color w:val="auto"/>
          <w:sz w:val="24"/>
          <w:highlight w:val="none"/>
          <w:lang w:val="zh-CN"/>
        </w:rPr>
        <w:t>供应商签订合同前必须按照国家相关保密规定和采购方签订《保密协议》，对违反《保密协议》相关内容规定的，采购方有权追究其法律责任。</w:t>
      </w:r>
      <w:bookmarkEnd w:id="193"/>
    </w:p>
    <w:p w14:paraId="3E106679">
      <w:pPr>
        <w:spacing w:line="360" w:lineRule="auto"/>
        <w:ind w:firstLine="480"/>
        <w:jc w:val="left"/>
        <w:rPr>
          <w:rFonts w:ascii="宋体" w:hAnsi="宋体" w:cs="宋体"/>
          <w:b/>
          <w:color w:val="auto"/>
          <w:sz w:val="24"/>
          <w:highlight w:val="none"/>
        </w:rPr>
      </w:pPr>
      <w:r>
        <w:rPr>
          <w:rFonts w:hint="eastAsia" w:ascii="宋体" w:hAnsi="宋体"/>
          <w:b/>
          <w:color w:val="auto"/>
          <w:sz w:val="24"/>
          <w:highlight w:val="none"/>
        </w:rPr>
        <w:t>9.供应商需承诺可以获取新吴区管辖范围内</w:t>
      </w:r>
      <w:r>
        <w:rPr>
          <w:rFonts w:hint="eastAsia" w:ascii="宋体" w:hAnsi="宋体" w:cs="宋体"/>
          <w:b/>
          <w:color w:val="auto"/>
          <w:sz w:val="24"/>
          <w:highlight w:val="none"/>
        </w:rPr>
        <w:t>禁飞区空域飞行权限并确保无人机巡查作业符合国家及地方空域管理法规，因未取得合法飞行许可导致的行政处罚、安全事故或服务中断，均由供应商承担全部责任，格式自拟。</w:t>
      </w:r>
    </w:p>
    <w:p w14:paraId="038A39AD">
      <w:pPr>
        <w:spacing w:line="360" w:lineRule="auto"/>
        <w:rPr>
          <w:rFonts w:hint="eastAsia" w:ascii="宋体" w:hAnsi="宋体"/>
          <w:b/>
          <w:bCs/>
          <w:color w:val="auto"/>
          <w:sz w:val="28"/>
          <w:highlight w:val="none"/>
        </w:rPr>
      </w:pPr>
      <w:r>
        <w:rPr>
          <w:rFonts w:hint="eastAsia" w:ascii="宋体" w:hAnsi="宋体"/>
          <w:b/>
          <w:bCs/>
          <w:color w:val="auto"/>
          <w:sz w:val="28"/>
          <w:highlight w:val="none"/>
          <w:lang w:eastAsia="zh-CN"/>
        </w:rPr>
        <w:t>（</w:t>
      </w:r>
      <w:r>
        <w:rPr>
          <w:rFonts w:hint="eastAsia" w:ascii="宋体" w:hAnsi="宋体"/>
          <w:b/>
          <w:bCs/>
          <w:color w:val="auto"/>
          <w:sz w:val="28"/>
          <w:highlight w:val="none"/>
          <w:lang w:val="en-US" w:eastAsia="zh-CN"/>
        </w:rPr>
        <w:t>八</w:t>
      </w:r>
      <w:r>
        <w:rPr>
          <w:rFonts w:hint="eastAsia" w:ascii="宋体" w:hAnsi="宋体"/>
          <w:b/>
          <w:bCs/>
          <w:color w:val="auto"/>
          <w:sz w:val="28"/>
          <w:highlight w:val="none"/>
          <w:lang w:eastAsia="zh-CN"/>
        </w:rPr>
        <w:t>）</w:t>
      </w:r>
      <w:r>
        <w:rPr>
          <w:rFonts w:hint="eastAsia" w:ascii="宋体" w:hAnsi="宋体"/>
          <w:b/>
          <w:bCs/>
          <w:color w:val="auto"/>
          <w:sz w:val="28"/>
          <w:highlight w:val="none"/>
        </w:rPr>
        <w:t>财政结算</w:t>
      </w:r>
    </w:p>
    <w:p w14:paraId="03F99E83">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每半年支付合同总额的20%，截留合同总额的20%根据采购方对供应商合同期末对每半年度考核情况的扣款及审计结果一次性付清。</w:t>
      </w:r>
    </w:p>
    <w:p w14:paraId="146D7DCC">
      <w:pPr>
        <w:spacing w:line="360" w:lineRule="auto"/>
        <w:rPr>
          <w:rFonts w:hint="eastAsia" w:ascii="宋体" w:hAnsi="宋体"/>
          <w:b/>
          <w:bCs/>
          <w:color w:val="auto"/>
          <w:sz w:val="28"/>
          <w:highlight w:val="none"/>
        </w:rPr>
      </w:pPr>
      <w:r>
        <w:rPr>
          <w:rFonts w:hint="eastAsia" w:ascii="宋体" w:hAnsi="宋体"/>
          <w:b/>
          <w:bCs/>
          <w:color w:val="auto"/>
          <w:sz w:val="28"/>
          <w:highlight w:val="none"/>
          <w:lang w:eastAsia="zh-CN"/>
        </w:rPr>
        <w:t>（</w:t>
      </w:r>
      <w:r>
        <w:rPr>
          <w:rFonts w:hint="eastAsia" w:ascii="宋体" w:hAnsi="宋体"/>
          <w:b/>
          <w:bCs/>
          <w:color w:val="auto"/>
          <w:sz w:val="28"/>
          <w:highlight w:val="none"/>
          <w:lang w:val="en-US" w:eastAsia="zh-CN"/>
        </w:rPr>
        <w:t>九</w:t>
      </w:r>
      <w:r>
        <w:rPr>
          <w:rFonts w:hint="eastAsia" w:ascii="宋体" w:hAnsi="宋体"/>
          <w:b/>
          <w:bCs/>
          <w:color w:val="auto"/>
          <w:sz w:val="28"/>
          <w:highlight w:val="none"/>
          <w:lang w:eastAsia="zh-CN"/>
        </w:rPr>
        <w:t>）</w:t>
      </w:r>
      <w:r>
        <w:rPr>
          <w:rFonts w:hint="eastAsia" w:ascii="宋体" w:hAnsi="宋体"/>
          <w:b/>
          <w:bCs/>
          <w:color w:val="auto"/>
          <w:sz w:val="28"/>
          <w:highlight w:val="none"/>
        </w:rPr>
        <w:t>每半年考核扣款标准</w:t>
      </w:r>
    </w:p>
    <w:p w14:paraId="26BCC18E">
      <w:pPr>
        <w:spacing w:line="360" w:lineRule="auto"/>
        <w:rPr>
          <w:rFonts w:ascii="宋体" w:hAnsi="宋体"/>
          <w:color w:val="auto"/>
          <w:sz w:val="24"/>
          <w:szCs w:val="28"/>
          <w:highlight w:val="none"/>
        </w:rPr>
      </w:pPr>
      <w:r>
        <w:rPr>
          <w:rFonts w:hint="eastAsia" w:ascii="宋体" w:hAnsi="宋体"/>
          <w:color w:val="auto"/>
          <w:sz w:val="24"/>
          <w:szCs w:val="28"/>
          <w:highlight w:val="none"/>
        </w:rPr>
        <w:t>每半年由考评组考核打分，每半年结算一次。半年度考核实行100分制。</w:t>
      </w:r>
    </w:p>
    <w:p w14:paraId="722E935C">
      <w:pPr>
        <w:spacing w:line="360" w:lineRule="auto"/>
        <w:rPr>
          <w:rFonts w:ascii="宋体" w:hAnsi="宋体"/>
          <w:color w:val="auto"/>
          <w:sz w:val="24"/>
          <w:szCs w:val="28"/>
          <w:highlight w:val="none"/>
        </w:rPr>
      </w:pPr>
      <w:r>
        <w:rPr>
          <w:rFonts w:hint="eastAsia" w:ascii="宋体" w:hAnsi="宋体"/>
          <w:color w:val="auto"/>
          <w:sz w:val="24"/>
          <w:szCs w:val="28"/>
          <w:highlight w:val="none"/>
        </w:rPr>
        <w:t>（1）当次考核得分超过90分（含），不扣服务费；</w:t>
      </w:r>
    </w:p>
    <w:p w14:paraId="6EFA961F">
      <w:pPr>
        <w:spacing w:line="360" w:lineRule="auto"/>
        <w:rPr>
          <w:rFonts w:ascii="宋体" w:hAnsi="宋体"/>
          <w:color w:val="auto"/>
          <w:sz w:val="24"/>
          <w:szCs w:val="28"/>
          <w:highlight w:val="none"/>
        </w:rPr>
      </w:pPr>
      <w:r>
        <w:rPr>
          <w:rFonts w:hint="eastAsia" w:ascii="宋体" w:hAnsi="宋体"/>
          <w:color w:val="auto"/>
          <w:sz w:val="24"/>
          <w:szCs w:val="28"/>
          <w:highlight w:val="none"/>
        </w:rPr>
        <w:t>（2）当次考核得分90分（不含）以下、60分（含）以上部分每少一分，扣款7500元；</w:t>
      </w:r>
    </w:p>
    <w:p w14:paraId="22B965F7">
      <w:pPr>
        <w:spacing w:line="360" w:lineRule="auto"/>
        <w:rPr>
          <w:rFonts w:ascii="宋体" w:hAnsi="宋体"/>
          <w:color w:val="auto"/>
          <w:sz w:val="24"/>
          <w:szCs w:val="28"/>
          <w:highlight w:val="none"/>
        </w:rPr>
      </w:pPr>
      <w:r>
        <w:rPr>
          <w:rFonts w:hint="eastAsia" w:ascii="宋体" w:hAnsi="宋体"/>
          <w:color w:val="auto"/>
          <w:sz w:val="24"/>
          <w:szCs w:val="28"/>
          <w:highlight w:val="none"/>
        </w:rPr>
        <w:t>（3）当次考核得分低于60分，全额扣除该半年服务费；</w:t>
      </w:r>
    </w:p>
    <w:p w14:paraId="437DD4E8">
      <w:pPr>
        <w:spacing w:line="360" w:lineRule="auto"/>
        <w:jc w:val="left"/>
        <w:rPr>
          <w:rFonts w:ascii="宋体" w:hAnsi="宋体" w:cs="宋体"/>
          <w:b/>
          <w:color w:val="auto"/>
          <w:sz w:val="24"/>
          <w:highlight w:val="none"/>
        </w:rPr>
      </w:pPr>
      <w:r>
        <w:rPr>
          <w:rFonts w:hint="eastAsia" w:ascii="宋体" w:hAnsi="宋体"/>
          <w:color w:val="auto"/>
          <w:sz w:val="24"/>
          <w:szCs w:val="28"/>
          <w:highlight w:val="none"/>
        </w:rPr>
        <w:t>（4）对效能评估中不能客观公正反映各类实际情况的，存在弄虚作假、徇私情的，一旦发现采购方有权终止合同。</w:t>
      </w:r>
    </w:p>
    <w:p w14:paraId="58A359B9">
      <w:pPr>
        <w:spacing w:line="360" w:lineRule="auto"/>
        <w:ind w:firstLine="480"/>
        <w:jc w:val="left"/>
        <w:rPr>
          <w:rFonts w:ascii="宋体" w:hAnsi="宋体" w:cs="宋体"/>
          <w:b/>
          <w:color w:val="auto"/>
          <w:sz w:val="24"/>
          <w:highlight w:val="none"/>
        </w:rPr>
      </w:pPr>
    </w:p>
    <w:p w14:paraId="43A9EF96">
      <w:pPr>
        <w:spacing w:line="360" w:lineRule="auto"/>
        <w:ind w:firstLine="480"/>
        <w:jc w:val="left"/>
        <w:rPr>
          <w:rFonts w:ascii="宋体" w:hAnsi="宋体" w:cs="宋体"/>
          <w:b/>
          <w:color w:val="auto"/>
          <w:sz w:val="24"/>
          <w:highlight w:val="none"/>
        </w:rPr>
      </w:pPr>
    </w:p>
    <w:p w14:paraId="196D555F">
      <w:pPr>
        <w:spacing w:line="360" w:lineRule="auto"/>
        <w:ind w:firstLine="480"/>
        <w:jc w:val="left"/>
        <w:rPr>
          <w:rFonts w:ascii="宋体" w:hAnsi="宋体" w:cs="宋体"/>
          <w:b/>
          <w:color w:val="auto"/>
          <w:sz w:val="24"/>
          <w:highlight w:val="none"/>
        </w:rPr>
      </w:pPr>
    </w:p>
    <w:p w14:paraId="1AA792A1">
      <w:pPr>
        <w:rPr>
          <w:rFonts w:ascii="宋体" w:hAnsi="宋体" w:cs="宋体"/>
          <w:b/>
          <w:color w:val="auto"/>
          <w:sz w:val="24"/>
          <w:highlight w:val="none"/>
        </w:rPr>
      </w:pPr>
      <w:r>
        <w:rPr>
          <w:rFonts w:ascii="宋体" w:hAnsi="宋体" w:cs="宋体"/>
          <w:b/>
          <w:color w:val="auto"/>
          <w:sz w:val="24"/>
          <w:highlight w:val="none"/>
        </w:rPr>
        <w:br w:type="page"/>
      </w:r>
    </w:p>
    <w:p w14:paraId="2C1143A0">
      <w:pPr>
        <w:spacing w:line="360" w:lineRule="auto"/>
        <w:ind w:firstLine="480"/>
        <w:jc w:val="left"/>
        <w:rPr>
          <w:rFonts w:ascii="宋体" w:hAnsi="宋体" w:cs="宋体"/>
          <w:b/>
          <w:color w:val="auto"/>
          <w:sz w:val="24"/>
          <w:highlight w:val="none"/>
        </w:rPr>
      </w:pPr>
    </w:p>
    <w:p w14:paraId="29E20889">
      <w:pPr>
        <w:tabs>
          <w:tab w:val="left" w:pos="945"/>
          <w:tab w:val="left" w:pos="1080"/>
        </w:tabs>
        <w:spacing w:line="360" w:lineRule="auto"/>
        <w:rPr>
          <w:rFonts w:ascii="宋体" w:hAnsi="宋体"/>
          <w:color w:val="auto"/>
          <w:sz w:val="24"/>
          <w:highlight w:val="none"/>
        </w:rPr>
      </w:pPr>
      <w:r>
        <w:rPr>
          <w:rFonts w:hint="eastAsia" w:ascii="宋体" w:hAnsi="宋体"/>
          <w:color w:val="auto"/>
          <w:sz w:val="24"/>
          <w:highlight w:val="none"/>
        </w:rPr>
        <w:t>附件：</w:t>
      </w:r>
    </w:p>
    <w:p w14:paraId="2683D3DD">
      <w:pPr>
        <w:spacing w:line="360" w:lineRule="auto"/>
        <w:jc w:val="center"/>
        <w:rPr>
          <w:rFonts w:ascii="宋体" w:hAnsi="宋体"/>
          <w:b/>
          <w:color w:val="auto"/>
          <w:highlight w:val="none"/>
        </w:rPr>
      </w:pPr>
      <w:r>
        <w:rPr>
          <w:rFonts w:hint="eastAsia" w:ascii="宋体" w:hAnsi="宋体"/>
          <w:b/>
          <w:color w:val="auto"/>
          <w:sz w:val="28"/>
          <w:szCs w:val="28"/>
          <w:highlight w:val="none"/>
        </w:rPr>
        <w:t>《新吴区城市精细化管理“第三方”信息采集服务考核标准</w:t>
      </w:r>
      <w:r>
        <w:rPr>
          <w:rFonts w:hint="eastAsia" w:ascii="宋体" w:hAnsi="宋体"/>
          <w:b/>
          <w:color w:val="auto"/>
          <w:highlight w:val="none"/>
        </w:rPr>
        <w:t>》</w:t>
      </w:r>
    </w:p>
    <w:p w14:paraId="76D8DEF6">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每</w:t>
      </w:r>
      <w:r>
        <w:rPr>
          <w:rFonts w:hint="eastAsia" w:ascii="宋体" w:hAnsi="宋体"/>
          <w:bCs/>
          <w:color w:val="auto"/>
          <w:sz w:val="24"/>
          <w:highlight w:val="none"/>
          <w:lang w:eastAsia="zh-CN"/>
        </w:rPr>
        <w:t>季度</w:t>
      </w:r>
      <w:r>
        <w:rPr>
          <w:rFonts w:hint="eastAsia" w:ascii="宋体" w:hAnsi="宋体"/>
          <w:bCs/>
          <w:color w:val="auto"/>
          <w:sz w:val="24"/>
          <w:highlight w:val="none"/>
        </w:rPr>
        <w:t>根据招标要求和实际情况对第三方效能采集（督查）服务进行考核评分，具体评分内容如下：</w:t>
      </w:r>
    </w:p>
    <w:tbl>
      <w:tblPr>
        <w:tblStyle w:val="3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785"/>
        <w:gridCol w:w="2685"/>
        <w:gridCol w:w="1005"/>
        <w:gridCol w:w="3375"/>
      </w:tblGrid>
      <w:tr w14:paraId="4A32F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17" w:type="dxa"/>
            <w:vAlign w:val="center"/>
          </w:tcPr>
          <w:p w14:paraId="293033DB">
            <w:pPr>
              <w:snapToGrid w:val="0"/>
              <w:spacing w:before="156" w:beforeLines="50" w:after="156" w:afterLines="50"/>
              <w:jc w:val="center"/>
              <w:rPr>
                <w:b/>
                <w:bCs/>
                <w:color w:val="auto"/>
                <w:sz w:val="24"/>
                <w:highlight w:val="none"/>
              </w:rPr>
            </w:pPr>
            <w:r>
              <w:rPr>
                <w:rFonts w:hint="eastAsia"/>
                <w:b/>
                <w:bCs/>
                <w:color w:val="auto"/>
                <w:sz w:val="24"/>
                <w:highlight w:val="none"/>
              </w:rPr>
              <w:t>序号</w:t>
            </w:r>
          </w:p>
        </w:tc>
        <w:tc>
          <w:tcPr>
            <w:tcW w:w="1785" w:type="dxa"/>
            <w:vAlign w:val="center"/>
          </w:tcPr>
          <w:p w14:paraId="7C624B58">
            <w:pPr>
              <w:snapToGrid w:val="0"/>
              <w:spacing w:before="156" w:beforeLines="50" w:after="156" w:afterLines="50"/>
              <w:jc w:val="center"/>
              <w:rPr>
                <w:b/>
                <w:bCs/>
                <w:color w:val="auto"/>
                <w:sz w:val="24"/>
                <w:highlight w:val="none"/>
              </w:rPr>
            </w:pPr>
            <w:r>
              <w:rPr>
                <w:rFonts w:hint="eastAsia"/>
                <w:b/>
                <w:bCs/>
                <w:color w:val="auto"/>
                <w:sz w:val="24"/>
                <w:highlight w:val="none"/>
              </w:rPr>
              <w:t>项目</w:t>
            </w:r>
          </w:p>
        </w:tc>
        <w:tc>
          <w:tcPr>
            <w:tcW w:w="2685" w:type="dxa"/>
            <w:vAlign w:val="center"/>
          </w:tcPr>
          <w:p w14:paraId="67BD4922">
            <w:pPr>
              <w:snapToGrid w:val="0"/>
              <w:spacing w:before="156" w:beforeLines="50" w:after="156" w:afterLines="50"/>
              <w:jc w:val="center"/>
              <w:rPr>
                <w:b/>
                <w:bCs/>
                <w:color w:val="auto"/>
                <w:sz w:val="24"/>
                <w:highlight w:val="none"/>
              </w:rPr>
            </w:pPr>
            <w:r>
              <w:rPr>
                <w:rFonts w:hint="eastAsia"/>
                <w:b/>
                <w:bCs/>
                <w:color w:val="auto"/>
                <w:sz w:val="24"/>
                <w:highlight w:val="none"/>
              </w:rPr>
              <w:t>考核内容</w:t>
            </w:r>
          </w:p>
        </w:tc>
        <w:tc>
          <w:tcPr>
            <w:tcW w:w="1005" w:type="dxa"/>
            <w:vAlign w:val="center"/>
          </w:tcPr>
          <w:p w14:paraId="5F3F6A0C">
            <w:pPr>
              <w:snapToGrid w:val="0"/>
              <w:spacing w:before="156" w:beforeLines="50" w:after="156" w:afterLines="50"/>
              <w:jc w:val="center"/>
              <w:rPr>
                <w:b/>
                <w:bCs/>
                <w:color w:val="auto"/>
                <w:sz w:val="24"/>
                <w:highlight w:val="none"/>
              </w:rPr>
            </w:pPr>
            <w:r>
              <w:rPr>
                <w:rFonts w:hint="eastAsia"/>
                <w:b/>
                <w:bCs/>
                <w:color w:val="auto"/>
                <w:sz w:val="24"/>
                <w:highlight w:val="none"/>
              </w:rPr>
              <w:t>标准分</w:t>
            </w:r>
          </w:p>
        </w:tc>
        <w:tc>
          <w:tcPr>
            <w:tcW w:w="3375" w:type="dxa"/>
            <w:vAlign w:val="center"/>
          </w:tcPr>
          <w:p w14:paraId="47E0F20E">
            <w:pPr>
              <w:snapToGrid w:val="0"/>
              <w:spacing w:before="156" w:beforeLines="50" w:after="156" w:afterLines="50"/>
              <w:jc w:val="center"/>
              <w:rPr>
                <w:b/>
                <w:bCs/>
                <w:color w:val="auto"/>
                <w:sz w:val="24"/>
                <w:highlight w:val="none"/>
              </w:rPr>
            </w:pPr>
            <w:r>
              <w:rPr>
                <w:rFonts w:hint="eastAsia"/>
                <w:b/>
                <w:bCs/>
                <w:color w:val="auto"/>
                <w:sz w:val="24"/>
                <w:highlight w:val="none"/>
              </w:rPr>
              <w:t>扣分细则</w:t>
            </w:r>
          </w:p>
        </w:tc>
      </w:tr>
      <w:tr w14:paraId="7DFF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60DB551F">
            <w:pPr>
              <w:snapToGrid w:val="0"/>
              <w:spacing w:before="156" w:beforeLines="50" w:after="156" w:afterLines="50"/>
              <w:jc w:val="center"/>
              <w:rPr>
                <w:color w:val="auto"/>
                <w:sz w:val="24"/>
                <w:highlight w:val="none"/>
              </w:rPr>
            </w:pPr>
            <w:r>
              <w:rPr>
                <w:rFonts w:hint="eastAsia"/>
                <w:color w:val="auto"/>
                <w:sz w:val="24"/>
                <w:highlight w:val="none"/>
              </w:rPr>
              <w:t>1</w:t>
            </w:r>
          </w:p>
        </w:tc>
        <w:tc>
          <w:tcPr>
            <w:tcW w:w="1785" w:type="dxa"/>
            <w:vAlign w:val="center"/>
          </w:tcPr>
          <w:p w14:paraId="45F352C2">
            <w:pPr>
              <w:snapToGrid w:val="0"/>
              <w:spacing w:before="156" w:beforeLines="50" w:after="156" w:afterLines="50"/>
              <w:jc w:val="left"/>
              <w:rPr>
                <w:color w:val="auto"/>
                <w:sz w:val="24"/>
                <w:highlight w:val="none"/>
              </w:rPr>
            </w:pPr>
            <w:r>
              <w:rPr>
                <w:rFonts w:hint="eastAsia"/>
                <w:color w:val="auto"/>
                <w:sz w:val="24"/>
                <w:highlight w:val="none"/>
              </w:rPr>
              <w:t>月度分析报告</w:t>
            </w:r>
          </w:p>
        </w:tc>
        <w:tc>
          <w:tcPr>
            <w:tcW w:w="2685" w:type="dxa"/>
            <w:vAlign w:val="center"/>
          </w:tcPr>
          <w:p w14:paraId="19A3621C">
            <w:pPr>
              <w:snapToGrid w:val="0"/>
              <w:spacing w:before="156" w:beforeLines="50" w:after="156" w:afterLines="50"/>
              <w:jc w:val="left"/>
              <w:rPr>
                <w:color w:val="auto"/>
                <w:sz w:val="24"/>
                <w:highlight w:val="none"/>
              </w:rPr>
            </w:pPr>
            <w:r>
              <w:rPr>
                <w:color w:val="auto"/>
                <w:sz w:val="24"/>
                <w:highlight w:val="none"/>
              </w:rPr>
              <w:t>每月根据新吴区数字监督指挥中心平台大数据，分析、查摆城市管理中存在的问题，提出初步解决建议，配合局相关业务部门最终确定效能督查和问题解决方案。</w:t>
            </w:r>
          </w:p>
        </w:tc>
        <w:tc>
          <w:tcPr>
            <w:tcW w:w="1005" w:type="dxa"/>
            <w:vAlign w:val="center"/>
          </w:tcPr>
          <w:p w14:paraId="49964531">
            <w:pPr>
              <w:snapToGrid w:val="0"/>
              <w:spacing w:before="156" w:beforeLines="50" w:after="156" w:afterLines="50"/>
              <w:jc w:val="center"/>
              <w:rPr>
                <w:color w:val="auto"/>
                <w:sz w:val="24"/>
                <w:highlight w:val="none"/>
              </w:rPr>
            </w:pPr>
            <w:r>
              <w:rPr>
                <w:rFonts w:hint="eastAsia"/>
                <w:color w:val="auto"/>
                <w:sz w:val="24"/>
                <w:highlight w:val="none"/>
              </w:rPr>
              <w:t>5</w:t>
            </w:r>
          </w:p>
        </w:tc>
        <w:tc>
          <w:tcPr>
            <w:tcW w:w="3375" w:type="dxa"/>
            <w:vAlign w:val="center"/>
          </w:tcPr>
          <w:p w14:paraId="3AF08B38">
            <w:pPr>
              <w:snapToGrid w:val="0"/>
              <w:spacing w:before="156" w:beforeLines="50" w:after="156" w:afterLines="50"/>
              <w:jc w:val="left"/>
              <w:rPr>
                <w:color w:val="auto"/>
                <w:sz w:val="24"/>
                <w:highlight w:val="none"/>
              </w:rPr>
            </w:pPr>
            <w:r>
              <w:rPr>
                <w:rFonts w:hint="eastAsia"/>
                <w:color w:val="auto"/>
                <w:sz w:val="24"/>
                <w:highlight w:val="none"/>
              </w:rPr>
              <w:t>重点考核分析问题的针对性计2分，解决问题的有效性计3分：</w:t>
            </w:r>
          </w:p>
          <w:p w14:paraId="5752446D">
            <w:pPr>
              <w:snapToGrid w:val="0"/>
              <w:spacing w:before="156" w:beforeLines="50" w:after="156" w:afterLines="50"/>
              <w:jc w:val="left"/>
              <w:rPr>
                <w:color w:val="auto"/>
                <w:sz w:val="24"/>
                <w:highlight w:val="none"/>
              </w:rPr>
            </w:pPr>
            <w:r>
              <w:rPr>
                <w:rFonts w:hint="eastAsia"/>
                <w:color w:val="auto"/>
                <w:sz w:val="24"/>
                <w:highlight w:val="none"/>
                <w:lang w:eastAsia="zh-CN"/>
              </w:rPr>
              <w:t>1.</w:t>
            </w:r>
            <w:r>
              <w:rPr>
                <w:rFonts w:hint="eastAsia"/>
                <w:color w:val="auto"/>
                <w:sz w:val="24"/>
                <w:highlight w:val="none"/>
              </w:rPr>
              <w:t>未及时出具分析报告的扣1分；</w:t>
            </w:r>
          </w:p>
          <w:p w14:paraId="6978A942">
            <w:pPr>
              <w:snapToGrid w:val="0"/>
              <w:spacing w:before="156" w:beforeLines="50" w:after="156" w:afterLines="50"/>
              <w:jc w:val="left"/>
              <w:rPr>
                <w:color w:val="auto"/>
                <w:sz w:val="24"/>
                <w:highlight w:val="none"/>
              </w:rPr>
            </w:pPr>
            <w:r>
              <w:rPr>
                <w:rFonts w:hint="eastAsia"/>
                <w:color w:val="auto"/>
                <w:sz w:val="24"/>
                <w:highlight w:val="none"/>
                <w:lang w:eastAsia="zh-CN"/>
              </w:rPr>
              <w:t>2.</w:t>
            </w:r>
            <w:r>
              <w:rPr>
                <w:rFonts w:hint="eastAsia"/>
                <w:color w:val="auto"/>
                <w:sz w:val="24"/>
                <w:highlight w:val="none"/>
              </w:rPr>
              <w:t>分析报告分析针对性不全面的扣1分；</w:t>
            </w:r>
          </w:p>
        </w:tc>
      </w:tr>
      <w:tr w14:paraId="0C90D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20B6BF82">
            <w:pPr>
              <w:snapToGrid w:val="0"/>
              <w:spacing w:before="156" w:beforeLines="50" w:after="156" w:afterLines="50"/>
              <w:jc w:val="center"/>
              <w:rPr>
                <w:color w:val="auto"/>
                <w:sz w:val="24"/>
                <w:highlight w:val="none"/>
              </w:rPr>
            </w:pPr>
            <w:r>
              <w:rPr>
                <w:rFonts w:hint="eastAsia"/>
                <w:color w:val="auto"/>
                <w:sz w:val="24"/>
                <w:highlight w:val="none"/>
              </w:rPr>
              <w:t>2</w:t>
            </w:r>
          </w:p>
        </w:tc>
        <w:tc>
          <w:tcPr>
            <w:tcW w:w="1785" w:type="dxa"/>
            <w:vAlign w:val="center"/>
          </w:tcPr>
          <w:p w14:paraId="3A849BFB">
            <w:pPr>
              <w:snapToGrid w:val="0"/>
              <w:spacing w:before="156" w:beforeLines="50" w:after="156" w:afterLines="50"/>
              <w:jc w:val="left"/>
              <w:rPr>
                <w:color w:val="auto"/>
                <w:sz w:val="24"/>
                <w:highlight w:val="none"/>
              </w:rPr>
            </w:pPr>
            <w:r>
              <w:rPr>
                <w:color w:val="auto"/>
                <w:sz w:val="24"/>
                <w:highlight w:val="none"/>
              </w:rPr>
              <w:t>城市精细化管理重难点工作推进专项</w:t>
            </w:r>
          </w:p>
        </w:tc>
        <w:tc>
          <w:tcPr>
            <w:tcW w:w="2685" w:type="dxa"/>
            <w:vAlign w:val="center"/>
          </w:tcPr>
          <w:p w14:paraId="56FB4D3D">
            <w:pPr>
              <w:snapToGrid w:val="0"/>
              <w:spacing w:before="156" w:beforeLines="50" w:after="156" w:afterLines="50"/>
              <w:jc w:val="left"/>
              <w:rPr>
                <w:color w:val="auto"/>
                <w:sz w:val="24"/>
                <w:highlight w:val="none"/>
              </w:rPr>
            </w:pPr>
            <w:r>
              <w:rPr>
                <w:color w:val="auto"/>
                <w:sz w:val="24"/>
                <w:highlight w:val="none"/>
              </w:rPr>
              <w:t>对城市精细化管理重难点工作推进专项的提前研判，协助做好区级重难点工作推进项目的问题收集、梳理、排查、核实、更新以及优秀项目长效管理落实情况与警示项目整改情况的复核等，每月出初选报告。</w:t>
            </w:r>
          </w:p>
        </w:tc>
        <w:tc>
          <w:tcPr>
            <w:tcW w:w="1005" w:type="dxa"/>
            <w:vAlign w:val="center"/>
          </w:tcPr>
          <w:p w14:paraId="56509BFE">
            <w:pPr>
              <w:snapToGrid w:val="0"/>
              <w:spacing w:before="156" w:beforeLines="50" w:after="156" w:afterLines="50"/>
              <w:jc w:val="center"/>
              <w:rPr>
                <w:color w:val="auto"/>
                <w:sz w:val="24"/>
                <w:highlight w:val="none"/>
              </w:rPr>
            </w:pPr>
            <w:r>
              <w:rPr>
                <w:rFonts w:hint="eastAsia"/>
                <w:color w:val="auto"/>
                <w:sz w:val="24"/>
                <w:highlight w:val="none"/>
              </w:rPr>
              <w:t>10</w:t>
            </w:r>
          </w:p>
        </w:tc>
        <w:tc>
          <w:tcPr>
            <w:tcW w:w="3375" w:type="dxa"/>
            <w:vAlign w:val="center"/>
          </w:tcPr>
          <w:p w14:paraId="565CF650">
            <w:pPr>
              <w:snapToGrid w:val="0"/>
              <w:spacing w:before="156" w:beforeLines="50" w:after="156" w:afterLines="50"/>
              <w:jc w:val="left"/>
              <w:rPr>
                <w:color w:val="auto"/>
                <w:sz w:val="24"/>
                <w:highlight w:val="none"/>
              </w:rPr>
            </w:pPr>
            <w:r>
              <w:rPr>
                <w:rFonts w:hint="eastAsia"/>
                <w:color w:val="auto"/>
                <w:sz w:val="24"/>
                <w:highlight w:val="none"/>
              </w:rPr>
              <w:t>重点考核重难点工作的及时性计5分，准确性计5分，</w:t>
            </w:r>
          </w:p>
          <w:p w14:paraId="2C3D231C">
            <w:pPr>
              <w:numPr>
                <w:ilvl w:val="0"/>
                <w:numId w:val="6"/>
              </w:numPr>
              <w:snapToGrid w:val="0"/>
              <w:spacing w:before="156" w:beforeLines="50" w:after="156" w:afterLines="50"/>
              <w:jc w:val="left"/>
              <w:rPr>
                <w:color w:val="auto"/>
                <w:sz w:val="24"/>
                <w:highlight w:val="none"/>
              </w:rPr>
            </w:pPr>
            <w:r>
              <w:rPr>
                <w:rFonts w:hint="eastAsia"/>
                <w:color w:val="auto"/>
                <w:sz w:val="24"/>
                <w:highlight w:val="none"/>
              </w:rPr>
              <w:t>未及时出具初选报告的扣2分；</w:t>
            </w:r>
          </w:p>
          <w:p w14:paraId="12F2CFDD">
            <w:pPr>
              <w:numPr>
                <w:ilvl w:val="0"/>
                <w:numId w:val="6"/>
              </w:numPr>
              <w:snapToGrid w:val="0"/>
              <w:spacing w:before="156" w:beforeLines="50" w:after="156" w:afterLines="50"/>
              <w:jc w:val="left"/>
              <w:rPr>
                <w:color w:val="auto"/>
                <w:sz w:val="24"/>
                <w:highlight w:val="none"/>
              </w:rPr>
            </w:pPr>
            <w:r>
              <w:rPr>
                <w:rFonts w:hint="eastAsia"/>
                <w:color w:val="auto"/>
                <w:sz w:val="24"/>
                <w:highlight w:val="none"/>
              </w:rPr>
              <w:t>初选</w:t>
            </w:r>
            <w:r>
              <w:rPr>
                <w:rFonts w:hint="eastAsia"/>
                <w:color w:val="auto"/>
                <w:sz w:val="24"/>
                <w:highlight w:val="none"/>
                <w:lang w:eastAsia="zh-CN"/>
              </w:rPr>
              <w:t>报告</w:t>
            </w:r>
            <w:r>
              <w:rPr>
                <w:rFonts w:hint="eastAsia"/>
                <w:color w:val="auto"/>
                <w:sz w:val="24"/>
                <w:highlight w:val="none"/>
              </w:rPr>
              <w:t>针对性不全面的扣1分；</w:t>
            </w:r>
          </w:p>
        </w:tc>
      </w:tr>
      <w:tr w14:paraId="1B63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2BD2AF55">
            <w:pPr>
              <w:snapToGrid w:val="0"/>
              <w:spacing w:before="156" w:beforeLines="50" w:after="156" w:afterLines="50"/>
              <w:jc w:val="center"/>
              <w:rPr>
                <w:color w:val="auto"/>
                <w:sz w:val="24"/>
                <w:highlight w:val="none"/>
              </w:rPr>
            </w:pPr>
            <w:r>
              <w:rPr>
                <w:rFonts w:hint="eastAsia"/>
                <w:color w:val="auto"/>
                <w:sz w:val="24"/>
                <w:highlight w:val="none"/>
              </w:rPr>
              <w:t>3</w:t>
            </w:r>
          </w:p>
        </w:tc>
        <w:tc>
          <w:tcPr>
            <w:tcW w:w="1785" w:type="dxa"/>
            <w:vAlign w:val="center"/>
          </w:tcPr>
          <w:p w14:paraId="37BF9EB7">
            <w:pPr>
              <w:snapToGrid w:val="0"/>
              <w:spacing w:before="156" w:beforeLines="50" w:after="156" w:afterLines="50"/>
              <w:jc w:val="left"/>
              <w:rPr>
                <w:color w:val="auto"/>
                <w:sz w:val="24"/>
                <w:highlight w:val="none"/>
              </w:rPr>
            </w:pPr>
            <w:r>
              <w:rPr>
                <w:rFonts w:hint="eastAsia"/>
                <w:color w:val="auto"/>
                <w:sz w:val="24"/>
                <w:highlight w:val="none"/>
              </w:rPr>
              <w:t>区级平台问题反馈与执法效能监督专项</w:t>
            </w:r>
          </w:p>
        </w:tc>
        <w:tc>
          <w:tcPr>
            <w:tcW w:w="2685" w:type="dxa"/>
            <w:vAlign w:val="center"/>
          </w:tcPr>
          <w:p w14:paraId="6F1DD633">
            <w:pPr>
              <w:snapToGrid w:val="0"/>
              <w:spacing w:before="156" w:beforeLines="50" w:after="156" w:afterLines="50"/>
              <w:jc w:val="left"/>
              <w:rPr>
                <w:color w:val="auto"/>
                <w:sz w:val="24"/>
                <w:highlight w:val="none"/>
              </w:rPr>
            </w:pPr>
            <w:r>
              <w:rPr>
                <w:rFonts w:hint="eastAsia"/>
                <w:color w:val="auto"/>
                <w:sz w:val="24"/>
                <w:highlight w:val="none"/>
              </w:rPr>
              <w:t>每月针对区级平台反馈的</w:t>
            </w:r>
            <w:r>
              <w:rPr>
                <w:rFonts w:hint="eastAsia"/>
                <w:color w:val="auto"/>
                <w:sz w:val="24"/>
                <w:highlight w:val="none"/>
                <w:lang w:eastAsia="zh-CN"/>
              </w:rPr>
              <w:t>涉及</w:t>
            </w:r>
            <w:r>
              <w:rPr>
                <w:rFonts w:hint="eastAsia"/>
                <w:color w:val="auto"/>
                <w:sz w:val="24"/>
                <w:highlight w:val="none"/>
              </w:rPr>
              <w:t>执法队员、管理队员721工作法开展情况、重复投诉问题跟踪监督、对巡防效能开展抽查评估。</w:t>
            </w:r>
          </w:p>
        </w:tc>
        <w:tc>
          <w:tcPr>
            <w:tcW w:w="1005" w:type="dxa"/>
            <w:vAlign w:val="center"/>
          </w:tcPr>
          <w:p w14:paraId="505DFCA4">
            <w:pPr>
              <w:snapToGrid w:val="0"/>
              <w:spacing w:before="156" w:beforeLines="50" w:after="156" w:afterLines="50"/>
              <w:jc w:val="center"/>
              <w:rPr>
                <w:color w:val="auto"/>
                <w:sz w:val="24"/>
                <w:highlight w:val="none"/>
              </w:rPr>
            </w:pPr>
            <w:r>
              <w:rPr>
                <w:rFonts w:hint="eastAsia"/>
                <w:color w:val="auto"/>
                <w:sz w:val="24"/>
                <w:highlight w:val="none"/>
              </w:rPr>
              <w:t>10</w:t>
            </w:r>
          </w:p>
        </w:tc>
        <w:tc>
          <w:tcPr>
            <w:tcW w:w="3375" w:type="dxa"/>
            <w:vAlign w:val="center"/>
          </w:tcPr>
          <w:p w14:paraId="726E3B66">
            <w:pPr>
              <w:snapToGrid w:val="0"/>
              <w:spacing w:before="156" w:beforeLines="50" w:after="156" w:afterLines="50"/>
              <w:jc w:val="left"/>
              <w:rPr>
                <w:color w:val="auto"/>
                <w:sz w:val="24"/>
                <w:highlight w:val="none"/>
              </w:rPr>
            </w:pPr>
            <w:r>
              <w:rPr>
                <w:rFonts w:hint="eastAsia"/>
                <w:color w:val="auto"/>
                <w:sz w:val="24"/>
                <w:highlight w:val="none"/>
              </w:rPr>
              <w:t>重点监督查核的及时性计5分、完整性计5分；</w:t>
            </w:r>
          </w:p>
          <w:p w14:paraId="1C794A73">
            <w:pPr>
              <w:snapToGrid w:val="0"/>
              <w:spacing w:before="156" w:beforeLines="50" w:after="156" w:afterLines="50"/>
              <w:jc w:val="left"/>
              <w:rPr>
                <w:color w:val="auto"/>
                <w:sz w:val="24"/>
                <w:highlight w:val="none"/>
              </w:rPr>
            </w:pPr>
            <w:r>
              <w:rPr>
                <w:rFonts w:hint="eastAsia"/>
                <w:color w:val="auto"/>
                <w:sz w:val="24"/>
                <w:highlight w:val="none"/>
                <w:lang w:eastAsia="zh-CN"/>
              </w:rPr>
              <w:t>1.</w:t>
            </w:r>
            <w:r>
              <w:rPr>
                <w:rFonts w:hint="eastAsia"/>
                <w:color w:val="auto"/>
                <w:sz w:val="24"/>
                <w:highlight w:val="none"/>
              </w:rPr>
              <w:t>未及时出具督查报告的扣2分；</w:t>
            </w:r>
          </w:p>
          <w:p w14:paraId="3CEA53DE">
            <w:pPr>
              <w:snapToGrid w:val="0"/>
              <w:spacing w:before="156" w:beforeLines="50" w:after="156" w:afterLines="50"/>
              <w:jc w:val="left"/>
              <w:rPr>
                <w:color w:val="auto"/>
                <w:sz w:val="24"/>
                <w:highlight w:val="none"/>
              </w:rPr>
            </w:pPr>
            <w:r>
              <w:rPr>
                <w:rFonts w:hint="eastAsia"/>
                <w:color w:val="auto"/>
                <w:sz w:val="24"/>
                <w:highlight w:val="none"/>
                <w:lang w:eastAsia="zh-CN"/>
              </w:rPr>
              <w:t>2.</w:t>
            </w:r>
            <w:r>
              <w:rPr>
                <w:rFonts w:hint="eastAsia"/>
                <w:color w:val="auto"/>
                <w:sz w:val="24"/>
                <w:highlight w:val="none"/>
              </w:rPr>
              <w:t>督查报告覆盖不全面的扣2分；</w:t>
            </w:r>
          </w:p>
        </w:tc>
      </w:tr>
      <w:tr w14:paraId="3E26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10208053">
            <w:pPr>
              <w:snapToGrid w:val="0"/>
              <w:spacing w:before="156" w:beforeLines="50" w:after="156" w:afterLines="50"/>
              <w:jc w:val="center"/>
              <w:rPr>
                <w:color w:val="auto"/>
                <w:sz w:val="24"/>
                <w:highlight w:val="none"/>
              </w:rPr>
            </w:pPr>
            <w:r>
              <w:rPr>
                <w:rFonts w:hint="eastAsia"/>
                <w:color w:val="auto"/>
                <w:sz w:val="24"/>
                <w:highlight w:val="none"/>
              </w:rPr>
              <w:t>4</w:t>
            </w:r>
          </w:p>
        </w:tc>
        <w:tc>
          <w:tcPr>
            <w:tcW w:w="1785" w:type="dxa"/>
            <w:vAlign w:val="center"/>
          </w:tcPr>
          <w:p w14:paraId="288AF6AF">
            <w:pPr>
              <w:snapToGrid w:val="0"/>
              <w:spacing w:before="156" w:beforeLines="50" w:after="156" w:afterLines="50"/>
              <w:jc w:val="left"/>
              <w:rPr>
                <w:color w:val="auto"/>
                <w:sz w:val="24"/>
                <w:highlight w:val="none"/>
              </w:rPr>
            </w:pPr>
            <w:r>
              <w:rPr>
                <w:rFonts w:hint="eastAsia"/>
                <w:color w:val="auto"/>
                <w:sz w:val="24"/>
                <w:highlight w:val="none"/>
              </w:rPr>
              <w:t>市容热点难点评估报告</w:t>
            </w:r>
          </w:p>
        </w:tc>
        <w:tc>
          <w:tcPr>
            <w:tcW w:w="2685" w:type="dxa"/>
            <w:vAlign w:val="center"/>
          </w:tcPr>
          <w:p w14:paraId="39CD8137">
            <w:pPr>
              <w:snapToGrid w:val="0"/>
              <w:spacing w:before="156" w:beforeLines="50" w:after="156" w:afterLines="50"/>
              <w:jc w:val="left"/>
              <w:rPr>
                <w:color w:val="auto"/>
                <w:sz w:val="24"/>
                <w:highlight w:val="none"/>
              </w:rPr>
            </w:pPr>
            <w:r>
              <w:rPr>
                <w:rFonts w:hint="eastAsia"/>
                <w:color w:val="auto"/>
                <w:sz w:val="24"/>
                <w:highlight w:val="none"/>
              </w:rPr>
              <w:t>对市容难点、热点、重点管理区域</w:t>
            </w:r>
            <w:r>
              <w:rPr>
                <w:rFonts w:hint="eastAsia"/>
                <w:color w:val="auto"/>
                <w:sz w:val="24"/>
                <w:highlight w:val="none"/>
                <w:lang w:eastAsia="zh-CN"/>
              </w:rPr>
              <w:t>及垃圾分类情况</w:t>
            </w:r>
            <w:r>
              <w:rPr>
                <w:rFonts w:hint="eastAsia"/>
                <w:color w:val="auto"/>
                <w:sz w:val="24"/>
                <w:highlight w:val="none"/>
              </w:rPr>
              <w:t>进行专项分析评估，出具评估意见，并配合局相关业务部门提出综合施策方法。</w:t>
            </w:r>
          </w:p>
        </w:tc>
        <w:tc>
          <w:tcPr>
            <w:tcW w:w="1005" w:type="dxa"/>
            <w:vAlign w:val="center"/>
          </w:tcPr>
          <w:p w14:paraId="2583CC9F">
            <w:pPr>
              <w:snapToGrid w:val="0"/>
              <w:spacing w:before="156" w:beforeLines="50" w:after="156" w:afterLines="50"/>
              <w:jc w:val="center"/>
              <w:rPr>
                <w:color w:val="auto"/>
                <w:sz w:val="24"/>
                <w:highlight w:val="none"/>
              </w:rPr>
            </w:pPr>
            <w:r>
              <w:rPr>
                <w:rFonts w:hint="eastAsia"/>
                <w:color w:val="auto"/>
                <w:sz w:val="24"/>
                <w:highlight w:val="none"/>
              </w:rPr>
              <w:t>10</w:t>
            </w:r>
          </w:p>
        </w:tc>
        <w:tc>
          <w:tcPr>
            <w:tcW w:w="3375" w:type="dxa"/>
            <w:vAlign w:val="center"/>
          </w:tcPr>
          <w:p w14:paraId="52D8B712">
            <w:pPr>
              <w:snapToGrid w:val="0"/>
              <w:spacing w:before="156" w:beforeLines="50" w:after="156" w:afterLines="50"/>
              <w:jc w:val="left"/>
              <w:rPr>
                <w:color w:val="auto"/>
                <w:sz w:val="24"/>
                <w:highlight w:val="none"/>
              </w:rPr>
            </w:pPr>
            <w:r>
              <w:rPr>
                <w:rFonts w:hint="eastAsia"/>
                <w:color w:val="auto"/>
                <w:sz w:val="24"/>
                <w:highlight w:val="none"/>
              </w:rPr>
              <w:t>重点考核服务单位提出的相关职能部门处置市容难点、热点、重点的全面性计2分，及时性计2分；效能评估报告的及时性计2分，针对性计2分，有效性计2分；</w:t>
            </w:r>
          </w:p>
          <w:p w14:paraId="2AB5E43D">
            <w:pPr>
              <w:snapToGrid w:val="0"/>
              <w:spacing w:before="156" w:beforeLines="50" w:after="156" w:afterLines="50"/>
              <w:jc w:val="left"/>
              <w:rPr>
                <w:color w:val="auto"/>
                <w:sz w:val="24"/>
                <w:highlight w:val="none"/>
              </w:rPr>
            </w:pPr>
            <w:r>
              <w:rPr>
                <w:rFonts w:hint="eastAsia"/>
                <w:color w:val="auto"/>
                <w:sz w:val="24"/>
                <w:highlight w:val="none"/>
                <w:lang w:eastAsia="zh-CN"/>
              </w:rPr>
              <w:t>1.</w:t>
            </w:r>
            <w:r>
              <w:rPr>
                <w:rFonts w:hint="eastAsia"/>
                <w:color w:val="auto"/>
                <w:sz w:val="24"/>
                <w:highlight w:val="none"/>
              </w:rPr>
              <w:t>未及时出具检查报告的扣1.5分；</w:t>
            </w:r>
          </w:p>
          <w:p w14:paraId="04B060AF">
            <w:pPr>
              <w:snapToGrid w:val="0"/>
              <w:spacing w:before="156" w:beforeLines="50" w:after="156" w:afterLines="50"/>
              <w:jc w:val="left"/>
              <w:rPr>
                <w:color w:val="auto"/>
                <w:sz w:val="24"/>
                <w:highlight w:val="none"/>
              </w:rPr>
            </w:pPr>
            <w:r>
              <w:rPr>
                <w:rFonts w:hint="eastAsia"/>
                <w:color w:val="auto"/>
                <w:sz w:val="24"/>
                <w:highlight w:val="none"/>
                <w:lang w:eastAsia="zh-CN"/>
              </w:rPr>
              <w:t>2.</w:t>
            </w:r>
            <w:r>
              <w:rPr>
                <w:rFonts w:hint="eastAsia"/>
                <w:color w:val="auto"/>
                <w:sz w:val="24"/>
                <w:highlight w:val="none"/>
              </w:rPr>
              <w:t>检查报告覆盖不全面的扣1.5分；</w:t>
            </w:r>
          </w:p>
        </w:tc>
      </w:tr>
      <w:tr w14:paraId="166E1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7BD10B85">
            <w:pPr>
              <w:snapToGrid w:val="0"/>
              <w:spacing w:before="156" w:beforeLines="50" w:after="156" w:afterLines="50"/>
              <w:jc w:val="center"/>
              <w:rPr>
                <w:color w:val="auto"/>
                <w:sz w:val="24"/>
                <w:highlight w:val="none"/>
              </w:rPr>
            </w:pPr>
            <w:r>
              <w:rPr>
                <w:rFonts w:hint="eastAsia" w:cstheme="minorBidi"/>
                <w:color w:val="auto"/>
                <w:kern w:val="2"/>
                <w:sz w:val="24"/>
                <w:highlight w:val="none"/>
              </w:rPr>
              <w:t>5</w:t>
            </w:r>
          </w:p>
        </w:tc>
        <w:tc>
          <w:tcPr>
            <w:tcW w:w="1785" w:type="dxa"/>
            <w:vAlign w:val="center"/>
          </w:tcPr>
          <w:p w14:paraId="307D69A6">
            <w:pPr>
              <w:snapToGrid w:val="0"/>
              <w:spacing w:before="156" w:beforeLines="50" w:after="156" w:afterLines="50"/>
              <w:jc w:val="left"/>
              <w:rPr>
                <w:color w:val="auto"/>
                <w:sz w:val="24"/>
                <w:highlight w:val="none"/>
              </w:rPr>
            </w:pPr>
            <w:r>
              <w:rPr>
                <w:rFonts w:hint="eastAsia"/>
                <w:color w:val="auto"/>
                <w:sz w:val="24"/>
                <w:highlight w:val="none"/>
              </w:rPr>
              <w:t>管理单元报告</w:t>
            </w:r>
          </w:p>
        </w:tc>
        <w:tc>
          <w:tcPr>
            <w:tcW w:w="2685" w:type="dxa"/>
            <w:vAlign w:val="center"/>
          </w:tcPr>
          <w:p w14:paraId="27A60C60">
            <w:pPr>
              <w:snapToGrid w:val="0"/>
              <w:spacing w:before="156" w:beforeLines="50" w:after="156" w:afterLines="50"/>
              <w:jc w:val="left"/>
              <w:rPr>
                <w:color w:val="auto"/>
                <w:sz w:val="24"/>
                <w:highlight w:val="none"/>
              </w:rPr>
            </w:pPr>
            <w:r>
              <w:rPr>
                <w:color w:val="auto"/>
                <w:sz w:val="24"/>
                <w:highlight w:val="none"/>
              </w:rPr>
              <w:t>按市级标准对全区管理单元信息采集，每月出具大数据分析报告</w:t>
            </w:r>
            <w:r>
              <w:rPr>
                <w:rFonts w:hint="eastAsia"/>
                <w:color w:val="auto"/>
                <w:sz w:val="24"/>
                <w:highlight w:val="none"/>
              </w:rPr>
              <w:t>。</w:t>
            </w:r>
          </w:p>
        </w:tc>
        <w:tc>
          <w:tcPr>
            <w:tcW w:w="1005" w:type="dxa"/>
            <w:vAlign w:val="center"/>
          </w:tcPr>
          <w:p w14:paraId="32C7F79C">
            <w:pPr>
              <w:snapToGrid w:val="0"/>
              <w:spacing w:before="156" w:beforeLines="50" w:after="156" w:afterLines="50"/>
              <w:jc w:val="center"/>
              <w:rPr>
                <w:color w:val="auto"/>
                <w:sz w:val="24"/>
                <w:highlight w:val="none"/>
              </w:rPr>
            </w:pPr>
            <w:r>
              <w:rPr>
                <w:rFonts w:hint="eastAsia"/>
                <w:color w:val="auto"/>
                <w:sz w:val="24"/>
                <w:highlight w:val="none"/>
              </w:rPr>
              <w:t>5</w:t>
            </w:r>
          </w:p>
        </w:tc>
        <w:tc>
          <w:tcPr>
            <w:tcW w:w="3375" w:type="dxa"/>
            <w:vAlign w:val="center"/>
          </w:tcPr>
          <w:p w14:paraId="48E96C4D">
            <w:pPr>
              <w:snapToGrid w:val="0"/>
              <w:spacing w:before="156" w:beforeLines="50" w:after="156" w:afterLines="50"/>
              <w:jc w:val="left"/>
              <w:rPr>
                <w:color w:val="auto"/>
                <w:sz w:val="24"/>
                <w:highlight w:val="none"/>
              </w:rPr>
            </w:pPr>
            <w:r>
              <w:rPr>
                <w:rFonts w:hint="eastAsia"/>
                <w:color w:val="auto"/>
                <w:sz w:val="24"/>
                <w:highlight w:val="none"/>
              </w:rPr>
              <w:t>重点考核信息采集的全面性计3分，及时性计2分。</w:t>
            </w:r>
          </w:p>
          <w:p w14:paraId="3DC5ECF3">
            <w:pPr>
              <w:snapToGrid w:val="0"/>
              <w:spacing w:before="156" w:beforeLines="50" w:after="156" w:afterLines="50"/>
              <w:jc w:val="left"/>
              <w:rPr>
                <w:color w:val="auto"/>
                <w:sz w:val="24"/>
                <w:highlight w:val="none"/>
              </w:rPr>
            </w:pPr>
            <w:r>
              <w:rPr>
                <w:rFonts w:hint="eastAsia"/>
                <w:color w:val="auto"/>
                <w:sz w:val="24"/>
                <w:highlight w:val="none"/>
                <w:lang w:eastAsia="zh-CN"/>
              </w:rPr>
              <w:t>1.</w:t>
            </w:r>
            <w:r>
              <w:rPr>
                <w:rFonts w:hint="eastAsia"/>
                <w:color w:val="auto"/>
                <w:sz w:val="24"/>
                <w:highlight w:val="none"/>
              </w:rPr>
              <w:t>未及时出具报告的扣1分；</w:t>
            </w:r>
          </w:p>
          <w:p w14:paraId="68DE9647">
            <w:pPr>
              <w:snapToGrid w:val="0"/>
              <w:spacing w:before="156" w:beforeLines="50" w:after="156" w:afterLines="50"/>
              <w:jc w:val="left"/>
              <w:rPr>
                <w:color w:val="auto"/>
                <w:sz w:val="24"/>
                <w:highlight w:val="none"/>
              </w:rPr>
            </w:pPr>
            <w:r>
              <w:rPr>
                <w:rFonts w:hint="eastAsia"/>
                <w:color w:val="auto"/>
                <w:sz w:val="24"/>
                <w:highlight w:val="none"/>
                <w:lang w:eastAsia="zh-CN"/>
              </w:rPr>
              <w:t>2.</w:t>
            </w:r>
            <w:r>
              <w:rPr>
                <w:rFonts w:hint="eastAsia"/>
                <w:color w:val="auto"/>
                <w:sz w:val="24"/>
                <w:highlight w:val="none"/>
              </w:rPr>
              <w:t>报告覆盖不全面的扣2分；</w:t>
            </w:r>
          </w:p>
        </w:tc>
      </w:tr>
      <w:tr w14:paraId="04D70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5E58101A">
            <w:pPr>
              <w:snapToGrid w:val="0"/>
              <w:spacing w:before="156" w:beforeLines="50" w:after="156" w:afterLines="50"/>
              <w:jc w:val="center"/>
              <w:rPr>
                <w:color w:val="auto"/>
                <w:sz w:val="24"/>
                <w:highlight w:val="none"/>
              </w:rPr>
            </w:pPr>
            <w:r>
              <w:rPr>
                <w:rFonts w:hint="eastAsia"/>
                <w:color w:val="auto"/>
                <w:sz w:val="24"/>
                <w:highlight w:val="none"/>
              </w:rPr>
              <w:t>6</w:t>
            </w:r>
          </w:p>
        </w:tc>
        <w:tc>
          <w:tcPr>
            <w:tcW w:w="1785" w:type="dxa"/>
            <w:vAlign w:val="center"/>
          </w:tcPr>
          <w:p w14:paraId="7151C9C3">
            <w:pPr>
              <w:snapToGrid w:val="0"/>
              <w:spacing w:before="156" w:beforeLines="50" w:after="156" w:afterLines="50"/>
              <w:jc w:val="left"/>
              <w:rPr>
                <w:color w:val="auto"/>
                <w:sz w:val="24"/>
                <w:highlight w:val="none"/>
              </w:rPr>
            </w:pPr>
            <w:r>
              <w:rPr>
                <w:rFonts w:hint="eastAsia"/>
                <w:color w:val="auto"/>
                <w:sz w:val="24"/>
                <w:highlight w:val="none"/>
              </w:rPr>
              <w:t>上级督办、领导交办、反复投诉案件专项</w:t>
            </w:r>
          </w:p>
        </w:tc>
        <w:tc>
          <w:tcPr>
            <w:tcW w:w="2685" w:type="dxa"/>
            <w:vAlign w:val="center"/>
          </w:tcPr>
          <w:p w14:paraId="301F82C1">
            <w:pPr>
              <w:snapToGrid w:val="0"/>
              <w:spacing w:before="156" w:beforeLines="50" w:after="156" w:afterLines="50"/>
              <w:jc w:val="left"/>
              <w:rPr>
                <w:color w:val="auto"/>
                <w:sz w:val="24"/>
                <w:highlight w:val="none"/>
              </w:rPr>
            </w:pPr>
            <w:r>
              <w:rPr>
                <w:rFonts w:hint="eastAsia"/>
                <w:color w:val="auto"/>
                <w:sz w:val="24"/>
                <w:highlight w:val="none"/>
              </w:rPr>
              <w:t>对上级督办、领导交办、反复投诉的案件整改情况进行复核，提出相关整改建议。</w:t>
            </w:r>
          </w:p>
        </w:tc>
        <w:tc>
          <w:tcPr>
            <w:tcW w:w="1005" w:type="dxa"/>
            <w:vAlign w:val="center"/>
          </w:tcPr>
          <w:p w14:paraId="348ECD4F">
            <w:pPr>
              <w:snapToGrid w:val="0"/>
              <w:spacing w:before="156" w:beforeLines="50" w:after="156" w:afterLines="50"/>
              <w:jc w:val="center"/>
              <w:rPr>
                <w:color w:val="auto"/>
                <w:sz w:val="24"/>
                <w:highlight w:val="none"/>
              </w:rPr>
            </w:pPr>
            <w:r>
              <w:rPr>
                <w:rFonts w:hint="eastAsia"/>
                <w:color w:val="auto"/>
                <w:sz w:val="24"/>
                <w:highlight w:val="none"/>
              </w:rPr>
              <w:t>10</w:t>
            </w:r>
          </w:p>
        </w:tc>
        <w:tc>
          <w:tcPr>
            <w:tcW w:w="3375" w:type="dxa"/>
            <w:vAlign w:val="center"/>
          </w:tcPr>
          <w:p w14:paraId="24F87D6A">
            <w:pPr>
              <w:snapToGrid w:val="0"/>
              <w:spacing w:before="156" w:beforeLines="50" w:after="156" w:afterLines="50"/>
              <w:jc w:val="left"/>
              <w:rPr>
                <w:color w:val="auto"/>
                <w:sz w:val="24"/>
                <w:highlight w:val="none"/>
              </w:rPr>
            </w:pPr>
            <w:r>
              <w:rPr>
                <w:rFonts w:hint="eastAsia"/>
                <w:color w:val="auto"/>
                <w:sz w:val="24"/>
                <w:highlight w:val="none"/>
              </w:rPr>
              <w:t>重点考核情况复核的及时性计5分，完整性计5分：</w:t>
            </w:r>
          </w:p>
          <w:p w14:paraId="23EF60A0">
            <w:pPr>
              <w:numPr>
                <w:ilvl w:val="0"/>
                <w:numId w:val="7"/>
              </w:numPr>
              <w:snapToGrid w:val="0"/>
              <w:spacing w:before="156" w:beforeLines="50" w:after="156" w:afterLines="50"/>
              <w:jc w:val="left"/>
              <w:rPr>
                <w:color w:val="auto"/>
                <w:sz w:val="24"/>
                <w:highlight w:val="none"/>
              </w:rPr>
            </w:pPr>
            <w:r>
              <w:rPr>
                <w:rFonts w:hint="eastAsia"/>
                <w:color w:val="auto"/>
                <w:sz w:val="24"/>
                <w:highlight w:val="none"/>
              </w:rPr>
              <w:t>未及时提出整改建议的扣2分；</w:t>
            </w:r>
          </w:p>
          <w:p w14:paraId="74C3DCFF">
            <w:pPr>
              <w:numPr>
                <w:ilvl w:val="0"/>
                <w:numId w:val="7"/>
              </w:numPr>
              <w:snapToGrid w:val="0"/>
              <w:spacing w:before="156" w:beforeLines="50" w:after="156" w:afterLines="50"/>
              <w:jc w:val="left"/>
              <w:rPr>
                <w:color w:val="auto"/>
                <w:sz w:val="24"/>
                <w:highlight w:val="none"/>
              </w:rPr>
            </w:pPr>
            <w:r>
              <w:rPr>
                <w:rFonts w:hint="eastAsia"/>
                <w:color w:val="auto"/>
                <w:sz w:val="24"/>
                <w:highlight w:val="none"/>
              </w:rPr>
              <w:t>整改建议缺乏针对性、有效性、完整性的扣2分；</w:t>
            </w:r>
          </w:p>
        </w:tc>
      </w:tr>
      <w:tr w14:paraId="735E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229E3A67">
            <w:pPr>
              <w:snapToGrid w:val="0"/>
              <w:spacing w:before="156" w:beforeLines="50" w:after="156" w:afterLines="50"/>
              <w:jc w:val="center"/>
              <w:rPr>
                <w:color w:val="auto"/>
                <w:sz w:val="24"/>
                <w:highlight w:val="none"/>
              </w:rPr>
            </w:pPr>
            <w:r>
              <w:rPr>
                <w:rFonts w:hint="eastAsia"/>
                <w:color w:val="auto"/>
                <w:sz w:val="24"/>
                <w:highlight w:val="none"/>
              </w:rPr>
              <w:t>7</w:t>
            </w:r>
          </w:p>
        </w:tc>
        <w:tc>
          <w:tcPr>
            <w:tcW w:w="1785" w:type="dxa"/>
            <w:vAlign w:val="center"/>
          </w:tcPr>
          <w:p w14:paraId="457925E6">
            <w:pPr>
              <w:snapToGrid w:val="0"/>
              <w:spacing w:before="156" w:beforeLines="50" w:after="156" w:afterLines="50"/>
              <w:jc w:val="left"/>
              <w:rPr>
                <w:color w:val="auto"/>
                <w:sz w:val="24"/>
                <w:highlight w:val="none"/>
              </w:rPr>
            </w:pPr>
            <w:r>
              <w:rPr>
                <w:rFonts w:hint="eastAsia"/>
                <w:color w:val="auto"/>
                <w:sz w:val="24"/>
                <w:highlight w:val="none"/>
              </w:rPr>
              <w:t>城市精细化管理年度目标任务完成情况</w:t>
            </w:r>
          </w:p>
        </w:tc>
        <w:tc>
          <w:tcPr>
            <w:tcW w:w="2685" w:type="dxa"/>
            <w:vAlign w:val="center"/>
          </w:tcPr>
          <w:p w14:paraId="56597824">
            <w:pPr>
              <w:snapToGrid w:val="0"/>
              <w:spacing w:before="156" w:beforeLines="50" w:after="156" w:afterLines="50"/>
              <w:jc w:val="left"/>
              <w:rPr>
                <w:color w:val="auto"/>
                <w:sz w:val="24"/>
                <w:highlight w:val="none"/>
              </w:rPr>
            </w:pPr>
            <w:r>
              <w:rPr>
                <w:color w:val="auto"/>
                <w:sz w:val="24"/>
                <w:highlight w:val="none"/>
              </w:rPr>
              <w:t>对城市精细化管理年度目标任务完成情况进行摸排与核实，并出具相关报告。</w:t>
            </w:r>
          </w:p>
        </w:tc>
        <w:tc>
          <w:tcPr>
            <w:tcW w:w="1005" w:type="dxa"/>
            <w:vAlign w:val="center"/>
          </w:tcPr>
          <w:p w14:paraId="10731AE0">
            <w:pPr>
              <w:snapToGrid w:val="0"/>
              <w:spacing w:before="156" w:beforeLines="50" w:after="156" w:afterLines="50"/>
              <w:jc w:val="center"/>
              <w:rPr>
                <w:color w:val="auto"/>
                <w:sz w:val="24"/>
                <w:highlight w:val="none"/>
              </w:rPr>
            </w:pPr>
            <w:r>
              <w:rPr>
                <w:rFonts w:hint="eastAsia"/>
                <w:color w:val="auto"/>
                <w:sz w:val="24"/>
                <w:highlight w:val="none"/>
              </w:rPr>
              <w:t>10</w:t>
            </w:r>
          </w:p>
        </w:tc>
        <w:tc>
          <w:tcPr>
            <w:tcW w:w="3375" w:type="dxa"/>
            <w:vAlign w:val="center"/>
          </w:tcPr>
          <w:p w14:paraId="3CCB7DAD">
            <w:pPr>
              <w:snapToGrid w:val="0"/>
              <w:spacing w:before="156" w:beforeLines="50" w:after="156" w:afterLines="50"/>
              <w:jc w:val="left"/>
              <w:rPr>
                <w:color w:val="auto"/>
                <w:sz w:val="24"/>
                <w:highlight w:val="none"/>
              </w:rPr>
            </w:pPr>
            <w:r>
              <w:rPr>
                <w:rFonts w:hint="eastAsia"/>
                <w:color w:val="auto"/>
                <w:sz w:val="24"/>
                <w:highlight w:val="none"/>
              </w:rPr>
              <w:t>重点考核情况摸排与核实的及时性计5分，准确性5分；</w:t>
            </w:r>
          </w:p>
          <w:p w14:paraId="22EAACEE">
            <w:pPr>
              <w:numPr>
                <w:ilvl w:val="0"/>
                <w:numId w:val="8"/>
              </w:numPr>
              <w:snapToGrid w:val="0"/>
              <w:spacing w:before="156" w:beforeLines="50" w:after="156" w:afterLines="50"/>
              <w:ind w:firstLine="400"/>
              <w:jc w:val="left"/>
              <w:rPr>
                <w:color w:val="auto"/>
                <w:sz w:val="24"/>
                <w:highlight w:val="none"/>
              </w:rPr>
            </w:pPr>
            <w:r>
              <w:rPr>
                <w:rFonts w:hint="eastAsia"/>
                <w:color w:val="auto"/>
                <w:sz w:val="24"/>
                <w:highlight w:val="none"/>
              </w:rPr>
              <w:t>未及时出具报告的扣2分；</w:t>
            </w:r>
          </w:p>
          <w:p w14:paraId="56CAEFCE">
            <w:pPr>
              <w:numPr>
                <w:ilvl w:val="0"/>
                <w:numId w:val="8"/>
              </w:numPr>
              <w:snapToGrid w:val="0"/>
              <w:spacing w:before="156" w:beforeLines="50" w:after="156" w:afterLines="50"/>
              <w:ind w:firstLine="400"/>
              <w:jc w:val="left"/>
              <w:rPr>
                <w:color w:val="auto"/>
                <w:sz w:val="24"/>
                <w:highlight w:val="none"/>
              </w:rPr>
            </w:pPr>
            <w:r>
              <w:rPr>
                <w:rFonts w:hint="eastAsia"/>
                <w:color w:val="auto"/>
                <w:sz w:val="24"/>
                <w:highlight w:val="none"/>
              </w:rPr>
              <w:t>报告覆盖不全面、不准确的扣1.5分；</w:t>
            </w:r>
          </w:p>
        </w:tc>
      </w:tr>
      <w:tr w14:paraId="3D3DF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67182859">
            <w:pPr>
              <w:snapToGrid w:val="0"/>
              <w:spacing w:before="156" w:beforeLines="50" w:after="156" w:afterLines="50"/>
              <w:jc w:val="center"/>
              <w:rPr>
                <w:color w:val="auto"/>
                <w:sz w:val="24"/>
                <w:highlight w:val="none"/>
              </w:rPr>
            </w:pPr>
            <w:r>
              <w:rPr>
                <w:rFonts w:hint="eastAsia"/>
                <w:color w:val="auto"/>
                <w:sz w:val="24"/>
                <w:highlight w:val="none"/>
              </w:rPr>
              <w:t>8</w:t>
            </w:r>
          </w:p>
        </w:tc>
        <w:tc>
          <w:tcPr>
            <w:tcW w:w="1785" w:type="dxa"/>
            <w:vAlign w:val="center"/>
          </w:tcPr>
          <w:p w14:paraId="1ED20F20">
            <w:pPr>
              <w:snapToGrid w:val="0"/>
              <w:spacing w:before="156" w:beforeLines="50" w:after="156" w:afterLines="50"/>
              <w:jc w:val="left"/>
              <w:rPr>
                <w:color w:val="auto"/>
                <w:sz w:val="24"/>
                <w:highlight w:val="none"/>
              </w:rPr>
            </w:pPr>
            <w:r>
              <w:rPr>
                <w:rFonts w:hint="eastAsia"/>
                <w:color w:val="auto"/>
                <w:sz w:val="24"/>
                <w:highlight w:val="none"/>
              </w:rPr>
              <w:t>城管服务热线工作</w:t>
            </w:r>
          </w:p>
        </w:tc>
        <w:tc>
          <w:tcPr>
            <w:tcW w:w="2685" w:type="dxa"/>
            <w:vAlign w:val="center"/>
          </w:tcPr>
          <w:p w14:paraId="60A87F5E">
            <w:pPr>
              <w:snapToGrid w:val="0"/>
              <w:spacing w:before="156" w:beforeLines="50" w:after="156" w:afterLines="50"/>
              <w:jc w:val="left"/>
              <w:rPr>
                <w:color w:val="auto"/>
                <w:sz w:val="24"/>
                <w:highlight w:val="none"/>
              </w:rPr>
            </w:pPr>
            <w:r>
              <w:rPr>
                <w:rFonts w:hint="eastAsia"/>
                <w:color w:val="auto"/>
                <w:sz w:val="24"/>
                <w:highlight w:val="none"/>
              </w:rPr>
              <w:t>协助做好对城管服务热线“962020”进行接听、登记、派单以及回复。</w:t>
            </w:r>
          </w:p>
        </w:tc>
        <w:tc>
          <w:tcPr>
            <w:tcW w:w="1005" w:type="dxa"/>
            <w:vAlign w:val="center"/>
          </w:tcPr>
          <w:p w14:paraId="500B6D57">
            <w:pPr>
              <w:snapToGrid w:val="0"/>
              <w:spacing w:before="156" w:beforeLines="50" w:after="156" w:afterLines="50"/>
              <w:jc w:val="center"/>
              <w:rPr>
                <w:color w:val="auto"/>
                <w:sz w:val="24"/>
                <w:highlight w:val="none"/>
              </w:rPr>
            </w:pPr>
            <w:r>
              <w:rPr>
                <w:rFonts w:hint="eastAsia"/>
                <w:color w:val="auto"/>
                <w:sz w:val="24"/>
                <w:highlight w:val="none"/>
              </w:rPr>
              <w:t>5</w:t>
            </w:r>
          </w:p>
        </w:tc>
        <w:tc>
          <w:tcPr>
            <w:tcW w:w="3375" w:type="dxa"/>
            <w:vAlign w:val="center"/>
          </w:tcPr>
          <w:p w14:paraId="4AD26D40">
            <w:pPr>
              <w:snapToGrid w:val="0"/>
              <w:spacing w:before="156" w:beforeLines="50" w:after="156" w:afterLines="50"/>
              <w:jc w:val="left"/>
              <w:rPr>
                <w:color w:val="auto"/>
                <w:sz w:val="24"/>
                <w:highlight w:val="none"/>
              </w:rPr>
            </w:pPr>
            <w:r>
              <w:rPr>
                <w:rFonts w:hint="eastAsia"/>
                <w:color w:val="auto"/>
                <w:sz w:val="24"/>
                <w:highlight w:val="none"/>
              </w:rPr>
              <w:t>重点考核城管服务热线“962020”的接线、派单、回复的及时性计3分、规范性计2分。</w:t>
            </w:r>
          </w:p>
          <w:p w14:paraId="0EF6BD0D">
            <w:pPr>
              <w:snapToGrid w:val="0"/>
              <w:spacing w:before="156" w:beforeLines="50" w:after="156" w:afterLines="50"/>
              <w:jc w:val="left"/>
              <w:rPr>
                <w:color w:val="auto"/>
                <w:sz w:val="24"/>
                <w:highlight w:val="none"/>
              </w:rPr>
            </w:pPr>
            <w:r>
              <w:rPr>
                <w:rFonts w:hint="eastAsia"/>
                <w:color w:val="auto"/>
                <w:sz w:val="24"/>
                <w:highlight w:val="none"/>
                <w:lang w:eastAsia="zh-CN"/>
              </w:rPr>
              <w:t>1.</w:t>
            </w:r>
            <w:r>
              <w:rPr>
                <w:rFonts w:hint="eastAsia"/>
                <w:color w:val="auto"/>
                <w:sz w:val="24"/>
                <w:highlight w:val="none"/>
              </w:rPr>
              <w:t>未及时接线、派单、回复的扣2分；</w:t>
            </w:r>
          </w:p>
          <w:p w14:paraId="26FC0015">
            <w:pPr>
              <w:snapToGrid w:val="0"/>
              <w:spacing w:before="156" w:beforeLines="50" w:after="156" w:afterLines="50"/>
              <w:jc w:val="left"/>
              <w:rPr>
                <w:color w:val="auto"/>
                <w:sz w:val="24"/>
                <w:highlight w:val="none"/>
              </w:rPr>
            </w:pPr>
            <w:r>
              <w:rPr>
                <w:rFonts w:hint="eastAsia"/>
                <w:color w:val="auto"/>
                <w:sz w:val="24"/>
                <w:highlight w:val="none"/>
                <w:lang w:eastAsia="zh-CN"/>
              </w:rPr>
              <w:t>2.</w:t>
            </w:r>
            <w:r>
              <w:rPr>
                <w:rFonts w:hint="eastAsia"/>
                <w:color w:val="auto"/>
                <w:sz w:val="24"/>
                <w:highlight w:val="none"/>
              </w:rPr>
              <w:t>接线、派单、回复不符合规范的扣1分；</w:t>
            </w:r>
          </w:p>
        </w:tc>
      </w:tr>
      <w:tr w14:paraId="3DE65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jc w:val="center"/>
        </w:trPr>
        <w:tc>
          <w:tcPr>
            <w:tcW w:w="817" w:type="dxa"/>
            <w:vAlign w:val="center"/>
          </w:tcPr>
          <w:p w14:paraId="622DB711">
            <w:pPr>
              <w:snapToGrid w:val="0"/>
              <w:spacing w:before="156" w:beforeLines="50" w:after="156" w:afterLines="50"/>
              <w:jc w:val="center"/>
              <w:rPr>
                <w:color w:val="auto"/>
                <w:sz w:val="24"/>
                <w:highlight w:val="none"/>
              </w:rPr>
            </w:pPr>
            <w:r>
              <w:rPr>
                <w:rFonts w:hint="eastAsia"/>
                <w:color w:val="auto"/>
                <w:sz w:val="24"/>
                <w:highlight w:val="none"/>
              </w:rPr>
              <w:t>9</w:t>
            </w:r>
          </w:p>
        </w:tc>
        <w:tc>
          <w:tcPr>
            <w:tcW w:w="1785" w:type="dxa"/>
            <w:vAlign w:val="center"/>
          </w:tcPr>
          <w:p w14:paraId="00BF5BA9">
            <w:pPr>
              <w:snapToGrid w:val="0"/>
              <w:spacing w:before="156" w:beforeLines="50" w:after="156" w:afterLines="50"/>
              <w:jc w:val="left"/>
              <w:rPr>
                <w:color w:val="auto"/>
                <w:sz w:val="24"/>
                <w:highlight w:val="none"/>
              </w:rPr>
            </w:pPr>
            <w:r>
              <w:rPr>
                <w:rFonts w:hint="eastAsia"/>
                <w:color w:val="auto"/>
                <w:sz w:val="24"/>
                <w:highlight w:val="none"/>
              </w:rPr>
              <w:t>专项采集、专项效能评估</w:t>
            </w:r>
          </w:p>
        </w:tc>
        <w:tc>
          <w:tcPr>
            <w:tcW w:w="2685" w:type="dxa"/>
            <w:vAlign w:val="center"/>
          </w:tcPr>
          <w:p w14:paraId="62473D91">
            <w:pPr>
              <w:snapToGrid w:val="0"/>
              <w:spacing w:before="156" w:beforeLines="50" w:after="156" w:afterLines="50"/>
              <w:jc w:val="left"/>
              <w:rPr>
                <w:color w:val="auto"/>
                <w:sz w:val="24"/>
                <w:highlight w:val="none"/>
              </w:rPr>
            </w:pPr>
            <w:r>
              <w:rPr>
                <w:rFonts w:hint="eastAsia"/>
                <w:color w:val="auto"/>
                <w:sz w:val="24"/>
                <w:highlight w:val="none"/>
              </w:rPr>
              <w:t>完成城市管理领域的各项专项采集、专项效能评估等采购人交办的相关任务。</w:t>
            </w:r>
          </w:p>
        </w:tc>
        <w:tc>
          <w:tcPr>
            <w:tcW w:w="1005" w:type="dxa"/>
            <w:vAlign w:val="center"/>
          </w:tcPr>
          <w:p w14:paraId="028C23F6">
            <w:pPr>
              <w:snapToGrid w:val="0"/>
              <w:spacing w:before="156" w:beforeLines="50" w:after="156" w:afterLines="50"/>
              <w:jc w:val="center"/>
              <w:rPr>
                <w:color w:val="auto"/>
                <w:sz w:val="24"/>
                <w:highlight w:val="none"/>
              </w:rPr>
            </w:pPr>
            <w:r>
              <w:rPr>
                <w:rFonts w:hint="eastAsia"/>
                <w:color w:val="auto"/>
                <w:sz w:val="24"/>
                <w:highlight w:val="none"/>
              </w:rPr>
              <w:t>5</w:t>
            </w:r>
          </w:p>
        </w:tc>
        <w:tc>
          <w:tcPr>
            <w:tcW w:w="3375" w:type="dxa"/>
            <w:vAlign w:val="center"/>
          </w:tcPr>
          <w:p w14:paraId="34B938AF">
            <w:pPr>
              <w:snapToGrid w:val="0"/>
              <w:spacing w:before="156" w:beforeLines="50" w:after="156" w:afterLines="50"/>
              <w:jc w:val="left"/>
              <w:rPr>
                <w:color w:val="auto"/>
                <w:sz w:val="24"/>
                <w:highlight w:val="none"/>
              </w:rPr>
            </w:pPr>
            <w:r>
              <w:rPr>
                <w:rFonts w:hint="eastAsia"/>
                <w:color w:val="auto"/>
                <w:sz w:val="24"/>
                <w:highlight w:val="none"/>
              </w:rPr>
              <w:t>重点考核及时性计3分，准确性计2分；</w:t>
            </w:r>
          </w:p>
          <w:p w14:paraId="4A4BBB2F">
            <w:pPr>
              <w:snapToGrid w:val="0"/>
              <w:spacing w:before="156" w:beforeLines="50" w:after="156" w:afterLines="50"/>
              <w:jc w:val="left"/>
              <w:rPr>
                <w:color w:val="auto"/>
                <w:sz w:val="24"/>
                <w:highlight w:val="none"/>
              </w:rPr>
            </w:pPr>
            <w:r>
              <w:rPr>
                <w:rFonts w:hint="eastAsia"/>
                <w:color w:val="auto"/>
                <w:sz w:val="24"/>
                <w:highlight w:val="none"/>
                <w:lang w:eastAsia="zh-CN"/>
              </w:rPr>
              <w:t>1.</w:t>
            </w:r>
            <w:r>
              <w:rPr>
                <w:rFonts w:hint="eastAsia"/>
                <w:color w:val="auto"/>
                <w:sz w:val="24"/>
                <w:highlight w:val="none"/>
              </w:rPr>
              <w:t>未完成采购人安排的专项任务的扣1分；</w:t>
            </w:r>
          </w:p>
        </w:tc>
      </w:tr>
      <w:tr w14:paraId="0D48F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7" w:type="dxa"/>
            <w:vAlign w:val="center"/>
          </w:tcPr>
          <w:p w14:paraId="5E186807">
            <w:pPr>
              <w:snapToGrid w:val="0"/>
              <w:spacing w:before="156" w:beforeLines="50" w:after="156" w:afterLines="50"/>
              <w:jc w:val="center"/>
              <w:rPr>
                <w:color w:val="auto"/>
                <w:sz w:val="24"/>
                <w:highlight w:val="none"/>
              </w:rPr>
            </w:pPr>
            <w:r>
              <w:rPr>
                <w:rFonts w:hint="eastAsia"/>
                <w:color w:val="auto"/>
                <w:sz w:val="24"/>
                <w:highlight w:val="none"/>
              </w:rPr>
              <w:t>10</w:t>
            </w:r>
          </w:p>
        </w:tc>
        <w:tc>
          <w:tcPr>
            <w:tcW w:w="1785" w:type="dxa"/>
            <w:vAlign w:val="center"/>
          </w:tcPr>
          <w:p w14:paraId="463F43CE">
            <w:pPr>
              <w:snapToGrid w:val="0"/>
              <w:spacing w:before="156" w:beforeLines="50" w:after="156" w:afterLines="50"/>
              <w:jc w:val="left"/>
              <w:rPr>
                <w:color w:val="auto"/>
                <w:sz w:val="24"/>
                <w:highlight w:val="none"/>
              </w:rPr>
            </w:pPr>
            <w:r>
              <w:rPr>
                <w:rFonts w:hint="eastAsia"/>
                <w:color w:val="auto"/>
                <w:sz w:val="24"/>
                <w:highlight w:val="none"/>
              </w:rPr>
              <w:t>效能采集（评估）员履职</w:t>
            </w:r>
          </w:p>
        </w:tc>
        <w:tc>
          <w:tcPr>
            <w:tcW w:w="2685" w:type="dxa"/>
            <w:vAlign w:val="center"/>
          </w:tcPr>
          <w:p w14:paraId="1EDBCACE">
            <w:pPr>
              <w:snapToGrid w:val="0"/>
              <w:spacing w:before="156" w:beforeLines="50" w:after="156" w:afterLines="50"/>
              <w:jc w:val="left"/>
              <w:rPr>
                <w:color w:val="auto"/>
                <w:sz w:val="24"/>
                <w:highlight w:val="none"/>
              </w:rPr>
            </w:pPr>
            <w:r>
              <w:rPr>
                <w:rFonts w:hint="eastAsia"/>
                <w:color w:val="auto"/>
                <w:sz w:val="24"/>
                <w:highlight w:val="none"/>
              </w:rPr>
              <w:t>效能采集（含评估）员人员在岗履职情况。</w:t>
            </w:r>
          </w:p>
        </w:tc>
        <w:tc>
          <w:tcPr>
            <w:tcW w:w="1005" w:type="dxa"/>
            <w:vAlign w:val="center"/>
          </w:tcPr>
          <w:p w14:paraId="4B6315BB">
            <w:pPr>
              <w:snapToGrid w:val="0"/>
              <w:spacing w:before="156" w:beforeLines="50" w:after="156" w:afterLines="50"/>
              <w:jc w:val="center"/>
              <w:rPr>
                <w:color w:val="auto"/>
                <w:sz w:val="24"/>
                <w:highlight w:val="none"/>
              </w:rPr>
            </w:pPr>
            <w:r>
              <w:rPr>
                <w:rFonts w:hint="eastAsia"/>
                <w:color w:val="auto"/>
                <w:sz w:val="24"/>
                <w:highlight w:val="none"/>
              </w:rPr>
              <w:t>5</w:t>
            </w:r>
          </w:p>
        </w:tc>
        <w:tc>
          <w:tcPr>
            <w:tcW w:w="3375" w:type="dxa"/>
            <w:vAlign w:val="center"/>
          </w:tcPr>
          <w:p w14:paraId="3AAC28A5">
            <w:pPr>
              <w:snapToGrid w:val="0"/>
              <w:spacing w:before="156" w:beforeLines="50" w:after="156" w:afterLines="50"/>
              <w:jc w:val="left"/>
              <w:rPr>
                <w:color w:val="auto"/>
                <w:sz w:val="24"/>
                <w:highlight w:val="none"/>
              </w:rPr>
            </w:pPr>
            <w:r>
              <w:rPr>
                <w:rFonts w:hint="eastAsia"/>
                <w:color w:val="auto"/>
                <w:sz w:val="24"/>
                <w:highlight w:val="none"/>
              </w:rPr>
              <w:t>重点考核人员的在岗率计3分，履职情况计2分：</w:t>
            </w:r>
          </w:p>
          <w:p w14:paraId="19121F34">
            <w:pPr>
              <w:snapToGrid w:val="0"/>
              <w:spacing w:before="156" w:beforeLines="50" w:after="156" w:afterLines="50"/>
              <w:jc w:val="left"/>
              <w:rPr>
                <w:color w:val="auto"/>
                <w:sz w:val="24"/>
                <w:highlight w:val="none"/>
              </w:rPr>
            </w:pPr>
            <w:r>
              <w:rPr>
                <w:rFonts w:hint="eastAsia"/>
                <w:color w:val="auto"/>
                <w:sz w:val="24"/>
                <w:highlight w:val="none"/>
                <w:lang w:eastAsia="zh-CN"/>
              </w:rPr>
              <w:t>1.</w:t>
            </w:r>
            <w:r>
              <w:rPr>
                <w:rFonts w:hint="eastAsia"/>
                <w:color w:val="auto"/>
                <w:sz w:val="24"/>
                <w:highlight w:val="none"/>
              </w:rPr>
              <w:t>人员履职考核中，每有1人低于90分的扣0.2分；</w:t>
            </w:r>
          </w:p>
        </w:tc>
      </w:tr>
      <w:tr w14:paraId="6607E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7" w:type="dxa"/>
            <w:vAlign w:val="center"/>
          </w:tcPr>
          <w:p w14:paraId="575F3319">
            <w:pPr>
              <w:snapToGrid w:val="0"/>
              <w:spacing w:before="156" w:beforeLines="50" w:after="156" w:afterLines="50"/>
              <w:jc w:val="center"/>
              <w:rPr>
                <w:color w:val="auto"/>
                <w:sz w:val="24"/>
                <w:highlight w:val="none"/>
              </w:rPr>
            </w:pPr>
            <w:r>
              <w:rPr>
                <w:rFonts w:hint="eastAsia"/>
                <w:color w:val="auto"/>
                <w:sz w:val="24"/>
                <w:highlight w:val="none"/>
              </w:rPr>
              <w:t>11</w:t>
            </w:r>
          </w:p>
        </w:tc>
        <w:tc>
          <w:tcPr>
            <w:tcW w:w="1785" w:type="dxa"/>
            <w:vAlign w:val="center"/>
          </w:tcPr>
          <w:p w14:paraId="091BCB69">
            <w:pPr>
              <w:snapToGrid w:val="0"/>
              <w:spacing w:before="156" w:beforeLines="50" w:after="156" w:afterLines="50"/>
              <w:jc w:val="left"/>
              <w:rPr>
                <w:color w:val="auto"/>
                <w:sz w:val="24"/>
                <w:highlight w:val="none"/>
              </w:rPr>
            </w:pPr>
            <w:r>
              <w:rPr>
                <w:rFonts w:hint="eastAsia"/>
                <w:color w:val="auto"/>
                <w:sz w:val="24"/>
                <w:highlight w:val="none"/>
              </w:rPr>
              <w:t>智能采集评估</w:t>
            </w:r>
          </w:p>
        </w:tc>
        <w:tc>
          <w:tcPr>
            <w:tcW w:w="2685" w:type="dxa"/>
            <w:vAlign w:val="center"/>
          </w:tcPr>
          <w:p w14:paraId="11FE2408">
            <w:pPr>
              <w:snapToGrid w:val="0"/>
              <w:spacing w:before="156" w:beforeLines="50" w:after="156" w:afterLines="50"/>
              <w:jc w:val="left"/>
              <w:rPr>
                <w:color w:val="auto"/>
                <w:sz w:val="24"/>
                <w:highlight w:val="none"/>
              </w:rPr>
            </w:pPr>
            <w:r>
              <w:rPr>
                <w:rFonts w:hint="eastAsia" w:ascii="Segoe UI" w:hAnsi="Segoe UI" w:cs="Segoe UI"/>
                <w:color w:val="auto"/>
                <w:sz w:val="24"/>
                <w:highlight w:val="none"/>
                <w:shd w:val="clear" w:color="auto" w:fill="FFFFFF"/>
              </w:rPr>
              <w:t>分析报告完整度（包含时间、地点、问题类型、前后对比图片）及数据分析</w:t>
            </w:r>
            <w:r>
              <w:rPr>
                <w:rFonts w:ascii="Segoe UI" w:hAnsi="Segoe UI" w:eastAsia="Segoe UI" w:cs="Segoe UI"/>
                <w:color w:val="auto"/>
                <w:sz w:val="24"/>
                <w:highlight w:val="none"/>
                <w:shd w:val="clear" w:color="auto" w:fill="FFFFFF"/>
              </w:rPr>
              <w:t>识别准确率</w:t>
            </w:r>
            <w:r>
              <w:rPr>
                <w:rFonts w:hint="eastAsia" w:ascii="Segoe UI" w:hAnsi="Segoe UI" w:cs="Segoe UI"/>
                <w:color w:val="auto"/>
                <w:sz w:val="24"/>
                <w:highlight w:val="none"/>
                <w:shd w:val="clear" w:color="auto" w:fill="FFFFFF"/>
              </w:rPr>
              <w:t>。</w:t>
            </w:r>
          </w:p>
        </w:tc>
        <w:tc>
          <w:tcPr>
            <w:tcW w:w="1005" w:type="dxa"/>
            <w:vAlign w:val="center"/>
          </w:tcPr>
          <w:p w14:paraId="7AB7E90F">
            <w:pPr>
              <w:snapToGrid w:val="0"/>
              <w:spacing w:before="156" w:beforeLines="50" w:after="156" w:afterLines="50"/>
              <w:jc w:val="center"/>
              <w:rPr>
                <w:color w:val="auto"/>
                <w:sz w:val="24"/>
                <w:highlight w:val="none"/>
              </w:rPr>
            </w:pPr>
            <w:r>
              <w:rPr>
                <w:rFonts w:hint="eastAsia"/>
                <w:color w:val="auto"/>
                <w:sz w:val="24"/>
                <w:highlight w:val="none"/>
              </w:rPr>
              <w:t>10</w:t>
            </w:r>
          </w:p>
        </w:tc>
        <w:tc>
          <w:tcPr>
            <w:tcW w:w="3375" w:type="dxa"/>
            <w:vAlign w:val="center"/>
          </w:tcPr>
          <w:p w14:paraId="6130C240">
            <w:pPr>
              <w:snapToGrid w:val="0"/>
              <w:spacing w:before="156" w:beforeLines="50" w:after="156" w:afterLines="50"/>
              <w:jc w:val="left"/>
              <w:rPr>
                <w:rFonts w:ascii="Segoe UI" w:hAnsi="Segoe UI" w:cs="Segoe UI"/>
                <w:color w:val="auto"/>
                <w:sz w:val="24"/>
                <w:highlight w:val="none"/>
                <w:shd w:val="clear" w:color="auto" w:fill="FFFFFF"/>
              </w:rPr>
            </w:pPr>
            <w:r>
              <w:rPr>
                <w:rFonts w:hint="eastAsia"/>
                <w:color w:val="auto"/>
                <w:sz w:val="24"/>
                <w:highlight w:val="none"/>
              </w:rPr>
              <w:t>重点考核</w:t>
            </w:r>
            <w:r>
              <w:rPr>
                <w:rFonts w:hint="eastAsia" w:ascii="Segoe UI" w:hAnsi="Segoe UI" w:cs="Segoe UI"/>
                <w:color w:val="auto"/>
                <w:sz w:val="24"/>
                <w:highlight w:val="none"/>
                <w:shd w:val="clear" w:color="auto" w:fill="FFFFFF"/>
              </w:rPr>
              <w:t>分析报告完整度计5分，识别准确率计5分；</w:t>
            </w:r>
          </w:p>
          <w:p w14:paraId="6B855042">
            <w:pPr>
              <w:snapToGrid w:val="0"/>
              <w:spacing w:before="156" w:beforeLines="50" w:after="156" w:afterLines="50"/>
              <w:jc w:val="left"/>
              <w:rPr>
                <w:rFonts w:ascii="Segoe UI" w:hAnsi="Segoe UI" w:cs="Segoe UI"/>
                <w:color w:val="auto"/>
                <w:sz w:val="24"/>
                <w:highlight w:val="none"/>
                <w:shd w:val="clear" w:color="auto" w:fill="FFFFFF"/>
              </w:rPr>
            </w:pPr>
            <w:r>
              <w:rPr>
                <w:rFonts w:hint="eastAsia" w:ascii="Segoe UI" w:hAnsi="Segoe UI" w:cs="Segoe UI"/>
                <w:color w:val="auto"/>
                <w:sz w:val="24"/>
                <w:highlight w:val="none"/>
                <w:shd w:val="clear" w:color="auto" w:fill="FFFFFF"/>
                <w:lang w:eastAsia="zh-CN"/>
              </w:rPr>
              <w:t>1.</w:t>
            </w:r>
            <w:r>
              <w:rPr>
                <w:rFonts w:hint="eastAsia" w:ascii="Segoe UI" w:hAnsi="Segoe UI" w:cs="Segoe UI"/>
                <w:color w:val="auto"/>
                <w:sz w:val="24"/>
                <w:highlight w:val="none"/>
                <w:shd w:val="clear" w:color="auto" w:fill="FFFFFF"/>
              </w:rPr>
              <w:t>分析报告信息每缺失一例扣1分。</w:t>
            </w:r>
          </w:p>
          <w:p w14:paraId="0F6A7940">
            <w:pPr>
              <w:snapToGrid w:val="0"/>
              <w:spacing w:before="156" w:beforeLines="50" w:after="156" w:afterLines="50"/>
              <w:jc w:val="left"/>
              <w:rPr>
                <w:color w:val="auto"/>
                <w:sz w:val="24"/>
                <w:highlight w:val="none"/>
              </w:rPr>
            </w:pPr>
            <w:r>
              <w:rPr>
                <w:rFonts w:hint="eastAsia" w:ascii="Segoe UI" w:hAnsi="Segoe UI" w:cs="Segoe UI"/>
                <w:color w:val="auto"/>
                <w:sz w:val="24"/>
                <w:highlight w:val="none"/>
                <w:shd w:val="clear" w:color="auto" w:fill="FFFFFF"/>
                <w:lang w:eastAsia="zh-CN"/>
              </w:rPr>
              <w:t>2.</w:t>
            </w:r>
            <w:r>
              <w:rPr>
                <w:rFonts w:hint="eastAsia" w:ascii="Segoe UI" w:hAnsi="Segoe UI" w:cs="Segoe UI"/>
                <w:color w:val="auto"/>
                <w:sz w:val="24"/>
                <w:highlight w:val="none"/>
                <w:shd w:val="clear" w:color="auto" w:fill="FFFFFF"/>
              </w:rPr>
              <w:t>准确率</w:t>
            </w:r>
            <w:r>
              <w:rPr>
                <w:rFonts w:ascii="Segoe UI" w:hAnsi="Segoe UI" w:eastAsia="Segoe UI" w:cs="Segoe UI"/>
                <w:color w:val="auto"/>
                <w:sz w:val="24"/>
                <w:highlight w:val="none"/>
                <w:shd w:val="clear" w:color="auto" w:fill="FFFFFF"/>
              </w:rPr>
              <w:t>不低于90%</w:t>
            </w:r>
            <w:r>
              <w:rPr>
                <w:rFonts w:hint="eastAsia" w:ascii="Segoe UI" w:hAnsi="Segoe UI" w:cs="Segoe UI"/>
                <w:color w:val="auto"/>
                <w:sz w:val="24"/>
                <w:highlight w:val="none"/>
                <w:shd w:val="clear" w:color="auto" w:fill="FFFFFF"/>
              </w:rPr>
              <w:t>，准确</w:t>
            </w:r>
            <w:r>
              <w:rPr>
                <w:rFonts w:ascii="Segoe UI" w:hAnsi="Segoe UI" w:eastAsia="Segoe UI" w:cs="Segoe UI"/>
                <w:color w:val="auto"/>
                <w:sz w:val="24"/>
                <w:highlight w:val="none"/>
                <w:shd w:val="clear" w:color="auto" w:fill="FFFFFF"/>
              </w:rPr>
              <w:t>率</w:t>
            </w:r>
            <w:r>
              <w:rPr>
                <w:rFonts w:hint="eastAsia" w:ascii="Segoe UI" w:hAnsi="Segoe UI" w:cs="Segoe UI"/>
                <w:color w:val="auto"/>
                <w:sz w:val="24"/>
                <w:highlight w:val="none"/>
                <w:shd w:val="clear" w:color="auto" w:fill="FFFFFF"/>
              </w:rPr>
              <w:t>每低3</w:t>
            </w:r>
            <w:r>
              <w:rPr>
                <w:rFonts w:ascii="Segoe UI" w:hAnsi="Segoe UI" w:eastAsia="Segoe UI" w:cs="Segoe UI"/>
                <w:color w:val="auto"/>
                <w:sz w:val="24"/>
                <w:highlight w:val="none"/>
                <w:shd w:val="clear" w:color="auto" w:fill="FFFFFF"/>
              </w:rPr>
              <w:t>%</w:t>
            </w:r>
            <w:r>
              <w:rPr>
                <w:rFonts w:hint="eastAsia" w:ascii="Segoe UI" w:hAnsi="Segoe UI" w:cs="Segoe UI"/>
                <w:color w:val="auto"/>
                <w:sz w:val="24"/>
                <w:highlight w:val="none"/>
                <w:shd w:val="clear" w:color="auto" w:fill="FFFFFF"/>
              </w:rPr>
              <w:t>扣1分</w:t>
            </w:r>
            <w:r>
              <w:rPr>
                <w:rFonts w:ascii="Segoe UI" w:hAnsi="Segoe UI" w:eastAsia="Segoe UI" w:cs="Segoe UI"/>
                <w:color w:val="auto"/>
                <w:sz w:val="24"/>
                <w:highlight w:val="none"/>
                <w:shd w:val="clear" w:color="auto" w:fill="FFFFFF"/>
              </w:rPr>
              <w:t>。</w:t>
            </w:r>
          </w:p>
        </w:tc>
      </w:tr>
      <w:tr w14:paraId="6BDA2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7" w:type="dxa"/>
            <w:vAlign w:val="center"/>
          </w:tcPr>
          <w:p w14:paraId="774DEDC8">
            <w:pPr>
              <w:snapToGrid w:val="0"/>
              <w:spacing w:before="156" w:beforeLines="50" w:after="156" w:afterLines="50"/>
              <w:jc w:val="center"/>
              <w:rPr>
                <w:color w:val="auto"/>
                <w:sz w:val="24"/>
                <w:highlight w:val="none"/>
              </w:rPr>
            </w:pPr>
            <w:r>
              <w:rPr>
                <w:rFonts w:hint="eastAsia"/>
                <w:color w:val="auto"/>
                <w:sz w:val="24"/>
                <w:highlight w:val="none"/>
              </w:rPr>
              <w:t>12</w:t>
            </w:r>
          </w:p>
        </w:tc>
        <w:tc>
          <w:tcPr>
            <w:tcW w:w="1785" w:type="dxa"/>
            <w:vAlign w:val="center"/>
          </w:tcPr>
          <w:p w14:paraId="02FC6CD2">
            <w:pPr>
              <w:snapToGrid w:val="0"/>
              <w:spacing w:before="156" w:beforeLines="50" w:after="156" w:afterLines="50"/>
              <w:jc w:val="left"/>
              <w:rPr>
                <w:color w:val="auto"/>
                <w:sz w:val="24"/>
                <w:highlight w:val="none"/>
              </w:rPr>
            </w:pPr>
            <w:r>
              <w:rPr>
                <w:rFonts w:hint="eastAsia"/>
                <w:color w:val="auto"/>
                <w:sz w:val="24"/>
                <w:highlight w:val="none"/>
              </w:rPr>
              <w:t>无人机、无人船数据采集任务完成情况</w:t>
            </w:r>
          </w:p>
        </w:tc>
        <w:tc>
          <w:tcPr>
            <w:tcW w:w="2685" w:type="dxa"/>
            <w:vAlign w:val="center"/>
          </w:tcPr>
          <w:p w14:paraId="6F9A2141">
            <w:pPr>
              <w:snapToGrid w:val="0"/>
              <w:spacing w:before="156" w:beforeLines="50" w:after="156" w:afterLines="50"/>
              <w:jc w:val="left"/>
              <w:rPr>
                <w:rFonts w:ascii="Segoe UI" w:hAnsi="Segoe UI" w:cs="Segoe UI"/>
                <w:color w:val="auto"/>
                <w:sz w:val="24"/>
                <w:highlight w:val="none"/>
                <w:shd w:val="clear" w:color="auto" w:fill="FFFFFF"/>
              </w:rPr>
            </w:pPr>
            <w:r>
              <w:rPr>
                <w:rFonts w:hint="eastAsia" w:ascii="Segoe UI" w:hAnsi="Segoe UI" w:cs="Segoe UI"/>
                <w:color w:val="auto"/>
                <w:sz w:val="24"/>
                <w:highlight w:val="none"/>
                <w:shd w:val="clear" w:color="auto" w:fill="FFFFFF"/>
              </w:rPr>
              <w:t>按计划完成全部指定区域的数据采集工作。</w:t>
            </w:r>
          </w:p>
        </w:tc>
        <w:tc>
          <w:tcPr>
            <w:tcW w:w="1005" w:type="dxa"/>
            <w:vAlign w:val="center"/>
          </w:tcPr>
          <w:p w14:paraId="19CBCFAE">
            <w:pPr>
              <w:snapToGrid w:val="0"/>
              <w:spacing w:before="156" w:beforeLines="50" w:after="156" w:afterLines="50"/>
              <w:jc w:val="center"/>
              <w:rPr>
                <w:color w:val="auto"/>
                <w:sz w:val="24"/>
                <w:highlight w:val="none"/>
              </w:rPr>
            </w:pPr>
            <w:r>
              <w:rPr>
                <w:rFonts w:hint="eastAsia"/>
                <w:color w:val="auto"/>
                <w:sz w:val="24"/>
                <w:highlight w:val="none"/>
              </w:rPr>
              <w:t>10</w:t>
            </w:r>
          </w:p>
        </w:tc>
        <w:tc>
          <w:tcPr>
            <w:tcW w:w="3375" w:type="dxa"/>
            <w:vAlign w:val="center"/>
          </w:tcPr>
          <w:p w14:paraId="417326C6">
            <w:pPr>
              <w:snapToGrid w:val="0"/>
              <w:spacing w:before="156" w:beforeLines="50" w:after="156" w:afterLines="50"/>
              <w:jc w:val="left"/>
              <w:rPr>
                <w:color w:val="auto"/>
                <w:sz w:val="24"/>
                <w:highlight w:val="none"/>
              </w:rPr>
            </w:pPr>
            <w:r>
              <w:rPr>
                <w:rFonts w:hint="eastAsia" w:ascii="Segoe UI" w:hAnsi="Segoe UI" w:cs="Segoe UI"/>
                <w:color w:val="auto"/>
                <w:sz w:val="24"/>
                <w:highlight w:val="none"/>
                <w:shd w:val="clear" w:color="auto" w:fill="FFFFFF"/>
              </w:rPr>
              <w:t>重点考核采集次数5分、覆盖率5分。</w:t>
            </w:r>
          </w:p>
          <w:p w14:paraId="246CAB85">
            <w:pPr>
              <w:numPr>
                <w:ilvl w:val="0"/>
                <w:numId w:val="9"/>
              </w:numPr>
              <w:snapToGrid w:val="0"/>
              <w:spacing w:before="156" w:beforeLines="50" w:after="156" w:afterLines="50"/>
              <w:jc w:val="left"/>
              <w:rPr>
                <w:color w:val="auto"/>
                <w:sz w:val="24"/>
                <w:highlight w:val="none"/>
              </w:rPr>
            </w:pPr>
            <w:r>
              <w:rPr>
                <w:rFonts w:hint="eastAsia"/>
                <w:color w:val="auto"/>
                <w:sz w:val="24"/>
                <w:highlight w:val="none"/>
              </w:rPr>
              <w:t>无人机、无人船采集次数每少一次扣1分</w:t>
            </w:r>
          </w:p>
          <w:p w14:paraId="38692F6F">
            <w:pPr>
              <w:numPr>
                <w:ilvl w:val="0"/>
                <w:numId w:val="9"/>
              </w:numPr>
              <w:snapToGrid w:val="0"/>
              <w:spacing w:before="156" w:beforeLines="50" w:after="156" w:afterLines="50"/>
              <w:jc w:val="left"/>
              <w:rPr>
                <w:color w:val="auto"/>
                <w:sz w:val="24"/>
                <w:highlight w:val="none"/>
              </w:rPr>
            </w:pPr>
            <w:r>
              <w:rPr>
                <w:rFonts w:hint="eastAsia"/>
                <w:color w:val="auto"/>
                <w:sz w:val="24"/>
                <w:highlight w:val="none"/>
              </w:rPr>
              <w:t>覆盖率100%，每低3%扣1分</w:t>
            </w:r>
            <w:r>
              <w:rPr>
                <w:rFonts w:hint="eastAsia"/>
                <w:color w:val="auto"/>
                <w:sz w:val="24"/>
                <w:highlight w:val="none"/>
                <w:lang w:eastAsia="zh-CN"/>
              </w:rPr>
              <w:t>。</w:t>
            </w:r>
          </w:p>
        </w:tc>
      </w:tr>
      <w:tr w14:paraId="7D869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7" w:type="dxa"/>
            <w:vAlign w:val="center"/>
          </w:tcPr>
          <w:p w14:paraId="444E7E91">
            <w:pPr>
              <w:snapToGrid w:val="0"/>
              <w:spacing w:before="156" w:beforeLines="50" w:after="156" w:afterLines="50"/>
              <w:jc w:val="center"/>
              <w:rPr>
                <w:color w:val="auto"/>
                <w:sz w:val="24"/>
                <w:highlight w:val="none"/>
              </w:rPr>
            </w:pPr>
            <w:r>
              <w:rPr>
                <w:rFonts w:hint="eastAsia"/>
                <w:color w:val="auto"/>
                <w:sz w:val="24"/>
                <w:highlight w:val="none"/>
              </w:rPr>
              <w:t>13</w:t>
            </w:r>
          </w:p>
        </w:tc>
        <w:tc>
          <w:tcPr>
            <w:tcW w:w="1785" w:type="dxa"/>
            <w:vAlign w:val="center"/>
          </w:tcPr>
          <w:p w14:paraId="1029BDBB">
            <w:pPr>
              <w:snapToGrid w:val="0"/>
              <w:spacing w:before="156" w:beforeLines="50" w:after="156" w:afterLines="50"/>
              <w:jc w:val="left"/>
              <w:rPr>
                <w:color w:val="auto"/>
                <w:sz w:val="24"/>
                <w:highlight w:val="none"/>
              </w:rPr>
            </w:pPr>
            <w:r>
              <w:rPr>
                <w:rFonts w:hint="eastAsia"/>
                <w:color w:val="auto"/>
                <w:sz w:val="24"/>
                <w:highlight w:val="none"/>
              </w:rPr>
              <w:t>紧急任务响应</w:t>
            </w:r>
          </w:p>
        </w:tc>
        <w:tc>
          <w:tcPr>
            <w:tcW w:w="2685" w:type="dxa"/>
            <w:vAlign w:val="center"/>
          </w:tcPr>
          <w:p w14:paraId="37E78BD2">
            <w:pPr>
              <w:snapToGrid w:val="0"/>
              <w:spacing w:before="156" w:beforeLines="50" w:after="156" w:afterLines="50"/>
              <w:jc w:val="left"/>
              <w:rPr>
                <w:rFonts w:ascii="Segoe UI" w:hAnsi="Segoe UI" w:cs="Segoe UI"/>
                <w:color w:val="auto"/>
                <w:sz w:val="24"/>
                <w:highlight w:val="none"/>
                <w:shd w:val="clear" w:color="auto" w:fill="FFFFFF"/>
              </w:rPr>
            </w:pPr>
            <w:r>
              <w:rPr>
                <w:rFonts w:hint="eastAsia" w:ascii="Segoe UI" w:hAnsi="Segoe UI" w:cs="Segoe UI"/>
                <w:color w:val="auto"/>
                <w:sz w:val="24"/>
                <w:highlight w:val="none"/>
                <w:shd w:val="clear" w:color="auto" w:fill="FFFFFF"/>
              </w:rPr>
              <w:t>接到应急指令后，人员设备抵达现场时间。</w:t>
            </w:r>
          </w:p>
        </w:tc>
        <w:tc>
          <w:tcPr>
            <w:tcW w:w="1005" w:type="dxa"/>
            <w:vAlign w:val="center"/>
          </w:tcPr>
          <w:p w14:paraId="3F650D8B">
            <w:pPr>
              <w:snapToGrid w:val="0"/>
              <w:spacing w:before="156" w:beforeLines="50" w:after="156" w:afterLines="50"/>
              <w:jc w:val="center"/>
              <w:rPr>
                <w:color w:val="auto"/>
                <w:sz w:val="24"/>
                <w:highlight w:val="none"/>
              </w:rPr>
            </w:pPr>
            <w:r>
              <w:rPr>
                <w:rFonts w:hint="eastAsia"/>
                <w:color w:val="auto"/>
                <w:sz w:val="24"/>
                <w:highlight w:val="none"/>
              </w:rPr>
              <w:t>5</w:t>
            </w:r>
          </w:p>
        </w:tc>
        <w:tc>
          <w:tcPr>
            <w:tcW w:w="3375" w:type="dxa"/>
            <w:vAlign w:val="center"/>
          </w:tcPr>
          <w:p w14:paraId="76EA30B8">
            <w:pPr>
              <w:snapToGrid w:val="0"/>
              <w:spacing w:before="156" w:beforeLines="50" w:after="156" w:afterLines="50"/>
              <w:jc w:val="left"/>
              <w:rPr>
                <w:rFonts w:ascii="Segoe UI" w:hAnsi="Segoe UI" w:cs="Segoe UI"/>
                <w:color w:val="auto"/>
                <w:sz w:val="24"/>
                <w:highlight w:val="none"/>
                <w:shd w:val="clear" w:color="auto" w:fill="FFFFFF"/>
              </w:rPr>
            </w:pPr>
            <w:r>
              <w:rPr>
                <w:rFonts w:hint="eastAsia" w:ascii="Segoe UI" w:hAnsi="Segoe UI" w:cs="Segoe UI"/>
                <w:color w:val="auto"/>
                <w:sz w:val="24"/>
                <w:highlight w:val="none"/>
                <w:shd w:val="clear" w:color="auto" w:fill="FFFFFF"/>
              </w:rPr>
              <w:t>重点考核响应时间，2小时内响应5分</w:t>
            </w:r>
          </w:p>
          <w:p w14:paraId="156B88A5">
            <w:pPr>
              <w:snapToGrid w:val="0"/>
              <w:spacing w:before="156" w:beforeLines="50" w:after="156" w:afterLines="50"/>
              <w:jc w:val="left"/>
              <w:rPr>
                <w:rFonts w:ascii="Segoe UI" w:hAnsi="Segoe UI" w:cs="Segoe UI"/>
                <w:color w:val="auto"/>
                <w:sz w:val="24"/>
                <w:highlight w:val="none"/>
                <w:shd w:val="clear" w:color="auto" w:fill="FFFFFF"/>
              </w:rPr>
            </w:pPr>
            <w:r>
              <w:rPr>
                <w:rFonts w:hint="eastAsia" w:ascii="Segoe UI" w:hAnsi="Segoe UI" w:cs="Segoe UI"/>
                <w:color w:val="auto"/>
                <w:sz w:val="24"/>
                <w:highlight w:val="none"/>
                <w:shd w:val="clear" w:color="auto" w:fill="FFFFFF"/>
                <w:lang w:eastAsia="zh-CN"/>
              </w:rPr>
              <w:t>1.</w:t>
            </w:r>
            <w:r>
              <w:rPr>
                <w:rFonts w:hint="eastAsia" w:ascii="Segoe UI" w:hAnsi="Segoe UI" w:cs="Segoe UI"/>
                <w:color w:val="auto"/>
                <w:sz w:val="24"/>
                <w:highlight w:val="none"/>
                <w:shd w:val="clear" w:color="auto" w:fill="FFFFFF"/>
              </w:rPr>
              <w:t>响应时间每超30分钟扣1分</w:t>
            </w:r>
          </w:p>
        </w:tc>
      </w:tr>
    </w:tbl>
    <w:p w14:paraId="756D97D7">
      <w:pPr>
        <w:spacing w:line="360" w:lineRule="auto"/>
        <w:ind w:firstLine="480"/>
        <w:rPr>
          <w:rFonts w:ascii="宋体" w:hAnsi="宋体"/>
          <w:bCs/>
          <w:color w:val="auto"/>
          <w:sz w:val="24"/>
          <w:szCs w:val="24"/>
          <w:highlight w:val="none"/>
        </w:rPr>
      </w:pPr>
    </w:p>
    <w:p w14:paraId="125A2724">
      <w:pPr>
        <w:tabs>
          <w:tab w:val="left" w:pos="525"/>
          <w:tab w:val="left" w:pos="630"/>
          <w:tab w:val="left" w:pos="735"/>
          <w:tab w:val="left" w:pos="945"/>
        </w:tabs>
        <w:spacing w:line="360" w:lineRule="auto"/>
        <w:rPr>
          <w:rFonts w:ascii="宋体" w:hAnsi="宋体"/>
          <w:bCs/>
          <w:color w:val="auto"/>
          <w:sz w:val="24"/>
          <w:highlight w:val="none"/>
        </w:rPr>
      </w:pPr>
    </w:p>
    <w:p w14:paraId="3855E374">
      <w:pPr>
        <w:spacing w:line="360" w:lineRule="auto"/>
        <w:ind w:firstLine="480"/>
        <w:rPr>
          <w:rFonts w:ascii="宋体" w:hAnsi="宋体"/>
          <w:b/>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第二部分  有关说明</w:t>
      </w:r>
    </w:p>
    <w:p w14:paraId="337A2C3A">
      <w:pPr>
        <w:numPr>
          <w:ilvl w:val="1"/>
          <w:numId w:val="10"/>
        </w:numPr>
        <w:tabs>
          <w:tab w:val="left" w:pos="945"/>
        </w:tabs>
        <w:spacing w:line="360" w:lineRule="auto"/>
        <w:ind w:left="0" w:firstLine="480"/>
        <w:rPr>
          <w:rFonts w:ascii="宋体"/>
          <w:bCs/>
          <w:color w:val="auto"/>
          <w:sz w:val="24"/>
          <w:szCs w:val="24"/>
          <w:highlight w:val="none"/>
        </w:rPr>
      </w:pPr>
      <w:r>
        <w:rPr>
          <w:rFonts w:hint="eastAsia" w:ascii="宋体" w:hAnsi="宋体"/>
          <w:color w:val="auto"/>
          <w:sz w:val="24"/>
          <w:szCs w:val="24"/>
          <w:highlight w:val="none"/>
        </w:rPr>
        <w:t>投标人报价时应充分考虑服务期内所有可能影响到报价的因素，包括最低工资标准及社保基数的政策性调整、一旦投标结束最终中标，总价固定，不予调整。</w:t>
      </w:r>
    </w:p>
    <w:p w14:paraId="4D5055A4">
      <w:pPr>
        <w:numPr>
          <w:ilvl w:val="1"/>
          <w:numId w:val="10"/>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投标人必须在满足采购文件要求的基础上进行报价，如有服务偏离请于投标偏离表中说明。</w:t>
      </w:r>
    </w:p>
    <w:p w14:paraId="3E3DD616">
      <w:pPr>
        <w:numPr>
          <w:ilvl w:val="1"/>
          <w:numId w:val="10"/>
        </w:numPr>
        <w:tabs>
          <w:tab w:val="left" w:pos="525"/>
          <w:tab w:val="left" w:pos="945"/>
        </w:tabs>
        <w:spacing w:line="360" w:lineRule="auto"/>
        <w:ind w:left="0" w:firstLine="480"/>
        <w:rPr>
          <w:rFonts w:ascii="宋体" w:hAnsi="宋体"/>
          <w:bCs/>
          <w:color w:val="auto"/>
          <w:sz w:val="24"/>
          <w:szCs w:val="24"/>
          <w:highlight w:val="none"/>
        </w:rPr>
      </w:pPr>
      <w:r>
        <w:rPr>
          <w:rFonts w:hint="eastAsia" w:ascii="宋体" w:hAnsi="宋体"/>
          <w:bCs/>
          <w:color w:val="auto"/>
          <w:sz w:val="24"/>
          <w:szCs w:val="24"/>
          <w:highlight w:val="none"/>
        </w:rPr>
        <w:t>付款方式：每半年支付合同总额的20%，截留合同总额的20%根据采购方对供应商合同期末对每半年度考核情况的扣款及审计结果一次性付清。</w:t>
      </w:r>
    </w:p>
    <w:p w14:paraId="798F357B">
      <w:pPr>
        <w:numPr>
          <w:ilvl w:val="1"/>
          <w:numId w:val="10"/>
        </w:numPr>
        <w:tabs>
          <w:tab w:val="left" w:pos="525"/>
          <w:tab w:val="left" w:pos="945"/>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每半年考核扣款标准：每半年由考评组考核打分，每半年结算一次。半年度考核实行100分制。</w:t>
      </w:r>
    </w:p>
    <w:p w14:paraId="3FE2930A">
      <w:pPr>
        <w:tabs>
          <w:tab w:val="left" w:pos="344"/>
          <w:tab w:val="left" w:pos="525"/>
          <w:tab w:val="left" w:pos="945"/>
        </w:tabs>
        <w:spacing w:line="360" w:lineRule="auto"/>
        <w:ind w:left="480"/>
        <w:rPr>
          <w:rFonts w:ascii="宋体"/>
          <w:bCs/>
          <w:color w:val="auto"/>
          <w:sz w:val="24"/>
          <w:szCs w:val="24"/>
          <w:highlight w:val="none"/>
        </w:rPr>
      </w:pPr>
      <w:r>
        <w:rPr>
          <w:rFonts w:hint="eastAsia" w:ascii="宋体"/>
          <w:bCs/>
          <w:color w:val="auto"/>
          <w:sz w:val="24"/>
          <w:szCs w:val="24"/>
          <w:highlight w:val="none"/>
        </w:rPr>
        <w:tab/>
      </w:r>
      <w:r>
        <w:rPr>
          <w:rFonts w:hint="eastAsia" w:ascii="宋体"/>
          <w:bCs/>
          <w:color w:val="auto"/>
          <w:sz w:val="24"/>
          <w:szCs w:val="24"/>
          <w:highlight w:val="none"/>
        </w:rPr>
        <w:t xml:space="preserve">  （1）当次考核得分超过90分（含），不扣服务费；</w:t>
      </w:r>
    </w:p>
    <w:p w14:paraId="135E8858">
      <w:pPr>
        <w:tabs>
          <w:tab w:val="left" w:pos="525"/>
          <w:tab w:val="left" w:pos="945"/>
        </w:tabs>
        <w:spacing w:line="360" w:lineRule="auto"/>
        <w:ind w:left="480" w:firstLine="240" w:firstLineChars="100"/>
        <w:rPr>
          <w:rFonts w:ascii="宋体"/>
          <w:bCs/>
          <w:color w:val="auto"/>
          <w:sz w:val="24"/>
          <w:szCs w:val="24"/>
          <w:highlight w:val="none"/>
        </w:rPr>
      </w:pPr>
      <w:r>
        <w:rPr>
          <w:rFonts w:hint="eastAsia" w:ascii="宋体"/>
          <w:bCs/>
          <w:color w:val="auto"/>
          <w:sz w:val="24"/>
          <w:szCs w:val="24"/>
          <w:highlight w:val="none"/>
        </w:rPr>
        <w:t>（2）当次考核得分90分（不含）以下、60分（含）以上部分每少一分，扣款7500元；</w:t>
      </w:r>
    </w:p>
    <w:p w14:paraId="3AA0A45E">
      <w:pPr>
        <w:tabs>
          <w:tab w:val="left" w:pos="525"/>
          <w:tab w:val="left" w:pos="945"/>
        </w:tabs>
        <w:spacing w:line="360" w:lineRule="auto"/>
        <w:ind w:left="480" w:firstLine="240" w:firstLineChars="100"/>
        <w:rPr>
          <w:rFonts w:ascii="宋体"/>
          <w:bCs/>
          <w:color w:val="auto"/>
          <w:sz w:val="24"/>
          <w:szCs w:val="24"/>
          <w:highlight w:val="none"/>
        </w:rPr>
      </w:pPr>
      <w:r>
        <w:rPr>
          <w:rFonts w:hint="eastAsia" w:ascii="宋体"/>
          <w:bCs/>
          <w:color w:val="auto"/>
          <w:sz w:val="24"/>
          <w:szCs w:val="24"/>
          <w:highlight w:val="none"/>
        </w:rPr>
        <w:t>（3）当次考核得分低于60分，全额扣除该半年服务费；</w:t>
      </w:r>
    </w:p>
    <w:p w14:paraId="42873EDE">
      <w:pPr>
        <w:tabs>
          <w:tab w:val="left" w:pos="525"/>
          <w:tab w:val="left" w:pos="945"/>
        </w:tabs>
        <w:spacing w:line="360" w:lineRule="auto"/>
        <w:ind w:left="480" w:firstLine="240" w:firstLineChars="100"/>
        <w:rPr>
          <w:rFonts w:ascii="宋体"/>
          <w:bCs/>
          <w:color w:val="auto"/>
          <w:sz w:val="24"/>
          <w:szCs w:val="24"/>
          <w:highlight w:val="none"/>
        </w:rPr>
      </w:pPr>
      <w:r>
        <w:rPr>
          <w:rFonts w:hint="eastAsia" w:ascii="宋体"/>
          <w:bCs/>
          <w:color w:val="auto"/>
          <w:sz w:val="24"/>
          <w:szCs w:val="24"/>
          <w:highlight w:val="none"/>
        </w:rPr>
        <w:t>（4）对效能评估中不能客观公正反映各类实际情况的，存在弄虚作假、徇私情的，一旦发现采购方有权终止合同。</w:t>
      </w:r>
    </w:p>
    <w:p w14:paraId="3EF5548B">
      <w:pPr>
        <w:numPr>
          <w:ilvl w:val="1"/>
          <w:numId w:val="10"/>
        </w:numPr>
        <w:tabs>
          <w:tab w:val="left" w:pos="525"/>
          <w:tab w:val="left" w:pos="630"/>
          <w:tab w:val="left" w:pos="735"/>
          <w:tab w:val="left" w:pos="945"/>
        </w:tabs>
        <w:spacing w:line="360" w:lineRule="auto"/>
        <w:ind w:left="0" w:firstLine="480"/>
        <w:rPr>
          <w:rFonts w:ascii="宋体"/>
          <w:bCs/>
          <w:color w:val="auto"/>
          <w:sz w:val="24"/>
          <w:szCs w:val="24"/>
          <w:highlight w:val="none"/>
        </w:rPr>
      </w:pPr>
      <w:r>
        <w:rPr>
          <w:rFonts w:hint="eastAsia" w:ascii="宋体"/>
          <w:bCs/>
          <w:color w:val="auto"/>
          <w:sz w:val="24"/>
          <w:szCs w:val="24"/>
          <w:highlight w:val="none"/>
          <w:lang w:val="en-US" w:eastAsia="zh-CN"/>
        </w:rPr>
        <w:t>本项目不收取履约保证金</w:t>
      </w:r>
      <w:r>
        <w:rPr>
          <w:rFonts w:hint="eastAsia" w:ascii="宋体"/>
          <w:bCs/>
          <w:color w:val="auto"/>
          <w:sz w:val="24"/>
          <w:szCs w:val="24"/>
          <w:highlight w:val="none"/>
        </w:rPr>
        <w:t>。</w:t>
      </w:r>
    </w:p>
    <w:p w14:paraId="63E45B3D">
      <w:pPr>
        <w:numPr>
          <w:ilvl w:val="1"/>
          <w:numId w:val="10"/>
        </w:numPr>
        <w:tabs>
          <w:tab w:val="left" w:pos="525"/>
          <w:tab w:val="left" w:pos="630"/>
          <w:tab w:val="left" w:pos="735"/>
          <w:tab w:val="left" w:pos="945"/>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46DEF97E">
      <w:pPr>
        <w:numPr>
          <w:ilvl w:val="1"/>
          <w:numId w:val="10"/>
        </w:numPr>
        <w:tabs>
          <w:tab w:val="left" w:pos="525"/>
          <w:tab w:val="left" w:pos="630"/>
          <w:tab w:val="left" w:pos="735"/>
          <w:tab w:val="left" w:pos="945"/>
        </w:tabs>
        <w:spacing w:line="360" w:lineRule="auto"/>
        <w:ind w:left="0" w:firstLine="480"/>
        <w:rPr>
          <w:rFonts w:ascii="宋体"/>
          <w:bCs/>
          <w:color w:val="auto"/>
          <w:sz w:val="24"/>
          <w:szCs w:val="24"/>
          <w:highlight w:val="none"/>
        </w:rPr>
      </w:pPr>
      <w:r>
        <w:rPr>
          <w:rFonts w:hint="eastAsia" w:ascii="宋体" w:hAnsi="宋体"/>
          <w:bCs/>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77F78BA5">
      <w:pPr>
        <w:numPr>
          <w:ilvl w:val="1"/>
          <w:numId w:val="10"/>
        </w:numPr>
        <w:tabs>
          <w:tab w:val="left" w:pos="525"/>
          <w:tab w:val="left" w:pos="630"/>
          <w:tab w:val="left" w:pos="735"/>
          <w:tab w:val="left" w:pos="945"/>
        </w:tabs>
        <w:spacing w:line="360" w:lineRule="auto"/>
        <w:ind w:left="0" w:firstLine="480"/>
        <w:rPr>
          <w:rFonts w:ascii="宋体"/>
          <w:bCs/>
          <w:color w:val="auto"/>
          <w:sz w:val="24"/>
          <w:szCs w:val="24"/>
          <w:highlight w:val="none"/>
        </w:rPr>
      </w:pPr>
      <w:r>
        <w:rPr>
          <w:rFonts w:hint="eastAsia" w:ascii="宋体" w:hAnsi="宋体"/>
          <w:bCs/>
          <w:color w:val="auto"/>
          <w:sz w:val="24"/>
          <w:highlight w:val="none"/>
        </w:rPr>
        <w:t>开标后，投标人须自行准备设备（包括但不限于笔记本电脑、无线网络）登录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，按招标文件规定时间解密后，在评标过程中保持在线，等待评标委员会的询标和评标结果，中途不得离开。如未按要求应答，由此所产生的损失及风险由投标人自行承担。</w:t>
      </w:r>
    </w:p>
    <w:p w14:paraId="772ACABC">
      <w:pPr>
        <w:tabs>
          <w:tab w:val="left" w:pos="525"/>
          <w:tab w:val="left" w:pos="630"/>
          <w:tab w:val="left" w:pos="735"/>
          <w:tab w:val="left" w:pos="945"/>
        </w:tabs>
        <w:spacing w:line="360" w:lineRule="auto"/>
        <w:ind w:left="525"/>
        <w:rPr>
          <w:rFonts w:ascii="宋体"/>
          <w:bCs/>
          <w:color w:val="auto"/>
          <w:sz w:val="24"/>
          <w:szCs w:val="24"/>
          <w:highlight w:val="none"/>
        </w:rPr>
      </w:pPr>
    </w:p>
    <w:p w14:paraId="5A04A58E">
      <w:pPr>
        <w:tabs>
          <w:tab w:val="left" w:pos="525"/>
          <w:tab w:val="left" w:pos="630"/>
          <w:tab w:val="left" w:pos="735"/>
          <w:tab w:val="left" w:pos="945"/>
        </w:tabs>
        <w:spacing w:line="360" w:lineRule="auto"/>
        <w:ind w:firstLine="480"/>
        <w:rPr>
          <w:rFonts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第三部分  政府采购政策（包括但不限于下列具体政策要求）</w:t>
      </w:r>
    </w:p>
    <w:p w14:paraId="767DEB30">
      <w:pPr>
        <w:numPr>
          <w:ilvl w:val="1"/>
          <w:numId w:val="11"/>
        </w:numPr>
        <w:tabs>
          <w:tab w:val="left" w:pos="525"/>
          <w:tab w:val="left" w:pos="945"/>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CDA41D4">
      <w:pPr>
        <w:numPr>
          <w:ilvl w:val="1"/>
          <w:numId w:val="11"/>
        </w:numPr>
        <w:tabs>
          <w:tab w:val="left" w:pos="525"/>
          <w:tab w:val="left" w:pos="945"/>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B71F946">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采购产品属于《节能产品政府采购品目清单</w:t>
      </w:r>
      <w:r>
        <w:rPr>
          <w:rFonts w:hint="eastAsia" w:ascii="宋体"/>
          <w:bCs/>
          <w:color w:val="auto"/>
          <w:sz w:val="24"/>
          <w:szCs w:val="24"/>
          <w:highlight w:val="none"/>
          <w:lang w:eastAsia="zh-CN"/>
        </w:rPr>
        <w:t>》《</w:t>
      </w:r>
      <w:r>
        <w:rPr>
          <w:rFonts w:hint="eastAsia" w:ascii="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59D0E2A9">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548BEC06">
      <w:pPr>
        <w:numPr>
          <w:ilvl w:val="1"/>
          <w:numId w:val="11"/>
        </w:numPr>
        <w:tabs>
          <w:tab w:val="left" w:pos="525"/>
          <w:tab w:val="left" w:pos="945"/>
        </w:tabs>
        <w:spacing w:line="360" w:lineRule="auto"/>
        <w:ind w:left="0" w:firstLine="525"/>
        <w:rPr>
          <w:rFonts w:ascii="宋体"/>
          <w:bCs/>
          <w:color w:val="auto"/>
          <w:sz w:val="24"/>
          <w:szCs w:val="24"/>
          <w:highlight w:val="none"/>
        </w:rPr>
      </w:pPr>
      <w:r>
        <w:rPr>
          <w:rFonts w:hint="eastAsia"/>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D59CA8D">
      <w:pPr>
        <w:numPr>
          <w:ilvl w:val="1"/>
          <w:numId w:val="11"/>
        </w:numPr>
        <w:tabs>
          <w:tab w:val="left" w:pos="525"/>
          <w:tab w:val="left" w:pos="945"/>
        </w:tabs>
        <w:spacing w:line="360" w:lineRule="auto"/>
        <w:ind w:left="0" w:firstLine="525"/>
        <w:rPr>
          <w:rFonts w:ascii="宋体" w:hAnsi="宋体" w:cs="宋体"/>
          <w:color w:val="auto"/>
          <w:sz w:val="24"/>
          <w:szCs w:val="24"/>
          <w:highlight w:val="none"/>
        </w:rPr>
      </w:pP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14:paraId="3041F9C1">
      <w:pPr>
        <w:numPr>
          <w:ilvl w:val="1"/>
          <w:numId w:val="11"/>
        </w:numPr>
        <w:tabs>
          <w:tab w:val="left" w:pos="525"/>
          <w:tab w:val="left" w:pos="945"/>
        </w:tabs>
        <w:spacing w:line="360" w:lineRule="auto"/>
        <w:ind w:left="0" w:firstLine="525"/>
        <w:rPr>
          <w:rFonts w:ascii="宋体" w:hAnsi="宋体" w:cs="宋体"/>
          <w:color w:val="auto"/>
          <w:sz w:val="24"/>
          <w:szCs w:val="24"/>
          <w:highlight w:val="none"/>
        </w:rPr>
      </w:pPr>
      <w:r>
        <w:rPr>
          <w:rFonts w:hint="eastAsia" w:ascii="宋体"/>
          <w:bCs/>
          <w:color w:val="auto"/>
          <w:sz w:val="24"/>
          <w:szCs w:val="24"/>
          <w:highlight w:val="none"/>
        </w:rPr>
        <w:t>中标、成交供应商可采用合同融资形式，中标人可凭政府采购合同办理融资贷款，详见政府采购网“政采贷”专栏。</w:t>
      </w:r>
    </w:p>
    <w:p w14:paraId="63B6517D">
      <w:pPr>
        <w:numPr>
          <w:ilvl w:val="1"/>
          <w:numId w:val="11"/>
        </w:numPr>
        <w:tabs>
          <w:tab w:val="left" w:pos="525"/>
          <w:tab w:val="left" w:pos="945"/>
        </w:tabs>
        <w:spacing w:line="360" w:lineRule="auto"/>
        <w:ind w:left="0" w:firstLine="525"/>
        <w:rPr>
          <w:rFonts w:ascii="宋体" w:hAnsi="宋体" w:cs="宋体"/>
          <w:color w:val="auto"/>
          <w:sz w:val="24"/>
          <w:szCs w:val="24"/>
          <w:highlight w:val="none"/>
        </w:rPr>
      </w:pP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p>
    <w:p w14:paraId="05AB3C9F">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2E4FE65C">
      <w:pPr>
        <w:numPr>
          <w:ilvl w:val="1"/>
          <w:numId w:val="11"/>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78983B92">
      <w:pPr>
        <w:numPr>
          <w:ilvl w:val="1"/>
          <w:numId w:val="11"/>
        </w:numPr>
        <w:tabs>
          <w:tab w:val="left" w:pos="525"/>
          <w:tab w:val="left" w:pos="945"/>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69EC560">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BAB748A">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采购人原则上应当自收到发票后10个工作日内将资金支付到合同约定的供应商账户。</w:t>
      </w:r>
    </w:p>
    <w:p w14:paraId="76E52D13">
      <w:pPr>
        <w:numPr>
          <w:ilvl w:val="1"/>
          <w:numId w:val="11"/>
        </w:numPr>
        <w:tabs>
          <w:tab w:val="left" w:pos="525"/>
          <w:tab w:val="left" w:pos="945"/>
        </w:tabs>
        <w:spacing w:line="360" w:lineRule="auto"/>
        <w:ind w:left="0" w:firstLine="480"/>
        <w:rPr>
          <w:rFonts w:ascii="宋体"/>
          <w:bCs/>
          <w:color w:val="auto"/>
          <w:sz w:val="24"/>
          <w:szCs w:val="24"/>
          <w:highlight w:val="none"/>
          <w:lang w:val="en"/>
        </w:rPr>
      </w:pPr>
      <w:r>
        <w:rPr>
          <w:rFonts w:hint="eastAsia" w:ascii="宋体"/>
          <w:bCs/>
          <w:color w:val="auto"/>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2AAAC3C9">
      <w:pPr>
        <w:numPr>
          <w:ilvl w:val="1"/>
          <w:numId w:val="11"/>
        </w:numPr>
        <w:tabs>
          <w:tab w:val="left" w:pos="525"/>
          <w:tab w:val="left" w:pos="945"/>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根据</w:t>
      </w:r>
      <w:bookmarkStart w:id="194" w:name="OLE_LINK1"/>
      <w:bookmarkStart w:id="195" w:name="OLE_LINK2"/>
      <w:r>
        <w:rPr>
          <w:rFonts w:hint="eastAsia" w:ascii="宋体"/>
          <w:bCs/>
          <w:color w:val="auto"/>
          <w:sz w:val="24"/>
          <w:szCs w:val="24"/>
          <w:highlight w:val="none"/>
        </w:rPr>
        <w:t>《保障中小企业款项支付条例》（中华人民共和国国务院令第802号）</w:t>
      </w:r>
      <w:bookmarkEnd w:id="194"/>
      <w:bookmarkEnd w:id="195"/>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14:paraId="66FAF24E">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2C7AD90A">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中小企业应当依法经营，诚实守信，按照合同约定提供合格的货物、工程和服务。</w:t>
      </w:r>
    </w:p>
    <w:p w14:paraId="40E7F944">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1B634A6B">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11.根据《关于推动解决政府采购异常低价问题相关工作的通知》（苏财购〔2025〕62号）要求，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0D64EF07">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12.国有企业、民营企业、外资企业等各类经营主体平等享受对本国产品的政府采购支持政策。关于本国产品标准和本国产品标准的适用范围详见《国务院办公厅关于在政府采购中实施本国产品标准及相关政策的通知》（国办发〔2025〕34号）。</w:t>
      </w:r>
    </w:p>
    <w:p w14:paraId="711967FF">
      <w:pPr>
        <w:tabs>
          <w:tab w:val="left" w:pos="1440"/>
        </w:tabs>
        <w:spacing w:line="500" w:lineRule="exact"/>
        <w:jc w:val="center"/>
        <w:outlineLvl w:val="0"/>
        <w:rPr>
          <w:rFonts w:ascii="黑体" w:hAnsi="黑体" w:eastAsia="黑体"/>
          <w:color w:val="auto"/>
          <w:sz w:val="36"/>
          <w:szCs w:val="36"/>
          <w:highlight w:val="none"/>
        </w:rPr>
      </w:pPr>
      <w:r>
        <w:rPr>
          <w:rFonts w:ascii="宋体"/>
          <w:bCs/>
          <w:color w:val="auto"/>
          <w:sz w:val="24"/>
          <w:szCs w:val="24"/>
          <w:highlight w:val="none"/>
        </w:rPr>
        <w:br w:type="page" w:clear="all"/>
      </w:r>
      <w:bookmarkStart w:id="196" w:name="_Toc120614281"/>
      <w:r>
        <w:rPr>
          <w:rFonts w:hint="eastAsia" w:ascii="黑体" w:hAnsi="黑体" w:eastAsia="黑体"/>
          <w:color w:val="auto"/>
          <w:sz w:val="36"/>
          <w:szCs w:val="36"/>
          <w:highlight w:val="none"/>
        </w:rPr>
        <w:t>第五章  评标方法与评标标准</w:t>
      </w:r>
    </w:p>
    <w:p w14:paraId="556596FE">
      <w:pPr>
        <w:pStyle w:val="271"/>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3ED54593">
      <w:pPr>
        <w:pStyle w:val="271"/>
        <w:spacing w:before="0" w:after="0" w:line="500" w:lineRule="exact"/>
        <w:rPr>
          <w:rFonts w:cs="Arial"/>
          <w:color w:val="auto"/>
          <w:highlight w:val="none"/>
        </w:rPr>
      </w:pPr>
      <w:r>
        <w:rPr>
          <w:rFonts w:hint="eastAsia" w:cs="Arial"/>
          <w:color w:val="auto"/>
          <w:highlight w:val="none"/>
        </w:rPr>
        <w:t>投标人通过初审的，方可进入比较与评价程序。</w:t>
      </w:r>
    </w:p>
    <w:p w14:paraId="404C8C41">
      <w:pPr>
        <w:pStyle w:val="271"/>
        <w:spacing w:before="0" w:after="0" w:line="500" w:lineRule="exact"/>
        <w:rPr>
          <w:rFonts w:cs="Arial"/>
          <w:color w:val="auto"/>
          <w:highlight w:val="none"/>
        </w:rPr>
      </w:pPr>
      <w:r>
        <w:rPr>
          <w:rFonts w:hint="eastAsia" w:cs="Arial"/>
          <w:color w:val="auto"/>
          <w:highlight w:val="none"/>
        </w:rPr>
        <w:t>比较与评价采用综合评分法。</w:t>
      </w:r>
    </w:p>
    <w:p w14:paraId="28C64BD8">
      <w:pPr>
        <w:pStyle w:val="271"/>
        <w:spacing w:before="0" w:after="0" w:line="500" w:lineRule="exact"/>
        <w:rPr>
          <w:rFonts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3E786241">
      <w:pPr>
        <w:pStyle w:val="271"/>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第二部分  评标标准</w:t>
      </w:r>
    </w:p>
    <w:p w14:paraId="6C100179">
      <w:pPr>
        <w:pStyle w:val="271"/>
        <w:spacing w:before="0" w:after="0" w:line="500" w:lineRule="exact"/>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8EB73AB">
      <w:pPr>
        <w:spacing w:line="50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0E6FC344">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6DCF418D">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21C2B628">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EFCC1F0">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3AF5BA46">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28CC05D4">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643A55F">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3A905565">
      <w:pPr>
        <w:pStyle w:val="271"/>
        <w:spacing w:before="0" w:after="0" w:line="500" w:lineRule="exact"/>
        <w:ind w:firstLine="360"/>
        <w:rPr>
          <w:rFonts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1E55FCBE">
      <w:pPr>
        <w:numPr>
          <w:ilvl w:val="4"/>
          <w:numId w:val="0"/>
        </w:numPr>
        <w:tabs>
          <w:tab w:val="left" w:pos="525"/>
          <w:tab w:val="left" w:pos="945"/>
          <w:tab w:val="left" w:pos="1155"/>
          <w:tab w:val="left" w:pos="3823"/>
        </w:tabs>
        <w:spacing w:line="500" w:lineRule="exact"/>
        <w:ind w:firstLine="482"/>
        <w:rPr>
          <w:rFonts w:ascii="宋体" w:hAnsi="宋体"/>
          <w:b/>
          <w:bCs/>
          <w:color w:val="auto"/>
          <w:sz w:val="24"/>
          <w:szCs w:val="24"/>
          <w:highlight w:val="none"/>
        </w:rPr>
      </w:pPr>
      <w:r>
        <w:rPr>
          <w:rFonts w:hint="eastAsia" w:ascii="宋体" w:hAnsi="宋体"/>
          <w:b/>
          <w:bCs/>
          <w:color w:val="auto"/>
          <w:sz w:val="24"/>
          <w:szCs w:val="24"/>
          <w:highlight w:val="none"/>
        </w:rPr>
        <w:t>1.价格（30分）：</w:t>
      </w:r>
    </w:p>
    <w:p w14:paraId="2437957F">
      <w:pPr>
        <w:tabs>
          <w:tab w:val="left" w:pos="945"/>
          <w:tab w:val="left" w:pos="1155"/>
        </w:tabs>
        <w:spacing w:line="500" w:lineRule="exact"/>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2C8F2ADA">
      <w:pPr>
        <w:tabs>
          <w:tab w:val="left" w:pos="945"/>
          <w:tab w:val="left" w:pos="1155"/>
        </w:tabs>
        <w:spacing w:line="500" w:lineRule="exact"/>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评标基准价／投标报价</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3D587AA0">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关于价格扣除详见本章第二部分“一、落实政府采购政策的价格调整”。</w:t>
      </w:r>
    </w:p>
    <w:p w14:paraId="7B4B7FDC">
      <w:pPr>
        <w:numPr>
          <w:ilvl w:val="4"/>
          <w:numId w:val="0"/>
        </w:numPr>
        <w:tabs>
          <w:tab w:val="left" w:pos="525"/>
          <w:tab w:val="left" w:pos="945"/>
          <w:tab w:val="left" w:pos="1155"/>
          <w:tab w:val="left" w:pos="3823"/>
        </w:tabs>
        <w:spacing w:line="500" w:lineRule="exact"/>
        <w:ind w:firstLine="482"/>
        <w:rPr>
          <w:rFonts w:ascii="宋体" w:hAnsi="宋体"/>
          <w:b/>
          <w:bCs/>
          <w:color w:val="auto"/>
          <w:sz w:val="24"/>
          <w:szCs w:val="24"/>
          <w:highlight w:val="none"/>
        </w:rPr>
      </w:pPr>
      <w:r>
        <w:rPr>
          <w:rFonts w:hint="eastAsia" w:ascii="宋体" w:hAnsi="宋体"/>
          <w:b/>
          <w:bCs/>
          <w:color w:val="auto"/>
          <w:sz w:val="24"/>
          <w:szCs w:val="24"/>
          <w:highlight w:val="none"/>
        </w:rPr>
        <w:t>2.商务部分（</w:t>
      </w:r>
      <w:r>
        <w:rPr>
          <w:rFonts w:hint="eastAsia" w:ascii="宋体" w:hAnsi="宋体"/>
          <w:b/>
          <w:bCs/>
          <w:color w:val="auto"/>
          <w:sz w:val="24"/>
          <w:szCs w:val="24"/>
          <w:highlight w:val="none"/>
          <w:lang w:val="en-US" w:eastAsia="zh-CN"/>
        </w:rPr>
        <w:t>14</w:t>
      </w:r>
      <w:r>
        <w:rPr>
          <w:rFonts w:hint="eastAsia" w:ascii="宋体" w:hAnsi="宋体"/>
          <w:b/>
          <w:bCs/>
          <w:color w:val="auto"/>
          <w:sz w:val="24"/>
          <w:szCs w:val="24"/>
          <w:highlight w:val="none"/>
        </w:rPr>
        <w:t>分）：</w:t>
      </w:r>
    </w:p>
    <w:p w14:paraId="1132B282">
      <w:pPr>
        <w:pStyle w:val="304"/>
        <w:snapToGrid w:val="0"/>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（1）投标人业绩（2分）：投标人具有2023年1月以来</w:t>
      </w:r>
      <w:r>
        <w:rPr>
          <w:rFonts w:hint="eastAsia" w:ascii="宋体" w:hAnsi="宋体" w:cs="仿宋"/>
          <w:color w:val="auto"/>
          <w:szCs w:val="24"/>
          <w:highlight w:val="none"/>
        </w:rPr>
        <w:t>类似项目成功案例的</w:t>
      </w:r>
      <w:r>
        <w:rPr>
          <w:rFonts w:hint="eastAsia" w:ascii="宋体" w:hAnsi="宋体" w:cs="宋体"/>
          <w:color w:val="auto"/>
          <w:szCs w:val="24"/>
          <w:highlight w:val="none"/>
        </w:rPr>
        <w:t>，每提供1份合同得1分；本项最高得2分，投标文件中须提供合同扫描件加盖公章，</w:t>
      </w:r>
      <w:r>
        <w:rPr>
          <w:rFonts w:hint="eastAsia" w:ascii="宋体" w:hAnsi="宋体" w:cs="宋体"/>
          <w:color w:val="auto"/>
          <w:szCs w:val="24"/>
          <w:highlight w:val="none"/>
          <w:lang w:val="en-US" w:eastAsia="zh-CN"/>
        </w:rPr>
        <w:t>时间以合同签订时间为准，</w:t>
      </w:r>
      <w:r>
        <w:rPr>
          <w:rFonts w:hint="eastAsia" w:ascii="宋体" w:hAnsi="宋体" w:cs="宋体"/>
          <w:color w:val="auto"/>
          <w:szCs w:val="24"/>
          <w:highlight w:val="none"/>
        </w:rPr>
        <w:t>未提供不得分。</w:t>
      </w:r>
    </w:p>
    <w:p w14:paraId="3A817D2D">
      <w:pPr>
        <w:pStyle w:val="304"/>
        <w:snapToGrid w:val="0"/>
        <w:spacing w:line="360" w:lineRule="auto"/>
        <w:ind w:firstLine="480"/>
        <w:rPr>
          <w:rFonts w:ascii="宋体" w:hAnsi="宋体" w:cs="宋体"/>
          <w:color w:val="auto"/>
          <w:szCs w:val="24"/>
          <w:highlight w:val="none"/>
        </w:rPr>
      </w:pPr>
      <w:bookmarkStart w:id="197" w:name="_Hlk153297202"/>
      <w:r>
        <w:rPr>
          <w:rFonts w:hint="eastAsia" w:ascii="宋体" w:hAnsi="宋体" w:cs="宋体"/>
          <w:color w:val="auto"/>
          <w:szCs w:val="24"/>
          <w:highlight w:val="none"/>
        </w:rPr>
        <w:t>（2）投标人</w:t>
      </w:r>
      <w:bookmarkEnd w:id="197"/>
      <w:r>
        <w:rPr>
          <w:rFonts w:hint="eastAsia" w:ascii="宋体" w:hAnsi="宋体" w:cs="宋体"/>
          <w:color w:val="auto"/>
          <w:szCs w:val="24"/>
          <w:highlight w:val="none"/>
        </w:rPr>
        <w:t>服务能力（6分）：</w:t>
      </w:r>
    </w:p>
    <w:p w14:paraId="6A199049">
      <w:pPr>
        <w:pStyle w:val="304"/>
        <w:numPr>
          <w:ilvl w:val="0"/>
          <w:numId w:val="0"/>
        </w:numPr>
        <w:snapToGrid w:val="0"/>
        <w:spacing w:line="360" w:lineRule="auto"/>
        <w:ind w:left="0" w:leftChars="0" w:firstLine="480" w:firstLineChars="200"/>
        <w:rPr>
          <w:rFonts w:ascii="宋体" w:hAnsi="宋体" w:cs="宋体"/>
          <w:bCs/>
          <w:color w:val="auto"/>
          <w:szCs w:val="24"/>
          <w:highlight w:val="none"/>
        </w:rPr>
      </w:pPr>
      <w:r>
        <w:rPr>
          <w:rFonts w:hint="eastAsia" w:ascii="宋体" w:hAnsi="宋体" w:eastAsia="宋体" w:cs="宋体"/>
          <w:bCs/>
          <w:color w:val="auto"/>
          <w:kern w:val="2"/>
          <w:sz w:val="24"/>
          <w:szCs w:val="24"/>
          <w:highlight w:val="none"/>
          <w:lang w:val="en-US" w:eastAsia="zh-CN" w:bidi="ar-SA"/>
        </w:rPr>
        <w:t>①</w:t>
      </w:r>
      <w:r>
        <w:rPr>
          <w:rFonts w:hint="eastAsia" w:ascii="宋体" w:hAnsi="宋体" w:cs="宋体"/>
          <w:bCs/>
          <w:color w:val="auto"/>
          <w:szCs w:val="24"/>
          <w:highlight w:val="none"/>
        </w:rPr>
        <w:t>投标人具有有效的民用无人驾驶航空器运营合格证、民用无人机驾驶员训练机构合格证每提供一个得1分，最高得2分。</w:t>
      </w:r>
      <w:r>
        <w:rPr>
          <w:rFonts w:hint="eastAsia" w:ascii="宋体" w:hAnsi="宋体" w:cs="宋体"/>
          <w:bCs/>
          <w:color w:val="auto"/>
          <w:szCs w:val="24"/>
          <w:highlight w:val="none"/>
          <w:lang w:val="zh-TW" w:eastAsia="zh-TW"/>
        </w:rPr>
        <w:t>需提供证书</w:t>
      </w:r>
      <w:r>
        <w:rPr>
          <w:rFonts w:hint="eastAsia" w:ascii="宋体" w:hAnsi="宋体" w:cs="宋体"/>
          <w:bCs/>
          <w:color w:val="auto"/>
          <w:szCs w:val="24"/>
          <w:highlight w:val="none"/>
        </w:rPr>
        <w:t>扫描件</w:t>
      </w:r>
      <w:r>
        <w:rPr>
          <w:rFonts w:hint="eastAsia" w:ascii="宋体" w:hAnsi="宋体" w:cs="宋体"/>
          <w:bCs/>
          <w:color w:val="auto"/>
          <w:szCs w:val="24"/>
          <w:highlight w:val="none"/>
          <w:lang w:val="zh-TW" w:eastAsia="zh-TW"/>
        </w:rPr>
        <w:t>加盖公章放入标书内</w:t>
      </w:r>
      <w:r>
        <w:rPr>
          <w:rFonts w:hint="eastAsia" w:ascii="宋体" w:hAnsi="宋体" w:cs="宋体"/>
          <w:bCs/>
          <w:color w:val="auto"/>
          <w:szCs w:val="24"/>
          <w:highlight w:val="none"/>
        </w:rPr>
        <w:t>，未提供不得分。</w:t>
      </w:r>
    </w:p>
    <w:p w14:paraId="7FA28C84">
      <w:pPr>
        <w:pStyle w:val="304"/>
        <w:numPr>
          <w:ilvl w:val="0"/>
          <w:numId w:val="0"/>
        </w:numPr>
        <w:snapToGrid w:val="0"/>
        <w:spacing w:line="360" w:lineRule="auto"/>
        <w:ind w:left="0" w:leftChars="0" w:firstLine="480" w:firstLineChars="200"/>
        <w:rPr>
          <w:rFonts w:ascii="宋体" w:hAnsi="宋体" w:cs="宋体"/>
          <w:bCs/>
          <w:color w:val="auto"/>
          <w:szCs w:val="24"/>
          <w:highlight w:val="none"/>
        </w:rPr>
      </w:pPr>
      <w:r>
        <w:rPr>
          <w:rFonts w:hint="eastAsia" w:ascii="宋体" w:hAnsi="宋体" w:eastAsia="宋体" w:cs="宋体"/>
          <w:bCs/>
          <w:color w:val="auto"/>
          <w:kern w:val="2"/>
          <w:sz w:val="24"/>
          <w:szCs w:val="24"/>
          <w:highlight w:val="none"/>
          <w:lang w:val="en-US" w:eastAsia="zh-CN" w:bidi="ar-SA"/>
        </w:rPr>
        <w:t>②</w:t>
      </w:r>
      <w:r>
        <w:rPr>
          <w:rFonts w:hint="eastAsia" w:ascii="宋体" w:hAnsi="宋体" w:cs="宋体"/>
          <w:bCs/>
          <w:color w:val="auto"/>
          <w:szCs w:val="24"/>
          <w:highlight w:val="none"/>
        </w:rPr>
        <w:t>投标人能提供2023年1月以来无锡市新吴区禁飞区空域审批成功案例，提供1个得2分，最高得4分，提供相关证明材料</w:t>
      </w:r>
      <w:r>
        <w:rPr>
          <w:rFonts w:hint="eastAsia" w:ascii="宋体" w:hAnsi="宋体" w:cs="宋体"/>
          <w:bCs/>
          <w:color w:val="auto"/>
          <w:szCs w:val="24"/>
          <w:highlight w:val="none"/>
          <w:lang w:val="en-US" w:eastAsia="zh-CN"/>
        </w:rPr>
        <w:t>扫描</w:t>
      </w:r>
      <w:r>
        <w:rPr>
          <w:rFonts w:hint="eastAsia" w:ascii="宋体" w:hAnsi="宋体" w:cs="宋体"/>
          <w:bCs/>
          <w:color w:val="auto"/>
          <w:szCs w:val="24"/>
          <w:highlight w:val="none"/>
        </w:rPr>
        <w:t>件加盖公章，</w:t>
      </w:r>
      <w:r>
        <w:rPr>
          <w:rFonts w:hint="eastAsia" w:ascii="宋体" w:hAnsi="宋体" w:cs="宋体"/>
          <w:bCs/>
          <w:color w:val="auto"/>
          <w:szCs w:val="24"/>
          <w:highlight w:val="none"/>
          <w:lang w:val="en-US" w:eastAsia="zh-CN"/>
        </w:rPr>
        <w:t>时间以审批时间为准，</w:t>
      </w:r>
      <w:r>
        <w:rPr>
          <w:rFonts w:hint="eastAsia" w:ascii="宋体" w:hAnsi="宋体" w:cs="宋体"/>
          <w:bCs/>
          <w:color w:val="auto"/>
          <w:szCs w:val="24"/>
          <w:highlight w:val="none"/>
        </w:rPr>
        <w:t>未提供不得分。</w:t>
      </w:r>
    </w:p>
    <w:p w14:paraId="0B8F1F71">
      <w:pPr>
        <w:pStyle w:val="304"/>
        <w:snapToGrid w:val="0"/>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（3）项目服务人员配置（6分）</w:t>
      </w:r>
    </w:p>
    <w:p w14:paraId="2F44AF65">
      <w:pPr>
        <w:pStyle w:val="304"/>
        <w:numPr>
          <w:ilvl w:val="0"/>
          <w:numId w:val="0"/>
        </w:numPr>
        <w:snapToGrid w:val="0"/>
        <w:spacing w:line="360" w:lineRule="auto"/>
        <w:ind w:left="0" w:leftChars="0" w:firstLine="480" w:firstLineChars="200"/>
        <w:rPr>
          <w:rFonts w:ascii="宋体" w:hAnsi="宋体" w:cs="宋体"/>
          <w:color w:val="auto"/>
          <w:szCs w:val="24"/>
          <w:highlight w:val="none"/>
        </w:rPr>
      </w:pPr>
      <w:r>
        <w:rPr>
          <w:rFonts w:hint="eastAsia" w:ascii="宋体" w:hAnsi="宋体" w:eastAsia="宋体" w:cs="宋体"/>
          <w:color w:val="auto"/>
          <w:kern w:val="2"/>
          <w:sz w:val="24"/>
          <w:szCs w:val="24"/>
          <w:highlight w:val="none"/>
          <w:lang w:val="en-US" w:eastAsia="zh-CN" w:bidi="ar-SA"/>
        </w:rPr>
        <w:t>①</w:t>
      </w:r>
      <w:r>
        <w:rPr>
          <w:rFonts w:hint="eastAsia" w:ascii="宋体" w:hAnsi="宋体" w:cs="宋体"/>
          <w:color w:val="auto"/>
          <w:szCs w:val="24"/>
          <w:highlight w:val="none"/>
        </w:rPr>
        <w:t>投标人拟派项目经理（仅限一人）具有信息系统项目管理师、中级及以上工程师职称，每提供一个，得2分，满分4分。须提供证书扫描件加盖公章，提供近一年中任意一个月份</w:t>
      </w:r>
      <w:r>
        <w:rPr>
          <w:rFonts w:hint="eastAsia" w:ascii="宋体" w:hAnsi="宋体" w:cs="宋体"/>
          <w:color w:val="auto"/>
          <w:szCs w:val="24"/>
          <w:highlight w:val="none"/>
          <w:lang w:eastAsia="zh-CN"/>
        </w:rPr>
        <w:t>（</w:t>
      </w:r>
      <w:r>
        <w:rPr>
          <w:rFonts w:hint="eastAsia" w:ascii="宋体" w:hAnsi="宋体" w:cs="宋体"/>
          <w:color w:val="auto"/>
          <w:szCs w:val="24"/>
          <w:highlight w:val="none"/>
        </w:rPr>
        <w:t>不含投标当月</w:t>
      </w:r>
      <w:r>
        <w:rPr>
          <w:rFonts w:hint="eastAsia" w:ascii="宋体" w:hAnsi="宋体" w:cs="宋体"/>
          <w:color w:val="auto"/>
          <w:szCs w:val="24"/>
          <w:highlight w:val="none"/>
          <w:lang w:eastAsia="zh-CN"/>
        </w:rPr>
        <w:t>）</w:t>
      </w:r>
      <w:r>
        <w:rPr>
          <w:rFonts w:hint="eastAsia" w:ascii="宋体" w:hAnsi="宋体" w:cs="宋体"/>
          <w:color w:val="auto"/>
          <w:szCs w:val="24"/>
          <w:highlight w:val="none"/>
        </w:rPr>
        <w:t>社保缴纳证明扫描件加盖公章，</w:t>
      </w:r>
      <w:r>
        <w:rPr>
          <w:rFonts w:hint="eastAsia" w:ascii="宋体" w:hAnsi="宋体" w:cs="宋体"/>
          <w:bCs/>
          <w:color w:val="auto"/>
          <w:szCs w:val="24"/>
          <w:highlight w:val="none"/>
        </w:rPr>
        <w:t>未提供不得分</w:t>
      </w:r>
      <w:r>
        <w:rPr>
          <w:rFonts w:hint="eastAsia" w:ascii="宋体" w:hAnsi="宋体" w:cs="宋体"/>
          <w:color w:val="auto"/>
          <w:szCs w:val="24"/>
          <w:highlight w:val="none"/>
        </w:rPr>
        <w:t>。</w:t>
      </w:r>
    </w:p>
    <w:p w14:paraId="043F38D2">
      <w:pPr>
        <w:spacing w:line="360" w:lineRule="auto"/>
        <w:ind w:firstLine="480"/>
        <w:rPr>
          <w:color w:val="auto"/>
          <w:highlight w:val="none"/>
        </w:rPr>
      </w:pPr>
      <w:r>
        <w:rPr>
          <w:rFonts w:hint="eastAsia" w:ascii="宋体" w:hAnsi="宋体" w:cs="宋体"/>
          <w:color w:val="auto"/>
          <w:sz w:val="24"/>
          <w:szCs w:val="24"/>
          <w:highlight w:val="none"/>
        </w:rPr>
        <w:t>投标人拟派技术负责人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仅限一人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，具有民用无人驾驶航空器教员执照，得2分。须提供证书扫描件加盖公章，提供近一年中任意一个月份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不含投标当月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社保缴纳证明扫描件加盖公章，</w:t>
      </w:r>
      <w:r>
        <w:rPr>
          <w:rFonts w:hint="eastAsia" w:ascii="宋体" w:hAnsi="宋体" w:cs="宋体"/>
          <w:bCs/>
          <w:color w:val="auto"/>
          <w:sz w:val="24"/>
          <w:szCs w:val="24"/>
          <w:highlight w:val="none"/>
        </w:rPr>
        <w:t>未提供不得分</w:t>
      </w:r>
      <w:r>
        <w:rPr>
          <w:rFonts w:hint="eastAsia" w:ascii="宋体" w:hAnsi="宋体" w:cs="宋体"/>
          <w:color w:val="auto"/>
          <w:sz w:val="24"/>
          <w:szCs w:val="24"/>
          <w:highlight w:val="none"/>
        </w:rPr>
        <w:t>。</w:t>
      </w:r>
    </w:p>
    <w:p w14:paraId="61B6874D">
      <w:pPr>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技术配置（</w:t>
      </w:r>
      <w:r>
        <w:rPr>
          <w:rFonts w:hint="eastAsia" w:ascii="宋体" w:hAnsi="宋体" w:cs="宋体"/>
          <w:b/>
          <w:bCs/>
          <w:color w:val="auto"/>
          <w:sz w:val="24"/>
          <w:highlight w:val="none"/>
          <w:lang w:val="en-US" w:eastAsia="zh-CN"/>
        </w:rPr>
        <w:t>8</w:t>
      </w:r>
      <w:r>
        <w:rPr>
          <w:rFonts w:hint="eastAsia" w:ascii="宋体" w:hAnsi="宋体" w:cs="宋体"/>
          <w:b/>
          <w:bCs/>
          <w:color w:val="auto"/>
          <w:sz w:val="24"/>
          <w:highlight w:val="none"/>
        </w:rPr>
        <w:t>分）</w:t>
      </w:r>
    </w:p>
    <w:p w14:paraId="0B6D7310">
      <w:pPr>
        <w:pStyle w:val="304"/>
        <w:snapToGrid w:val="0"/>
        <w:spacing w:line="360" w:lineRule="auto"/>
        <w:ind w:firstLine="480"/>
        <w:rPr>
          <w:rFonts w:ascii="宋体" w:hAnsi="宋体"/>
          <w:color w:val="auto"/>
          <w:highlight w:val="none"/>
        </w:rPr>
      </w:pPr>
      <w:r>
        <w:rPr>
          <w:rFonts w:hint="eastAsia" w:ascii="宋体" w:hAnsi="宋体" w:cs="宋体"/>
          <w:color w:val="auto"/>
          <w:szCs w:val="24"/>
          <w:highlight w:val="none"/>
          <w:lang w:val="en-US" w:eastAsia="zh-CN"/>
        </w:rPr>
        <w:t>车载智能</w:t>
      </w:r>
      <w:r>
        <w:rPr>
          <w:rFonts w:hint="eastAsia" w:ascii="宋体" w:hAnsi="宋体" w:cs="宋体"/>
          <w:color w:val="auto"/>
          <w:szCs w:val="24"/>
          <w:highlight w:val="none"/>
        </w:rPr>
        <w:t>采集终端：</w:t>
      </w:r>
      <w:r>
        <w:rPr>
          <w:rFonts w:hint="eastAsia" w:ascii="宋体" w:hAnsi="宋体" w:cs="宋体"/>
          <w:color w:val="auto"/>
          <w:highlight w:val="none"/>
        </w:rPr>
        <w:t>支持对路面违法停车的车辆、地面垃圾、非机动车、沿街晾挂进行抓拍，每个事件抓拍率≥90%；</w:t>
      </w:r>
      <w:r>
        <w:rPr>
          <w:rFonts w:hint="eastAsia" w:ascii="宋体" w:hAnsi="宋体" w:cs="宋体"/>
          <w:bCs/>
          <w:color w:val="auto"/>
          <w:highlight w:val="none"/>
        </w:rPr>
        <w:t>（提供公安部检验报告证明扫描件材料并加盖</w:t>
      </w:r>
      <w:r>
        <w:rPr>
          <w:rFonts w:hint="eastAsia" w:ascii="宋体" w:hAnsi="宋体" w:cs="宋体"/>
          <w:bCs/>
          <w:color w:val="auto"/>
          <w:highlight w:val="none"/>
          <w:lang w:val="en-US" w:eastAsia="zh-CN"/>
        </w:rPr>
        <w:t>原厂</w:t>
      </w:r>
      <w:r>
        <w:rPr>
          <w:rFonts w:hint="eastAsia" w:ascii="宋体" w:hAnsi="宋体" w:cs="宋体"/>
          <w:bCs/>
          <w:color w:val="auto"/>
          <w:highlight w:val="none"/>
        </w:rPr>
        <w:t>公章</w:t>
      </w:r>
      <w:r>
        <w:rPr>
          <w:rFonts w:hint="eastAsia" w:ascii="宋体" w:hAnsi="宋体" w:cs="宋体"/>
          <w:bCs/>
          <w:color w:val="auto"/>
          <w:highlight w:val="none"/>
          <w:lang w:val="en-US" w:eastAsia="zh-CN"/>
        </w:rPr>
        <w:t>及投标人公章</w:t>
      </w:r>
      <w:r>
        <w:rPr>
          <w:rFonts w:hint="eastAsia" w:ascii="宋体" w:hAnsi="宋体" w:cs="宋体"/>
          <w:bCs/>
          <w:color w:val="auto"/>
          <w:highlight w:val="none"/>
        </w:rPr>
        <w:t>），每满足一项得</w:t>
      </w:r>
      <w:r>
        <w:rPr>
          <w:rFonts w:hint="eastAsia" w:ascii="宋体" w:hAnsi="宋体" w:cs="宋体"/>
          <w:bCs/>
          <w:color w:val="auto"/>
          <w:highlight w:val="none"/>
          <w:lang w:val="en-US" w:eastAsia="zh-CN"/>
        </w:rPr>
        <w:t>2</w:t>
      </w:r>
      <w:r>
        <w:rPr>
          <w:rFonts w:hint="eastAsia" w:ascii="宋体" w:hAnsi="宋体" w:cs="宋体"/>
          <w:bCs/>
          <w:color w:val="auto"/>
          <w:highlight w:val="none"/>
        </w:rPr>
        <w:t>分，</w:t>
      </w:r>
      <w:r>
        <w:rPr>
          <w:rFonts w:hint="eastAsia" w:ascii="宋体" w:hAnsi="宋体" w:cs="宋体"/>
          <w:bCs/>
          <w:color w:val="auto"/>
          <w:szCs w:val="24"/>
          <w:highlight w:val="none"/>
        </w:rPr>
        <w:t>未提供不得分</w:t>
      </w:r>
      <w:r>
        <w:rPr>
          <w:rFonts w:hint="eastAsia" w:ascii="宋体" w:hAnsi="宋体" w:cs="宋体"/>
          <w:bCs/>
          <w:color w:val="auto"/>
          <w:highlight w:val="none"/>
        </w:rPr>
        <w:t>。</w:t>
      </w:r>
    </w:p>
    <w:p w14:paraId="46E8130B">
      <w:pPr>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.平台演示视频（</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分）：</w:t>
      </w:r>
    </w:p>
    <w:p w14:paraId="612A871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须按照招标文件规定的演示内容制作演示视频文件，演示视频中的演示方式为投标人实有系统操作演示录屏，使用PPT演示、市场宣传视频演示或其他非实操演示视频等方式均不得分。根据投标人视频演示情况和以下功能得分点进行打分，功能大项中有一功能点不满足要求该项不得分，未按要求进行演示或未提供演示视频的不得分。</w:t>
      </w:r>
    </w:p>
    <w:p w14:paraId="0362F00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平台集无人机、无人船和车辆视频管控于一体，支持通过板块切换在三者管理界面间跳转。</w:t>
      </w:r>
      <w:r>
        <w:rPr>
          <w:rFonts w:hint="eastAsia" w:ascii="宋体" w:hAnsi="宋体" w:cs="宋体"/>
          <w:color w:val="auto"/>
          <w:sz w:val="24"/>
          <w:highlight w:val="none"/>
          <w:lang w:eastAsia="zh-CN"/>
        </w:rPr>
        <w:t>（</w:t>
      </w:r>
      <w:r>
        <w:rPr>
          <w:rFonts w:hint="eastAsia" w:ascii="宋体" w:hAnsi="宋体" w:cs="宋体"/>
          <w:color w:val="auto"/>
          <w:sz w:val="24"/>
          <w:highlight w:val="none"/>
        </w:rPr>
        <w:t>2分</w:t>
      </w:r>
      <w:r>
        <w:rPr>
          <w:rFonts w:hint="eastAsia" w:ascii="宋体" w:hAnsi="宋体" w:cs="宋体"/>
          <w:color w:val="auto"/>
          <w:sz w:val="24"/>
          <w:highlight w:val="none"/>
          <w:lang w:eastAsia="zh-CN"/>
        </w:rPr>
        <w:t>）</w:t>
      </w:r>
    </w:p>
    <w:p w14:paraId="36089D87">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平台具备AI识别功能（河面漂浮物、地面垃圾、机动车违停、植物枯萎等），工单管理（包含问题类型，触发时间，问题位置，现场截图，处理日志和闭环记录），数据汇总（包含问题总数统计、频发问题数量统计、问题分类统计、解决情况统计等）</w:t>
      </w:r>
      <w:r>
        <w:rPr>
          <w:rFonts w:hint="eastAsia" w:ascii="宋体" w:hAnsi="宋体" w:cs="宋体"/>
          <w:color w:val="auto"/>
          <w:sz w:val="24"/>
          <w:highlight w:val="none"/>
          <w:lang w:eastAsia="zh-CN"/>
        </w:rPr>
        <w:t>（</w:t>
      </w:r>
      <w:r>
        <w:rPr>
          <w:rFonts w:hint="eastAsia" w:ascii="宋体" w:hAnsi="宋体" w:cs="宋体"/>
          <w:color w:val="auto"/>
          <w:sz w:val="24"/>
          <w:highlight w:val="none"/>
        </w:rPr>
        <w:t>2分</w:t>
      </w:r>
      <w:r>
        <w:rPr>
          <w:rFonts w:hint="eastAsia" w:ascii="宋体" w:hAnsi="宋体" w:cs="宋体"/>
          <w:color w:val="auto"/>
          <w:sz w:val="24"/>
          <w:highlight w:val="none"/>
          <w:lang w:eastAsia="zh-CN"/>
        </w:rPr>
        <w:t>）</w:t>
      </w:r>
    </w:p>
    <w:p w14:paraId="28F9A148">
      <w:pPr>
        <w:numPr>
          <w:ilvl w:val="4"/>
          <w:numId w:val="0"/>
        </w:numPr>
        <w:tabs>
          <w:tab w:val="left" w:pos="525"/>
          <w:tab w:val="left" w:pos="945"/>
          <w:tab w:val="left" w:pos="1155"/>
          <w:tab w:val="left" w:pos="3823"/>
        </w:tabs>
        <w:spacing w:line="500" w:lineRule="exact"/>
        <w:ind w:firstLine="482"/>
        <w:rPr>
          <w:rFonts w:hint="eastAsia" w:ascii="宋体" w:hAnsi="宋体"/>
          <w:b/>
          <w:bCs/>
          <w:color w:val="auto"/>
          <w:sz w:val="24"/>
          <w:szCs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bCs/>
          <w:color w:val="auto"/>
          <w:sz w:val="24"/>
          <w:highlight w:val="none"/>
        </w:rPr>
        <w:t>人员双随机轮岗监管演示</w:t>
      </w:r>
      <w:r>
        <w:rPr>
          <w:rFonts w:hint="eastAsia" w:ascii="宋体" w:hAnsi="宋体"/>
          <w:bCs/>
          <w:color w:val="auto"/>
          <w:sz w:val="24"/>
          <w:highlight w:val="none"/>
          <w:lang w:eastAsia="zh-CN"/>
        </w:rPr>
        <w:t>（</w:t>
      </w:r>
      <w:r>
        <w:rPr>
          <w:rFonts w:hint="eastAsia" w:ascii="宋体" w:hAnsi="宋体"/>
          <w:bCs/>
          <w:color w:val="auto"/>
          <w:sz w:val="24"/>
          <w:highlight w:val="none"/>
        </w:rPr>
        <w:t>包括巡查单元划分、轮岗区域划分、双随机轮岗、人员实时监管</w:t>
      </w:r>
      <w:r>
        <w:rPr>
          <w:rFonts w:hint="eastAsia" w:ascii="宋体" w:hAnsi="宋体"/>
          <w:bCs/>
          <w:color w:val="auto"/>
          <w:sz w:val="24"/>
          <w:highlight w:val="none"/>
          <w:lang w:eastAsia="zh-CN"/>
        </w:rPr>
        <w:t>）（</w:t>
      </w:r>
      <w:r>
        <w:rPr>
          <w:rFonts w:hint="eastAsia" w:ascii="宋体" w:hAnsi="宋体" w:cs="宋体"/>
          <w:color w:val="auto"/>
          <w:sz w:val="24"/>
          <w:highlight w:val="none"/>
        </w:rPr>
        <w:t>2分</w:t>
      </w:r>
      <w:r>
        <w:rPr>
          <w:rFonts w:hint="eastAsia" w:ascii="宋体" w:hAnsi="宋体" w:cs="宋体"/>
          <w:color w:val="auto"/>
          <w:sz w:val="24"/>
          <w:highlight w:val="none"/>
          <w:lang w:eastAsia="zh-CN"/>
        </w:rPr>
        <w:t>）</w:t>
      </w:r>
    </w:p>
    <w:p w14:paraId="6B2E7D38">
      <w:pPr>
        <w:numPr>
          <w:ilvl w:val="4"/>
          <w:numId w:val="0"/>
        </w:numPr>
        <w:tabs>
          <w:tab w:val="left" w:pos="525"/>
          <w:tab w:val="left" w:pos="945"/>
          <w:tab w:val="left" w:pos="1155"/>
          <w:tab w:val="left" w:pos="3823"/>
        </w:tabs>
        <w:spacing w:line="500" w:lineRule="exact"/>
        <w:ind w:firstLine="482"/>
        <w:rPr>
          <w:rFonts w:ascii="宋体" w:hAnsi="宋体"/>
          <w:b/>
          <w:bCs/>
          <w:color w:val="auto"/>
          <w:sz w:val="24"/>
          <w:szCs w:val="24"/>
          <w:highlight w:val="none"/>
        </w:rPr>
      </w:pPr>
      <w:r>
        <w:rPr>
          <w:rFonts w:hint="eastAsia" w:ascii="宋体" w:hAnsi="宋体"/>
          <w:b/>
          <w:bCs/>
          <w:color w:val="auto"/>
          <w:sz w:val="24"/>
          <w:szCs w:val="24"/>
          <w:highlight w:val="none"/>
          <w:lang w:val="en-US" w:eastAsia="zh-CN"/>
        </w:rPr>
        <w:t>5</w:t>
      </w:r>
      <w:r>
        <w:rPr>
          <w:rFonts w:hint="eastAsia" w:ascii="宋体" w:hAnsi="宋体"/>
          <w:b/>
          <w:bCs/>
          <w:color w:val="auto"/>
          <w:sz w:val="24"/>
          <w:szCs w:val="24"/>
          <w:highlight w:val="none"/>
        </w:rPr>
        <w:t>.项目方案</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暗标</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（42分）：</w:t>
      </w:r>
      <w:r>
        <w:rPr>
          <w:rFonts w:hint="eastAsia" w:ascii="宋体" w:hAnsi="宋体"/>
          <w:bCs/>
          <w:color w:val="auto"/>
          <w:sz w:val="24"/>
          <w:highlight w:val="none"/>
        </w:rPr>
        <w:t>在响应采购文件需求的基础上针对下列各部分进行</w:t>
      </w:r>
      <w:r>
        <w:rPr>
          <w:rFonts w:hint="eastAsia" w:ascii="宋体" w:hAnsi="宋体"/>
          <w:bCs/>
          <w:color w:val="auto"/>
          <w:sz w:val="24"/>
          <w:szCs w:val="24"/>
          <w:highlight w:val="none"/>
        </w:rPr>
        <w:t>评价，要求体现科学合理性、条理性、可行性、完善性、针对性，无方案不得分。投标人编制服务方案时请</w:t>
      </w:r>
      <w:r>
        <w:rPr>
          <w:rFonts w:hint="eastAsia" w:ascii="宋体" w:hAnsi="宋体"/>
          <w:color w:val="auto"/>
          <w:sz w:val="24"/>
          <w:szCs w:val="24"/>
          <w:highlight w:val="none"/>
        </w:rPr>
        <w:t>按以下顺序编制，以便评审。</w:t>
      </w:r>
    </w:p>
    <w:p w14:paraId="5C6C7543">
      <w:pPr>
        <w:tabs>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（1）总体理解程度（8分）：根据服务内容对项目的工作目标和工作任务进行分析，同时对无人机、无人船、车辆视频采集设备在城管场景下的应用理解，针对新吴区特点提出合理适用性分析。</w:t>
      </w:r>
    </w:p>
    <w:p w14:paraId="1EBF815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bCs/>
          <w:color w:val="auto"/>
          <w:kern w:val="0"/>
          <w:sz w:val="24"/>
          <w:szCs w:val="21"/>
          <w:highlight w:val="none"/>
          <w:lang w:val="en-US" w:eastAsia="zh-CN" w:bidi="ar"/>
        </w:rPr>
        <w:t>①</w:t>
      </w:r>
      <w:r>
        <w:rPr>
          <w:rFonts w:hint="eastAsia" w:ascii="宋体" w:hAnsi="宋体" w:eastAsia="宋体" w:cs="宋体"/>
          <w:color w:val="auto"/>
          <w:kern w:val="0"/>
          <w:sz w:val="24"/>
          <w:szCs w:val="24"/>
          <w:highlight w:val="none"/>
          <w:lang w:val="en-US" w:eastAsia="zh-CN" w:bidi="ar"/>
        </w:rPr>
        <w:t>重难点分析（4分）；</w:t>
      </w:r>
      <w:r>
        <w:rPr>
          <w:rFonts w:hint="eastAsia" w:ascii="宋体" w:hAnsi="宋体" w:cs="宋体"/>
          <w:bCs/>
          <w:color w:val="auto"/>
          <w:sz w:val="24"/>
          <w:highlight w:val="none"/>
        </w:rPr>
        <w:t>②</w:t>
      </w:r>
      <w:r>
        <w:rPr>
          <w:rFonts w:hint="eastAsia" w:ascii="宋体" w:hAnsi="宋体"/>
          <w:bCs/>
          <w:color w:val="auto"/>
          <w:sz w:val="24"/>
          <w:szCs w:val="24"/>
          <w:highlight w:val="none"/>
        </w:rPr>
        <w:t>合理适用性分析</w:t>
      </w:r>
      <w:r>
        <w:rPr>
          <w:rFonts w:hint="eastAsia" w:ascii="宋体" w:hAnsi="宋体" w:eastAsia="宋体" w:cs="宋体"/>
          <w:color w:val="auto"/>
          <w:kern w:val="0"/>
          <w:sz w:val="24"/>
          <w:szCs w:val="24"/>
          <w:highlight w:val="none"/>
          <w:lang w:val="en-US" w:eastAsia="zh-CN" w:bidi="ar"/>
        </w:rPr>
        <w:t>（4分）。</w:t>
      </w:r>
    </w:p>
    <w:p w14:paraId="4C64C30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方案完整、科学合理，设计清晰详细，完全符合本项目需求，每项得</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w:t>
      </w:r>
    </w:p>
    <w:p w14:paraId="6A26806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方案完整性一般，科学合理性一般，设计清晰详细程度一般，每项得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p>
    <w:p w14:paraId="412C8BB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方案完整性、科学合理性、设计的清晰详细程度等只能基本满足要求，每项得1分；</w:t>
      </w:r>
    </w:p>
    <w:p w14:paraId="64B8DA41">
      <w:pPr>
        <w:tabs>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内容存在不能满足采购需求，或存在逻辑错误、前后矛盾，或存在违反现行相关规范的或无方案的，不得分。</w:t>
      </w:r>
    </w:p>
    <w:p w14:paraId="507D6B3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cs="宋体"/>
          <w:bCs/>
          <w:color w:val="auto"/>
          <w:sz w:val="24"/>
          <w:highlight w:val="none"/>
        </w:rPr>
        <w:t>智能</w:t>
      </w:r>
      <w:r>
        <w:rPr>
          <w:rFonts w:hint="eastAsia" w:ascii="宋体" w:hAnsi="宋体" w:cs="宋体"/>
          <w:bCs/>
          <w:color w:val="auto"/>
          <w:sz w:val="24"/>
          <w:highlight w:val="none"/>
          <w:lang w:val="zh-CN"/>
        </w:rPr>
        <w:t>信息采集</w:t>
      </w:r>
      <w:r>
        <w:rPr>
          <w:rFonts w:hint="eastAsia" w:ascii="宋体" w:hAnsi="宋体" w:cs="宋体"/>
          <w:bCs/>
          <w:color w:val="auto"/>
          <w:sz w:val="24"/>
          <w:highlight w:val="none"/>
        </w:rPr>
        <w:t>实施</w:t>
      </w:r>
      <w:r>
        <w:rPr>
          <w:rFonts w:hint="eastAsia" w:ascii="宋体" w:hAnsi="宋体" w:cs="宋体"/>
          <w:bCs/>
          <w:color w:val="auto"/>
          <w:sz w:val="24"/>
          <w:highlight w:val="none"/>
          <w:lang w:val="zh-CN"/>
        </w:rPr>
        <w:t>方案</w:t>
      </w:r>
      <w:r>
        <w:rPr>
          <w:rFonts w:hint="eastAsia" w:ascii="宋体" w:hAnsi="宋体"/>
          <w:bCs/>
          <w:color w:val="auto"/>
          <w:sz w:val="24"/>
          <w:szCs w:val="24"/>
          <w:highlight w:val="none"/>
        </w:rPr>
        <w:t>（9分）：内容包括：</w:t>
      </w:r>
      <w:r>
        <w:rPr>
          <w:rFonts w:hint="eastAsia" w:ascii="宋体" w:hAnsi="宋体" w:cs="宋体"/>
          <w:bCs/>
          <w:color w:val="auto"/>
          <w:sz w:val="24"/>
          <w:highlight w:val="none"/>
        </w:rPr>
        <w:t>①针对新吴区城管重点领域（如</w:t>
      </w:r>
      <w:r>
        <w:rPr>
          <w:rFonts w:hint="eastAsia" w:ascii="宋体" w:hAnsi="宋体" w:cs="宋体"/>
          <w:color w:val="auto"/>
          <w:sz w:val="24"/>
          <w:highlight w:val="none"/>
        </w:rPr>
        <w:t>河面漂浮物，地面垃圾，机动车违停，植物枯萎</w:t>
      </w:r>
      <w:r>
        <w:rPr>
          <w:rFonts w:hint="eastAsia" w:ascii="宋体" w:hAnsi="宋体" w:cs="宋体"/>
          <w:bCs/>
          <w:color w:val="auto"/>
          <w:sz w:val="24"/>
          <w:highlight w:val="none"/>
        </w:rPr>
        <w:t>等）制定智能采集方案（3分）；②明确采集方式、数据标准、识别算法及后处理流程（3分）；③提出预警模型或趋势分析方法（3分）</w:t>
      </w:r>
      <w:r>
        <w:rPr>
          <w:rFonts w:hint="eastAsia" w:ascii="宋体" w:hAnsi="宋体"/>
          <w:bCs/>
          <w:color w:val="auto"/>
          <w:sz w:val="24"/>
          <w:szCs w:val="24"/>
          <w:highlight w:val="none"/>
        </w:rPr>
        <w:t>。</w:t>
      </w:r>
    </w:p>
    <w:p w14:paraId="022EB0D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方案完整、科学合理，设计清晰详细，完全符合本项目需求，每项得3分；</w:t>
      </w:r>
    </w:p>
    <w:p w14:paraId="43DB9B5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方案完整性一般，科学合理性一般，设计清晰详细程度一般，每项得2分；</w:t>
      </w:r>
    </w:p>
    <w:p w14:paraId="058EACE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方案完整性、科学合理性、设计的清晰详细程度等只能基本满足要求，每项得1分；</w:t>
      </w:r>
    </w:p>
    <w:p w14:paraId="377E1CF8">
      <w:pPr>
        <w:tabs>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内容存在不能满足采购需求，或存在逻辑错误、前后矛盾，或存在违反现行相关规范的或无方案的，不得分。</w:t>
      </w:r>
    </w:p>
    <w:p w14:paraId="3F37288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hint="eastAsia" w:ascii="宋体" w:hAnsi="宋体" w:cs="宋体"/>
          <w:bCs/>
          <w:color w:val="auto"/>
          <w:sz w:val="24"/>
          <w:highlight w:val="none"/>
          <w:lang w:val="zh-CN"/>
        </w:rPr>
        <w:t>业务操作规范</w:t>
      </w:r>
      <w:r>
        <w:rPr>
          <w:rFonts w:hint="eastAsia" w:ascii="宋体" w:hAnsi="宋体"/>
          <w:bCs/>
          <w:color w:val="auto"/>
          <w:sz w:val="24"/>
          <w:szCs w:val="24"/>
          <w:highlight w:val="none"/>
        </w:rPr>
        <w:t>（9分）：内容包括：</w:t>
      </w:r>
      <w:r>
        <w:rPr>
          <w:rFonts w:hint="eastAsia" w:ascii="宋体" w:hAnsi="宋体" w:cs="宋体"/>
          <w:bCs/>
          <w:color w:val="auto"/>
          <w:sz w:val="24"/>
          <w:highlight w:val="none"/>
        </w:rPr>
        <w:t>①项目技术要求理解（3分）；②日常采集业务操作规范（3分）；③专项采集业务操作规范，包含覆盖空、地、水一体化采集的标准化作业流程（3分）</w:t>
      </w:r>
      <w:r>
        <w:rPr>
          <w:rFonts w:hint="eastAsia" w:ascii="宋体" w:hAnsi="宋体"/>
          <w:bCs/>
          <w:color w:val="auto"/>
          <w:sz w:val="24"/>
          <w:szCs w:val="24"/>
          <w:highlight w:val="none"/>
        </w:rPr>
        <w:t>。</w:t>
      </w:r>
    </w:p>
    <w:p w14:paraId="2A8235B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方案完整、科学合理，设计清晰详细，完全符合本项目需求，每项得3分；</w:t>
      </w:r>
    </w:p>
    <w:p w14:paraId="339A77C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方案完整性一般，科学合理性一般，设计清晰详细程度一般，每项得2分；</w:t>
      </w:r>
    </w:p>
    <w:p w14:paraId="1FB6534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方案完整性、科学合理性、设计的清晰详细程度等只能基本满足要求，每项得1分；</w:t>
      </w:r>
    </w:p>
    <w:p w14:paraId="4140356D">
      <w:pPr>
        <w:tabs>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内容存在不能满足采购需求，或存在逻辑错误、前后矛盾，或存在违反现行相关规范的或无方案的，不得分。</w:t>
      </w:r>
    </w:p>
    <w:p w14:paraId="4F68FFD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hint="eastAsia" w:ascii="宋体" w:hAnsi="宋体" w:cs="宋体"/>
          <w:color w:val="auto"/>
          <w:sz w:val="24"/>
          <w:szCs w:val="24"/>
          <w:highlight w:val="none"/>
        </w:rPr>
        <w:t>效能评估运行方案</w:t>
      </w:r>
      <w:r>
        <w:rPr>
          <w:rFonts w:hint="eastAsia" w:ascii="宋体" w:hAnsi="宋体"/>
          <w:bCs/>
          <w:color w:val="auto"/>
          <w:sz w:val="24"/>
          <w:szCs w:val="24"/>
          <w:highlight w:val="none"/>
        </w:rPr>
        <w:t>（12分）：内容包括：</w:t>
      </w:r>
      <w:r>
        <w:rPr>
          <w:rFonts w:hint="eastAsia" w:ascii="宋体" w:hAnsi="宋体" w:cs="宋体"/>
          <w:bCs/>
          <w:color w:val="auto"/>
          <w:sz w:val="24"/>
          <w:highlight w:val="none"/>
        </w:rPr>
        <w:t>①区域综合提升高质量发展考核的日常监测效能评估</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3分</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；②城市管理重点区域、保障路线及节假日、恶劣天气等特殊场景的专项评估</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3分</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；③城市精细化管理重难点工作推进专项的提前研判预警评估</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3分</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；④市容难点、热点、重点管理区域</w:t>
      </w:r>
      <w:r>
        <w:rPr>
          <w:rFonts w:hint="eastAsia"/>
          <w:color w:val="auto"/>
          <w:sz w:val="24"/>
          <w:highlight w:val="none"/>
          <w:lang w:eastAsia="zh-CN"/>
        </w:rPr>
        <w:t>及垃圾分类情况</w:t>
      </w:r>
      <w:r>
        <w:rPr>
          <w:rFonts w:hint="eastAsia" w:ascii="宋体" w:hAnsi="宋体" w:cs="宋体"/>
          <w:bCs/>
          <w:color w:val="auto"/>
          <w:sz w:val="24"/>
          <w:highlight w:val="none"/>
        </w:rPr>
        <w:t>专项分析评估</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3分</w:t>
      </w:r>
      <w:r>
        <w:rPr>
          <w:rFonts w:hint="eastAsia" w:ascii="宋体" w:hAnsi="宋体" w:cs="宋体"/>
          <w:bCs/>
          <w:color w:val="auto"/>
          <w:sz w:val="24"/>
          <w:highlight w:val="none"/>
          <w:lang w:eastAsia="zh-CN"/>
        </w:rPr>
        <w:t>）</w:t>
      </w:r>
      <w:r>
        <w:rPr>
          <w:rFonts w:hint="eastAsia" w:ascii="宋体" w:hAnsi="宋体"/>
          <w:bCs/>
          <w:color w:val="auto"/>
          <w:sz w:val="24"/>
          <w:szCs w:val="24"/>
          <w:highlight w:val="none"/>
        </w:rPr>
        <w:t>。</w:t>
      </w:r>
    </w:p>
    <w:p w14:paraId="340A779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方案完整、科学合理，设计清晰详细，完全符合本项目需求，每项得3分；</w:t>
      </w:r>
    </w:p>
    <w:p w14:paraId="29B2A17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方案完整性一般，科学合理性一般，设计清晰详细程度一般，每项得2分；</w:t>
      </w:r>
    </w:p>
    <w:p w14:paraId="069B342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方案完整性、科学合理性、设计的清晰详细程度等只能基本满足要求，每项得1分；</w:t>
      </w:r>
    </w:p>
    <w:p w14:paraId="2603E8DB">
      <w:pPr>
        <w:tabs>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内容存在不能满足采购需求，或存在逻辑错误、前后矛盾，或存在违反现行相关规范的或无方案的，不得分。</w:t>
      </w:r>
    </w:p>
    <w:p w14:paraId="70C13A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w:t>
      </w:r>
      <w:r>
        <w:rPr>
          <w:rFonts w:hint="eastAsia" w:ascii="宋体" w:hAnsi="宋体" w:cs="宋体"/>
          <w:bCs/>
          <w:color w:val="auto"/>
          <w:sz w:val="24"/>
          <w:highlight w:val="none"/>
        </w:rPr>
        <w:t>信息采集服务人员培训及应急响应与保障方案</w:t>
      </w:r>
      <w:r>
        <w:rPr>
          <w:rFonts w:hint="eastAsia" w:ascii="宋体" w:hAnsi="宋体"/>
          <w:bCs/>
          <w:color w:val="auto"/>
          <w:sz w:val="24"/>
          <w:szCs w:val="24"/>
          <w:highlight w:val="none"/>
        </w:rPr>
        <w:t>（4分）：内容包括：</w:t>
      </w:r>
      <w:r>
        <w:rPr>
          <w:rFonts w:hint="eastAsia" w:ascii="宋体" w:hAnsi="宋体" w:cs="宋体"/>
          <w:bCs/>
          <w:color w:val="auto"/>
          <w:sz w:val="24"/>
          <w:highlight w:val="none"/>
        </w:rPr>
        <w:t>①人员培训方案（2分）；②应急响应与保障方案（2分）</w:t>
      </w:r>
      <w:r>
        <w:rPr>
          <w:rFonts w:hint="eastAsia" w:ascii="宋体" w:hAnsi="宋体"/>
          <w:bCs/>
          <w:color w:val="auto"/>
          <w:sz w:val="24"/>
          <w:szCs w:val="24"/>
          <w:highlight w:val="none"/>
        </w:rPr>
        <w:t>。</w:t>
      </w:r>
    </w:p>
    <w:p w14:paraId="146DA7F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方案完整、科学合理，设计清晰详细，完全符合本项目需求，每项得2分；</w:t>
      </w:r>
    </w:p>
    <w:p w14:paraId="5F079F9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方案完整性一般，科学合理性一般，设计清晰详细程度一般，每项得1分；</w:t>
      </w:r>
    </w:p>
    <w:p w14:paraId="76F6BF0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方案完整性、科学合理性、设计的清晰详细程度等只能基本满足要求，每项得0.5分；</w:t>
      </w:r>
    </w:p>
    <w:p w14:paraId="2285AF1B">
      <w:pPr>
        <w:tabs>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内容存在不能满足采购需求，或存在逻辑错误、前后矛盾，或存在违反现行相关规范的或无方案的，不得分。</w:t>
      </w:r>
    </w:p>
    <w:p w14:paraId="082197A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注：评委一般按照上述评分要求及投标技术文件实际内容酌情评分。（取所有评委打分分值的平均值）评分办法及评分细则的解释权</w:t>
      </w:r>
      <w:r>
        <w:rPr>
          <w:rFonts w:hint="eastAsia" w:ascii="宋体" w:hAnsi="宋体"/>
          <w:bCs/>
          <w:color w:val="auto"/>
          <w:sz w:val="24"/>
          <w:szCs w:val="24"/>
          <w:highlight w:val="none"/>
          <w:lang w:eastAsia="zh-CN"/>
        </w:rPr>
        <w:t>属于</w:t>
      </w:r>
      <w:r>
        <w:rPr>
          <w:rFonts w:hint="eastAsia" w:ascii="宋体" w:hAnsi="宋体"/>
          <w:bCs/>
          <w:color w:val="auto"/>
          <w:sz w:val="24"/>
          <w:szCs w:val="24"/>
          <w:highlight w:val="none"/>
        </w:rPr>
        <w:t>采购人。未列入本评分细则的其他条件不作为评分内容。</w:t>
      </w:r>
    </w:p>
    <w:p w14:paraId="7F87673E">
      <w:pPr>
        <w:tabs>
          <w:tab w:val="left" w:pos="1440"/>
        </w:tabs>
        <w:spacing w:line="500" w:lineRule="exact"/>
        <w:jc w:val="center"/>
        <w:outlineLvl w:val="0"/>
        <w:rPr>
          <w:rFonts w:ascii="黑体" w:hAnsi="黑体" w:eastAsia="黑体"/>
          <w:color w:val="auto"/>
          <w:sz w:val="36"/>
          <w:szCs w:val="36"/>
          <w:highlight w:val="none"/>
        </w:rPr>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91"/>
      <w:bookmarkEnd w:id="192"/>
      <w:bookmarkEnd w:id="196"/>
      <w:r>
        <w:rPr>
          <w:rFonts w:hint="eastAsia" w:ascii="黑体" w:hAnsi="黑体" w:eastAsia="黑体"/>
          <w:color w:val="auto"/>
          <w:sz w:val="36"/>
          <w:szCs w:val="36"/>
          <w:highlight w:val="none"/>
        </w:rPr>
        <w:t>投标文件内容与格式</w:t>
      </w:r>
    </w:p>
    <w:p w14:paraId="3A920CC3">
      <w:pPr>
        <w:pStyle w:val="271"/>
        <w:spacing w:before="0" w:after="0" w:line="500" w:lineRule="exact"/>
        <w:ind w:firstLine="602"/>
        <w:rPr>
          <w:rFonts w:cs="Arial"/>
          <w:b/>
          <w:color w:val="auto"/>
          <w:sz w:val="30"/>
          <w:szCs w:val="30"/>
          <w:highlight w:val="none"/>
        </w:rPr>
      </w:pPr>
      <w:bookmarkStart w:id="198" w:name="_Hlt26955039"/>
      <w:bookmarkEnd w:id="198"/>
      <w:bookmarkStart w:id="199" w:name="_Hlt26671244"/>
      <w:bookmarkEnd w:id="199"/>
      <w:bookmarkStart w:id="200" w:name="_Toc26554094"/>
      <w:bookmarkStart w:id="201" w:name="_Toc49090576"/>
      <w:bookmarkStart w:id="202" w:name="_Toc120614282"/>
      <w:r>
        <w:rPr>
          <w:rFonts w:hint="eastAsia" w:cs="Arial"/>
          <w:b/>
          <w:color w:val="auto"/>
          <w:sz w:val="30"/>
          <w:szCs w:val="30"/>
          <w:highlight w:val="none"/>
        </w:rPr>
        <w:t>第一部分  投标文件内容</w:t>
      </w:r>
    </w:p>
    <w:p w14:paraId="37EF14B1">
      <w:pPr>
        <w:pStyle w:val="271"/>
        <w:spacing w:before="0" w:after="0" w:line="500" w:lineRule="exact"/>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7F8F3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38683ECB">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464FA887">
            <w:pPr>
              <w:pStyle w:val="271"/>
              <w:keepNext w:val="0"/>
              <w:keepLines w:val="0"/>
              <w:suppressLineNumbers w:val="0"/>
              <w:spacing w:before="0" w:beforeAutospacing="0" w:after="0" w:afterAutospacing="0" w:line="240" w:lineRule="auto"/>
              <w:ind w:left="0" w:right="0"/>
              <w:jc w:val="center"/>
              <w:rPr>
                <w:rFonts w:hint="default" w:ascii="宋体" w:hAnsi="宋体" w:cs="宋体"/>
                <w:b/>
                <w:color w:val="auto"/>
                <w:highlight w:val="none"/>
              </w:rPr>
            </w:pPr>
            <w:r>
              <w:rPr>
                <w:rFonts w:hint="eastAsia" w:ascii="宋体" w:hAnsi="宋体" w:cs="宋体"/>
                <w:b/>
                <w:color w:val="auto"/>
                <w:highlight w:val="none"/>
              </w:rPr>
              <w:t>评审项目及评审要求</w:t>
            </w:r>
          </w:p>
        </w:tc>
        <w:tc>
          <w:tcPr>
            <w:tcW w:w="2449" w:type="dxa"/>
            <w:vAlign w:val="center"/>
          </w:tcPr>
          <w:p w14:paraId="2F9A7B11">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b/>
                <w:color w:val="auto"/>
                <w:highlight w:val="none"/>
              </w:rPr>
            </w:pPr>
            <w:r>
              <w:rPr>
                <w:rFonts w:hint="eastAsia" w:ascii="宋体" w:hAnsi="宋体" w:cs="宋体"/>
                <w:b/>
                <w:color w:val="auto"/>
                <w:highlight w:val="none"/>
              </w:rPr>
              <w:t>审查因素</w:t>
            </w:r>
          </w:p>
        </w:tc>
      </w:tr>
      <w:tr w14:paraId="5B4B9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vAlign w:val="center"/>
          </w:tcPr>
          <w:p w14:paraId="4A1F6A98">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color w:val="auto"/>
                <w:highlight w:val="none"/>
              </w:rPr>
            </w:pPr>
            <w:r>
              <w:rPr>
                <w:rFonts w:hint="eastAsia" w:ascii="宋体" w:hAnsi="宋体" w:cs="宋体"/>
                <w:color w:val="auto"/>
                <w:highlight w:val="none"/>
              </w:rPr>
              <w:t>1</w:t>
            </w:r>
          </w:p>
        </w:tc>
        <w:tc>
          <w:tcPr>
            <w:tcW w:w="6104" w:type="dxa"/>
            <w:vAlign w:val="center"/>
          </w:tcPr>
          <w:p w14:paraId="5C30989A">
            <w:pPr>
              <w:pStyle w:val="271"/>
              <w:keepNext w:val="0"/>
              <w:keepLines w:val="0"/>
              <w:suppressLineNumbers w:val="0"/>
              <w:spacing w:before="0" w:beforeAutospacing="0" w:after="0" w:afterAutospacing="0" w:line="240" w:lineRule="auto"/>
              <w:ind w:left="0" w:right="0" w:firstLine="0"/>
              <w:jc w:val="both"/>
              <w:rPr>
                <w:rFonts w:hint="default"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55C8A64E">
            <w:pPr>
              <w:pStyle w:val="271"/>
              <w:keepNext w:val="0"/>
              <w:keepLines w:val="0"/>
              <w:suppressLineNumbers w:val="0"/>
              <w:spacing w:before="0" w:beforeAutospacing="0" w:after="0" w:afterAutospacing="0" w:line="240" w:lineRule="auto"/>
              <w:ind w:left="0" w:right="0" w:firstLine="0"/>
              <w:rPr>
                <w:rFonts w:hint="default"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61BCB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vAlign w:val="center"/>
          </w:tcPr>
          <w:p w14:paraId="3F021B4A">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color w:val="auto"/>
                <w:highlight w:val="none"/>
              </w:rPr>
            </w:pPr>
            <w:r>
              <w:rPr>
                <w:rFonts w:hint="eastAsia" w:ascii="宋体" w:hAnsi="宋体" w:cs="宋体"/>
                <w:color w:val="auto"/>
                <w:highlight w:val="none"/>
              </w:rPr>
              <w:t>2</w:t>
            </w:r>
          </w:p>
        </w:tc>
        <w:tc>
          <w:tcPr>
            <w:tcW w:w="6104" w:type="dxa"/>
            <w:vAlign w:val="center"/>
          </w:tcPr>
          <w:p w14:paraId="4F9A9B34">
            <w:pPr>
              <w:pStyle w:val="271"/>
              <w:keepNext w:val="0"/>
              <w:keepLines w:val="0"/>
              <w:suppressLineNumbers w:val="0"/>
              <w:spacing w:before="0" w:beforeAutospacing="0" w:after="0" w:afterAutospacing="0" w:line="240" w:lineRule="auto"/>
              <w:ind w:left="0" w:right="0" w:firstLine="0"/>
              <w:jc w:val="both"/>
              <w:rPr>
                <w:rFonts w:hint="default"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5C55494E">
            <w:pPr>
              <w:pStyle w:val="271"/>
              <w:keepNext w:val="0"/>
              <w:keepLines w:val="0"/>
              <w:suppressLineNumbers w:val="0"/>
              <w:spacing w:before="0" w:beforeAutospacing="0" w:after="0" w:afterAutospacing="0" w:line="240" w:lineRule="auto"/>
              <w:ind w:left="0" w:right="0" w:firstLine="0"/>
              <w:rPr>
                <w:rFonts w:hint="default" w:ascii="宋体" w:hAnsi="宋体" w:cs="宋体"/>
                <w:color w:val="auto"/>
                <w:highlight w:val="none"/>
              </w:rPr>
            </w:pPr>
          </w:p>
        </w:tc>
      </w:tr>
      <w:tr w14:paraId="69515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vAlign w:val="center"/>
          </w:tcPr>
          <w:p w14:paraId="2416CA2D">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color w:val="auto"/>
                <w:highlight w:val="none"/>
              </w:rPr>
            </w:pPr>
            <w:r>
              <w:rPr>
                <w:rFonts w:hint="eastAsia" w:ascii="宋体" w:hAnsi="宋体" w:cs="宋体"/>
                <w:color w:val="auto"/>
                <w:highlight w:val="none"/>
              </w:rPr>
              <w:t>3</w:t>
            </w:r>
          </w:p>
        </w:tc>
        <w:tc>
          <w:tcPr>
            <w:tcW w:w="6104" w:type="dxa"/>
            <w:vAlign w:val="center"/>
          </w:tcPr>
          <w:p w14:paraId="205A2469">
            <w:pPr>
              <w:pStyle w:val="271"/>
              <w:keepNext w:val="0"/>
              <w:keepLines w:val="0"/>
              <w:suppressLineNumbers w:val="0"/>
              <w:spacing w:before="0" w:beforeAutospacing="0" w:after="0" w:afterAutospacing="0" w:line="240" w:lineRule="auto"/>
              <w:ind w:left="0" w:right="0" w:firstLine="0"/>
              <w:jc w:val="both"/>
              <w:rPr>
                <w:rFonts w:hint="default"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的财务状况报告（资产负债表和利润表）或由会计师事务所出具的2023、2024年度的审计报告和所附已审财务报告（投标人如是自然人情形的，没有经审计的财务报告的，可以提供银行出具的资信证明）</w:t>
            </w:r>
            <w:r>
              <w:rPr>
                <w:rStyle w:val="260"/>
                <w:rFonts w:hint="eastAsia" w:ascii="宋体" w:hAnsi="宋体" w:cs="宋体"/>
                <w:color w:val="auto"/>
                <w:sz w:val="24"/>
                <w:szCs w:val="24"/>
                <w:highlight w:val="none"/>
              </w:rPr>
              <w:t>。</w:t>
            </w:r>
          </w:p>
        </w:tc>
        <w:tc>
          <w:tcPr>
            <w:tcW w:w="2449" w:type="dxa"/>
            <w:vMerge w:val="continue"/>
            <w:vAlign w:val="center"/>
          </w:tcPr>
          <w:p w14:paraId="03E54D7F">
            <w:pPr>
              <w:pStyle w:val="271"/>
              <w:keepNext w:val="0"/>
              <w:keepLines w:val="0"/>
              <w:suppressLineNumbers w:val="0"/>
              <w:spacing w:before="0" w:beforeAutospacing="0" w:after="0" w:afterAutospacing="0" w:line="240" w:lineRule="auto"/>
              <w:ind w:left="0" w:right="0" w:firstLine="0"/>
              <w:rPr>
                <w:rFonts w:hint="default" w:ascii="宋体" w:hAnsi="宋体" w:cs="宋体"/>
                <w:color w:val="auto"/>
                <w:highlight w:val="none"/>
              </w:rPr>
            </w:pPr>
          </w:p>
        </w:tc>
      </w:tr>
      <w:tr w14:paraId="4C87E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vAlign w:val="center"/>
          </w:tcPr>
          <w:p w14:paraId="49A8EC9A">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color w:val="auto"/>
                <w:highlight w:val="none"/>
              </w:rPr>
            </w:pPr>
            <w:r>
              <w:rPr>
                <w:rFonts w:hint="eastAsia" w:ascii="宋体" w:hAnsi="宋体" w:cs="宋体"/>
                <w:color w:val="auto"/>
                <w:highlight w:val="none"/>
              </w:rPr>
              <w:t>4</w:t>
            </w:r>
          </w:p>
        </w:tc>
        <w:tc>
          <w:tcPr>
            <w:tcW w:w="6104" w:type="dxa"/>
            <w:vAlign w:val="center"/>
          </w:tcPr>
          <w:p w14:paraId="3A7DEEF2">
            <w:pPr>
              <w:pStyle w:val="271"/>
              <w:keepNext w:val="0"/>
              <w:keepLines w:val="0"/>
              <w:suppressLineNumbers w:val="0"/>
              <w:spacing w:before="0" w:beforeAutospacing="0" w:after="0" w:afterAutospacing="0" w:line="240" w:lineRule="auto"/>
              <w:ind w:left="0" w:right="0" w:firstLine="0"/>
              <w:jc w:val="both"/>
              <w:rPr>
                <w:rFonts w:hint="default"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的依法缴纳税收的相关材料（提供相关主管部门证明或银行代扣证明）。</w:t>
            </w:r>
          </w:p>
        </w:tc>
        <w:tc>
          <w:tcPr>
            <w:tcW w:w="2449" w:type="dxa"/>
            <w:vMerge w:val="continue"/>
            <w:vAlign w:val="center"/>
          </w:tcPr>
          <w:p w14:paraId="6AE4034F">
            <w:pPr>
              <w:pStyle w:val="271"/>
              <w:keepNext w:val="0"/>
              <w:keepLines w:val="0"/>
              <w:suppressLineNumbers w:val="0"/>
              <w:spacing w:before="0" w:beforeAutospacing="0" w:after="0" w:afterAutospacing="0" w:line="240" w:lineRule="auto"/>
              <w:ind w:left="0" w:right="0" w:firstLine="0"/>
              <w:rPr>
                <w:rFonts w:hint="default" w:ascii="宋体" w:hAnsi="宋体" w:cs="宋体"/>
                <w:color w:val="auto"/>
                <w:highlight w:val="none"/>
              </w:rPr>
            </w:pPr>
          </w:p>
        </w:tc>
      </w:tr>
      <w:tr w14:paraId="0A020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vAlign w:val="center"/>
          </w:tcPr>
          <w:p w14:paraId="3D0C0718">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color w:val="auto"/>
                <w:highlight w:val="none"/>
              </w:rPr>
            </w:pPr>
            <w:r>
              <w:rPr>
                <w:rFonts w:hint="eastAsia" w:ascii="宋体" w:hAnsi="宋体" w:cs="宋体"/>
                <w:color w:val="auto"/>
                <w:highlight w:val="none"/>
              </w:rPr>
              <w:t>5</w:t>
            </w:r>
          </w:p>
        </w:tc>
        <w:tc>
          <w:tcPr>
            <w:tcW w:w="6104" w:type="dxa"/>
            <w:vAlign w:val="center"/>
          </w:tcPr>
          <w:p w14:paraId="54F2C942">
            <w:pPr>
              <w:pStyle w:val="271"/>
              <w:keepNext w:val="0"/>
              <w:keepLines w:val="0"/>
              <w:suppressLineNumbers w:val="0"/>
              <w:spacing w:before="0" w:beforeAutospacing="0" w:after="0" w:afterAutospacing="0" w:line="240" w:lineRule="auto"/>
              <w:ind w:left="0" w:right="0" w:firstLine="0"/>
              <w:jc w:val="both"/>
              <w:rPr>
                <w:rFonts w:hint="default"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的依法缴纳社会保障资金的相关材料（提供相关主管部门证明或银行代扣证明）。</w:t>
            </w:r>
          </w:p>
        </w:tc>
        <w:tc>
          <w:tcPr>
            <w:tcW w:w="2449" w:type="dxa"/>
            <w:vMerge w:val="continue"/>
            <w:vAlign w:val="center"/>
          </w:tcPr>
          <w:p w14:paraId="03A1061E">
            <w:pPr>
              <w:pStyle w:val="271"/>
              <w:keepNext w:val="0"/>
              <w:keepLines w:val="0"/>
              <w:suppressLineNumbers w:val="0"/>
              <w:spacing w:before="0" w:beforeAutospacing="0" w:after="0" w:afterAutospacing="0" w:line="240" w:lineRule="auto"/>
              <w:ind w:left="0" w:right="0" w:firstLine="0"/>
              <w:rPr>
                <w:rFonts w:hint="default" w:ascii="宋体" w:hAnsi="宋体" w:cs="宋体"/>
                <w:color w:val="auto"/>
                <w:highlight w:val="none"/>
              </w:rPr>
            </w:pPr>
          </w:p>
        </w:tc>
      </w:tr>
      <w:tr w14:paraId="60A60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vAlign w:val="center"/>
          </w:tcPr>
          <w:p w14:paraId="4DC38AEF">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color w:val="auto"/>
                <w:highlight w:val="none"/>
              </w:rPr>
            </w:pPr>
            <w:r>
              <w:rPr>
                <w:rFonts w:hint="eastAsia" w:ascii="宋体" w:hAnsi="宋体" w:cs="宋体"/>
                <w:color w:val="auto"/>
                <w:highlight w:val="none"/>
              </w:rPr>
              <w:t>6</w:t>
            </w:r>
          </w:p>
        </w:tc>
        <w:tc>
          <w:tcPr>
            <w:tcW w:w="6104" w:type="dxa"/>
            <w:vAlign w:val="center"/>
          </w:tcPr>
          <w:p w14:paraId="625D25B0">
            <w:pPr>
              <w:pStyle w:val="271"/>
              <w:keepNext w:val="0"/>
              <w:keepLines w:val="0"/>
              <w:suppressLineNumbers w:val="0"/>
              <w:spacing w:before="0" w:beforeAutospacing="0" w:after="0" w:afterAutospacing="0" w:line="240" w:lineRule="auto"/>
              <w:ind w:left="0" w:right="0" w:firstLine="0"/>
              <w:jc w:val="both"/>
              <w:rPr>
                <w:rFonts w:hint="default"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02004170">
            <w:pPr>
              <w:pStyle w:val="271"/>
              <w:keepNext w:val="0"/>
              <w:keepLines w:val="0"/>
              <w:suppressLineNumbers w:val="0"/>
              <w:spacing w:before="0" w:beforeAutospacing="0" w:after="0" w:afterAutospacing="0" w:line="240" w:lineRule="auto"/>
              <w:ind w:left="0" w:right="0" w:firstLine="0"/>
              <w:rPr>
                <w:rFonts w:hint="default" w:ascii="宋体" w:hAnsi="宋体" w:cs="宋体"/>
                <w:color w:val="auto"/>
                <w:highlight w:val="none"/>
              </w:rPr>
            </w:pPr>
          </w:p>
        </w:tc>
      </w:tr>
      <w:tr w14:paraId="4F6B5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14:paraId="49C5D330">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color w:val="auto"/>
                <w:highlight w:val="none"/>
              </w:rPr>
            </w:pPr>
            <w:r>
              <w:rPr>
                <w:rFonts w:hint="eastAsia" w:ascii="宋体" w:hAnsi="宋体" w:cs="宋体"/>
                <w:color w:val="auto"/>
                <w:highlight w:val="none"/>
              </w:rPr>
              <w:t>7</w:t>
            </w:r>
          </w:p>
        </w:tc>
        <w:tc>
          <w:tcPr>
            <w:tcW w:w="6104" w:type="dxa"/>
            <w:vAlign w:val="center"/>
          </w:tcPr>
          <w:p w14:paraId="7A00A4B6">
            <w:pPr>
              <w:pStyle w:val="271"/>
              <w:keepNext w:val="0"/>
              <w:keepLines w:val="0"/>
              <w:suppressLineNumbers w:val="0"/>
              <w:spacing w:before="0" w:beforeAutospacing="0" w:after="0" w:afterAutospacing="0" w:line="240" w:lineRule="auto"/>
              <w:ind w:left="0" w:right="0" w:firstLine="0"/>
              <w:rPr>
                <w:rFonts w:hint="default"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vAlign w:val="center"/>
          </w:tcPr>
          <w:p w14:paraId="17063368">
            <w:pPr>
              <w:pStyle w:val="271"/>
              <w:keepNext w:val="0"/>
              <w:keepLines w:val="0"/>
              <w:suppressLineNumbers w:val="0"/>
              <w:spacing w:before="0" w:beforeAutospacing="0" w:after="0" w:afterAutospacing="0" w:line="240" w:lineRule="auto"/>
              <w:ind w:left="0" w:right="0" w:firstLine="0"/>
              <w:rPr>
                <w:rFonts w:hint="default"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68EE0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38479DE1">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31946E5">
            <w:pPr>
              <w:pStyle w:val="271"/>
              <w:keepNext w:val="0"/>
              <w:keepLines w:val="0"/>
              <w:suppressLineNumbers w:val="0"/>
              <w:spacing w:before="0" w:beforeAutospacing="0" w:after="0" w:afterAutospacing="0" w:line="240" w:lineRule="auto"/>
              <w:ind w:left="0" w:right="0" w:firstLine="0"/>
              <w:jc w:val="both"/>
              <w:rPr>
                <w:rFonts w:hint="default"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特定资格要求的）。</w:t>
            </w:r>
          </w:p>
        </w:tc>
        <w:tc>
          <w:tcPr>
            <w:tcW w:w="2449" w:type="dxa"/>
            <w:vAlign w:val="center"/>
          </w:tcPr>
          <w:p w14:paraId="1F65F63F">
            <w:pPr>
              <w:pStyle w:val="271"/>
              <w:keepNext w:val="0"/>
              <w:keepLines w:val="0"/>
              <w:suppressLineNumbers w:val="0"/>
              <w:spacing w:before="0" w:beforeAutospacing="0" w:after="0" w:afterAutospacing="0" w:line="240" w:lineRule="auto"/>
              <w:ind w:left="0" w:right="0" w:firstLine="0"/>
              <w:rPr>
                <w:rFonts w:hint="default" w:ascii="宋体" w:hAnsi="宋体" w:cs="宋体"/>
                <w:bCs/>
                <w:color w:val="auto"/>
                <w:highlight w:val="none"/>
              </w:rPr>
            </w:pPr>
            <w:r>
              <w:rPr>
                <w:rFonts w:hint="eastAsia" w:ascii="宋体" w:hAnsi="宋体" w:cs="宋体"/>
                <w:color w:val="auto"/>
                <w:highlight w:val="none"/>
              </w:rPr>
              <w:t>特定资格要求，详见第一章《投标邀请》</w:t>
            </w:r>
          </w:p>
        </w:tc>
      </w:tr>
      <w:tr w14:paraId="7F0D1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6EDB65B2">
            <w:pPr>
              <w:pStyle w:val="271"/>
              <w:keepNext w:val="0"/>
              <w:keepLines w:val="0"/>
              <w:suppressLineNumbers w:val="0"/>
              <w:spacing w:before="0" w:beforeAutospacing="0" w:after="0" w:afterAutospacing="0" w:line="240" w:lineRule="auto"/>
              <w:ind w:left="0" w:right="0" w:firstLine="0"/>
              <w:jc w:val="center"/>
              <w:rPr>
                <w:rFonts w:hint="default" w:ascii="宋体" w:hAnsi="宋体" w:cs="宋体"/>
                <w:bCs/>
                <w:color w:val="auto"/>
                <w:highlight w:val="none"/>
              </w:rPr>
            </w:pPr>
            <w:r>
              <w:rPr>
                <w:rFonts w:hint="eastAsia" w:ascii="宋体" w:hAnsi="宋体" w:cs="宋体"/>
                <w:bCs/>
                <w:color w:val="auto"/>
                <w:highlight w:val="none"/>
              </w:rPr>
              <w:t>9</w:t>
            </w:r>
          </w:p>
        </w:tc>
        <w:tc>
          <w:tcPr>
            <w:tcW w:w="8553" w:type="dxa"/>
            <w:gridSpan w:val="2"/>
            <w:vAlign w:val="center"/>
          </w:tcPr>
          <w:p w14:paraId="14FB9C4C">
            <w:pPr>
              <w:pStyle w:val="271"/>
              <w:keepNext w:val="0"/>
              <w:keepLines w:val="0"/>
              <w:suppressLineNumbers w:val="0"/>
              <w:spacing w:before="0" w:beforeAutospacing="0" w:after="0" w:afterAutospacing="0" w:line="240" w:lineRule="auto"/>
              <w:ind w:left="0" w:right="0" w:firstLine="0"/>
              <w:rPr>
                <w:rFonts w:hint="default"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29F983C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592AFF51">
      <w:pPr>
        <w:numPr>
          <w:ilvl w:val="0"/>
          <w:numId w:val="12"/>
        </w:numPr>
        <w:spacing w:line="500" w:lineRule="exact"/>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2F5263A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1E7D85B">
      <w:pPr>
        <w:numPr>
          <w:ilvl w:val="0"/>
          <w:numId w:val="12"/>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27242A2E">
      <w:pPr>
        <w:spacing w:line="500" w:lineRule="exact"/>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11D3652">
      <w:pPr>
        <w:numPr>
          <w:ilvl w:val="0"/>
          <w:numId w:val="12"/>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4910B145">
      <w:pPr>
        <w:numPr>
          <w:ilvl w:val="0"/>
          <w:numId w:val="12"/>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2A19620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11564FC7">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632AEA5B">
      <w:pPr>
        <w:rPr>
          <w:b/>
          <w:color w:val="auto"/>
          <w:sz w:val="28"/>
          <w:szCs w:val="28"/>
          <w:highlight w:val="none"/>
        </w:rPr>
      </w:pPr>
      <w:r>
        <w:rPr>
          <w:rFonts w:hint="eastAsia"/>
          <w:b/>
          <w:color w:val="auto"/>
          <w:sz w:val="28"/>
          <w:szCs w:val="28"/>
          <w:highlight w:val="none"/>
        </w:rPr>
        <w:t>（一）符合性证明文件</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530B6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EB601C8">
            <w:pPr>
              <w:pStyle w:val="271"/>
              <w:keepNext w:val="0"/>
              <w:keepLines w:val="0"/>
              <w:suppressLineNumbers w:val="0"/>
              <w:spacing w:before="0" w:beforeAutospacing="0" w:after="0" w:afterAutospacing="0" w:line="240" w:lineRule="auto"/>
              <w:ind w:left="0" w:right="0" w:firstLine="0"/>
              <w:jc w:val="center"/>
              <w:rPr>
                <w:rFonts w:hint="default" w:cs="Arial"/>
                <w:b/>
                <w:color w:val="auto"/>
                <w:highlight w:val="none"/>
              </w:rPr>
            </w:pPr>
            <w:r>
              <w:rPr>
                <w:rFonts w:hint="eastAsia" w:cs="Arial"/>
                <w:b/>
                <w:color w:val="auto"/>
                <w:highlight w:val="none"/>
              </w:rPr>
              <w:t>序号</w:t>
            </w:r>
          </w:p>
        </w:tc>
        <w:tc>
          <w:tcPr>
            <w:tcW w:w="6095" w:type="dxa"/>
            <w:vAlign w:val="center"/>
          </w:tcPr>
          <w:p w14:paraId="14974E43">
            <w:pPr>
              <w:pStyle w:val="271"/>
              <w:keepNext w:val="0"/>
              <w:keepLines w:val="0"/>
              <w:suppressLineNumbers w:val="0"/>
              <w:spacing w:before="0" w:beforeAutospacing="0" w:after="0" w:afterAutospacing="0" w:line="240" w:lineRule="auto"/>
              <w:ind w:left="0" w:right="0" w:firstLine="0"/>
              <w:jc w:val="center"/>
              <w:rPr>
                <w:rFonts w:hint="default" w:cs="Arial"/>
                <w:b/>
                <w:color w:val="auto"/>
                <w:highlight w:val="none"/>
              </w:rPr>
            </w:pPr>
            <w:r>
              <w:rPr>
                <w:rFonts w:hint="eastAsia" w:ascii="宋体" w:hAnsi="宋体" w:cs="宋体"/>
                <w:b/>
                <w:color w:val="auto"/>
                <w:highlight w:val="none"/>
              </w:rPr>
              <w:t>评审项目及评审要求</w:t>
            </w:r>
          </w:p>
        </w:tc>
        <w:tc>
          <w:tcPr>
            <w:tcW w:w="1979" w:type="dxa"/>
            <w:vAlign w:val="center"/>
          </w:tcPr>
          <w:p w14:paraId="5A4C1B10">
            <w:pPr>
              <w:pStyle w:val="271"/>
              <w:keepNext w:val="0"/>
              <w:keepLines w:val="0"/>
              <w:suppressLineNumbers w:val="0"/>
              <w:spacing w:before="0" w:beforeAutospacing="0" w:after="0" w:afterAutospacing="0" w:line="240" w:lineRule="auto"/>
              <w:ind w:left="0" w:right="0" w:firstLine="0"/>
              <w:jc w:val="center"/>
              <w:rPr>
                <w:rFonts w:hint="default" w:cs="Arial"/>
                <w:b/>
                <w:color w:val="auto"/>
                <w:highlight w:val="none"/>
              </w:rPr>
            </w:pPr>
            <w:r>
              <w:rPr>
                <w:rFonts w:hint="eastAsia" w:cs="Arial"/>
                <w:b/>
                <w:color w:val="auto"/>
                <w:highlight w:val="none"/>
              </w:rPr>
              <w:t>审查因素</w:t>
            </w:r>
          </w:p>
        </w:tc>
      </w:tr>
      <w:tr w14:paraId="655B1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5CD00E63">
            <w:pPr>
              <w:pStyle w:val="271"/>
              <w:keepNext w:val="0"/>
              <w:keepLines w:val="0"/>
              <w:suppressLineNumbers w:val="0"/>
              <w:spacing w:before="0" w:beforeAutospacing="0" w:after="0" w:afterAutospacing="0" w:line="240" w:lineRule="auto"/>
              <w:ind w:left="0" w:right="0" w:firstLine="0"/>
              <w:jc w:val="center"/>
              <w:rPr>
                <w:rFonts w:hint="default" w:ascii="宋体" w:hAnsi="宋体" w:cs="Arial"/>
                <w:color w:val="auto"/>
                <w:highlight w:val="none"/>
              </w:rPr>
            </w:pPr>
            <w:r>
              <w:rPr>
                <w:rFonts w:hint="eastAsia" w:ascii="宋体" w:hAnsi="宋体" w:cs="Arial"/>
                <w:color w:val="auto"/>
                <w:highlight w:val="none"/>
              </w:rPr>
              <w:t>1</w:t>
            </w:r>
          </w:p>
        </w:tc>
        <w:tc>
          <w:tcPr>
            <w:tcW w:w="6095" w:type="dxa"/>
            <w:vAlign w:val="center"/>
          </w:tcPr>
          <w:p w14:paraId="2BDD8A33">
            <w:pPr>
              <w:pStyle w:val="271"/>
              <w:keepNext w:val="0"/>
              <w:keepLines w:val="0"/>
              <w:suppressLineNumbers w:val="0"/>
              <w:spacing w:before="0" w:beforeAutospacing="0" w:after="0" w:afterAutospacing="0" w:line="240" w:lineRule="auto"/>
              <w:ind w:left="0" w:right="0" w:firstLine="0"/>
              <w:jc w:val="both"/>
              <w:rPr>
                <w:rFonts w:hint="default"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89F3B87">
            <w:pPr>
              <w:pStyle w:val="271"/>
              <w:keepNext w:val="0"/>
              <w:keepLines w:val="0"/>
              <w:suppressLineNumbers w:val="0"/>
              <w:spacing w:before="0" w:beforeAutospacing="0" w:after="0" w:afterAutospacing="0" w:line="240" w:lineRule="auto"/>
              <w:ind w:left="0" w:right="0" w:firstLine="0"/>
              <w:jc w:val="center"/>
              <w:rPr>
                <w:rFonts w:hint="default" w:cs="Arial"/>
                <w:color w:val="auto"/>
                <w:highlight w:val="none"/>
              </w:rPr>
            </w:pPr>
            <w:r>
              <w:rPr>
                <w:rFonts w:hint="eastAsia" w:cs="Arial"/>
                <w:color w:val="auto"/>
                <w:highlight w:val="none"/>
              </w:rPr>
              <w:t>商务符合性</w:t>
            </w:r>
          </w:p>
        </w:tc>
      </w:tr>
      <w:tr w14:paraId="4C7C7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0E9CA3A">
            <w:pPr>
              <w:pStyle w:val="271"/>
              <w:keepNext w:val="0"/>
              <w:keepLines w:val="0"/>
              <w:suppressLineNumbers w:val="0"/>
              <w:spacing w:before="0" w:beforeAutospacing="0" w:after="0" w:afterAutospacing="0" w:line="240" w:lineRule="auto"/>
              <w:ind w:left="0" w:right="0" w:firstLine="0"/>
              <w:jc w:val="center"/>
              <w:rPr>
                <w:rFonts w:hint="default" w:ascii="宋体" w:hAnsi="宋体" w:cs="Arial"/>
                <w:color w:val="auto"/>
                <w:highlight w:val="none"/>
              </w:rPr>
            </w:pPr>
            <w:r>
              <w:rPr>
                <w:rFonts w:hint="eastAsia" w:ascii="宋体" w:hAnsi="宋体" w:cs="Arial"/>
                <w:color w:val="auto"/>
                <w:highlight w:val="none"/>
              </w:rPr>
              <w:t>2</w:t>
            </w:r>
          </w:p>
        </w:tc>
        <w:tc>
          <w:tcPr>
            <w:tcW w:w="6095" w:type="dxa"/>
            <w:vAlign w:val="center"/>
          </w:tcPr>
          <w:p w14:paraId="551439F8">
            <w:pPr>
              <w:pStyle w:val="271"/>
              <w:keepNext w:val="0"/>
              <w:keepLines w:val="0"/>
              <w:suppressLineNumbers w:val="0"/>
              <w:spacing w:before="0" w:beforeAutospacing="0" w:after="0" w:afterAutospacing="0" w:line="240" w:lineRule="auto"/>
              <w:ind w:left="0" w:right="0" w:firstLine="0"/>
              <w:jc w:val="both"/>
              <w:rPr>
                <w:rFonts w:hint="default"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1B24BA3F">
            <w:pPr>
              <w:pStyle w:val="271"/>
              <w:keepNext w:val="0"/>
              <w:keepLines w:val="0"/>
              <w:suppressLineNumbers w:val="0"/>
              <w:spacing w:before="0" w:beforeAutospacing="0" w:after="0" w:afterAutospacing="0" w:line="240" w:lineRule="auto"/>
              <w:ind w:left="0" w:right="0" w:firstLine="0"/>
              <w:jc w:val="center"/>
              <w:rPr>
                <w:rFonts w:hint="default" w:cs="Arial"/>
                <w:color w:val="auto"/>
                <w:highlight w:val="none"/>
              </w:rPr>
            </w:pPr>
          </w:p>
        </w:tc>
      </w:tr>
      <w:tr w14:paraId="73752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47FD2306">
            <w:pPr>
              <w:pStyle w:val="271"/>
              <w:keepNext w:val="0"/>
              <w:keepLines w:val="0"/>
              <w:suppressLineNumbers w:val="0"/>
              <w:spacing w:before="0" w:beforeAutospacing="0" w:after="0" w:afterAutospacing="0" w:line="240" w:lineRule="auto"/>
              <w:ind w:left="0" w:right="0" w:firstLine="0"/>
              <w:jc w:val="center"/>
              <w:rPr>
                <w:rFonts w:hint="default" w:ascii="宋体" w:hAnsi="宋体"/>
                <w:color w:val="auto"/>
                <w:highlight w:val="none"/>
              </w:rPr>
            </w:pPr>
            <w:r>
              <w:rPr>
                <w:rFonts w:hint="eastAsia" w:ascii="宋体" w:hAnsi="宋体"/>
                <w:color w:val="auto"/>
                <w:highlight w:val="none"/>
              </w:rPr>
              <w:t>3</w:t>
            </w:r>
          </w:p>
        </w:tc>
        <w:tc>
          <w:tcPr>
            <w:tcW w:w="6095" w:type="dxa"/>
            <w:vAlign w:val="center"/>
          </w:tcPr>
          <w:p w14:paraId="5EE97FB7">
            <w:pPr>
              <w:pStyle w:val="271"/>
              <w:keepNext w:val="0"/>
              <w:keepLines w:val="0"/>
              <w:suppressLineNumbers w:val="0"/>
              <w:spacing w:before="0" w:beforeAutospacing="0" w:after="0" w:afterAutospacing="0" w:line="240" w:lineRule="auto"/>
              <w:ind w:left="0" w:right="0" w:firstLine="0"/>
              <w:jc w:val="both"/>
              <w:rPr>
                <w:rFonts w:hint="default" w:ascii="宋体" w:hAnsi="宋体" w:cs="Arial"/>
                <w:color w:val="auto"/>
                <w:highlight w:val="none"/>
              </w:rPr>
            </w:pPr>
            <w:r>
              <w:rPr>
                <w:rFonts w:hint="eastAsia" w:ascii="宋体" w:hAnsi="宋体"/>
                <w:color w:val="auto"/>
                <w:highlight w:val="none"/>
              </w:rPr>
              <w:t>开标一览表（“苏采云”系统中给定格式）</w:t>
            </w:r>
          </w:p>
        </w:tc>
        <w:tc>
          <w:tcPr>
            <w:tcW w:w="1979" w:type="dxa"/>
            <w:vMerge w:val="restart"/>
            <w:vAlign w:val="center"/>
          </w:tcPr>
          <w:p w14:paraId="57296DDF">
            <w:pPr>
              <w:pStyle w:val="271"/>
              <w:keepNext w:val="0"/>
              <w:keepLines w:val="0"/>
              <w:suppressLineNumbers w:val="0"/>
              <w:spacing w:before="0" w:beforeAutospacing="0" w:after="0" w:afterAutospacing="0" w:line="240" w:lineRule="auto"/>
              <w:ind w:left="0" w:right="0" w:firstLine="0"/>
              <w:jc w:val="center"/>
              <w:rPr>
                <w:rFonts w:hint="default" w:cs="Arial"/>
                <w:color w:val="auto"/>
                <w:highlight w:val="none"/>
              </w:rPr>
            </w:pPr>
            <w:r>
              <w:rPr>
                <w:rFonts w:hint="eastAsia" w:cs="Arial"/>
                <w:color w:val="auto"/>
                <w:highlight w:val="none"/>
              </w:rPr>
              <w:t>报价符合性</w:t>
            </w:r>
          </w:p>
        </w:tc>
      </w:tr>
      <w:tr w14:paraId="6D90B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2A86E6A">
            <w:pPr>
              <w:pStyle w:val="271"/>
              <w:keepNext w:val="0"/>
              <w:keepLines w:val="0"/>
              <w:suppressLineNumbers w:val="0"/>
              <w:spacing w:before="0" w:beforeAutospacing="0" w:after="0" w:afterAutospacing="0" w:line="240" w:lineRule="auto"/>
              <w:ind w:left="0" w:right="0" w:firstLine="0"/>
              <w:jc w:val="center"/>
              <w:rPr>
                <w:rFonts w:hint="default" w:ascii="宋体" w:hAnsi="宋体"/>
                <w:color w:val="auto"/>
                <w:highlight w:val="none"/>
              </w:rPr>
            </w:pPr>
            <w:r>
              <w:rPr>
                <w:rFonts w:hint="eastAsia" w:ascii="宋体" w:hAnsi="宋体"/>
                <w:color w:val="auto"/>
                <w:highlight w:val="none"/>
              </w:rPr>
              <w:t>4</w:t>
            </w:r>
          </w:p>
        </w:tc>
        <w:tc>
          <w:tcPr>
            <w:tcW w:w="6095" w:type="dxa"/>
            <w:vAlign w:val="center"/>
          </w:tcPr>
          <w:p w14:paraId="0FC65B64">
            <w:pPr>
              <w:pStyle w:val="271"/>
              <w:keepNext w:val="0"/>
              <w:keepLines w:val="0"/>
              <w:suppressLineNumbers w:val="0"/>
              <w:spacing w:before="0" w:beforeAutospacing="0" w:after="0" w:afterAutospacing="0" w:line="240" w:lineRule="auto"/>
              <w:ind w:left="0" w:right="0" w:firstLine="0"/>
              <w:jc w:val="both"/>
              <w:rPr>
                <w:rFonts w:hint="default" w:ascii="宋体" w:hAnsi="宋体" w:cs="Arial"/>
                <w:color w:val="auto"/>
                <w:highlight w:val="none"/>
              </w:rPr>
            </w:pPr>
            <w:r>
              <w:rPr>
                <w:rFonts w:hint="eastAsia" w:ascii="宋体" w:hAnsi="宋体"/>
                <w:color w:val="auto"/>
                <w:highlight w:val="none"/>
              </w:rPr>
              <w:t>分项报价表</w:t>
            </w:r>
          </w:p>
        </w:tc>
        <w:tc>
          <w:tcPr>
            <w:tcW w:w="1979" w:type="dxa"/>
            <w:vMerge w:val="continue"/>
            <w:vAlign w:val="center"/>
          </w:tcPr>
          <w:p w14:paraId="72AF3A56">
            <w:pPr>
              <w:pStyle w:val="271"/>
              <w:keepNext w:val="0"/>
              <w:keepLines w:val="0"/>
              <w:suppressLineNumbers w:val="0"/>
              <w:spacing w:before="0" w:beforeAutospacing="0" w:after="0" w:afterAutospacing="0" w:line="240" w:lineRule="auto"/>
              <w:ind w:left="0" w:right="0" w:firstLine="0"/>
              <w:jc w:val="center"/>
              <w:rPr>
                <w:rFonts w:hint="default" w:cs="Arial"/>
                <w:color w:val="auto"/>
                <w:highlight w:val="none"/>
              </w:rPr>
            </w:pPr>
          </w:p>
        </w:tc>
      </w:tr>
      <w:tr w14:paraId="48A2C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13871B8">
            <w:pPr>
              <w:pStyle w:val="271"/>
              <w:keepNext w:val="0"/>
              <w:keepLines w:val="0"/>
              <w:suppressLineNumbers w:val="0"/>
              <w:spacing w:before="0" w:beforeAutospacing="0" w:after="0" w:afterAutospacing="0" w:line="240" w:lineRule="auto"/>
              <w:ind w:left="0" w:right="0" w:firstLine="0"/>
              <w:jc w:val="center"/>
              <w:rPr>
                <w:rFonts w:hint="default" w:ascii="宋体" w:hAnsi="宋体"/>
                <w:color w:val="auto"/>
                <w:highlight w:val="none"/>
              </w:rPr>
            </w:pPr>
            <w:r>
              <w:rPr>
                <w:rFonts w:hint="eastAsia" w:ascii="宋体" w:hAnsi="宋体"/>
                <w:color w:val="auto"/>
                <w:highlight w:val="none"/>
              </w:rPr>
              <w:t>5</w:t>
            </w:r>
          </w:p>
        </w:tc>
        <w:tc>
          <w:tcPr>
            <w:tcW w:w="6095" w:type="dxa"/>
            <w:vAlign w:val="center"/>
          </w:tcPr>
          <w:p w14:paraId="05A7326C">
            <w:pPr>
              <w:pStyle w:val="271"/>
              <w:keepNext w:val="0"/>
              <w:keepLines w:val="0"/>
              <w:suppressLineNumbers w:val="0"/>
              <w:spacing w:before="0" w:beforeAutospacing="0" w:after="0" w:afterAutospacing="0" w:line="240" w:lineRule="auto"/>
              <w:ind w:left="0" w:right="0" w:firstLine="0"/>
              <w:jc w:val="both"/>
              <w:rPr>
                <w:rFonts w:hint="default" w:ascii="宋体" w:hAnsi="宋体" w:cs="Arial"/>
                <w:color w:val="auto"/>
                <w:highlight w:val="none"/>
              </w:rPr>
            </w:pPr>
            <w:r>
              <w:rPr>
                <w:rFonts w:hint="eastAsia" w:ascii="宋体" w:hAnsi="宋体"/>
                <w:color w:val="auto"/>
                <w:highlight w:val="none"/>
              </w:rPr>
              <w:t>投标偏离表（给定格式）</w:t>
            </w:r>
          </w:p>
        </w:tc>
        <w:tc>
          <w:tcPr>
            <w:tcW w:w="1979" w:type="dxa"/>
            <w:vMerge w:val="restart"/>
            <w:vAlign w:val="center"/>
          </w:tcPr>
          <w:p w14:paraId="483FF759">
            <w:pPr>
              <w:pStyle w:val="271"/>
              <w:keepNext w:val="0"/>
              <w:keepLines w:val="0"/>
              <w:suppressLineNumbers w:val="0"/>
              <w:spacing w:before="0" w:beforeAutospacing="0" w:after="0" w:afterAutospacing="0" w:line="240" w:lineRule="auto"/>
              <w:ind w:left="0" w:right="0" w:firstLine="0"/>
              <w:jc w:val="center"/>
              <w:rPr>
                <w:rFonts w:hint="default" w:cs="Arial"/>
                <w:color w:val="auto"/>
                <w:highlight w:val="none"/>
              </w:rPr>
            </w:pPr>
            <w:r>
              <w:rPr>
                <w:rFonts w:hint="eastAsia" w:cs="Arial"/>
                <w:color w:val="auto"/>
                <w:highlight w:val="none"/>
              </w:rPr>
              <w:t>技术符合性</w:t>
            </w:r>
          </w:p>
        </w:tc>
      </w:tr>
      <w:tr w14:paraId="1A95B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4A0778EA">
            <w:pPr>
              <w:pStyle w:val="271"/>
              <w:keepNext w:val="0"/>
              <w:keepLines w:val="0"/>
              <w:suppressLineNumbers w:val="0"/>
              <w:spacing w:before="0" w:beforeAutospacing="0" w:after="0" w:afterAutospacing="0" w:line="240" w:lineRule="auto"/>
              <w:ind w:left="0" w:right="0" w:firstLine="0"/>
              <w:jc w:val="center"/>
              <w:rPr>
                <w:rFonts w:hint="default" w:ascii="宋体" w:hAnsi="宋体"/>
                <w:color w:val="auto"/>
                <w:highlight w:val="none"/>
              </w:rPr>
            </w:pPr>
            <w:r>
              <w:rPr>
                <w:rFonts w:hint="eastAsia" w:ascii="宋体" w:hAnsi="宋体"/>
                <w:color w:val="auto"/>
                <w:highlight w:val="none"/>
              </w:rPr>
              <w:t>6</w:t>
            </w:r>
          </w:p>
        </w:tc>
        <w:tc>
          <w:tcPr>
            <w:tcW w:w="6095" w:type="dxa"/>
            <w:vAlign w:val="center"/>
          </w:tcPr>
          <w:p w14:paraId="3B958925">
            <w:pPr>
              <w:pStyle w:val="271"/>
              <w:keepNext w:val="0"/>
              <w:keepLines w:val="0"/>
              <w:suppressLineNumbers w:val="0"/>
              <w:spacing w:before="0" w:beforeAutospacing="0" w:after="0" w:afterAutospacing="0" w:line="240" w:lineRule="auto"/>
              <w:ind w:left="0" w:right="0" w:firstLine="0"/>
              <w:jc w:val="both"/>
              <w:rPr>
                <w:rFonts w:hint="default" w:ascii="宋体" w:hAnsi="宋体"/>
                <w:color w:val="auto"/>
                <w:highlight w:val="none"/>
              </w:rPr>
            </w:pPr>
            <w:r>
              <w:rPr>
                <w:rFonts w:hint="eastAsia" w:ascii="宋体" w:hAnsi="宋体"/>
                <w:color w:val="auto"/>
                <w:highlight w:val="none"/>
              </w:rPr>
              <w:t>《采购需求》中要求提供的证明材料（如有）</w:t>
            </w:r>
          </w:p>
        </w:tc>
        <w:tc>
          <w:tcPr>
            <w:tcW w:w="1979" w:type="dxa"/>
            <w:vMerge w:val="continue"/>
            <w:vAlign w:val="center"/>
          </w:tcPr>
          <w:p w14:paraId="69D93ED3">
            <w:pPr>
              <w:pStyle w:val="271"/>
              <w:keepNext w:val="0"/>
              <w:keepLines w:val="0"/>
              <w:suppressLineNumbers w:val="0"/>
              <w:spacing w:before="0" w:beforeAutospacing="0" w:after="0" w:afterAutospacing="0" w:line="240" w:lineRule="auto"/>
              <w:ind w:left="0" w:right="0" w:firstLine="0"/>
              <w:jc w:val="center"/>
              <w:rPr>
                <w:rFonts w:hint="default" w:cs="Arial"/>
                <w:color w:val="auto"/>
                <w:highlight w:val="none"/>
              </w:rPr>
            </w:pPr>
          </w:p>
        </w:tc>
      </w:tr>
    </w:tbl>
    <w:p w14:paraId="2D332E9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7144036A">
      <w:pPr>
        <w:numPr>
          <w:ilvl w:val="0"/>
          <w:numId w:val="13"/>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1～5项必须按要求全部提供（有给定格式的，必须按给定格式的要求正确填报并提供，相应格式见本章第二部分），否则投标文件无效。</w:t>
      </w:r>
    </w:p>
    <w:p w14:paraId="6796C5F5">
      <w:pPr>
        <w:numPr>
          <w:ilvl w:val="0"/>
          <w:numId w:val="13"/>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符合性证明文件第6项，《采购需求》中如有要求提供证明材料的，须按要求提供，否则投标文件无效。</w:t>
      </w:r>
    </w:p>
    <w:p w14:paraId="42E9D900">
      <w:pPr>
        <w:numPr>
          <w:ilvl w:val="0"/>
          <w:numId w:val="13"/>
        </w:num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w:t>
      </w:r>
      <w:r>
        <w:rPr>
          <w:rFonts w:hint="eastAsia" w:ascii="宋体" w:hAnsi="宋体" w:cs="宋体"/>
          <w:color w:val="auto"/>
          <w:sz w:val="24"/>
          <w:szCs w:val="24"/>
          <w:highlight w:val="none"/>
        </w:rPr>
        <w:t>第1～5项可由联合体主体单位（即联合体牵头人）代表联合体提供。第6项按《采购需求》中的相应要求（如有）进行提供。</w:t>
      </w:r>
    </w:p>
    <w:p w14:paraId="770A27D9">
      <w:pPr>
        <w:rPr>
          <w:b/>
          <w:color w:val="auto"/>
          <w:sz w:val="28"/>
          <w:szCs w:val="28"/>
          <w:highlight w:val="none"/>
        </w:rPr>
      </w:pPr>
    </w:p>
    <w:p w14:paraId="2AF1A243">
      <w:pPr>
        <w:rPr>
          <w:b/>
          <w:color w:val="auto"/>
          <w:sz w:val="28"/>
          <w:szCs w:val="28"/>
          <w:highlight w:val="none"/>
        </w:rPr>
      </w:pPr>
      <w:r>
        <w:rPr>
          <w:rFonts w:hint="eastAsia"/>
          <w:b/>
          <w:color w:val="auto"/>
          <w:sz w:val="28"/>
          <w:szCs w:val="28"/>
          <w:highlight w:val="none"/>
        </w:rPr>
        <w:t>（二）其他证明文件</w:t>
      </w:r>
    </w:p>
    <w:p w14:paraId="2B58D7EB">
      <w:pPr>
        <w:spacing w:line="500" w:lineRule="exact"/>
        <w:ind w:left="480"/>
        <w:rPr>
          <w:rFonts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1C153405">
      <w:pPr>
        <w:spacing w:line="500" w:lineRule="exact"/>
        <w:ind w:left="480"/>
        <w:rPr>
          <w:rFonts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3DD49993">
      <w:pPr>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投标文件格式</w:t>
      </w:r>
    </w:p>
    <w:p w14:paraId="0F1096FA">
      <w:pPr>
        <w:pStyle w:val="271"/>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04EFD630">
      <w:pPr>
        <w:jc w:val="center"/>
        <w:rPr>
          <w:rFonts w:ascii="宋体" w:hAnsi="宋体"/>
          <w:b/>
          <w:color w:val="auto"/>
          <w:sz w:val="72"/>
          <w:highlight w:val="none"/>
          <w:shd w:val="clear" w:color="FFFFFF" w:fill="D9D9D9"/>
        </w:rPr>
      </w:pPr>
    </w:p>
    <w:p w14:paraId="0A01C347">
      <w:pPr>
        <w:jc w:val="center"/>
        <w:rPr>
          <w:rFonts w:ascii="宋体" w:hAnsi="宋体"/>
          <w:b/>
          <w:color w:val="auto"/>
          <w:sz w:val="72"/>
          <w:highlight w:val="none"/>
          <w:shd w:val="clear" w:color="FFFFFF" w:fill="D9D9D9"/>
        </w:rPr>
      </w:pPr>
    </w:p>
    <w:p w14:paraId="7B92E41A">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49BC2CFE">
      <w:pPr>
        <w:jc w:val="center"/>
        <w:rPr>
          <w:rFonts w:ascii="宋体" w:hAnsi="宋体"/>
          <w:b/>
          <w:color w:val="auto"/>
          <w:sz w:val="72"/>
          <w:highlight w:val="none"/>
          <w:shd w:val="clear" w:color="FFFFFF" w:fill="D9D9D9"/>
        </w:rPr>
      </w:pPr>
    </w:p>
    <w:p w14:paraId="0F8C6357">
      <w:pPr>
        <w:jc w:val="center"/>
        <w:rPr>
          <w:rFonts w:ascii="宋体" w:hAnsi="宋体"/>
          <w:b/>
          <w:color w:val="auto"/>
          <w:sz w:val="72"/>
          <w:highlight w:val="none"/>
          <w:shd w:val="clear" w:color="FFFFFF" w:fill="D9D9D9"/>
        </w:rPr>
      </w:pPr>
    </w:p>
    <w:p w14:paraId="336C8286">
      <w:pPr>
        <w:jc w:val="center"/>
        <w:rPr>
          <w:rFonts w:ascii="宋体" w:hAnsi="宋体"/>
          <w:b/>
          <w:color w:val="auto"/>
          <w:sz w:val="72"/>
          <w:highlight w:val="none"/>
          <w:shd w:val="clear" w:color="FFFFFF" w:fill="D9D9D9"/>
        </w:rPr>
      </w:pPr>
    </w:p>
    <w:p w14:paraId="0B220FE8">
      <w:pPr>
        <w:jc w:val="center"/>
        <w:rPr>
          <w:rFonts w:ascii="宋体" w:hAnsi="宋体"/>
          <w:b/>
          <w:color w:val="auto"/>
          <w:sz w:val="72"/>
          <w:highlight w:val="none"/>
          <w:shd w:val="clear" w:color="FFFFFF" w:fill="D9D9D9"/>
        </w:rPr>
      </w:pPr>
    </w:p>
    <w:p w14:paraId="3BE27C57">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项目编号：JSZC-320214-XSGC-G2026-0005</w:t>
      </w:r>
    </w:p>
    <w:p w14:paraId="699FF7C2">
      <w:pPr>
        <w:ind w:left="4189" w:leftChars="852" w:hanging="2400" w:hangingChars="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项目名称：新吴区2026</w:t>
      </w:r>
      <w:r>
        <w:rPr>
          <w:rFonts w:hint="eastAsia" w:ascii="黑体" w:hAnsi="华文中宋" w:eastAsia="黑体"/>
          <w:bCs/>
          <w:color w:val="auto"/>
          <w:sz w:val="30"/>
          <w:szCs w:val="30"/>
          <w:highlight w:val="none"/>
          <w:lang w:eastAsia="zh-CN"/>
        </w:rPr>
        <w:t>—</w:t>
      </w:r>
      <w:r>
        <w:rPr>
          <w:rFonts w:hint="eastAsia" w:ascii="黑体" w:hAnsi="华文中宋" w:eastAsia="黑体"/>
          <w:bCs/>
          <w:color w:val="auto"/>
          <w:sz w:val="30"/>
          <w:szCs w:val="30"/>
          <w:highlight w:val="none"/>
        </w:rPr>
        <w:t>2028年城市精细化管理“第三方”信息采集服务项目</w:t>
      </w:r>
    </w:p>
    <w:p w14:paraId="7463E93B">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2F0FBEB2">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56A8F448">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40AC8DC">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5DCA843F">
      <w:pPr>
        <w:pStyle w:val="269"/>
        <w:ind w:firstLine="480"/>
        <w:rPr>
          <w:color w:val="auto"/>
          <w:sz w:val="24"/>
          <w:szCs w:val="24"/>
          <w:highlight w:val="none"/>
        </w:rPr>
      </w:pPr>
      <w:r>
        <w:rPr>
          <w:rFonts w:hint="eastAsia"/>
          <w:color w:val="auto"/>
          <w:sz w:val="24"/>
          <w:szCs w:val="24"/>
          <w:highlight w:val="none"/>
        </w:rPr>
        <w:t>我公司（单位、联合体）针对</w:t>
      </w:r>
      <w:r>
        <w:rPr>
          <w:rFonts w:hint="eastAsia"/>
          <w:color w:val="auto"/>
          <w:sz w:val="24"/>
          <w:szCs w:val="24"/>
          <w:highlight w:val="none"/>
          <w:u w:val="single"/>
          <w:lang w:eastAsia="zh-CN"/>
        </w:rPr>
        <w:t xml:space="preserve"> </w:t>
      </w:r>
      <w:r>
        <w:rPr>
          <w:rFonts w:hint="eastAsia"/>
          <w:color w:val="auto"/>
          <w:sz w:val="24"/>
          <w:szCs w:val="24"/>
          <w:highlight w:val="none"/>
          <w:u w:val="single"/>
          <w:lang w:val="en-US" w:eastAsia="zh-CN"/>
        </w:rPr>
        <w:t xml:space="preserve">             </w:t>
      </w:r>
      <w:r>
        <w:rPr>
          <w:rFonts w:hint="eastAsia" w:ascii="宋体" w:hAnsi="宋体"/>
          <w:bCs/>
          <w:color w:val="auto"/>
          <w:sz w:val="24"/>
          <w:szCs w:val="24"/>
          <w:highlight w:val="none"/>
        </w:rPr>
        <w:t>项目，兹授权：</w:t>
      </w:r>
    </w:p>
    <w:p w14:paraId="20CAE2E5">
      <w:pPr>
        <w:pStyle w:val="269"/>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46476DAE">
      <w:pPr>
        <w:pStyle w:val="269"/>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214927B9">
      <w:pPr>
        <w:pStyle w:val="269"/>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08402BE6">
      <w:pPr>
        <w:pStyle w:val="269"/>
        <w:ind w:firstLine="480"/>
        <w:rPr>
          <w:rFonts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04C3FD12">
      <w:pPr>
        <w:pStyle w:val="269"/>
        <w:ind w:firstLine="480"/>
        <w:rPr>
          <w:color w:val="auto"/>
          <w:sz w:val="24"/>
          <w:szCs w:val="24"/>
          <w:highlight w:val="none"/>
        </w:rPr>
      </w:pPr>
      <w:r>
        <w:rPr>
          <w:rFonts w:hint="eastAsia"/>
          <w:color w:val="auto"/>
          <w:sz w:val="24"/>
          <w:szCs w:val="24"/>
          <w:highlight w:val="none"/>
        </w:rPr>
        <w:t>特此授权委托。</w:t>
      </w:r>
    </w:p>
    <w:p w14:paraId="693B6C12">
      <w:pPr>
        <w:pStyle w:val="269"/>
        <w:ind w:firstLine="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A38CC25">
      <w:pPr>
        <w:pStyle w:val="269"/>
        <w:ind w:firstLine="0"/>
        <w:rPr>
          <w:color w:val="auto"/>
          <w:sz w:val="24"/>
          <w:szCs w:val="24"/>
          <w:highlight w:val="none"/>
        </w:rPr>
      </w:pPr>
      <w:r>
        <w:rPr>
          <w:rFonts w:hint="eastAsia"/>
          <w:color w:val="auto"/>
          <w:sz w:val="24"/>
          <w:szCs w:val="24"/>
          <w:highlight w:val="none"/>
        </w:rPr>
        <w:t>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p>
    <w:p w14:paraId="02E82768">
      <w:pPr>
        <w:pStyle w:val="269"/>
        <w:ind w:firstLine="0"/>
        <w:rPr>
          <w:color w:val="auto"/>
          <w:sz w:val="24"/>
          <w:szCs w:val="24"/>
          <w:highlight w:val="none"/>
        </w:rPr>
      </w:pPr>
      <w:r>
        <w:rPr>
          <w:rFonts w:hint="eastAsia" w:ascii="宋体" w:hAnsi="宋体" w:cs="宋体"/>
          <w:b/>
          <w:color w:val="auto"/>
          <w:szCs w:val="28"/>
          <w:highlight w:val="none"/>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14:paraId="59D7F3C5">
      <w:pPr>
        <w:pStyle w:val="269"/>
        <w:ind w:firstLine="0"/>
        <w:rPr>
          <w:color w:val="auto"/>
          <w:sz w:val="21"/>
          <w:szCs w:val="21"/>
          <w:highlight w:val="none"/>
        </w:rPr>
      </w:pPr>
    </w:p>
    <w:p w14:paraId="36E79735">
      <w:pPr>
        <w:pStyle w:val="269"/>
        <w:spacing w:line="360" w:lineRule="auto"/>
        <w:ind w:firstLine="0"/>
        <w:rPr>
          <w:color w:val="auto"/>
          <w:sz w:val="21"/>
          <w:szCs w:val="21"/>
          <w:highlight w:val="none"/>
        </w:rPr>
      </w:pPr>
      <w:r>
        <w:rPr>
          <w:rFonts w:hint="eastAsia"/>
          <w:color w:val="auto"/>
          <w:sz w:val="21"/>
          <w:szCs w:val="21"/>
          <w:highlight w:val="none"/>
        </w:rPr>
        <w:t>说明：</w:t>
      </w:r>
    </w:p>
    <w:p w14:paraId="687D42D3">
      <w:pPr>
        <w:pStyle w:val="269"/>
        <w:numPr>
          <w:ilvl w:val="0"/>
          <w:numId w:val="14"/>
        </w:numPr>
        <w:spacing w:line="360" w:lineRule="auto"/>
        <w:ind w:firstLine="420"/>
        <w:rPr>
          <w:rFonts w:ascii="宋体" w:hAnsi="宋体"/>
          <w:color w:val="auto"/>
          <w:sz w:val="21"/>
          <w:szCs w:val="21"/>
          <w:highlight w:val="none"/>
        </w:rPr>
      </w:pPr>
      <w:r>
        <w:rPr>
          <w:rFonts w:ascii="宋体" w:hAnsi="宋体"/>
          <w:color w:val="auto"/>
          <w:sz w:val="21"/>
          <w:szCs w:val="21"/>
          <w:highlight w:val="none"/>
        </w:rPr>
        <w:t>若</w:t>
      </w:r>
      <w:r>
        <w:rPr>
          <w:rFonts w:hint="eastAsia" w:ascii="宋体" w:hAnsi="宋体"/>
          <w:color w:val="auto"/>
          <w:sz w:val="21"/>
          <w:szCs w:val="21"/>
          <w:highlight w:val="none"/>
        </w:rPr>
        <w:t>投标人</w:t>
      </w:r>
      <w:r>
        <w:rPr>
          <w:rFonts w:ascii="宋体" w:hAnsi="宋体"/>
          <w:color w:val="auto"/>
          <w:sz w:val="21"/>
          <w:szCs w:val="21"/>
          <w:highlight w:val="none"/>
        </w:rPr>
        <w:t>为事业单位或其他组织或分支机构（仅</w:t>
      </w:r>
      <w:r>
        <w:rPr>
          <w:rFonts w:hint="eastAsia" w:ascii="宋体" w:hAnsi="宋体"/>
          <w:color w:val="auto"/>
          <w:sz w:val="21"/>
          <w:szCs w:val="21"/>
          <w:highlight w:val="none"/>
        </w:rPr>
        <w:t>限招标</w:t>
      </w:r>
      <w:r>
        <w:rPr>
          <w:rFonts w:ascii="宋体" w:hAnsi="宋体"/>
          <w:color w:val="auto"/>
          <w:sz w:val="21"/>
          <w:szCs w:val="21"/>
          <w:highlight w:val="none"/>
        </w:rPr>
        <w:t>文件注明允许分支机构</w:t>
      </w:r>
      <w:r>
        <w:rPr>
          <w:rFonts w:hint="eastAsia" w:ascii="宋体" w:hAnsi="宋体"/>
          <w:color w:val="auto"/>
          <w:sz w:val="21"/>
          <w:szCs w:val="21"/>
          <w:highlight w:val="none"/>
        </w:rPr>
        <w:t>投标情形</w:t>
      </w:r>
      <w:r>
        <w:rPr>
          <w:rFonts w:ascii="宋体" w:hAnsi="宋体"/>
          <w:color w:val="auto"/>
          <w:sz w:val="21"/>
          <w:szCs w:val="21"/>
          <w:highlight w:val="none"/>
        </w:rPr>
        <w:t>的），则法定代表人</w:t>
      </w:r>
      <w:r>
        <w:rPr>
          <w:rFonts w:hint="eastAsia" w:ascii="宋体" w:hAnsi="宋体"/>
          <w:color w:val="auto"/>
          <w:sz w:val="21"/>
          <w:szCs w:val="21"/>
          <w:highlight w:val="none"/>
        </w:rPr>
        <w:t>处</w:t>
      </w:r>
      <w:r>
        <w:rPr>
          <w:rFonts w:ascii="宋体" w:hAnsi="宋体"/>
          <w:color w:val="auto"/>
          <w:sz w:val="21"/>
          <w:szCs w:val="21"/>
          <w:highlight w:val="none"/>
        </w:rPr>
        <w:t>的签</w:t>
      </w:r>
      <w:r>
        <w:rPr>
          <w:rFonts w:hint="eastAsia" w:ascii="宋体" w:hAnsi="宋体"/>
          <w:color w:val="auto"/>
          <w:sz w:val="21"/>
          <w:szCs w:val="21"/>
          <w:highlight w:val="none"/>
        </w:rPr>
        <w:t>字</w:t>
      </w:r>
      <w:r>
        <w:rPr>
          <w:rFonts w:ascii="宋体" w:hAnsi="宋体"/>
          <w:color w:val="auto"/>
          <w:sz w:val="21"/>
          <w:szCs w:val="21"/>
          <w:highlight w:val="none"/>
        </w:rPr>
        <w:t>人可为单位负责人</w:t>
      </w:r>
      <w:r>
        <w:rPr>
          <w:rFonts w:hint="eastAsia" w:ascii="宋体" w:hAnsi="宋体"/>
          <w:color w:val="auto"/>
          <w:sz w:val="21"/>
          <w:szCs w:val="21"/>
          <w:highlight w:val="none"/>
        </w:rPr>
        <w:t>。</w:t>
      </w:r>
    </w:p>
    <w:p w14:paraId="70F28155">
      <w:pPr>
        <w:pStyle w:val="269"/>
        <w:numPr>
          <w:ilvl w:val="0"/>
          <w:numId w:val="14"/>
        </w:numPr>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当被授权人为法定代表人（或上述情况的单位负责人）时，被授权人相关内容填报为法定代表人（或上述情况的单位负责人）信息，“被授权人签字或盖章”处可不用再重复签字或盖章。</w:t>
      </w:r>
    </w:p>
    <w:p w14:paraId="591CF53A">
      <w:pPr>
        <w:pStyle w:val="269"/>
        <w:numPr>
          <w:ilvl w:val="0"/>
          <w:numId w:val="14"/>
        </w:numPr>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供应商为自然人情形的，可不提供本</w:t>
      </w:r>
      <w:r>
        <w:rPr>
          <w:rFonts w:ascii="宋体" w:hAnsi="宋体"/>
          <w:color w:val="auto"/>
          <w:sz w:val="21"/>
          <w:szCs w:val="21"/>
          <w:highlight w:val="none"/>
        </w:rPr>
        <w:t>《</w:t>
      </w:r>
      <w:r>
        <w:rPr>
          <w:rFonts w:hint="eastAsia" w:ascii="宋体" w:hAnsi="宋体"/>
          <w:color w:val="auto"/>
          <w:sz w:val="21"/>
          <w:szCs w:val="21"/>
          <w:highlight w:val="none"/>
        </w:rPr>
        <w:t>授权委托书</w:t>
      </w:r>
      <w:r>
        <w:rPr>
          <w:rFonts w:ascii="宋体" w:hAnsi="宋体"/>
          <w:color w:val="auto"/>
          <w:sz w:val="21"/>
          <w:szCs w:val="21"/>
          <w:highlight w:val="none"/>
        </w:rPr>
        <w:t>》</w:t>
      </w:r>
      <w:r>
        <w:rPr>
          <w:rFonts w:hint="eastAsia" w:ascii="宋体" w:hAnsi="宋体"/>
          <w:color w:val="auto"/>
          <w:sz w:val="21"/>
          <w:szCs w:val="21"/>
          <w:highlight w:val="none"/>
        </w:rPr>
        <w:t>。</w:t>
      </w:r>
    </w:p>
    <w:p w14:paraId="636801BB">
      <w:pPr>
        <w:pStyle w:val="269"/>
        <w:numPr>
          <w:ilvl w:val="0"/>
          <w:numId w:val="14"/>
        </w:numPr>
        <w:spacing w:line="360" w:lineRule="auto"/>
        <w:ind w:firstLine="420"/>
        <w:rPr>
          <w:rFonts w:ascii="宋体" w:hAnsi="宋体"/>
          <w:color w:val="auto"/>
          <w:sz w:val="21"/>
          <w:szCs w:val="21"/>
          <w:highlight w:val="none"/>
        </w:rPr>
      </w:pPr>
      <w:r>
        <w:rPr>
          <w:rFonts w:hint="eastAsia" w:ascii="宋体" w:hAnsi="宋体"/>
          <w:bCs/>
          <w:color w:val="auto"/>
          <w:sz w:val="21"/>
          <w:szCs w:val="21"/>
          <w:highlight w:val="none"/>
        </w:rPr>
        <w:t>被授权人为外籍、港、澳、台地区人士的，其身份证明须提供有效的护照或港澳同胞来往内地通行证、台湾同胞来往大陆通行证，或其他可在中国大陆有效居留的许可证明。</w:t>
      </w:r>
    </w:p>
    <w:p w14:paraId="65696E67">
      <w:pPr>
        <w:pStyle w:val="269"/>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57225B95">
      <w:pPr>
        <w:jc w:val="center"/>
        <w:outlineLvl w:val="0"/>
        <w:rPr>
          <w:rFonts w:ascii="黑体" w:eastAsia="黑体"/>
          <w:bCs/>
          <w:color w:val="auto"/>
          <w:sz w:val="28"/>
          <w:szCs w:val="28"/>
          <w:highlight w:val="none"/>
        </w:rPr>
      </w:pPr>
      <w:bookmarkStart w:id="203" w:name="报价方关于资格的声明函（格式）"/>
      <w:bookmarkEnd w:id="203"/>
      <w:r>
        <w:rPr>
          <w:rFonts w:hint="eastAsia" w:ascii="黑体" w:eastAsia="黑体"/>
          <w:bCs/>
          <w:color w:val="auto"/>
          <w:sz w:val="28"/>
          <w:szCs w:val="28"/>
          <w:highlight w:val="none"/>
        </w:rPr>
        <w:t>资格声明函</w:t>
      </w:r>
    </w:p>
    <w:p w14:paraId="5B47ACB5">
      <w:pPr>
        <w:spacing w:line="480" w:lineRule="auto"/>
        <w:jc w:val="center"/>
        <w:rPr>
          <w:rFonts w:ascii="宋体"/>
          <w:bCs/>
          <w:color w:val="auto"/>
          <w:sz w:val="24"/>
          <w:szCs w:val="24"/>
          <w:highlight w:val="none"/>
        </w:rPr>
      </w:pPr>
    </w:p>
    <w:p w14:paraId="1895A840">
      <w:pPr>
        <w:spacing w:line="480" w:lineRule="auto"/>
        <w:rPr>
          <w:rFonts w:ascii="宋体"/>
          <w:bCs/>
          <w:color w:val="auto"/>
          <w:sz w:val="24"/>
          <w:szCs w:val="24"/>
          <w:highlight w:val="none"/>
        </w:rPr>
      </w:pPr>
      <w:r>
        <w:rPr>
          <w:rFonts w:hint="eastAsia" w:ascii="宋体" w:hAnsi="宋体"/>
          <w:bCs/>
          <w:color w:val="auto"/>
          <w:sz w:val="24"/>
          <w:szCs w:val="24"/>
          <w:highlight w:val="none"/>
        </w:rPr>
        <w:t>江苏翔顺工程管理咨询有限公司：</w:t>
      </w:r>
    </w:p>
    <w:p w14:paraId="1AC1D111">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bCs/>
          <w:color w:val="auto"/>
          <w:sz w:val="24"/>
          <w:szCs w:val="24"/>
          <w:highlight w:val="none"/>
          <w:u w:val="single"/>
        </w:rPr>
        <w:t>新吴区2026—2028年城市精细化管理“第三方”信息采集服务项目</w:t>
      </w:r>
      <w:r>
        <w:rPr>
          <w:rFonts w:hint="eastAsia" w:ascii="宋体" w:hAnsi="宋体"/>
          <w:bCs/>
          <w:color w:val="auto"/>
          <w:sz w:val="24"/>
          <w:szCs w:val="24"/>
          <w:highlight w:val="none"/>
          <w:u w:val="single"/>
          <w:lang w:eastAsia="zh-CN"/>
        </w:rPr>
        <w:t>（</w:t>
      </w:r>
      <w:r>
        <w:rPr>
          <w:rFonts w:hint="eastAsia"/>
          <w:color w:val="auto"/>
          <w:sz w:val="24"/>
          <w:szCs w:val="24"/>
          <w:highlight w:val="none"/>
          <w:u w:val="single"/>
          <w:lang w:eastAsia="zh-CN"/>
        </w:rPr>
        <w:t>JSZC-320214-XSGC-G2026-0005</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进行投标，并作如下声明</w:t>
      </w:r>
    </w:p>
    <w:p w14:paraId="3C199AB1">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143BC2DA">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7816C8E1">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3.本公司（单位、联合体）无被“信用中国”网站（www.creditchina.gov.cn）、中国政府采购网</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www.ccgp.gov.cn</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列入失信被执行人、重大税收违法</w:t>
      </w:r>
      <w:r>
        <w:rPr>
          <w:rFonts w:hint="eastAsia" w:ascii="宋体" w:hAnsi="宋体"/>
          <w:bCs/>
          <w:color w:val="auto"/>
          <w:sz w:val="24"/>
          <w:szCs w:val="24"/>
          <w:highlight w:val="none"/>
          <w:lang w:val="en-US" w:eastAsia="zh-CN"/>
        </w:rPr>
        <w:t>失信主体</w:t>
      </w:r>
      <w:r>
        <w:rPr>
          <w:rFonts w:hint="eastAsia" w:ascii="宋体" w:hAnsi="宋体"/>
          <w:bCs/>
          <w:color w:val="auto"/>
          <w:sz w:val="24"/>
          <w:szCs w:val="24"/>
          <w:highlight w:val="none"/>
        </w:rPr>
        <w:t>名单、政府采购严重失信行为记录名单及其他不符合《中华人民共和国政府采购法》第二十二条规定条件的信用记录。</w:t>
      </w:r>
    </w:p>
    <w:p w14:paraId="68B5767F">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6C16CAAA">
      <w:pPr>
        <w:spacing w:line="480" w:lineRule="auto"/>
        <w:rPr>
          <w:rFonts w:ascii="宋体"/>
          <w:bCs/>
          <w:color w:val="auto"/>
          <w:sz w:val="24"/>
          <w:szCs w:val="24"/>
          <w:highlight w:val="none"/>
        </w:rPr>
      </w:pPr>
    </w:p>
    <w:p w14:paraId="0E90219E">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7729A3C8">
      <w:pPr>
        <w:spacing w:line="440" w:lineRule="exact"/>
        <w:rPr>
          <w:color w:val="auto"/>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4DD22640">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209ECEE9">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77463BEE">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6D920F0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10F443B6">
      <w:pPr>
        <w:pStyle w:val="36"/>
        <w:rPr>
          <w:color w:val="auto"/>
          <w:highlight w:val="none"/>
        </w:rPr>
      </w:pPr>
    </w:p>
    <w:p w14:paraId="37A80FE1">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DD7700C">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5EFC6D77">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1623CCD1">
      <w:pPr>
        <w:spacing w:line="360" w:lineRule="auto"/>
        <w:ind w:firstLine="420"/>
        <w:rPr>
          <w:color w:val="auto"/>
          <w:highlight w:val="none"/>
        </w:rPr>
      </w:pPr>
    </w:p>
    <w:p w14:paraId="38DC9255">
      <w:pPr>
        <w:spacing w:line="360" w:lineRule="auto"/>
        <w:rPr>
          <w:color w:val="auto"/>
          <w:highlight w:val="none"/>
        </w:rPr>
      </w:pPr>
      <w:r>
        <w:rPr>
          <w:rFonts w:hint="eastAsia"/>
          <w:color w:val="auto"/>
          <w:highlight w:val="none"/>
        </w:rPr>
        <w:t>注：</w:t>
      </w:r>
      <w:r>
        <w:rPr>
          <w:color w:val="auto"/>
          <w:highlight w:val="none"/>
        </w:rPr>
        <w:t>（1）从业人员、营业收入、资产总额填报上一年度数据，无上一年度数据的新成立企业可不填报。</w:t>
      </w:r>
    </w:p>
    <w:p w14:paraId="4DAD01FB">
      <w:pPr>
        <w:spacing w:line="360" w:lineRule="auto"/>
        <w:ind w:firstLine="420"/>
        <w:rPr>
          <w:color w:val="auto"/>
          <w:highlight w:val="none"/>
        </w:rPr>
      </w:pPr>
      <w:r>
        <w:rPr>
          <w:color w:val="auto"/>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color w:val="auto"/>
          <w:highlight w:val="none"/>
        </w:rPr>
        <w:t>。</w:t>
      </w:r>
    </w:p>
    <w:p w14:paraId="5C2B4639">
      <w:pPr>
        <w:spacing w:line="360" w:lineRule="auto"/>
        <w:ind w:firstLine="480"/>
        <w:rPr>
          <w:rFonts w:ascii="宋体" w:hAnsi="宋体"/>
          <w:bCs/>
          <w:color w:val="auto"/>
          <w:sz w:val="24"/>
          <w:szCs w:val="24"/>
          <w:highlight w:val="none"/>
        </w:rPr>
      </w:pPr>
    </w:p>
    <w:p w14:paraId="265F3290">
      <w:pPr>
        <w:spacing w:line="360" w:lineRule="auto"/>
        <w:ind w:firstLine="420"/>
        <w:rPr>
          <w:color w:val="auto"/>
          <w:highlight w:val="none"/>
        </w:rPr>
      </w:pPr>
    </w:p>
    <w:p w14:paraId="0DEE132B">
      <w:pPr>
        <w:spacing w:line="360" w:lineRule="auto"/>
        <w:rPr>
          <w:rFonts w:ascii="宋体" w:hAnsi="宋体" w:cs="宋体"/>
          <w:b/>
          <w:color w:val="auto"/>
          <w:sz w:val="28"/>
          <w:szCs w:val="28"/>
          <w:highlight w:val="none"/>
        </w:rPr>
      </w:pPr>
      <w:r>
        <w:rPr>
          <w:color w:val="auto"/>
          <w:highlight w:val="none"/>
        </w:rPr>
        <w:br w:type="page" w:clear="all"/>
      </w: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17D10587">
      <w:pPr>
        <w:spacing w:line="440" w:lineRule="exact"/>
        <w:ind w:firstLine="482"/>
        <w:rPr>
          <w:rFonts w:ascii="Arial" w:hAnsi="Arial"/>
          <w:b/>
          <w:color w:val="auto"/>
          <w:sz w:val="24"/>
          <w:highlight w:val="none"/>
        </w:rPr>
      </w:pPr>
    </w:p>
    <w:p w14:paraId="14067FA5">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54AAD874">
      <w:pPr>
        <w:jc w:val="center"/>
        <w:rPr>
          <w:rFonts w:ascii="黑体" w:eastAsia="黑体"/>
          <w:bCs/>
          <w:color w:val="auto"/>
          <w:sz w:val="28"/>
          <w:szCs w:val="28"/>
          <w:highlight w:val="none"/>
        </w:rPr>
      </w:pPr>
    </w:p>
    <w:p w14:paraId="560FCE49">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〔2017〕141号</w:t>
      </w:r>
      <w:r>
        <w:rPr>
          <w:rFonts w:hint="eastAsia" w:ascii="宋体" w:hAnsi="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7427B6C">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707D34EC">
      <w:pPr>
        <w:spacing w:line="580" w:lineRule="exact"/>
        <w:ind w:firstLine="480"/>
        <w:rPr>
          <w:rFonts w:ascii="宋体" w:hAnsi="宋体"/>
          <w:bCs/>
          <w:color w:val="auto"/>
          <w:sz w:val="24"/>
          <w:szCs w:val="24"/>
          <w:highlight w:val="none"/>
        </w:rPr>
      </w:pPr>
    </w:p>
    <w:p w14:paraId="74C1B705">
      <w:pPr>
        <w:spacing w:line="580" w:lineRule="exact"/>
        <w:ind w:firstLine="480"/>
        <w:rPr>
          <w:rFonts w:ascii="宋体" w:hAnsi="宋体"/>
          <w:bCs/>
          <w:color w:val="auto"/>
          <w:sz w:val="24"/>
          <w:szCs w:val="24"/>
          <w:highlight w:val="none"/>
        </w:rPr>
      </w:pPr>
    </w:p>
    <w:p w14:paraId="253412C1">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21F2884A">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27972C49">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4388FC71">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2E20F41B">
      <w:pPr>
        <w:spacing w:line="400" w:lineRule="exact"/>
        <w:rPr>
          <w:rFonts w:ascii="宋体"/>
          <w:bCs/>
          <w:color w:val="auto"/>
          <w:sz w:val="24"/>
          <w:szCs w:val="24"/>
          <w:highlight w:val="none"/>
        </w:rPr>
      </w:pPr>
      <w:r>
        <w:rPr>
          <w:rFonts w:hint="eastAsia" w:ascii="宋体" w:hAnsi="宋体"/>
          <w:bCs/>
          <w:color w:val="auto"/>
          <w:sz w:val="24"/>
          <w:szCs w:val="24"/>
          <w:highlight w:val="none"/>
        </w:rPr>
        <w:t>致江苏翔顺工程管理咨询有限公司：</w:t>
      </w:r>
    </w:p>
    <w:p w14:paraId="0DF26861">
      <w:pPr>
        <w:spacing w:line="400" w:lineRule="exact"/>
        <w:ind w:firstLine="480"/>
        <w:rPr>
          <w:rFonts w:ascii="宋体"/>
          <w:bCs/>
          <w:color w:val="auto"/>
          <w:sz w:val="24"/>
          <w:szCs w:val="24"/>
          <w:highlight w:val="none"/>
        </w:rPr>
      </w:pPr>
    </w:p>
    <w:p w14:paraId="1E19EA34">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color w:val="auto"/>
          <w:sz w:val="24"/>
          <w:szCs w:val="24"/>
          <w:highlight w:val="none"/>
          <w:u w:val="single"/>
          <w:lang w:eastAsia="zh-CN"/>
        </w:rPr>
        <w:t xml:space="preserve"> </w:t>
      </w:r>
      <w:r>
        <w:rPr>
          <w:rFonts w:hint="eastAsia"/>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招标文件，经仔细阅读和研究，我方决定参加此项目的投标。</w:t>
      </w:r>
    </w:p>
    <w:p w14:paraId="03C6BEE0">
      <w:pPr>
        <w:numPr>
          <w:ilvl w:val="0"/>
          <w:numId w:val="15"/>
        </w:numPr>
        <w:tabs>
          <w:tab w:val="left" w:pos="315"/>
          <w:tab w:val="left" w:pos="840"/>
          <w:tab w:val="left" w:pos="945"/>
          <w:tab w:val="left" w:pos="1050"/>
          <w:tab w:val="left" w:pos="1260"/>
        </w:tabs>
        <w:spacing w:line="40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31584451">
      <w:pPr>
        <w:numPr>
          <w:ilvl w:val="0"/>
          <w:numId w:val="15"/>
        </w:numPr>
        <w:tabs>
          <w:tab w:val="left" w:pos="0"/>
          <w:tab w:val="left" w:pos="315"/>
          <w:tab w:val="left" w:pos="525"/>
          <w:tab w:val="left" w:pos="840"/>
          <w:tab w:val="left" w:pos="945"/>
          <w:tab w:val="left" w:pos="1050"/>
        </w:tabs>
        <w:spacing w:line="400" w:lineRule="exact"/>
        <w:ind w:left="0" w:firstLine="523"/>
        <w:rPr>
          <w:rStyle w:val="258"/>
          <w:bCs/>
          <w:color w:val="auto"/>
          <w:highlight w:val="none"/>
        </w:rPr>
      </w:pPr>
      <w:r>
        <w:rPr>
          <w:rFonts w:hint="eastAsia" w:ascii="宋体" w:hAnsi="宋体"/>
          <w:bCs/>
          <w:color w:val="auto"/>
          <w:sz w:val="24"/>
          <w:szCs w:val="24"/>
          <w:highlight w:val="none"/>
        </w:rPr>
        <w:t>我方愿意提供江苏翔顺工程管理咨询有限公司在招标文件中要求的文件、资料。</w:t>
      </w:r>
    </w:p>
    <w:p w14:paraId="3CFDA2C0">
      <w:pPr>
        <w:numPr>
          <w:ilvl w:val="0"/>
          <w:numId w:val="15"/>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7D31BF7C">
      <w:pPr>
        <w:numPr>
          <w:ilvl w:val="0"/>
          <w:numId w:val="15"/>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4DE18AA6">
      <w:pPr>
        <w:numPr>
          <w:ilvl w:val="0"/>
          <w:numId w:val="15"/>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61F3971B">
      <w:pPr>
        <w:numPr>
          <w:ilvl w:val="0"/>
          <w:numId w:val="15"/>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w:t>
      </w:r>
      <w:r>
        <w:rPr>
          <w:rFonts w:hint="eastAsia" w:ascii="宋体" w:hAnsi="宋体"/>
          <w:bCs/>
          <w:color w:val="auto"/>
          <w:sz w:val="24"/>
          <w:szCs w:val="24"/>
          <w:highlight w:val="none"/>
          <w:lang w:eastAsia="zh-CN"/>
        </w:rPr>
        <w:t>照</w:t>
      </w:r>
      <w:r>
        <w:rPr>
          <w:rFonts w:hint="eastAsia" w:ascii="宋体" w:hAnsi="宋体"/>
          <w:bCs/>
          <w:color w:val="auto"/>
          <w:sz w:val="24"/>
          <w:szCs w:val="24"/>
          <w:highlight w:val="none"/>
        </w:rPr>
        <w:t>《中华人民共和国民法典》、财政部《政府采购货物和服务招标投标管理办法》等相关法律法规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3F472BCD">
      <w:pPr>
        <w:numPr>
          <w:ilvl w:val="0"/>
          <w:numId w:val="15"/>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60549A0F">
      <w:pPr>
        <w:numPr>
          <w:ilvl w:val="0"/>
          <w:numId w:val="15"/>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50D4C764">
      <w:pPr>
        <w:numPr>
          <w:ilvl w:val="0"/>
          <w:numId w:val="15"/>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4E7DC153">
      <w:pPr>
        <w:numPr>
          <w:ilvl w:val="0"/>
          <w:numId w:val="15"/>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229EF000">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4808F602">
      <w:pPr>
        <w:spacing w:line="40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472DFD2F">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6DF91E84">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1A996B1">
      <w:pPr>
        <w:ind w:firstLine="602"/>
        <w:outlineLvl w:val="0"/>
        <w:rPr>
          <w:b/>
          <w:color w:val="auto"/>
          <w:sz w:val="30"/>
          <w:szCs w:val="30"/>
          <w:highlight w:val="none"/>
        </w:rPr>
      </w:pPr>
    </w:p>
    <w:p w14:paraId="33934813">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22DD7BB9">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color w:val="auto"/>
          <w:sz w:val="24"/>
          <w:szCs w:val="24"/>
          <w:highlight w:val="none"/>
          <w:u w:val="single"/>
          <w:lang w:eastAsia="zh-CN"/>
        </w:rPr>
        <w:t xml:space="preserve"> </w:t>
      </w:r>
      <w:r>
        <w:rPr>
          <w:rFonts w:hint="eastAsia"/>
          <w:color w:val="auto"/>
          <w:sz w:val="24"/>
          <w:szCs w:val="24"/>
          <w:highlight w:val="none"/>
          <w:u w:val="single"/>
          <w:lang w:val="en-US" w:eastAsia="zh-CN"/>
        </w:rPr>
        <w:t xml:space="preserve">           </w:t>
      </w:r>
      <w:r>
        <w:rPr>
          <w:rFonts w:hint="eastAsia" w:ascii="宋体" w:hAnsi="宋体"/>
          <w:color w:val="auto"/>
          <w:sz w:val="24"/>
          <w:szCs w:val="24"/>
          <w:highlight w:val="none"/>
        </w:rPr>
        <w:t>在此对服务保障做如下承诺：</w:t>
      </w:r>
    </w:p>
    <w:p w14:paraId="3914EDC6">
      <w:pPr>
        <w:spacing w:line="480" w:lineRule="auto"/>
        <w:rPr>
          <w:rFonts w:ascii="宋体" w:hAnsi="宋体"/>
          <w:color w:val="auto"/>
          <w:sz w:val="24"/>
          <w:szCs w:val="24"/>
          <w:highlight w:val="none"/>
        </w:rPr>
      </w:pPr>
    </w:p>
    <w:p w14:paraId="61DCB46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1.本公司（单位</w:t>
      </w:r>
      <w:r>
        <w:rPr>
          <w:rFonts w:hint="eastAsia" w:ascii="宋体" w:hAnsi="宋体"/>
          <w:bCs/>
          <w:color w:val="auto"/>
          <w:sz w:val="24"/>
          <w:szCs w:val="24"/>
          <w:highlight w:val="none"/>
        </w:rPr>
        <w:t>、联合体</w:t>
      </w:r>
      <w:r>
        <w:rPr>
          <w:rFonts w:hint="eastAsia" w:ascii="宋体" w:hAnsi="宋体" w:cs="宋体"/>
          <w:color w:val="auto"/>
          <w:sz w:val="24"/>
          <w:szCs w:val="24"/>
          <w:highlight w:val="none"/>
        </w:rPr>
        <w:t>）对本项目所提供的服务符合招标文件要求；</w:t>
      </w:r>
    </w:p>
    <w:p w14:paraId="39C19E3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2.本公司（单位</w:t>
      </w:r>
      <w:r>
        <w:rPr>
          <w:rFonts w:hint="eastAsia" w:ascii="宋体" w:hAnsi="宋体"/>
          <w:bCs/>
          <w:color w:val="auto"/>
          <w:sz w:val="24"/>
          <w:szCs w:val="24"/>
          <w:highlight w:val="none"/>
        </w:rPr>
        <w:t>、联合体</w:t>
      </w:r>
      <w:r>
        <w:rPr>
          <w:rFonts w:hint="eastAsia" w:ascii="宋体" w:hAnsi="宋体" w:cs="宋体"/>
          <w:color w:val="auto"/>
          <w:sz w:val="24"/>
          <w:szCs w:val="24"/>
          <w:highlight w:val="none"/>
        </w:rPr>
        <w:t>）保证中标并合同签订生效后，将按招标文件要求及所投的投标文件中做出的相应承诺将相关人员及时配置到位。</w:t>
      </w:r>
    </w:p>
    <w:p w14:paraId="0B740B0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w:t>
      </w:r>
    </w:p>
    <w:p w14:paraId="1916788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w:t>
      </w:r>
    </w:p>
    <w:p w14:paraId="34EAD94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w:t>
      </w:r>
    </w:p>
    <w:p w14:paraId="611F4C25">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6.</w:t>
      </w:r>
    </w:p>
    <w:p w14:paraId="7C3ABDAC">
      <w:pPr>
        <w:spacing w:line="480" w:lineRule="auto"/>
        <w:ind w:firstLine="960"/>
        <w:rPr>
          <w:rFonts w:ascii="宋体" w:hAnsi="宋体"/>
          <w:bCs/>
          <w:color w:val="auto"/>
          <w:sz w:val="24"/>
          <w:szCs w:val="24"/>
          <w:highlight w:val="none"/>
        </w:rPr>
      </w:pPr>
      <w:r>
        <w:rPr>
          <w:rFonts w:ascii="宋体" w:hAnsi="宋体"/>
          <w:bCs/>
          <w:color w:val="auto"/>
          <w:sz w:val="24"/>
          <w:szCs w:val="24"/>
          <w:highlight w:val="none"/>
        </w:rPr>
        <w:t>…………………</w:t>
      </w:r>
    </w:p>
    <w:p w14:paraId="7DC16143">
      <w:pPr>
        <w:spacing w:line="48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将承担一切法律责任。</w:t>
      </w:r>
    </w:p>
    <w:p w14:paraId="490FAFD9">
      <w:pPr>
        <w:spacing w:line="480" w:lineRule="auto"/>
        <w:rPr>
          <w:rFonts w:ascii="宋体" w:hAnsi="宋体"/>
          <w:bCs/>
          <w:color w:val="auto"/>
          <w:sz w:val="24"/>
          <w:szCs w:val="24"/>
          <w:highlight w:val="none"/>
        </w:rPr>
      </w:pPr>
    </w:p>
    <w:p w14:paraId="166076C6">
      <w:pPr>
        <w:spacing w:line="480" w:lineRule="auto"/>
        <w:ind w:firstLine="3720"/>
        <w:rPr>
          <w:rFonts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093EF486">
      <w:pPr>
        <w:spacing w:line="480" w:lineRule="auto"/>
        <w:ind w:firstLine="480"/>
        <w:rPr>
          <w:rFonts w:ascii="宋体" w:hAnsi="宋体"/>
          <w:bCs/>
          <w:color w:val="auto"/>
          <w:sz w:val="24"/>
          <w:szCs w:val="24"/>
          <w:highlight w:val="none"/>
        </w:rPr>
      </w:pPr>
    </w:p>
    <w:p w14:paraId="77D3A71E">
      <w:pPr>
        <w:spacing w:line="480" w:lineRule="auto"/>
        <w:ind w:firstLine="42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1AB76C0A">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八、开标一览表：</w:t>
      </w:r>
    </w:p>
    <w:p w14:paraId="21D105F8">
      <w:pPr>
        <w:spacing w:line="440" w:lineRule="exact"/>
        <w:ind w:firstLine="482"/>
        <w:rPr>
          <w:rFonts w:ascii="Arial" w:hAnsi="Arial"/>
          <w:b/>
          <w:color w:val="auto"/>
          <w:sz w:val="24"/>
          <w:highlight w:val="none"/>
        </w:rPr>
      </w:pPr>
    </w:p>
    <w:p w14:paraId="4F544805">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528A24D4">
      <w:pPr>
        <w:jc w:val="center"/>
        <w:outlineLvl w:val="0"/>
        <w:rPr>
          <w:rFonts w:ascii="黑体" w:eastAsia="黑体"/>
          <w:bCs/>
          <w:color w:val="auto"/>
          <w:sz w:val="28"/>
          <w:szCs w:val="28"/>
          <w:highlight w:val="none"/>
        </w:rPr>
      </w:pPr>
    </w:p>
    <w:p w14:paraId="4F828F01">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 </w:t>
      </w:r>
    </w:p>
    <w:p w14:paraId="7899B9A3">
      <w:pPr>
        <w:spacing w:line="360" w:lineRule="auto"/>
        <w:rPr>
          <w:rFonts w:ascii="黑体" w:eastAsia="黑体"/>
          <w:bCs/>
          <w:color w:val="auto"/>
          <w:sz w:val="24"/>
          <w:szCs w:val="24"/>
          <w:highlight w:val="none"/>
        </w:rPr>
      </w:pPr>
    </w:p>
    <w:p w14:paraId="316B75E1">
      <w:pPr>
        <w:spacing w:line="360" w:lineRule="auto"/>
        <w:rPr>
          <w:rFonts w:hint="eastAsia" w:ascii="黑体" w:eastAsia="宋体"/>
          <w:bCs/>
          <w:color w:val="auto"/>
          <w:sz w:val="24"/>
          <w:szCs w:val="24"/>
          <w:highlight w:val="none"/>
          <w:lang w:val="en-US"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val="en-US" w:eastAsia="zh-CN"/>
        </w:rPr>
        <w:t>JSZC-320214-XSGC-G2026-0005</w:t>
      </w:r>
    </w:p>
    <w:tbl>
      <w:tblPr>
        <w:tblStyle w:val="30"/>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6F7FB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5697" w:type="dxa"/>
            <w:vAlign w:val="center"/>
          </w:tcPr>
          <w:p w14:paraId="147CBED5">
            <w:pPr>
              <w:keepNext w:val="0"/>
              <w:keepLines w:val="0"/>
              <w:suppressLineNumbers w:val="0"/>
              <w:spacing w:before="0" w:beforeAutospacing="0" w:after="0" w:afterAutospacing="0"/>
              <w:ind w:left="0" w:right="0"/>
              <w:jc w:val="center"/>
              <w:rPr>
                <w:rFonts w:hint="default"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vAlign w:val="center"/>
          </w:tcPr>
          <w:p w14:paraId="28008B97">
            <w:pPr>
              <w:keepNext w:val="0"/>
              <w:keepLines w:val="0"/>
              <w:suppressLineNumbers w:val="0"/>
              <w:spacing w:before="0" w:beforeAutospacing="0" w:after="0" w:afterAutospacing="0"/>
              <w:ind w:left="0" w:right="0"/>
              <w:jc w:val="center"/>
              <w:rPr>
                <w:rFonts w:hint="default" w:ascii="宋体"/>
                <w:b/>
                <w:bCs/>
                <w:color w:val="auto"/>
                <w:sz w:val="24"/>
                <w:szCs w:val="24"/>
                <w:highlight w:val="none"/>
              </w:rPr>
            </w:pPr>
            <w:r>
              <w:rPr>
                <w:rFonts w:hint="eastAsia" w:ascii="宋体" w:hAnsi="宋体"/>
                <w:b/>
                <w:bCs/>
                <w:color w:val="auto"/>
                <w:sz w:val="24"/>
                <w:szCs w:val="24"/>
                <w:highlight w:val="none"/>
              </w:rPr>
              <w:t>投标总报价</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小写</w:t>
            </w:r>
            <w:r>
              <w:rPr>
                <w:rFonts w:hint="eastAsia" w:ascii="宋体" w:hAnsi="宋体"/>
                <w:b/>
                <w:bCs/>
                <w:color w:val="auto"/>
                <w:sz w:val="24"/>
                <w:szCs w:val="24"/>
                <w:highlight w:val="none"/>
                <w:lang w:eastAsia="zh-CN"/>
              </w:rPr>
              <w:t>）</w:t>
            </w:r>
          </w:p>
        </w:tc>
      </w:tr>
      <w:tr w14:paraId="6F9C6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14:paraId="73C9CE56">
            <w:pPr>
              <w:keepNext w:val="0"/>
              <w:keepLines w:val="0"/>
              <w:suppressLineNumbers w:val="0"/>
              <w:spacing w:before="0" w:beforeAutospacing="0" w:after="0" w:afterAutospacing="0"/>
              <w:ind w:left="0" w:right="0"/>
              <w:jc w:val="center"/>
              <w:rPr>
                <w:rFonts w:hint="default" w:hAnsi="宋体"/>
                <w:bCs/>
                <w:color w:val="auto"/>
                <w:szCs w:val="24"/>
                <w:highlight w:val="none"/>
              </w:rPr>
            </w:pPr>
            <w:r>
              <w:rPr>
                <w:rFonts w:hint="eastAsia" w:ascii="黑体" w:eastAsia="黑体"/>
                <w:color w:val="auto"/>
                <w:sz w:val="24"/>
                <w:highlight w:val="none"/>
              </w:rPr>
              <w:t>新吴区2026</w:t>
            </w:r>
            <w:r>
              <w:rPr>
                <w:rFonts w:hint="eastAsia" w:ascii="黑体" w:eastAsia="黑体"/>
                <w:color w:val="auto"/>
                <w:sz w:val="24"/>
                <w:highlight w:val="none"/>
                <w:lang w:eastAsia="zh-CN"/>
              </w:rPr>
              <w:t>—</w:t>
            </w:r>
            <w:r>
              <w:rPr>
                <w:rFonts w:hint="eastAsia" w:ascii="黑体" w:eastAsia="黑体"/>
                <w:color w:val="auto"/>
                <w:sz w:val="24"/>
                <w:highlight w:val="none"/>
              </w:rPr>
              <w:t>2028年城市精细化管理“第三方”信息采集服务项目</w:t>
            </w:r>
          </w:p>
        </w:tc>
        <w:tc>
          <w:tcPr>
            <w:tcW w:w="3188" w:type="dxa"/>
            <w:vAlign w:val="center"/>
          </w:tcPr>
          <w:p w14:paraId="2370C1D6">
            <w:pPr>
              <w:pStyle w:val="297"/>
              <w:keepNext w:val="0"/>
              <w:keepLines w:val="0"/>
              <w:suppressLineNumbers w:val="0"/>
              <w:spacing w:before="0" w:beforeAutospacing="0" w:after="0" w:afterAutospacing="0"/>
              <w:ind w:left="0" w:right="0"/>
              <w:jc w:val="center"/>
              <w:rPr>
                <w:rFonts w:hint="default" w:hAnsi="宋体"/>
                <w:b/>
                <w:color w:val="auto"/>
                <w:szCs w:val="24"/>
                <w:highlight w:val="none"/>
              </w:rPr>
            </w:pPr>
          </w:p>
        </w:tc>
      </w:tr>
      <w:tr w14:paraId="7C180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1495A64A">
            <w:pPr>
              <w:keepNext w:val="0"/>
              <w:keepLines w:val="0"/>
              <w:suppressLineNumbers w:val="0"/>
              <w:spacing w:before="0" w:beforeAutospacing="0" w:after="0" w:afterAutospacing="0"/>
              <w:ind w:left="0" w:right="0"/>
              <w:rPr>
                <w:rFonts w:hint="default"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w:t>
            </w:r>
            <w:r>
              <w:rPr>
                <w:rFonts w:hint="default" w:ascii="宋体"/>
                <w:bCs/>
                <w:color w:val="auto"/>
                <w:sz w:val="24"/>
                <w:szCs w:val="24"/>
                <w:highlight w:val="none"/>
              </w:rPr>
              <w:t xml:space="preserve"> </w:t>
            </w:r>
          </w:p>
        </w:tc>
      </w:tr>
    </w:tbl>
    <w:p w14:paraId="20D42F88">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778ADEF">
      <w:pPr>
        <w:spacing w:line="400" w:lineRule="exact"/>
        <w:rPr>
          <w:rFonts w:ascii="黑体" w:eastAsia="黑体"/>
          <w:bCs/>
          <w:color w:val="auto"/>
          <w:sz w:val="24"/>
          <w:szCs w:val="24"/>
          <w:highlight w:val="none"/>
        </w:rPr>
      </w:pPr>
    </w:p>
    <w:p w14:paraId="6AFCCB48">
      <w:pPr>
        <w:spacing w:line="400" w:lineRule="exact"/>
        <w:rPr>
          <w:rFonts w:ascii="黑体" w:eastAsia="黑体"/>
          <w:bCs/>
          <w:color w:val="auto"/>
          <w:sz w:val="24"/>
          <w:szCs w:val="24"/>
          <w:highlight w:val="none"/>
        </w:rPr>
      </w:pPr>
    </w:p>
    <w:p w14:paraId="06A8D0E9">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D479A21">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w:t>
      </w:r>
    </w:p>
    <w:bookmarkEnd w:id="200"/>
    <w:bookmarkEnd w:id="201"/>
    <w:bookmarkEnd w:id="202"/>
    <w:p w14:paraId="05316128">
      <w:pPr>
        <w:keepNext w:val="0"/>
        <w:keepLines w:val="0"/>
        <w:widowControl w:val="0"/>
        <w:suppressLineNumbers w:val="0"/>
        <w:spacing w:before="0" w:beforeAutospacing="0" w:after="0" w:afterAutospacing="0"/>
        <w:ind w:left="0" w:right="0"/>
        <w:jc w:val="center"/>
        <w:rPr>
          <w:rFonts w:hAnsi="宋体" w:cs="宋体"/>
          <w:color w:val="auto"/>
          <w:sz w:val="30"/>
          <w:szCs w:val="30"/>
          <w:highlight w:val="none"/>
          <w:lang w:val="en-US"/>
        </w:rPr>
      </w:pPr>
      <w:bookmarkStart w:id="204" w:name="_Toc120614284"/>
      <w:r>
        <w:rPr>
          <w:rFonts w:hint="eastAsia"/>
          <w:b/>
          <w:color w:val="auto"/>
          <w:sz w:val="28"/>
          <w:szCs w:val="28"/>
          <w:highlight w:val="none"/>
        </w:rPr>
        <w:t>分项</w:t>
      </w:r>
      <w:r>
        <w:rPr>
          <w:b/>
          <w:color w:val="auto"/>
          <w:sz w:val="28"/>
          <w:szCs w:val="28"/>
          <w:highlight w:val="none"/>
        </w:rPr>
        <w:t>报价表</w:t>
      </w:r>
    </w:p>
    <w:p w14:paraId="735D67A7">
      <w:pPr>
        <w:keepNext w:val="0"/>
        <w:keepLines w:val="0"/>
        <w:widowControl w:val="0"/>
        <w:suppressLineNumbers w:val="0"/>
        <w:spacing w:before="0" w:beforeAutospacing="0" w:after="0" w:afterAutospacing="0" w:line="400" w:lineRule="exact"/>
        <w:ind w:left="0" w:right="0"/>
        <w:jc w:val="both"/>
        <w:rPr>
          <w:rFonts w:hAnsi="宋体" w:cs="宋体"/>
          <w:bCs/>
          <w:color w:val="auto"/>
          <w:sz w:val="24"/>
          <w:szCs w:val="24"/>
          <w:highlight w:val="none"/>
          <w:lang w:val="en-US"/>
        </w:rPr>
      </w:pPr>
      <w:r>
        <w:rPr>
          <w:rFonts w:hint="eastAsia" w:ascii="Times New Roman" w:hAnsi="宋体" w:eastAsia="宋体" w:cs="宋体"/>
          <w:bCs/>
          <w:color w:val="auto"/>
          <w:kern w:val="0"/>
          <w:sz w:val="24"/>
          <w:szCs w:val="24"/>
          <w:highlight w:val="none"/>
          <w:lang w:val="en-US" w:eastAsia="zh-CN" w:bidi="ar"/>
        </w:rPr>
        <w:t>投标人名称（盖章）</w:t>
      </w:r>
      <w:r>
        <w:rPr>
          <w:rFonts w:hint="default" w:ascii="Times New Roman" w:hAnsi="宋体" w:eastAsia="宋体" w:cs="宋体"/>
          <w:bCs/>
          <w:color w:val="auto"/>
          <w:kern w:val="0"/>
          <w:sz w:val="24"/>
          <w:szCs w:val="24"/>
          <w:highlight w:val="none"/>
          <w:lang w:val="en-US" w:eastAsia="zh-CN" w:bidi="ar"/>
        </w:rPr>
        <w:t xml:space="preserve">                                                 </w:t>
      </w:r>
    </w:p>
    <w:p w14:paraId="63139BE9">
      <w:pPr>
        <w:keepNext w:val="0"/>
        <w:keepLines w:val="0"/>
        <w:widowControl w:val="0"/>
        <w:suppressLineNumbers w:val="0"/>
        <w:spacing w:before="0" w:beforeAutospacing="0" w:after="0" w:afterAutospacing="0" w:line="400" w:lineRule="exact"/>
        <w:ind w:left="0" w:right="0"/>
        <w:jc w:val="both"/>
        <w:rPr>
          <w:rFonts w:hint="eastAsia" w:ascii="Times New Roman" w:hAnsi="宋体" w:eastAsia="宋体" w:cs="宋体"/>
          <w:bCs/>
          <w:color w:val="auto"/>
          <w:kern w:val="0"/>
          <w:sz w:val="24"/>
          <w:szCs w:val="24"/>
          <w:highlight w:val="none"/>
          <w:lang w:val="en-US" w:eastAsia="zh-CN" w:bidi="ar"/>
        </w:rPr>
      </w:pPr>
      <w:r>
        <w:rPr>
          <w:rFonts w:hint="eastAsia" w:ascii="Times New Roman" w:hAnsi="宋体" w:eastAsia="宋体" w:cs="宋体"/>
          <w:bCs/>
          <w:color w:val="auto"/>
          <w:kern w:val="0"/>
          <w:sz w:val="24"/>
          <w:szCs w:val="24"/>
          <w:highlight w:val="none"/>
          <w:lang w:val="en-US" w:eastAsia="zh-CN" w:bidi="ar"/>
        </w:rPr>
        <w:t>招标编号：JSZC-320214-XSGC-G2026-0005</w:t>
      </w:r>
    </w:p>
    <w:tbl>
      <w:tblPr>
        <w:tblStyle w:val="30"/>
        <w:tblW w:w="101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208"/>
        <w:gridCol w:w="2721"/>
        <w:gridCol w:w="1370"/>
        <w:gridCol w:w="1670"/>
        <w:gridCol w:w="1590"/>
        <w:gridCol w:w="1600"/>
      </w:tblGrid>
      <w:tr w14:paraId="3CC60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7"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1A143">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序号</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10511">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项目名称</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BE2F">
            <w:pPr>
              <w:keepNext w:val="0"/>
              <w:keepLines w:val="0"/>
              <w:widowControl w:val="0"/>
              <w:suppressLineNumbers w:val="0"/>
              <w:spacing w:before="0" w:beforeAutospacing="0" w:after="0" w:afterAutospacing="0"/>
              <w:ind w:left="0" w:right="0"/>
              <w:jc w:val="center"/>
              <w:rPr>
                <w:rFonts w:hint="eastAsia" w:ascii="Times New Roman" w:hAnsi="宋体" w:eastAsia="宋体" w:cs="宋体"/>
                <w:b/>
                <w:bCs w:val="0"/>
                <w:color w:val="auto"/>
                <w:kern w:val="0"/>
                <w:sz w:val="24"/>
                <w:szCs w:val="24"/>
                <w:highlight w:val="none"/>
                <w:lang w:val="en-US" w:eastAsia="zh-CN" w:bidi="ar"/>
              </w:rPr>
            </w:pPr>
            <w:r>
              <w:rPr>
                <w:rFonts w:hint="eastAsia" w:ascii="Times New Roman" w:hAnsi="宋体" w:eastAsia="宋体" w:cs="宋体"/>
                <w:b/>
                <w:bCs w:val="0"/>
                <w:color w:val="auto"/>
                <w:kern w:val="0"/>
                <w:sz w:val="24"/>
                <w:szCs w:val="24"/>
                <w:highlight w:val="none"/>
                <w:lang w:val="en-US" w:eastAsia="zh-CN" w:bidi="ar"/>
              </w:rPr>
              <w:t>报价</w:t>
            </w:r>
          </w:p>
          <w:p w14:paraId="0742BCF8">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（元</w:t>
            </w:r>
            <w:r>
              <w:rPr>
                <w:rFonts w:hint="default" w:ascii="Times New Roman" w:hAnsi="宋体" w:eastAsia="宋体" w:cs="宋体"/>
                <w:b/>
                <w:bCs w:val="0"/>
                <w:color w:val="auto"/>
                <w:kern w:val="0"/>
                <w:sz w:val="24"/>
                <w:szCs w:val="24"/>
                <w:highlight w:val="none"/>
                <w:lang w:val="en-US" w:eastAsia="zh-CN" w:bidi="ar"/>
              </w:rPr>
              <w:t>/</w:t>
            </w:r>
            <w:r>
              <w:rPr>
                <w:rFonts w:hint="eastAsia" w:ascii="Times New Roman" w:hAnsi="宋体" w:eastAsia="宋体" w:cs="宋体"/>
                <w:b/>
                <w:bCs w:val="0"/>
                <w:color w:val="auto"/>
                <w:kern w:val="0"/>
                <w:sz w:val="24"/>
                <w:szCs w:val="24"/>
                <w:highlight w:val="none"/>
                <w:lang w:val="en-US" w:eastAsia="zh-CN" w:bidi="ar"/>
              </w:rPr>
              <w:t>月）</w:t>
            </w: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F3ECE">
            <w:pPr>
              <w:keepNext w:val="0"/>
              <w:keepLines w:val="0"/>
              <w:widowControl w:val="0"/>
              <w:suppressLineNumbers w:val="0"/>
              <w:spacing w:before="0" w:beforeAutospacing="0" w:after="0" w:afterAutospacing="0"/>
              <w:ind w:left="0" w:right="0"/>
              <w:jc w:val="center"/>
              <w:rPr>
                <w:rFonts w:hint="eastAsia" w:ascii="Times New Roman" w:hAnsi="宋体" w:eastAsia="宋体" w:cs="宋体"/>
                <w:b/>
                <w:bCs w:val="0"/>
                <w:color w:val="auto"/>
                <w:kern w:val="0"/>
                <w:sz w:val="24"/>
                <w:szCs w:val="24"/>
                <w:highlight w:val="none"/>
                <w:lang w:val="en-US" w:eastAsia="zh-CN" w:bidi="ar"/>
              </w:rPr>
            </w:pPr>
            <w:r>
              <w:rPr>
                <w:rFonts w:hint="eastAsia" w:ascii="Times New Roman" w:hAnsi="宋体" w:eastAsia="宋体" w:cs="宋体"/>
                <w:b/>
                <w:bCs w:val="0"/>
                <w:color w:val="auto"/>
                <w:kern w:val="0"/>
                <w:sz w:val="24"/>
                <w:szCs w:val="24"/>
                <w:highlight w:val="none"/>
                <w:lang w:val="en-US" w:eastAsia="zh-CN" w:bidi="ar"/>
              </w:rPr>
              <w:t>报价</w:t>
            </w:r>
          </w:p>
          <w:p w14:paraId="0FCED0A4">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（元</w:t>
            </w:r>
            <w:r>
              <w:rPr>
                <w:rFonts w:hint="default" w:ascii="Times New Roman" w:hAnsi="宋体" w:eastAsia="宋体" w:cs="宋体"/>
                <w:b/>
                <w:bCs w:val="0"/>
                <w:color w:val="auto"/>
                <w:kern w:val="0"/>
                <w:sz w:val="24"/>
                <w:szCs w:val="24"/>
                <w:highlight w:val="none"/>
                <w:lang w:val="en-US" w:eastAsia="zh-CN" w:bidi="ar"/>
              </w:rPr>
              <w:t>/</w:t>
            </w:r>
            <w:r>
              <w:rPr>
                <w:rFonts w:hint="eastAsia" w:ascii="Times New Roman" w:hAnsi="宋体" w:eastAsia="宋体" w:cs="宋体"/>
                <w:b/>
                <w:bCs w:val="0"/>
                <w:color w:val="auto"/>
                <w:kern w:val="0"/>
                <w:sz w:val="24"/>
                <w:szCs w:val="24"/>
                <w:highlight w:val="none"/>
                <w:lang w:val="en-US" w:eastAsia="zh-CN" w:bidi="ar"/>
              </w:rPr>
              <w:t>年）</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835FE">
            <w:pPr>
              <w:keepNext w:val="0"/>
              <w:keepLines w:val="0"/>
              <w:widowControl w:val="0"/>
              <w:suppressLineNumbers w:val="0"/>
              <w:spacing w:before="0" w:beforeAutospacing="0" w:after="0" w:afterAutospacing="0"/>
              <w:ind w:left="0" w:right="0"/>
              <w:jc w:val="center"/>
              <w:rPr>
                <w:rFonts w:hint="eastAsia" w:ascii="Times New Roman" w:hAnsi="宋体" w:eastAsia="宋体" w:cs="宋体"/>
                <w:b/>
                <w:bCs w:val="0"/>
                <w:color w:val="auto"/>
                <w:kern w:val="0"/>
                <w:sz w:val="24"/>
                <w:szCs w:val="24"/>
                <w:highlight w:val="none"/>
                <w:lang w:val="en-US" w:eastAsia="zh-CN" w:bidi="ar"/>
              </w:rPr>
            </w:pPr>
            <w:r>
              <w:rPr>
                <w:rFonts w:hint="eastAsia" w:ascii="Times New Roman" w:hAnsi="宋体" w:eastAsia="宋体" w:cs="宋体"/>
                <w:b/>
                <w:bCs w:val="0"/>
                <w:color w:val="auto"/>
                <w:kern w:val="0"/>
                <w:sz w:val="24"/>
                <w:szCs w:val="24"/>
                <w:highlight w:val="none"/>
                <w:lang w:val="en-US" w:eastAsia="zh-CN" w:bidi="ar"/>
              </w:rPr>
              <w:t>报价</w:t>
            </w:r>
          </w:p>
          <w:p w14:paraId="34E01870">
            <w:pPr>
              <w:keepNext w:val="0"/>
              <w:keepLines w:val="0"/>
              <w:widowControl w:val="0"/>
              <w:suppressLineNumbers w:val="0"/>
              <w:spacing w:before="0" w:beforeAutospacing="0" w:after="0" w:afterAutospacing="0"/>
              <w:ind w:left="0" w:right="0"/>
              <w:jc w:val="center"/>
              <w:rPr>
                <w:rFonts w:hint="eastAsia" w:ascii="Times New Roman" w:hAnsi="宋体" w:eastAsia="宋体" w:cs="宋体"/>
                <w:b/>
                <w:bCs w:val="0"/>
                <w:color w:val="auto"/>
                <w:kern w:val="0"/>
                <w:sz w:val="24"/>
                <w:szCs w:val="24"/>
                <w:highlight w:val="none"/>
                <w:lang w:val="en-US" w:eastAsia="zh-CN" w:bidi="ar"/>
              </w:rPr>
            </w:pPr>
            <w:r>
              <w:rPr>
                <w:rFonts w:hint="eastAsia" w:ascii="Times New Roman" w:hAnsi="宋体" w:eastAsia="宋体" w:cs="宋体"/>
                <w:b/>
                <w:bCs w:val="0"/>
                <w:color w:val="auto"/>
                <w:kern w:val="0"/>
                <w:sz w:val="24"/>
                <w:szCs w:val="24"/>
                <w:highlight w:val="none"/>
                <w:lang w:val="en-US" w:eastAsia="zh-CN" w:bidi="ar"/>
              </w:rPr>
              <w:t>（元</w:t>
            </w:r>
            <w:r>
              <w:rPr>
                <w:rFonts w:hint="default" w:ascii="Times New Roman" w:hAnsi="宋体" w:eastAsia="宋体" w:cs="宋体"/>
                <w:b/>
                <w:bCs w:val="0"/>
                <w:color w:val="auto"/>
                <w:kern w:val="0"/>
                <w:sz w:val="24"/>
                <w:szCs w:val="24"/>
                <w:highlight w:val="none"/>
                <w:lang w:val="en-US" w:eastAsia="zh-CN" w:bidi="ar"/>
              </w:rPr>
              <w:t>/</w:t>
            </w:r>
            <w:r>
              <w:rPr>
                <w:rFonts w:hint="eastAsia" w:hAnsi="宋体" w:cs="宋体"/>
                <w:b/>
                <w:bCs w:val="0"/>
                <w:color w:val="auto"/>
                <w:kern w:val="0"/>
                <w:sz w:val="24"/>
                <w:szCs w:val="24"/>
                <w:highlight w:val="none"/>
                <w:lang w:val="en-US" w:eastAsia="zh-CN" w:bidi="ar"/>
              </w:rPr>
              <w:t>2</w:t>
            </w:r>
            <w:r>
              <w:rPr>
                <w:rFonts w:hint="eastAsia" w:ascii="Times New Roman" w:hAnsi="宋体" w:eastAsia="宋体" w:cs="宋体"/>
                <w:b/>
                <w:bCs w:val="0"/>
                <w:color w:val="auto"/>
                <w:kern w:val="0"/>
                <w:sz w:val="24"/>
                <w:szCs w:val="24"/>
                <w:highlight w:val="none"/>
                <w:lang w:val="en-US" w:eastAsia="zh-CN" w:bidi="ar"/>
              </w:rPr>
              <w:t>年</w:t>
            </w:r>
            <w:r>
              <w:rPr>
                <w:rFonts w:hint="eastAsia" w:hAnsi="宋体" w:cs="宋体"/>
                <w:b/>
                <w:bCs w:val="0"/>
                <w:color w:val="auto"/>
                <w:kern w:val="0"/>
                <w:sz w:val="24"/>
                <w:szCs w:val="24"/>
                <w:highlight w:val="none"/>
                <w:lang w:val="en-US" w:eastAsia="zh-CN" w:bidi="ar"/>
              </w:rPr>
              <w:t>）</w:t>
            </w: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59A1">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备注</w:t>
            </w:r>
          </w:p>
        </w:tc>
      </w:tr>
      <w:tr w14:paraId="3F0AA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D1D0">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default" w:ascii="Times New Roman" w:hAnsi="宋体" w:eastAsia="宋体" w:cs="宋体"/>
                <w:b/>
                <w:bCs w:val="0"/>
                <w:color w:val="auto"/>
                <w:kern w:val="0"/>
                <w:sz w:val="24"/>
                <w:szCs w:val="24"/>
                <w:highlight w:val="none"/>
                <w:lang w:val="en-US" w:eastAsia="zh-CN" w:bidi="ar"/>
              </w:rPr>
              <w:t>1</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2490A">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员工工资、福利、法定计提费用</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FDA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A6B8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F53E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9C76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bCs/>
                <w:color w:val="auto"/>
                <w:kern w:val="0"/>
                <w:sz w:val="24"/>
                <w:szCs w:val="24"/>
                <w:highlight w:val="none"/>
                <w:lang w:val="en-US" w:eastAsia="zh-CN" w:bidi="ar"/>
              </w:rPr>
              <w:t>详见（</w:t>
            </w:r>
            <w:r>
              <w:rPr>
                <w:rFonts w:hint="default" w:ascii="Times New Roman" w:hAnsi="宋体" w:eastAsia="宋体" w:cs="宋体"/>
                <w:bCs/>
                <w:color w:val="auto"/>
                <w:kern w:val="0"/>
                <w:sz w:val="24"/>
                <w:szCs w:val="24"/>
                <w:highlight w:val="none"/>
                <w:lang w:val="en-US" w:eastAsia="zh-CN" w:bidi="ar"/>
              </w:rPr>
              <w:t>1</w:t>
            </w:r>
            <w:r>
              <w:rPr>
                <w:rFonts w:hint="eastAsia" w:ascii="Times New Roman" w:hAnsi="宋体" w:eastAsia="宋体" w:cs="宋体"/>
                <w:bCs/>
                <w:color w:val="auto"/>
                <w:kern w:val="0"/>
                <w:sz w:val="24"/>
                <w:szCs w:val="24"/>
                <w:highlight w:val="none"/>
                <w:lang w:val="en-US" w:eastAsia="zh-CN" w:bidi="ar"/>
              </w:rPr>
              <w:t>）员工工资福利及法定计提费用明细表</w:t>
            </w:r>
          </w:p>
        </w:tc>
      </w:tr>
      <w:tr w14:paraId="3FEFB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0C04F">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default" w:ascii="Times New Roman" w:hAnsi="宋体" w:eastAsia="宋体" w:cs="宋体"/>
                <w:b/>
                <w:bCs w:val="0"/>
                <w:color w:val="auto"/>
                <w:kern w:val="0"/>
                <w:sz w:val="24"/>
                <w:szCs w:val="24"/>
                <w:highlight w:val="none"/>
                <w:lang w:val="en-US" w:eastAsia="zh-CN" w:bidi="ar"/>
              </w:rPr>
              <w:t>2</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E4DFE">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行政办公费用</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8B8F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6D1E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601B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A1086">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12589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B47DB">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default" w:ascii="Times New Roman" w:hAnsi="宋体" w:eastAsia="宋体" w:cs="宋体"/>
                <w:b/>
                <w:bCs w:val="0"/>
                <w:color w:val="auto"/>
                <w:kern w:val="0"/>
                <w:sz w:val="24"/>
                <w:szCs w:val="24"/>
                <w:highlight w:val="none"/>
                <w:lang w:val="en-US" w:eastAsia="zh-CN" w:bidi="ar"/>
              </w:rPr>
              <w:t>3</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4EAB0">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服装费等</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500F1">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1CE9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1996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FD2D9">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78FFB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9388C">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default" w:ascii="Times New Roman" w:hAnsi="宋体" w:eastAsia="宋体" w:cs="宋体"/>
                <w:b/>
                <w:bCs w:val="0"/>
                <w:color w:val="auto"/>
                <w:kern w:val="0"/>
                <w:sz w:val="24"/>
                <w:szCs w:val="24"/>
                <w:highlight w:val="none"/>
                <w:lang w:val="en-US" w:eastAsia="zh-CN" w:bidi="ar"/>
              </w:rPr>
              <w:t>4</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9D125">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宋体" w:hAnsi="宋体" w:eastAsia="宋体" w:cs="宋体"/>
                <w:b/>
                <w:bCs/>
                <w:color w:val="auto"/>
                <w:kern w:val="0"/>
                <w:sz w:val="24"/>
                <w:szCs w:val="24"/>
                <w:highlight w:val="none"/>
                <w:lang w:val="en-US" w:eastAsia="zh-CN" w:bidi="ar"/>
              </w:rPr>
              <w:t>设备、车辆使用费</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A045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4978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FAC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F048">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785C8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33142">
            <w:pPr>
              <w:keepNext w:val="0"/>
              <w:keepLines w:val="0"/>
              <w:widowControl w:val="0"/>
              <w:suppressLineNumbers w:val="0"/>
              <w:spacing w:before="0" w:beforeAutospacing="0" w:after="0" w:afterAutospacing="0"/>
              <w:ind w:left="0" w:leftChars="0" w:right="0" w:rightChars="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w:t>
            </w:r>
            <w:r>
              <w:rPr>
                <w:rFonts w:hint="default" w:ascii="Times New Roman" w:hAnsi="宋体" w:eastAsia="宋体" w:cs="宋体"/>
                <w:b/>
                <w:bCs w:val="0"/>
                <w:color w:val="auto"/>
                <w:kern w:val="0"/>
                <w:sz w:val="24"/>
                <w:szCs w:val="24"/>
                <w:highlight w:val="none"/>
                <w:lang w:val="en-US" w:eastAsia="zh-CN" w:bidi="ar"/>
              </w:rPr>
              <w:t>1</w:t>
            </w:r>
            <w:r>
              <w:rPr>
                <w:rFonts w:hint="eastAsia" w:ascii="Times New Roman" w:hAnsi="宋体" w:eastAsia="宋体" w:cs="宋体"/>
                <w:b/>
                <w:bCs w:val="0"/>
                <w:color w:val="auto"/>
                <w:kern w:val="0"/>
                <w:sz w:val="24"/>
                <w:szCs w:val="24"/>
                <w:highlight w:val="none"/>
                <w:lang w:val="en-US" w:eastAsia="zh-CN" w:bidi="ar"/>
              </w:rPr>
              <w:t>）</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CB5A4">
            <w:pPr>
              <w:keepNext w:val="0"/>
              <w:keepLines w:val="0"/>
              <w:widowControl w:val="0"/>
              <w:suppressLineNumbers w:val="0"/>
              <w:spacing w:before="0" w:beforeAutospacing="0" w:after="0" w:afterAutospacing="0"/>
              <w:ind w:left="0" w:leftChars="0" w:right="0" w:rightChars="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工业级无人机的配备、使用、维保等费用</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80E0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8B4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C427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52109">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5DB6C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18A1F">
            <w:pPr>
              <w:keepNext w:val="0"/>
              <w:keepLines w:val="0"/>
              <w:widowControl w:val="0"/>
              <w:suppressLineNumbers w:val="0"/>
              <w:spacing w:before="0" w:beforeAutospacing="0" w:after="0" w:afterAutospacing="0"/>
              <w:ind w:left="0" w:leftChars="0" w:right="0" w:rightChars="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w:t>
            </w:r>
            <w:r>
              <w:rPr>
                <w:rFonts w:hint="default" w:ascii="Times New Roman" w:hAnsi="宋体" w:eastAsia="宋体" w:cs="宋体"/>
                <w:b/>
                <w:bCs w:val="0"/>
                <w:color w:val="auto"/>
                <w:kern w:val="0"/>
                <w:sz w:val="24"/>
                <w:szCs w:val="24"/>
                <w:highlight w:val="none"/>
                <w:lang w:val="en-US" w:eastAsia="zh-CN" w:bidi="ar"/>
              </w:rPr>
              <w:t>2</w:t>
            </w:r>
            <w:r>
              <w:rPr>
                <w:rFonts w:hint="eastAsia" w:ascii="Times New Roman" w:hAnsi="宋体" w:eastAsia="宋体" w:cs="宋体"/>
                <w:b/>
                <w:bCs w:val="0"/>
                <w:color w:val="auto"/>
                <w:kern w:val="0"/>
                <w:sz w:val="24"/>
                <w:szCs w:val="24"/>
                <w:highlight w:val="none"/>
                <w:lang w:val="en-US" w:eastAsia="zh-CN" w:bidi="ar"/>
              </w:rPr>
              <w:t>）</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34FB7">
            <w:pPr>
              <w:keepNext w:val="0"/>
              <w:keepLines w:val="0"/>
              <w:widowControl w:val="0"/>
              <w:suppressLineNumbers w:val="0"/>
              <w:spacing w:before="0" w:beforeAutospacing="0" w:after="0" w:afterAutospacing="0"/>
              <w:ind w:left="0" w:leftChars="0" w:right="0" w:rightChars="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工业级无人船的配备、使用、维保等费用</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F34E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3FC1">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C5D1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5FC6F">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78BDF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2FFFD">
            <w:pPr>
              <w:keepNext w:val="0"/>
              <w:keepLines w:val="0"/>
              <w:widowControl w:val="0"/>
              <w:suppressLineNumbers w:val="0"/>
              <w:spacing w:before="0" w:beforeAutospacing="0" w:after="0" w:afterAutospacing="0"/>
              <w:ind w:left="0" w:leftChars="0" w:right="0" w:rightChars="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w:t>
            </w:r>
            <w:r>
              <w:rPr>
                <w:rFonts w:hint="default" w:ascii="Times New Roman" w:hAnsi="宋体" w:eastAsia="宋体" w:cs="宋体"/>
                <w:b/>
                <w:bCs w:val="0"/>
                <w:color w:val="auto"/>
                <w:kern w:val="0"/>
                <w:sz w:val="24"/>
                <w:szCs w:val="24"/>
                <w:highlight w:val="none"/>
                <w:lang w:val="en-US" w:eastAsia="zh-CN" w:bidi="ar"/>
              </w:rPr>
              <w:t>3</w:t>
            </w:r>
            <w:r>
              <w:rPr>
                <w:rFonts w:hint="eastAsia" w:ascii="Times New Roman" w:hAnsi="宋体" w:eastAsia="宋体" w:cs="宋体"/>
                <w:b/>
                <w:bCs w:val="0"/>
                <w:color w:val="auto"/>
                <w:kern w:val="0"/>
                <w:sz w:val="24"/>
                <w:szCs w:val="24"/>
                <w:highlight w:val="none"/>
                <w:lang w:val="en-US" w:eastAsia="zh-CN" w:bidi="ar"/>
              </w:rPr>
              <w:t>）</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E3C0F">
            <w:pPr>
              <w:keepNext w:val="0"/>
              <w:keepLines w:val="0"/>
              <w:widowControl w:val="0"/>
              <w:suppressLineNumbers w:val="0"/>
              <w:spacing w:before="0" w:beforeAutospacing="0" w:after="0" w:afterAutospacing="0"/>
              <w:ind w:left="0" w:leftChars="0" w:right="0" w:rightChars="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车载智能采集设备（不少于</w:t>
            </w:r>
            <w:r>
              <w:rPr>
                <w:rFonts w:hint="default" w:ascii="Times New Roman" w:hAnsi="宋体" w:eastAsia="宋体" w:cs="宋体"/>
                <w:b/>
                <w:bCs w:val="0"/>
                <w:color w:val="auto"/>
                <w:kern w:val="0"/>
                <w:sz w:val="24"/>
                <w:szCs w:val="24"/>
                <w:highlight w:val="none"/>
                <w:lang w:val="en-US" w:eastAsia="zh-CN" w:bidi="ar"/>
              </w:rPr>
              <w:t>35</w:t>
            </w:r>
            <w:r>
              <w:rPr>
                <w:rFonts w:hint="eastAsia" w:ascii="Times New Roman" w:hAnsi="宋体" w:eastAsia="宋体" w:cs="宋体"/>
                <w:b/>
                <w:bCs w:val="0"/>
                <w:color w:val="auto"/>
                <w:kern w:val="0"/>
                <w:sz w:val="24"/>
                <w:szCs w:val="24"/>
                <w:highlight w:val="none"/>
                <w:lang w:val="en-US" w:eastAsia="zh-CN" w:bidi="ar"/>
              </w:rPr>
              <w:t>套）的配备、使用、维保等费用</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8C2D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D327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0334D">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12329">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2AF0E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54C4F">
            <w:pPr>
              <w:keepNext w:val="0"/>
              <w:keepLines w:val="0"/>
              <w:widowControl w:val="0"/>
              <w:suppressLineNumbers w:val="0"/>
              <w:spacing w:before="0" w:beforeAutospacing="0" w:after="0" w:afterAutospacing="0"/>
              <w:ind w:left="0" w:leftChars="0" w:right="0" w:rightChars="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w:t>
            </w:r>
            <w:r>
              <w:rPr>
                <w:rFonts w:hint="default" w:ascii="Times New Roman" w:hAnsi="宋体" w:eastAsia="宋体" w:cs="宋体"/>
                <w:b/>
                <w:bCs w:val="0"/>
                <w:color w:val="auto"/>
                <w:kern w:val="0"/>
                <w:sz w:val="24"/>
                <w:szCs w:val="24"/>
                <w:highlight w:val="none"/>
                <w:lang w:val="en-US" w:eastAsia="zh-CN" w:bidi="ar"/>
              </w:rPr>
              <w:t>4</w:t>
            </w:r>
            <w:r>
              <w:rPr>
                <w:rFonts w:hint="eastAsia" w:ascii="Times New Roman" w:hAnsi="宋体" w:eastAsia="宋体" w:cs="宋体"/>
                <w:b/>
                <w:bCs w:val="0"/>
                <w:color w:val="auto"/>
                <w:kern w:val="0"/>
                <w:sz w:val="24"/>
                <w:szCs w:val="24"/>
                <w:highlight w:val="none"/>
                <w:lang w:val="en-US" w:eastAsia="zh-CN" w:bidi="ar"/>
              </w:rPr>
              <w:t>）</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408B">
            <w:pPr>
              <w:keepNext w:val="0"/>
              <w:keepLines w:val="0"/>
              <w:widowControl w:val="0"/>
              <w:suppressLineNumbers w:val="0"/>
              <w:spacing w:before="0" w:beforeAutospacing="0" w:after="0" w:afterAutospacing="0"/>
              <w:ind w:left="0" w:leftChars="0" w:right="0" w:rightChars="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人工及智能化信息采集终端机的配备、使用、管理等费用</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E9C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3430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C1D1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ADD11">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69785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4B453">
            <w:pPr>
              <w:keepNext w:val="0"/>
              <w:keepLines w:val="0"/>
              <w:widowControl w:val="0"/>
              <w:suppressLineNumbers w:val="0"/>
              <w:spacing w:before="0" w:beforeAutospacing="0" w:after="0" w:afterAutospacing="0"/>
              <w:ind w:left="0" w:leftChars="0" w:right="0" w:rightChars="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w:t>
            </w:r>
            <w:r>
              <w:rPr>
                <w:rFonts w:hint="default" w:ascii="Times New Roman" w:hAnsi="宋体" w:eastAsia="宋体" w:cs="宋体"/>
                <w:b/>
                <w:bCs w:val="0"/>
                <w:color w:val="auto"/>
                <w:kern w:val="0"/>
                <w:sz w:val="24"/>
                <w:szCs w:val="24"/>
                <w:highlight w:val="none"/>
                <w:lang w:val="en-US" w:eastAsia="zh-CN" w:bidi="ar"/>
              </w:rPr>
              <w:t>5</w:t>
            </w:r>
            <w:r>
              <w:rPr>
                <w:rFonts w:hint="eastAsia" w:ascii="Times New Roman" w:hAnsi="宋体" w:eastAsia="宋体" w:cs="宋体"/>
                <w:b/>
                <w:bCs w:val="0"/>
                <w:color w:val="auto"/>
                <w:kern w:val="0"/>
                <w:sz w:val="24"/>
                <w:szCs w:val="24"/>
                <w:highlight w:val="none"/>
                <w:lang w:val="en-US" w:eastAsia="zh-CN" w:bidi="ar"/>
              </w:rPr>
              <w:t>）</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6E0C4">
            <w:pPr>
              <w:keepNext w:val="0"/>
              <w:keepLines w:val="0"/>
              <w:widowControl w:val="0"/>
              <w:suppressLineNumbers w:val="0"/>
              <w:spacing w:before="0" w:beforeAutospacing="0" w:after="0" w:afterAutospacing="0"/>
              <w:ind w:left="0" w:leftChars="0" w:right="0" w:rightChars="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车辆</w:t>
            </w:r>
            <w:r>
              <w:rPr>
                <w:rFonts w:hint="eastAsia" w:ascii="宋体" w:hAnsi="宋体" w:eastAsia="宋体" w:cs="宋体"/>
                <w:b/>
                <w:bCs/>
                <w:color w:val="auto"/>
                <w:kern w:val="0"/>
                <w:sz w:val="24"/>
                <w:szCs w:val="24"/>
                <w:highlight w:val="none"/>
                <w:lang w:val="en-US" w:eastAsia="zh-CN" w:bidi="ar"/>
              </w:rPr>
              <w:t>（其中至少一辆五座</w:t>
            </w:r>
            <w:r>
              <w:rPr>
                <w:rFonts w:hint="eastAsia" w:ascii="宋体" w:hAnsi="宋体" w:cs="宋体"/>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及以上</w:t>
            </w:r>
            <w:r>
              <w:rPr>
                <w:rFonts w:hint="eastAsia" w:ascii="宋体" w:hAnsi="宋体" w:cs="宋体"/>
                <w:b/>
                <w:bCs/>
                <w:color w:val="auto"/>
                <w:kern w:val="0"/>
                <w:sz w:val="24"/>
                <w:szCs w:val="24"/>
                <w:highlight w:val="none"/>
                <w:lang w:val="en-US" w:eastAsia="zh-CN" w:bidi="ar"/>
              </w:rPr>
              <w:t>）的</w:t>
            </w:r>
            <w:r>
              <w:rPr>
                <w:rFonts w:hint="eastAsia" w:ascii="宋体" w:hAnsi="宋体" w:eastAsia="宋体" w:cs="宋体"/>
                <w:b/>
                <w:bCs/>
                <w:color w:val="auto"/>
                <w:kern w:val="0"/>
                <w:sz w:val="24"/>
                <w:szCs w:val="24"/>
                <w:highlight w:val="none"/>
                <w:lang w:val="en-US" w:eastAsia="zh-CN" w:bidi="ar"/>
              </w:rPr>
              <w:t>汽车）</w:t>
            </w:r>
            <w:r>
              <w:rPr>
                <w:rFonts w:hint="eastAsia" w:ascii="Times New Roman" w:hAnsi="宋体" w:eastAsia="宋体" w:cs="宋体"/>
                <w:b/>
                <w:bCs w:val="0"/>
                <w:color w:val="auto"/>
                <w:kern w:val="0"/>
                <w:sz w:val="24"/>
                <w:szCs w:val="24"/>
                <w:highlight w:val="none"/>
                <w:lang w:val="en-US" w:eastAsia="zh-CN" w:bidi="ar"/>
              </w:rPr>
              <w:t>的配备、使用、燃油、维保等费用</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1EE4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DF00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4575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1828B">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16A69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9"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9C8FA">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 xml:space="preserve"> </w:t>
            </w:r>
            <w:r>
              <w:rPr>
                <w:rFonts w:hint="eastAsia" w:ascii="Times New Roman" w:hAnsi="宋体" w:eastAsia="宋体" w:cs="宋体"/>
                <w:color w:val="auto"/>
                <w:kern w:val="0"/>
                <w:sz w:val="24"/>
                <w:szCs w:val="24"/>
                <w:highlight w:val="none"/>
                <w:lang w:val="en-US" w:eastAsia="zh-CN" w:bidi="ar"/>
              </w:rPr>
              <w:t>…</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135D9">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 xml:space="preserve"> </w:t>
            </w:r>
            <w:r>
              <w:rPr>
                <w:rFonts w:hint="eastAsia" w:ascii="Times New Roman" w:hAnsi="宋体" w:eastAsia="宋体" w:cs="宋体"/>
                <w:color w:val="auto"/>
                <w:kern w:val="0"/>
                <w:sz w:val="24"/>
                <w:szCs w:val="24"/>
                <w:highlight w:val="none"/>
                <w:lang w:val="en-US" w:eastAsia="zh-CN" w:bidi="ar"/>
              </w:rPr>
              <w:t>…</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4ACC1">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59BE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0360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3CB6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238CF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9"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66AF7">
            <w:pPr>
              <w:keepNext w:val="0"/>
              <w:keepLines w:val="0"/>
              <w:widowControl w:val="0"/>
              <w:suppressLineNumbers w:val="0"/>
              <w:spacing w:before="0" w:beforeAutospacing="0" w:after="0" w:afterAutospacing="0"/>
              <w:ind w:left="0" w:right="0"/>
              <w:jc w:val="center"/>
              <w:rPr>
                <w:rFonts w:hint="default" w:ascii="Times New Roman" w:hAnsi="宋体" w:eastAsia="宋体" w:cs="宋体"/>
                <w:b/>
                <w:color w:val="auto"/>
                <w:kern w:val="0"/>
                <w:sz w:val="24"/>
                <w:szCs w:val="24"/>
                <w:highlight w:val="none"/>
                <w:lang w:val="en-US" w:eastAsia="zh-CN" w:bidi="ar"/>
              </w:rPr>
            </w:pPr>
            <w:r>
              <w:rPr>
                <w:rFonts w:hint="default" w:hAnsi="宋体" w:cs="宋体"/>
                <w:b/>
                <w:color w:val="auto"/>
                <w:kern w:val="0"/>
                <w:sz w:val="24"/>
                <w:szCs w:val="24"/>
                <w:highlight w:val="none"/>
                <w:lang w:val="en-US" w:eastAsia="zh-CN" w:bidi="ar"/>
              </w:rPr>
              <w:t>5</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085B0">
            <w:pPr>
              <w:keepNext w:val="0"/>
              <w:keepLines w:val="0"/>
              <w:widowControl w:val="0"/>
              <w:suppressLineNumbers w:val="0"/>
              <w:spacing w:before="0" w:beforeAutospacing="0" w:after="0" w:afterAutospacing="0"/>
              <w:ind w:left="0" w:right="0"/>
              <w:jc w:val="left"/>
              <w:rPr>
                <w:rFonts w:hint="eastAsia" w:ascii="Times New Roman" w:hAnsi="宋体" w:eastAsia="宋体" w:cs="宋体"/>
                <w:color w:val="auto"/>
                <w:kern w:val="0"/>
                <w:sz w:val="24"/>
                <w:szCs w:val="24"/>
                <w:highlight w:val="none"/>
                <w:lang w:val="en-US" w:eastAsia="zh-CN" w:bidi="ar"/>
              </w:rPr>
            </w:pPr>
            <w:r>
              <w:rPr>
                <w:rFonts w:hint="eastAsia" w:ascii="Times New Roman" w:hAnsi="宋体" w:cs="宋体"/>
                <w:b/>
                <w:bCs w:val="0"/>
                <w:color w:val="auto"/>
                <w:kern w:val="0"/>
                <w:sz w:val="24"/>
                <w:szCs w:val="24"/>
                <w:highlight w:val="none"/>
                <w:lang w:eastAsia="zh-CN" w:bidi="ar"/>
              </w:rPr>
              <w:t>代理费</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E104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BFC3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5D1C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52AC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23FB2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BF20D">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bidi="ar"/>
              </w:rPr>
            </w:pPr>
            <w:r>
              <w:rPr>
                <w:rFonts w:hint="eastAsia" w:hAnsi="宋体" w:cs="宋体"/>
                <w:b/>
                <w:bCs w:val="0"/>
                <w:color w:val="auto"/>
                <w:kern w:val="0"/>
                <w:sz w:val="24"/>
                <w:szCs w:val="24"/>
                <w:highlight w:val="none"/>
                <w:lang w:val="en-US" w:eastAsia="zh-CN" w:bidi="ar"/>
              </w:rPr>
              <w:t>6</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680AA">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管理费</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1FB22">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C96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D5E2">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0378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5BAA0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B4FB5">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bidi="ar"/>
              </w:rPr>
            </w:pPr>
            <w:r>
              <w:rPr>
                <w:rFonts w:hint="eastAsia" w:hAnsi="宋体" w:cs="宋体"/>
                <w:b/>
                <w:bCs w:val="0"/>
                <w:color w:val="auto"/>
                <w:kern w:val="0"/>
                <w:sz w:val="24"/>
                <w:szCs w:val="24"/>
                <w:highlight w:val="none"/>
                <w:lang w:val="en-US" w:eastAsia="zh-CN" w:bidi="ar"/>
              </w:rPr>
              <w:t>7</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B1B0E">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公众责任险</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A7BE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6D20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85C1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8525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7F0CC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EBDEB">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bidi="ar"/>
              </w:rPr>
            </w:pPr>
            <w:r>
              <w:rPr>
                <w:rFonts w:hint="eastAsia" w:hAnsi="宋体" w:cs="宋体"/>
                <w:b/>
                <w:bCs w:val="0"/>
                <w:color w:val="auto"/>
                <w:kern w:val="0"/>
                <w:sz w:val="24"/>
                <w:szCs w:val="24"/>
                <w:highlight w:val="none"/>
                <w:lang w:val="en-US" w:eastAsia="zh-CN" w:bidi="ar"/>
              </w:rPr>
              <w:t>8</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7A893">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合理利润</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036B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5EEE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EC2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A609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56DF3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93E9">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bidi="ar"/>
              </w:rPr>
            </w:pPr>
            <w:r>
              <w:rPr>
                <w:rFonts w:hint="eastAsia" w:hAnsi="宋体" w:cs="宋体"/>
                <w:b/>
                <w:bCs w:val="0"/>
                <w:color w:val="auto"/>
                <w:kern w:val="0"/>
                <w:sz w:val="24"/>
                <w:szCs w:val="24"/>
                <w:highlight w:val="none"/>
                <w:lang w:val="en-US" w:eastAsia="zh-CN" w:bidi="ar"/>
              </w:rPr>
              <w:t>9</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527EA">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税金</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1F50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2E7E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D22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7F7E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45231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CFF61">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bidi="ar"/>
              </w:rPr>
            </w:pPr>
            <w:r>
              <w:rPr>
                <w:rFonts w:hint="eastAsia" w:hAnsi="宋体" w:cs="宋体"/>
                <w:b/>
                <w:bCs w:val="0"/>
                <w:color w:val="auto"/>
                <w:kern w:val="0"/>
                <w:sz w:val="24"/>
                <w:szCs w:val="24"/>
                <w:highlight w:val="none"/>
                <w:lang w:val="en-US" w:eastAsia="zh-CN" w:bidi="ar"/>
              </w:rPr>
              <w:t>10</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306C8">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其他支出</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6E59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6DDF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18D0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210FD">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4A41C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0064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 xml:space="preserve"> </w:t>
            </w:r>
            <w:r>
              <w:rPr>
                <w:rFonts w:hint="eastAsia" w:ascii="Times New Roman" w:hAnsi="宋体" w:eastAsia="宋体" w:cs="宋体"/>
                <w:color w:val="auto"/>
                <w:kern w:val="0"/>
                <w:sz w:val="24"/>
                <w:szCs w:val="24"/>
                <w:highlight w:val="none"/>
                <w:lang w:val="en-US" w:eastAsia="zh-CN" w:bidi="ar"/>
              </w:rPr>
              <w:t>…</w:t>
            </w: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A3D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D333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1E0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FC97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0BAD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6D05C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12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28841">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2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7E261">
            <w:pPr>
              <w:keepNext w:val="0"/>
              <w:keepLines w:val="0"/>
              <w:widowControl w:val="0"/>
              <w:suppressLineNumbers w:val="0"/>
              <w:spacing w:before="0" w:beforeAutospacing="0" w:after="0" w:afterAutospacing="0"/>
              <w:ind w:left="0" w:right="0"/>
              <w:jc w:val="left"/>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合计：</w:t>
            </w:r>
          </w:p>
        </w:tc>
        <w:tc>
          <w:tcPr>
            <w:tcW w:w="1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E476D">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B474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B42F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307F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bl>
    <w:p w14:paraId="2EFFCA8E">
      <w:pPr>
        <w:keepNext w:val="0"/>
        <w:keepLines w:val="0"/>
        <w:widowControl w:val="0"/>
        <w:suppressLineNumbers w:val="0"/>
        <w:spacing w:before="0" w:beforeAutospacing="0" w:after="0" w:afterAutospacing="0" w:line="400" w:lineRule="exact"/>
        <w:ind w:left="0" w:right="0"/>
        <w:jc w:val="both"/>
        <w:rPr>
          <w:rFonts w:hAnsi="宋体" w:cs="宋体"/>
          <w:bCs/>
          <w:color w:val="auto"/>
          <w:sz w:val="24"/>
          <w:szCs w:val="24"/>
          <w:highlight w:val="none"/>
          <w:lang w:val="en-US"/>
        </w:rPr>
      </w:pPr>
      <w:r>
        <w:rPr>
          <w:rFonts w:hint="eastAsia" w:ascii="Times New Roman" w:hAnsi="宋体" w:eastAsia="宋体" w:cs="宋体"/>
          <w:b/>
          <w:bCs/>
          <w:color w:val="auto"/>
          <w:kern w:val="0"/>
          <w:sz w:val="24"/>
          <w:szCs w:val="24"/>
          <w:highlight w:val="none"/>
          <w:lang w:val="en-US" w:eastAsia="zh-CN" w:bidi="ar"/>
        </w:rPr>
        <w:t>法定代表人或法定代表人授权代表签字或盖章：</w:t>
      </w:r>
    </w:p>
    <w:p w14:paraId="60AB1702">
      <w:pPr>
        <w:ind w:firstLine="420"/>
        <w:outlineLvl w:val="0"/>
        <w:rPr>
          <w:rFonts w:hint="eastAsia" w:ascii="宋体" w:hAnsi="宋体"/>
          <w:bCs/>
          <w:color w:val="auto"/>
          <w:highlight w:val="none"/>
        </w:rPr>
      </w:pPr>
      <w:r>
        <w:rPr>
          <w:rFonts w:hint="eastAsia" w:ascii="宋体" w:hAnsi="宋体"/>
          <w:bCs/>
          <w:color w:val="auto"/>
          <w:highlight w:val="none"/>
        </w:rPr>
        <w:t>注：</w:t>
      </w:r>
    </w:p>
    <w:p w14:paraId="20B95AE6">
      <w:pPr>
        <w:ind w:firstLine="420"/>
        <w:outlineLvl w:val="0"/>
        <w:rPr>
          <w:rFonts w:hint="eastAsia" w:ascii="宋体" w:hAnsi="Calibri"/>
          <w:bCs/>
          <w:color w:val="auto"/>
          <w:highlight w:val="none"/>
        </w:rPr>
      </w:pPr>
      <w:r>
        <w:rPr>
          <w:rFonts w:hint="eastAsia" w:ascii="宋体" w:hAnsi="Calibri"/>
          <w:bCs/>
          <w:color w:val="auto"/>
          <w:highlight w:val="none"/>
          <w:lang w:eastAsia="zh-CN"/>
        </w:rPr>
        <w:t>1.</w:t>
      </w:r>
      <w:r>
        <w:rPr>
          <w:rFonts w:hint="eastAsia" w:ascii="宋体" w:hAnsi="Calibri"/>
          <w:bCs/>
          <w:color w:val="auto"/>
          <w:highlight w:val="none"/>
        </w:rPr>
        <w:t>投标总报价包括无锡高新区（新吴区）城市精细化管理“第三方”信息采集服务项目中标起到项目合同终止日期内所发生的一切费用（包括但不限于人员工资、奖金、福利、社保、机动车购置运行费、采集终端配置及维修维护费、交通费、培训费、加班费、税费、服装费、办公费、开办费、管理费、代理服务费等）。</w:t>
      </w:r>
    </w:p>
    <w:p w14:paraId="3F5683C5">
      <w:pPr>
        <w:ind w:firstLine="420"/>
        <w:outlineLvl w:val="0"/>
        <w:rPr>
          <w:rFonts w:hint="eastAsia" w:ascii="宋体" w:hAnsi="Calibri"/>
          <w:bCs/>
          <w:color w:val="auto"/>
          <w:highlight w:val="none"/>
          <w:lang w:val="en-US"/>
        </w:rPr>
      </w:pPr>
      <w:r>
        <w:rPr>
          <w:rFonts w:hint="eastAsia" w:ascii="宋体" w:hAnsi="Calibri"/>
          <w:bCs/>
          <w:color w:val="auto"/>
          <w:highlight w:val="none"/>
          <w:lang w:val="en-US" w:eastAsia="zh-CN"/>
        </w:rPr>
        <w:t>2.投标人报价时应充分考虑服务期内所有可能影响到报价的因素（包括最低工资标准和社保基数的政策性调整），一旦投标结束最终成交，总价将包定，不予调整。如发生漏、缺、少项，都将被认为是中标人的报价让利行为，损失自负。</w:t>
      </w:r>
    </w:p>
    <w:p w14:paraId="0DB5CC69">
      <w:pPr>
        <w:ind w:firstLine="420"/>
        <w:outlineLvl w:val="0"/>
        <w:rPr>
          <w:rFonts w:hint="eastAsia" w:ascii="宋体" w:hAnsi="Calibri"/>
          <w:bCs/>
          <w:color w:val="auto"/>
          <w:highlight w:val="none"/>
          <w:lang w:val="en-US"/>
        </w:rPr>
      </w:pPr>
      <w:r>
        <w:rPr>
          <w:rFonts w:hint="eastAsia" w:ascii="宋体" w:hAnsi="Calibri"/>
          <w:bCs/>
          <w:color w:val="auto"/>
          <w:highlight w:val="none"/>
          <w:lang w:val="en-US" w:eastAsia="zh-CN"/>
        </w:rPr>
        <w:t>3.上述报价表由投标人参照，不限于此，可根据项目需求自行添加条目进行投报。</w:t>
      </w:r>
    </w:p>
    <w:p w14:paraId="328DFF0F">
      <w:pPr>
        <w:ind w:firstLine="420"/>
        <w:outlineLvl w:val="0"/>
        <w:rPr>
          <w:rFonts w:ascii="宋体" w:hAnsi="Calibri"/>
          <w:bCs/>
          <w:color w:val="auto"/>
          <w:highlight w:val="none"/>
        </w:rPr>
      </w:pPr>
      <w:r>
        <w:rPr>
          <w:rFonts w:hint="eastAsia" w:ascii="宋体" w:hAnsi="Calibri"/>
          <w:bCs/>
          <w:color w:val="auto"/>
          <w:highlight w:val="none"/>
          <w:lang w:val="en-US" w:eastAsia="zh-CN"/>
        </w:rPr>
        <w:t>4.</w:t>
      </w:r>
      <w:r>
        <w:rPr>
          <w:rFonts w:hint="eastAsia" w:ascii="宋体" w:hAnsi="Calibri"/>
          <w:bCs/>
          <w:color w:val="auto"/>
          <w:highlight w:val="none"/>
        </w:rPr>
        <w:t>投标人本项目提供的服务全部由符合政策要求的中小企业承接的，须提供按格式填写的《中小企业声明函》（服务）；或提供由省级以上监狱管理局、戒毒管理局</w:t>
      </w:r>
      <w:r>
        <w:rPr>
          <w:rFonts w:hint="eastAsia" w:ascii="宋体" w:hAnsi="Calibri"/>
          <w:bCs/>
          <w:color w:val="auto"/>
          <w:highlight w:val="none"/>
          <w:lang w:eastAsia="zh-CN"/>
        </w:rPr>
        <w:t>（</w:t>
      </w:r>
      <w:r>
        <w:rPr>
          <w:rFonts w:hint="eastAsia" w:ascii="宋体" w:hAnsi="Calibri"/>
          <w:bCs/>
          <w:color w:val="auto"/>
          <w:highlight w:val="none"/>
        </w:rPr>
        <w:t>含新疆生产建设兵团</w:t>
      </w:r>
      <w:r>
        <w:rPr>
          <w:rFonts w:hint="eastAsia" w:ascii="宋体" w:hAnsi="Calibri"/>
          <w:bCs/>
          <w:color w:val="auto"/>
          <w:highlight w:val="none"/>
          <w:lang w:eastAsia="zh-CN"/>
        </w:rPr>
        <w:t>）</w:t>
      </w:r>
      <w:r>
        <w:rPr>
          <w:rFonts w:hint="eastAsia" w:ascii="宋体" w:hAnsi="Calibri"/>
          <w:bCs/>
          <w:color w:val="auto"/>
          <w:highlight w:val="none"/>
        </w:rPr>
        <w:t>出具的投标人属于监狱企业的证明文件复印件；或提供投标人《残疾人福利性单位声明函》。如未按要求填写和提供有效证明或相关内容表述不清的，不得享受价格扣除。投标人对所报相关数据的真实性负责，江苏翔顺工程管理咨询有限公司有权将相关内容进行公示；</w:t>
      </w:r>
    </w:p>
    <w:p w14:paraId="29C3B29F">
      <w:pPr>
        <w:spacing w:line="360" w:lineRule="auto"/>
        <w:rPr>
          <w:rFonts w:ascii="宋体" w:hAnsi="Calibri"/>
          <w:bCs/>
          <w:color w:val="auto"/>
          <w:highlight w:val="none"/>
        </w:rPr>
      </w:pPr>
      <w:r>
        <w:rPr>
          <w:rFonts w:ascii="宋体" w:hAnsi="Calibri"/>
          <w:bCs/>
          <w:color w:val="auto"/>
          <w:highlight w:val="none"/>
        </w:rPr>
        <w:br w:type="page" w:clear="all"/>
      </w:r>
    </w:p>
    <w:p w14:paraId="6128A4A9">
      <w:pPr>
        <w:keepNext w:val="0"/>
        <w:keepLines w:val="0"/>
        <w:pageBreakBefore/>
        <w:widowControl w:val="0"/>
        <w:suppressLineNumbers w:val="0"/>
        <w:spacing w:before="0" w:beforeAutospacing="0" w:after="0" w:afterAutospacing="0" w:line="400" w:lineRule="exact"/>
        <w:ind w:left="0" w:right="0"/>
        <w:jc w:val="center"/>
        <w:rPr>
          <w:rFonts w:hAnsi="宋体" w:cs="宋体"/>
          <w:bCs/>
          <w:color w:val="auto"/>
          <w:sz w:val="24"/>
          <w:szCs w:val="24"/>
          <w:highlight w:val="none"/>
          <w:lang w:val="en-US"/>
        </w:rPr>
      </w:pPr>
      <w:r>
        <w:rPr>
          <w:rFonts w:hint="eastAsia" w:ascii="Times New Roman" w:hAnsi="宋体" w:eastAsia="宋体" w:cs="宋体"/>
          <w:bCs/>
          <w:color w:val="auto"/>
          <w:kern w:val="0"/>
          <w:sz w:val="24"/>
          <w:szCs w:val="24"/>
          <w:highlight w:val="none"/>
          <w:lang w:val="en-US" w:eastAsia="zh-CN" w:bidi="ar"/>
        </w:rPr>
        <w:t>（</w:t>
      </w:r>
      <w:r>
        <w:rPr>
          <w:rFonts w:hint="default" w:ascii="Times New Roman" w:hAnsi="宋体" w:eastAsia="宋体" w:cs="宋体"/>
          <w:bCs/>
          <w:color w:val="auto"/>
          <w:kern w:val="0"/>
          <w:sz w:val="24"/>
          <w:szCs w:val="24"/>
          <w:highlight w:val="none"/>
          <w:lang w:val="en-US" w:eastAsia="zh-CN" w:bidi="ar"/>
        </w:rPr>
        <w:t>1</w:t>
      </w:r>
      <w:r>
        <w:rPr>
          <w:rFonts w:hint="eastAsia" w:ascii="Times New Roman" w:hAnsi="宋体" w:eastAsia="宋体" w:cs="宋体"/>
          <w:bCs/>
          <w:color w:val="auto"/>
          <w:kern w:val="0"/>
          <w:sz w:val="24"/>
          <w:szCs w:val="24"/>
          <w:highlight w:val="none"/>
          <w:lang w:val="en-US" w:eastAsia="zh-CN" w:bidi="ar"/>
        </w:rPr>
        <w:t>）员工工资福利及法定计提费用明细表</w:t>
      </w:r>
    </w:p>
    <w:tbl>
      <w:tblPr>
        <w:tblStyle w:val="30"/>
        <w:tblW w:w="5757" w:type="pct"/>
        <w:tblInd w:w="-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49"/>
        <w:gridCol w:w="2080"/>
        <w:gridCol w:w="820"/>
        <w:gridCol w:w="1620"/>
        <w:gridCol w:w="1390"/>
        <w:gridCol w:w="1330"/>
        <w:gridCol w:w="1450"/>
        <w:gridCol w:w="920"/>
      </w:tblGrid>
      <w:tr w14:paraId="77B9E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27171">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序号</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B218F">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项目名称</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B3BDD">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人数配置</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2134B">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人员费用标准（元</w:t>
            </w:r>
            <w:r>
              <w:rPr>
                <w:rFonts w:hint="default" w:ascii="Times New Roman" w:hAnsi="宋体" w:eastAsia="宋体" w:cs="宋体"/>
                <w:b/>
                <w:bCs w:val="0"/>
                <w:color w:val="auto"/>
                <w:kern w:val="0"/>
                <w:sz w:val="24"/>
                <w:szCs w:val="24"/>
                <w:highlight w:val="none"/>
                <w:lang w:val="en-US" w:eastAsia="zh-CN" w:bidi="ar"/>
              </w:rPr>
              <w:t>/</w:t>
            </w:r>
            <w:r>
              <w:rPr>
                <w:rFonts w:hint="eastAsia" w:ascii="Times New Roman" w:hAnsi="宋体" w:eastAsia="宋体" w:cs="宋体"/>
                <w:b/>
                <w:bCs w:val="0"/>
                <w:color w:val="auto"/>
                <w:kern w:val="0"/>
                <w:sz w:val="24"/>
                <w:szCs w:val="24"/>
                <w:highlight w:val="none"/>
                <w:lang w:val="en-US" w:eastAsia="zh-CN" w:bidi="ar"/>
              </w:rPr>
              <w:t>月）</w:t>
            </w: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ED3F7">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合计费用（元</w:t>
            </w:r>
            <w:r>
              <w:rPr>
                <w:rFonts w:hint="default" w:ascii="Times New Roman" w:hAnsi="宋体" w:eastAsia="宋体" w:cs="宋体"/>
                <w:b/>
                <w:bCs w:val="0"/>
                <w:color w:val="auto"/>
                <w:kern w:val="0"/>
                <w:sz w:val="24"/>
                <w:szCs w:val="24"/>
                <w:highlight w:val="none"/>
                <w:lang w:val="en-US" w:eastAsia="zh-CN" w:bidi="ar"/>
              </w:rPr>
              <w:t>/</w:t>
            </w:r>
            <w:r>
              <w:rPr>
                <w:rFonts w:hint="eastAsia" w:ascii="Times New Roman" w:hAnsi="宋体" w:eastAsia="宋体" w:cs="宋体"/>
                <w:b/>
                <w:bCs w:val="0"/>
                <w:color w:val="auto"/>
                <w:kern w:val="0"/>
                <w:sz w:val="24"/>
                <w:szCs w:val="24"/>
                <w:highlight w:val="none"/>
                <w:lang w:val="en-US" w:eastAsia="zh-CN" w:bidi="ar"/>
              </w:rPr>
              <w:t>月）</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ED663">
            <w:pPr>
              <w:keepNext w:val="0"/>
              <w:keepLines w:val="0"/>
              <w:widowControl w:val="0"/>
              <w:suppressLineNumbers w:val="0"/>
              <w:spacing w:before="0" w:beforeAutospacing="0" w:after="0" w:afterAutospacing="0"/>
              <w:ind w:left="0" w:right="0"/>
              <w:jc w:val="center"/>
              <w:rPr>
                <w:rFonts w:hint="eastAsia" w:ascii="Times New Roman" w:hAnsi="宋体" w:eastAsia="宋体" w:cs="宋体"/>
                <w:b/>
                <w:bCs w:val="0"/>
                <w:color w:val="auto"/>
                <w:kern w:val="0"/>
                <w:sz w:val="24"/>
                <w:szCs w:val="24"/>
                <w:highlight w:val="none"/>
                <w:lang w:val="en-US" w:eastAsia="zh-CN" w:bidi="ar"/>
              </w:rPr>
            </w:pPr>
            <w:r>
              <w:rPr>
                <w:rFonts w:hint="eastAsia" w:ascii="Times New Roman" w:hAnsi="宋体" w:eastAsia="宋体" w:cs="宋体"/>
                <w:b/>
                <w:bCs w:val="0"/>
                <w:color w:val="auto"/>
                <w:kern w:val="0"/>
                <w:sz w:val="24"/>
                <w:szCs w:val="24"/>
                <w:highlight w:val="none"/>
                <w:lang w:val="en-US" w:eastAsia="zh-CN" w:bidi="ar"/>
              </w:rPr>
              <w:t>合计费用</w:t>
            </w:r>
          </w:p>
          <w:p w14:paraId="3A8FF7F0">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（元</w:t>
            </w:r>
            <w:r>
              <w:rPr>
                <w:rFonts w:hint="default" w:ascii="Times New Roman" w:hAnsi="宋体" w:eastAsia="宋体" w:cs="宋体"/>
                <w:b/>
                <w:bCs w:val="0"/>
                <w:color w:val="auto"/>
                <w:kern w:val="0"/>
                <w:sz w:val="24"/>
                <w:szCs w:val="24"/>
                <w:highlight w:val="none"/>
                <w:lang w:val="en-US" w:eastAsia="zh-CN" w:bidi="ar"/>
              </w:rPr>
              <w:t>/</w:t>
            </w:r>
            <w:r>
              <w:rPr>
                <w:rFonts w:hint="eastAsia" w:ascii="Times New Roman" w:hAnsi="宋体" w:eastAsia="宋体" w:cs="宋体"/>
                <w:b/>
                <w:bCs w:val="0"/>
                <w:color w:val="auto"/>
                <w:kern w:val="0"/>
                <w:sz w:val="24"/>
                <w:szCs w:val="24"/>
                <w:highlight w:val="none"/>
                <w:lang w:val="en-US" w:eastAsia="zh-CN" w:bidi="ar"/>
              </w:rPr>
              <w:t>年）</w:t>
            </w: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56FD">
            <w:pPr>
              <w:keepNext w:val="0"/>
              <w:keepLines w:val="0"/>
              <w:widowControl w:val="0"/>
              <w:suppressLineNumbers w:val="0"/>
              <w:spacing w:before="0" w:beforeAutospacing="0" w:after="0" w:afterAutospacing="0"/>
              <w:ind w:left="0" w:right="0"/>
              <w:jc w:val="center"/>
              <w:rPr>
                <w:rFonts w:hint="eastAsia" w:ascii="Times New Roman" w:hAnsi="宋体" w:eastAsia="宋体" w:cs="宋体"/>
                <w:b/>
                <w:bCs w:val="0"/>
                <w:color w:val="auto"/>
                <w:kern w:val="0"/>
                <w:sz w:val="24"/>
                <w:szCs w:val="24"/>
                <w:highlight w:val="none"/>
                <w:lang w:val="en-US" w:eastAsia="zh-CN" w:bidi="ar"/>
              </w:rPr>
            </w:pPr>
            <w:r>
              <w:rPr>
                <w:rFonts w:hint="eastAsia" w:ascii="Times New Roman" w:hAnsi="宋体" w:eastAsia="宋体" w:cs="宋体"/>
                <w:b/>
                <w:bCs w:val="0"/>
                <w:color w:val="auto"/>
                <w:kern w:val="0"/>
                <w:sz w:val="24"/>
                <w:szCs w:val="24"/>
                <w:highlight w:val="none"/>
                <w:lang w:val="en-US" w:eastAsia="zh-CN" w:bidi="ar"/>
              </w:rPr>
              <w:t>合计费用</w:t>
            </w:r>
          </w:p>
          <w:p w14:paraId="14D5C10A">
            <w:pPr>
              <w:keepNext w:val="0"/>
              <w:keepLines w:val="0"/>
              <w:widowControl w:val="0"/>
              <w:suppressLineNumbers w:val="0"/>
              <w:spacing w:before="0" w:beforeAutospacing="0" w:after="0" w:afterAutospacing="0"/>
              <w:ind w:left="0" w:right="0"/>
              <w:jc w:val="center"/>
              <w:rPr>
                <w:rFonts w:hint="eastAsia" w:ascii="Times New Roman" w:hAnsi="宋体" w:eastAsia="宋体" w:cs="宋体"/>
                <w:b/>
                <w:bCs w:val="0"/>
                <w:color w:val="auto"/>
                <w:kern w:val="0"/>
                <w:sz w:val="24"/>
                <w:szCs w:val="24"/>
                <w:highlight w:val="none"/>
                <w:lang w:val="en-US" w:eastAsia="zh-CN" w:bidi="ar"/>
              </w:rPr>
            </w:pPr>
            <w:r>
              <w:rPr>
                <w:rFonts w:hint="eastAsia" w:ascii="Times New Roman" w:hAnsi="宋体" w:eastAsia="宋体" w:cs="宋体"/>
                <w:b/>
                <w:bCs w:val="0"/>
                <w:color w:val="auto"/>
                <w:kern w:val="0"/>
                <w:sz w:val="24"/>
                <w:szCs w:val="24"/>
                <w:highlight w:val="none"/>
                <w:lang w:val="en-US" w:eastAsia="zh-CN" w:bidi="ar"/>
              </w:rPr>
              <w:t>（元</w:t>
            </w:r>
            <w:r>
              <w:rPr>
                <w:rFonts w:hint="default" w:ascii="Times New Roman" w:hAnsi="宋体" w:eastAsia="宋体" w:cs="宋体"/>
                <w:b/>
                <w:bCs w:val="0"/>
                <w:color w:val="auto"/>
                <w:kern w:val="0"/>
                <w:sz w:val="24"/>
                <w:szCs w:val="24"/>
                <w:highlight w:val="none"/>
                <w:lang w:val="en-US" w:eastAsia="zh-CN" w:bidi="ar"/>
              </w:rPr>
              <w:t>/</w:t>
            </w:r>
            <w:r>
              <w:rPr>
                <w:rFonts w:hint="eastAsia" w:hAnsi="宋体" w:cs="宋体"/>
                <w:b/>
                <w:bCs w:val="0"/>
                <w:color w:val="auto"/>
                <w:kern w:val="0"/>
                <w:sz w:val="24"/>
                <w:szCs w:val="24"/>
                <w:highlight w:val="none"/>
                <w:lang w:val="en-US" w:eastAsia="zh-CN" w:bidi="ar"/>
              </w:rPr>
              <w:t>2</w:t>
            </w:r>
            <w:r>
              <w:rPr>
                <w:rFonts w:hint="eastAsia" w:ascii="Times New Roman" w:hAnsi="宋体" w:eastAsia="宋体" w:cs="宋体"/>
                <w:b/>
                <w:bCs w:val="0"/>
                <w:color w:val="auto"/>
                <w:kern w:val="0"/>
                <w:sz w:val="24"/>
                <w:szCs w:val="24"/>
                <w:highlight w:val="none"/>
                <w:lang w:val="en-US" w:eastAsia="zh-CN" w:bidi="ar"/>
              </w:rPr>
              <w:t>年）</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98F7">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备注</w:t>
            </w:r>
          </w:p>
        </w:tc>
      </w:tr>
      <w:tr w14:paraId="37BBD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D4EC2">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default" w:ascii="Times New Roman" w:hAnsi="宋体" w:eastAsia="宋体" w:cs="宋体"/>
                <w:b/>
                <w:bCs w:val="0"/>
                <w:color w:val="auto"/>
                <w:kern w:val="0"/>
                <w:sz w:val="24"/>
                <w:szCs w:val="24"/>
                <w:highlight w:val="none"/>
                <w:lang w:val="en-US" w:eastAsia="zh-CN" w:bidi="ar"/>
              </w:rPr>
              <w:t>1</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0D5E4">
            <w:pPr>
              <w:keepNext w:val="0"/>
              <w:keepLines w:val="0"/>
              <w:widowControl w:val="0"/>
              <w:suppressLineNumbers w:val="0"/>
              <w:spacing w:before="0" w:beforeAutospacing="0" w:after="0" w:afterAutospacing="0"/>
              <w:ind w:left="0" w:right="0"/>
              <w:jc w:val="both"/>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员工工资及福利</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030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E456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64E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E28B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EB75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A7D2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44961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7DB5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1</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EAA0085">
            <w:pPr>
              <w:keepNext w:val="0"/>
              <w:keepLines w:val="0"/>
              <w:widowControl w:val="0"/>
              <w:suppressLineNumbers w:val="0"/>
              <w:spacing w:before="0" w:beforeAutospacing="0" w:after="240" w:afterAutospacing="0" w:line="400" w:lineRule="exact"/>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项目负责人</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FE282">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default" w:ascii="Times New Roman" w:hAnsi="宋体" w:eastAsia="宋体" w:cs="宋体"/>
                <w:color w:val="auto"/>
                <w:kern w:val="0"/>
                <w:sz w:val="24"/>
                <w:szCs w:val="24"/>
                <w:highlight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98FA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2B202">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3A95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E1B4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582F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1A87C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E7E5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2</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9310721">
            <w:pPr>
              <w:keepNext w:val="0"/>
              <w:keepLines w:val="0"/>
              <w:widowControl w:val="0"/>
              <w:suppressLineNumbers w:val="0"/>
              <w:spacing w:before="0" w:beforeAutospacing="0" w:after="240" w:afterAutospacing="0" w:line="400" w:lineRule="exact"/>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大数据分析员</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415C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default" w:ascii="Times New Roman" w:hAnsi="宋体" w:eastAsia="宋体" w:cs="宋体"/>
                <w:color w:val="auto"/>
                <w:kern w:val="0"/>
                <w:sz w:val="24"/>
                <w:szCs w:val="24"/>
                <w:highlight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4535D">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13D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9F88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C7E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72B1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574E5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F370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3</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5FF4743">
            <w:pPr>
              <w:keepNext w:val="0"/>
              <w:keepLines w:val="0"/>
              <w:widowControl w:val="0"/>
              <w:suppressLineNumbers w:val="0"/>
              <w:spacing w:before="0" w:beforeAutospacing="0" w:after="240" w:afterAutospacing="0" w:line="400" w:lineRule="exact"/>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文案人员</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2436D">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default" w:ascii="Times New Roman" w:hAnsi="宋体" w:eastAsia="宋体" w:cs="宋体"/>
                <w:color w:val="auto"/>
                <w:kern w:val="0"/>
                <w:sz w:val="24"/>
                <w:szCs w:val="24"/>
                <w:highlight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5C552">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73B41">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6533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56FD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CA6D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4E1F6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654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4</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F68F357">
            <w:pPr>
              <w:keepNext w:val="0"/>
              <w:keepLines w:val="0"/>
              <w:widowControl w:val="0"/>
              <w:suppressLineNumbers w:val="0"/>
              <w:spacing w:before="0" w:beforeAutospacing="0" w:after="240" w:afterAutospacing="0" w:line="400" w:lineRule="exact"/>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平台人员</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321A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default" w:ascii="Times New Roman" w:hAnsi="宋体" w:eastAsia="宋体" w:cs="宋体"/>
                <w:color w:val="auto"/>
                <w:kern w:val="0"/>
                <w:sz w:val="24"/>
                <w:szCs w:val="24"/>
                <w:highlight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4373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7D73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919B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2728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26C6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407B5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C502">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bookmarkStart w:id="205" w:name="OLE_LINK24"/>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5</w:t>
            </w:r>
            <w:r>
              <w:rPr>
                <w:rFonts w:hint="eastAsia" w:ascii="Times New Roman" w:hAnsi="宋体" w:eastAsia="宋体" w:cs="宋体"/>
                <w:color w:val="auto"/>
                <w:kern w:val="0"/>
                <w:sz w:val="24"/>
                <w:szCs w:val="24"/>
                <w:highlight w:val="none"/>
                <w:lang w:val="en-US" w:eastAsia="zh-CN" w:bidi="ar"/>
              </w:rPr>
              <w:t>）</w:t>
            </w:r>
            <w:bookmarkEnd w:id="205"/>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975145F">
            <w:pPr>
              <w:keepNext w:val="0"/>
              <w:keepLines w:val="0"/>
              <w:widowControl w:val="0"/>
              <w:suppressLineNumbers w:val="0"/>
              <w:spacing w:before="0" w:beforeAutospacing="0" w:after="240" w:afterAutospacing="0" w:line="400" w:lineRule="exact"/>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采集人员</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595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9E7E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D0D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620F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E16B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A16B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16D11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0003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6</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9466E60">
            <w:pPr>
              <w:keepNext w:val="0"/>
              <w:keepLines w:val="0"/>
              <w:widowControl w:val="0"/>
              <w:suppressLineNumbers w:val="0"/>
              <w:spacing w:before="0" w:beforeAutospacing="0" w:after="240" w:afterAutospacing="0" w:line="400" w:lineRule="exact"/>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XX人员</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D199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253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D507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C96C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8424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bookmarkStart w:id="206" w:name="OLE_LINK36"/>
            <w:bookmarkStart w:id="207" w:name="OLE_LINK35"/>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0C782">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Times New Roman"/>
                <w:color w:val="auto"/>
                <w:sz w:val="21"/>
                <w:szCs w:val="21"/>
                <w:highlight w:val="none"/>
                <w:lang w:val="en-US" w:eastAsia="zh-CN" w:bidi="ar"/>
              </w:rPr>
              <w:t>如有</w:t>
            </w:r>
            <w:r>
              <w:rPr>
                <w:rFonts w:hint="eastAsia" w:ascii="宋体" w:hAnsi="宋体" w:eastAsia="宋体" w:cs="Times New Roman"/>
                <w:color w:val="auto"/>
                <w:sz w:val="24"/>
                <w:szCs w:val="24"/>
                <w:highlight w:val="none"/>
                <w:lang w:val="en-US" w:eastAsia="zh-CN" w:bidi="ar"/>
              </w:rPr>
              <w:t>，自行添行明确</w:t>
            </w:r>
            <w:bookmarkEnd w:id="206"/>
            <w:bookmarkEnd w:id="207"/>
          </w:p>
        </w:tc>
      </w:tr>
      <w:tr w14:paraId="2DF5D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A1F0F">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7</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064E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法定节假日加班工资</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DD11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3C87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BA6B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0DE3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AE23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E3ADC44">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69D83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7922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8</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4EDED">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员工人身意外保险费</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F06F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CCA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C73D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77F4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4A8C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3C0D6DA">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3FE1E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F5B0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9</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D44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高温费</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1102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FB1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998D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1F0F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41A2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BCBDCA8">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4C4EA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A74C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10</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D49F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其他员工福利</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03A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EF3B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CE52">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9A14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9DBF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22E0EEF">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540D3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17FF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 xml:space="preserve"> </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83B62">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F5FE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CAF2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D1DA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D6DE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F55F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1155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39139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520E4">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default" w:ascii="Times New Roman" w:hAnsi="宋体" w:eastAsia="宋体" w:cs="宋体"/>
                <w:b/>
                <w:bCs w:val="0"/>
                <w:color w:val="auto"/>
                <w:kern w:val="0"/>
                <w:sz w:val="24"/>
                <w:szCs w:val="24"/>
                <w:highlight w:val="none"/>
                <w:lang w:val="en-US" w:eastAsia="zh-CN" w:bidi="ar"/>
              </w:rPr>
              <w:t>2</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894C4">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r>
              <w:rPr>
                <w:rFonts w:hint="eastAsia" w:ascii="Times New Roman" w:hAnsi="宋体" w:eastAsia="宋体" w:cs="宋体"/>
                <w:b/>
                <w:bCs w:val="0"/>
                <w:color w:val="auto"/>
                <w:kern w:val="0"/>
                <w:sz w:val="24"/>
                <w:szCs w:val="24"/>
                <w:highlight w:val="none"/>
                <w:lang w:val="en-US" w:eastAsia="zh-CN" w:bidi="ar"/>
              </w:rPr>
              <w:t>法定计提费用</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78E90">
            <w:pPr>
              <w:keepNext w:val="0"/>
              <w:keepLines w:val="0"/>
              <w:widowControl w:val="0"/>
              <w:suppressLineNumbers w:val="0"/>
              <w:spacing w:before="0" w:beforeAutospacing="0" w:after="0" w:afterAutospacing="0"/>
              <w:ind w:left="0" w:right="0"/>
              <w:jc w:val="center"/>
              <w:rPr>
                <w:rFonts w:hint="default" w:hAnsi="宋体" w:cs="宋体"/>
                <w:b/>
                <w:bCs w:val="0"/>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2BB5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6F25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2FEA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0A68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0B3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6B894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CF182">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1</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E57C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养老保险</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7CC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1E72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7D94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97B8D">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5914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810FD86">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3BE06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3D5D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2</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CA02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医疗统筹</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AE51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E2FB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24F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27AE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BF91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61A6F89">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4E9CE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B4C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3</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D4AA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失业</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0308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013C1">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2D13D">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1EEC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39A5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34020C7">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02064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026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4</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CB5C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工伤</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6B6D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7C07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C21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E6E3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6F23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5EAD2DE">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32B4B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348F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5</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1AC7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生育</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D0FD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254B">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70D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A9B7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68C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613A3BF">
            <w:pPr>
              <w:keepNext w:val="0"/>
              <w:keepLines w:val="0"/>
              <w:widowControl w:val="0"/>
              <w:suppressLineNumbers w:val="0"/>
              <w:spacing w:before="0" w:beforeAutospacing="0" w:after="0" w:afterAutospacing="0"/>
              <w:ind w:left="0" w:right="0"/>
              <w:jc w:val="both"/>
              <w:rPr>
                <w:rFonts w:hint="default" w:hAnsi="宋体" w:cs="宋体"/>
                <w:color w:val="auto"/>
                <w:sz w:val="24"/>
                <w:szCs w:val="24"/>
                <w:highlight w:val="none"/>
                <w:lang w:val="en-US"/>
              </w:rPr>
            </w:pPr>
          </w:p>
        </w:tc>
      </w:tr>
      <w:tr w14:paraId="67EF3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4363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6</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BBC4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其他法定计提费用</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642D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A1A3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9594D">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0B893">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9504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1BF49">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356D9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exact"/>
        </w:trPr>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51E18">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w:t>
            </w:r>
            <w:r>
              <w:rPr>
                <w:rFonts w:hint="default" w:ascii="Times New Roman" w:hAnsi="宋体" w:eastAsia="宋体" w:cs="宋体"/>
                <w:color w:val="auto"/>
                <w:kern w:val="0"/>
                <w:sz w:val="24"/>
                <w:szCs w:val="24"/>
                <w:highlight w:val="none"/>
                <w:lang w:val="en-US" w:eastAsia="zh-CN" w:bidi="ar"/>
              </w:rPr>
              <w:t xml:space="preserve"> </w:t>
            </w:r>
            <w:r>
              <w:rPr>
                <w:rFonts w:hint="eastAsia" w:ascii="Times New Roman" w:hAnsi="宋体" w:eastAsia="宋体" w:cs="宋体"/>
                <w:color w:val="auto"/>
                <w:kern w:val="0"/>
                <w:sz w:val="24"/>
                <w:szCs w:val="24"/>
                <w:highlight w:val="none"/>
                <w:lang w:val="en-US" w:eastAsia="zh-CN" w:bidi="ar"/>
              </w:rPr>
              <w:t>…</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F5DC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E7D5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52BCE">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046DF">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C4F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BED55">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A076">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r w14:paraId="7F421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exact"/>
        </w:trPr>
        <w:tc>
          <w:tcPr>
            <w:tcW w:w="30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22651">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r>
              <w:rPr>
                <w:rFonts w:hint="eastAsia" w:ascii="Times New Roman" w:hAnsi="宋体" w:eastAsia="宋体" w:cs="宋体"/>
                <w:color w:val="auto"/>
                <w:kern w:val="0"/>
                <w:sz w:val="24"/>
                <w:szCs w:val="24"/>
                <w:highlight w:val="none"/>
                <w:lang w:val="en-US" w:eastAsia="zh-CN" w:bidi="ar"/>
              </w:rPr>
              <w:t>合计：</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2AF8A">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40E20">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B01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94D7C">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C7B14">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8EC37">
            <w:pPr>
              <w:keepNext w:val="0"/>
              <w:keepLines w:val="0"/>
              <w:widowControl w:val="0"/>
              <w:suppressLineNumbers w:val="0"/>
              <w:spacing w:before="0" w:beforeAutospacing="0" w:after="0" w:afterAutospacing="0"/>
              <w:ind w:left="0" w:right="0"/>
              <w:jc w:val="center"/>
              <w:rPr>
                <w:rFonts w:hint="default" w:hAnsi="宋体" w:cs="宋体"/>
                <w:color w:val="auto"/>
                <w:sz w:val="24"/>
                <w:szCs w:val="24"/>
                <w:highlight w:val="none"/>
                <w:lang w:val="en-US"/>
              </w:rPr>
            </w:pPr>
          </w:p>
        </w:tc>
      </w:tr>
    </w:tbl>
    <w:p w14:paraId="5F713D36">
      <w:pPr>
        <w:keepNext w:val="0"/>
        <w:keepLines w:val="0"/>
        <w:widowControl w:val="0"/>
        <w:suppressLineNumbers w:val="0"/>
        <w:spacing w:before="0" w:beforeAutospacing="0" w:after="0" w:afterAutospacing="0" w:line="400" w:lineRule="exact"/>
        <w:ind w:left="0" w:right="0"/>
        <w:jc w:val="both"/>
        <w:rPr>
          <w:rFonts w:hint="eastAsia" w:ascii="Times New Roman" w:hAnsi="宋体" w:eastAsia="宋体" w:cs="宋体"/>
          <w:b/>
          <w:bCs/>
          <w:color w:val="auto"/>
          <w:kern w:val="0"/>
          <w:sz w:val="21"/>
          <w:szCs w:val="21"/>
          <w:highlight w:val="none"/>
          <w:lang w:val="en-US" w:eastAsia="zh-CN" w:bidi="ar"/>
        </w:rPr>
      </w:pPr>
      <w:r>
        <w:rPr>
          <w:rFonts w:hint="eastAsia" w:ascii="Times New Roman" w:hAnsi="宋体" w:eastAsia="宋体" w:cs="宋体"/>
          <w:b/>
          <w:bCs/>
          <w:color w:val="auto"/>
          <w:kern w:val="0"/>
          <w:sz w:val="21"/>
          <w:szCs w:val="21"/>
          <w:highlight w:val="none"/>
          <w:lang w:val="en-US" w:eastAsia="zh-CN" w:bidi="ar"/>
        </w:rPr>
        <w:t>注：</w:t>
      </w:r>
    </w:p>
    <w:p w14:paraId="63BA9E09">
      <w:pPr>
        <w:keepNext w:val="0"/>
        <w:keepLines w:val="0"/>
        <w:widowControl w:val="0"/>
        <w:suppressLineNumbers w:val="0"/>
        <w:spacing w:before="0" w:beforeAutospacing="0" w:after="0" w:afterAutospacing="0" w:line="400" w:lineRule="exact"/>
        <w:ind w:left="0" w:right="0"/>
        <w:jc w:val="both"/>
        <w:rPr>
          <w:rFonts w:hAnsi="宋体" w:cs="宋体"/>
          <w:b/>
          <w:bCs/>
          <w:color w:val="auto"/>
          <w:szCs w:val="21"/>
          <w:highlight w:val="none"/>
          <w:lang w:val="en-US"/>
        </w:rPr>
      </w:pPr>
      <w:r>
        <w:rPr>
          <w:rFonts w:hint="eastAsia" w:hAnsi="宋体" w:cs="宋体"/>
          <w:b/>
          <w:bCs/>
          <w:color w:val="auto"/>
          <w:kern w:val="0"/>
          <w:sz w:val="21"/>
          <w:szCs w:val="21"/>
          <w:highlight w:val="none"/>
          <w:lang w:val="en-US" w:eastAsia="zh-CN" w:bidi="ar"/>
        </w:rPr>
        <w:t>1.</w:t>
      </w:r>
      <w:r>
        <w:rPr>
          <w:rFonts w:hint="eastAsia" w:ascii="Times New Roman" w:hAnsi="宋体" w:eastAsia="宋体" w:cs="宋体"/>
          <w:b/>
          <w:bCs/>
          <w:color w:val="auto"/>
          <w:kern w:val="0"/>
          <w:sz w:val="21"/>
          <w:szCs w:val="21"/>
          <w:highlight w:val="none"/>
          <w:lang w:val="en-US" w:eastAsia="zh-CN" w:bidi="ar"/>
        </w:rPr>
        <w:t>以上人员费用包括工资、社保、福利费、加班费等内容，符合国家、省、市相关政策规定（表中已列出的法定计提费用必须按照本项目人员配置总数计提和填写；投标人不得将法定计提费用通过“先交后返”等方式进行减免或扣减）；</w:t>
      </w:r>
    </w:p>
    <w:p w14:paraId="3F6A03B1">
      <w:pPr>
        <w:keepNext w:val="0"/>
        <w:keepLines w:val="0"/>
        <w:widowControl w:val="0"/>
        <w:suppressLineNumbers w:val="0"/>
        <w:spacing w:before="0" w:beforeAutospacing="0" w:after="0" w:afterAutospacing="0" w:line="400" w:lineRule="exact"/>
        <w:ind w:left="0" w:right="0"/>
        <w:jc w:val="both"/>
        <w:rPr>
          <w:rFonts w:hAnsi="宋体"/>
          <w:bCs/>
          <w:color w:val="auto"/>
          <w:sz w:val="24"/>
          <w:szCs w:val="24"/>
          <w:highlight w:val="none"/>
          <w:lang w:val="en-US"/>
        </w:rPr>
      </w:pPr>
      <w:r>
        <w:rPr>
          <w:rFonts w:hint="eastAsia" w:hAnsi="宋体" w:cs="宋体"/>
          <w:b/>
          <w:bCs/>
          <w:color w:val="auto"/>
          <w:kern w:val="0"/>
          <w:sz w:val="21"/>
          <w:szCs w:val="21"/>
          <w:highlight w:val="none"/>
          <w:lang w:val="en-US" w:eastAsia="zh-CN" w:bidi="ar"/>
        </w:rPr>
        <w:t>2.</w:t>
      </w:r>
      <w:r>
        <w:rPr>
          <w:rFonts w:hint="eastAsia" w:ascii="Times New Roman" w:hAnsi="宋体" w:eastAsia="宋体" w:cs="宋体"/>
          <w:b/>
          <w:bCs/>
          <w:color w:val="auto"/>
          <w:kern w:val="0"/>
          <w:sz w:val="21"/>
          <w:szCs w:val="21"/>
          <w:highlight w:val="none"/>
          <w:lang w:val="en-US" w:eastAsia="zh-CN" w:bidi="ar"/>
        </w:rPr>
        <w:t>上述报价表由投标人参照，不限于此，可根据项目需求自行添加条目进行投报。</w:t>
      </w:r>
    </w:p>
    <w:p w14:paraId="4FD38325">
      <w:pPr>
        <w:keepNext w:val="0"/>
        <w:keepLines w:val="0"/>
        <w:widowControl w:val="0"/>
        <w:suppressLineNumbers w:val="0"/>
        <w:spacing w:before="0" w:beforeAutospacing="0" w:after="0" w:afterAutospacing="0" w:line="400" w:lineRule="exact"/>
        <w:ind w:left="0" w:right="0"/>
        <w:jc w:val="both"/>
        <w:rPr>
          <w:rFonts w:hint="eastAsia" w:ascii="Times New Roman" w:hAnsi="宋体" w:eastAsia="宋体" w:cs="宋体"/>
          <w:b/>
          <w:bCs/>
          <w:color w:val="auto"/>
          <w:kern w:val="0"/>
          <w:sz w:val="21"/>
          <w:szCs w:val="21"/>
          <w:highlight w:val="none"/>
          <w:lang w:val="en-US" w:eastAsia="zh-CN" w:bidi="ar"/>
        </w:rPr>
      </w:pPr>
      <w:r>
        <w:rPr>
          <w:rFonts w:hint="eastAsia" w:ascii="Times New Roman" w:hAnsi="宋体" w:eastAsia="宋体" w:cs="宋体"/>
          <w:b/>
          <w:bCs/>
          <w:color w:val="auto"/>
          <w:kern w:val="0"/>
          <w:sz w:val="21"/>
          <w:szCs w:val="21"/>
          <w:highlight w:val="none"/>
          <w:lang w:val="en-US" w:eastAsia="zh-CN" w:bidi="ar"/>
        </w:rPr>
        <w:t>投标人名称（盖章）</w:t>
      </w:r>
      <w:r>
        <w:rPr>
          <w:rFonts w:hint="default" w:ascii="Times New Roman" w:hAnsi="宋体" w:eastAsia="宋体" w:cs="宋体"/>
          <w:b/>
          <w:bCs/>
          <w:color w:val="auto"/>
          <w:kern w:val="0"/>
          <w:sz w:val="21"/>
          <w:szCs w:val="21"/>
          <w:highlight w:val="none"/>
          <w:lang w:val="en-US" w:eastAsia="zh-CN" w:bidi="ar"/>
        </w:rPr>
        <w:t xml:space="preserve">                                                 </w:t>
      </w:r>
    </w:p>
    <w:p w14:paraId="542F7EA8">
      <w:pPr>
        <w:keepNext w:val="0"/>
        <w:keepLines w:val="0"/>
        <w:widowControl w:val="0"/>
        <w:suppressLineNumbers w:val="0"/>
        <w:spacing w:before="0" w:beforeAutospacing="0" w:after="0" w:afterAutospacing="0" w:line="400" w:lineRule="exact"/>
        <w:ind w:left="0" w:right="0"/>
        <w:jc w:val="both"/>
        <w:rPr>
          <w:rFonts w:hint="eastAsia" w:ascii="Times New Roman" w:hAnsi="宋体" w:eastAsia="宋体" w:cs="宋体"/>
          <w:b/>
          <w:bCs/>
          <w:color w:val="auto"/>
          <w:kern w:val="0"/>
          <w:sz w:val="21"/>
          <w:szCs w:val="21"/>
          <w:highlight w:val="none"/>
          <w:lang w:val="en-US" w:eastAsia="zh-CN" w:bidi="ar"/>
        </w:rPr>
      </w:pPr>
      <w:r>
        <w:rPr>
          <w:rFonts w:hint="eastAsia" w:ascii="Times New Roman" w:hAnsi="宋体" w:eastAsia="宋体" w:cs="宋体"/>
          <w:b/>
          <w:bCs/>
          <w:color w:val="auto"/>
          <w:kern w:val="0"/>
          <w:sz w:val="21"/>
          <w:szCs w:val="21"/>
          <w:highlight w:val="none"/>
          <w:lang w:val="en-US" w:eastAsia="zh-CN" w:bidi="ar"/>
        </w:rPr>
        <w:t>法定代表人或法定代表人授权代表签字或盖章：</w:t>
      </w:r>
    </w:p>
    <w:p w14:paraId="59436590">
      <w:pPr>
        <w:keepNext w:val="0"/>
        <w:keepLines w:val="0"/>
        <w:widowControl w:val="0"/>
        <w:suppressLineNumbers w:val="0"/>
        <w:spacing w:before="0" w:beforeAutospacing="0" w:after="0" w:afterAutospacing="0" w:line="400" w:lineRule="exact"/>
        <w:ind w:left="0" w:right="0"/>
        <w:jc w:val="both"/>
        <w:rPr>
          <w:rFonts w:hint="eastAsia" w:ascii="Times New Roman" w:hAnsi="宋体" w:eastAsia="宋体" w:cs="宋体"/>
          <w:b/>
          <w:bCs/>
          <w:color w:val="auto"/>
          <w:kern w:val="0"/>
          <w:sz w:val="21"/>
          <w:szCs w:val="21"/>
          <w:highlight w:val="none"/>
          <w:lang w:val="en-US" w:eastAsia="zh-CN" w:bidi="ar"/>
        </w:rPr>
      </w:pPr>
      <w:r>
        <w:rPr>
          <w:rFonts w:hint="eastAsia" w:ascii="Times New Roman" w:hAnsi="宋体" w:eastAsia="宋体" w:cs="宋体"/>
          <w:b/>
          <w:bCs/>
          <w:color w:val="auto"/>
          <w:kern w:val="0"/>
          <w:sz w:val="21"/>
          <w:szCs w:val="21"/>
          <w:highlight w:val="none"/>
          <w:lang w:val="en-US" w:eastAsia="zh-CN" w:bidi="ar"/>
        </w:rPr>
        <w:t>日期：</w:t>
      </w:r>
      <w:r>
        <w:rPr>
          <w:rFonts w:hint="default" w:ascii="Times New Roman" w:hAnsi="宋体" w:eastAsia="宋体" w:cs="宋体"/>
          <w:b/>
          <w:bCs/>
          <w:color w:val="auto"/>
          <w:kern w:val="0"/>
          <w:sz w:val="21"/>
          <w:szCs w:val="21"/>
          <w:highlight w:val="none"/>
          <w:lang w:val="en-US" w:eastAsia="zh-CN" w:bidi="ar"/>
        </w:rPr>
        <w:t xml:space="preserve">       </w:t>
      </w:r>
      <w:r>
        <w:rPr>
          <w:rFonts w:hint="eastAsia" w:ascii="Times New Roman" w:hAnsi="宋体" w:eastAsia="宋体" w:cs="宋体"/>
          <w:b/>
          <w:bCs/>
          <w:color w:val="auto"/>
          <w:kern w:val="0"/>
          <w:sz w:val="21"/>
          <w:szCs w:val="21"/>
          <w:highlight w:val="none"/>
          <w:lang w:val="en-US" w:eastAsia="zh-CN" w:bidi="ar"/>
        </w:rPr>
        <w:t>年</w:t>
      </w:r>
      <w:r>
        <w:rPr>
          <w:rFonts w:hint="default" w:ascii="Times New Roman" w:hAnsi="宋体" w:eastAsia="宋体" w:cs="宋体"/>
          <w:b/>
          <w:bCs/>
          <w:color w:val="auto"/>
          <w:kern w:val="0"/>
          <w:sz w:val="21"/>
          <w:szCs w:val="21"/>
          <w:highlight w:val="none"/>
          <w:lang w:val="en-US" w:eastAsia="zh-CN" w:bidi="ar"/>
        </w:rPr>
        <w:t xml:space="preserve">  </w:t>
      </w:r>
      <w:r>
        <w:rPr>
          <w:rFonts w:hint="eastAsia" w:ascii="Times New Roman" w:hAnsi="宋体" w:eastAsia="宋体" w:cs="宋体"/>
          <w:b/>
          <w:bCs/>
          <w:color w:val="auto"/>
          <w:kern w:val="0"/>
          <w:sz w:val="21"/>
          <w:szCs w:val="21"/>
          <w:highlight w:val="none"/>
          <w:lang w:val="en-US" w:eastAsia="zh-CN" w:bidi="ar"/>
        </w:rPr>
        <w:t>月</w:t>
      </w:r>
      <w:r>
        <w:rPr>
          <w:rFonts w:hint="default" w:ascii="Times New Roman" w:hAnsi="宋体" w:eastAsia="宋体" w:cs="宋体"/>
          <w:b/>
          <w:bCs/>
          <w:color w:val="auto"/>
          <w:kern w:val="0"/>
          <w:sz w:val="21"/>
          <w:szCs w:val="21"/>
          <w:highlight w:val="none"/>
          <w:lang w:val="en-US" w:eastAsia="zh-CN" w:bidi="ar"/>
        </w:rPr>
        <w:t xml:space="preserve">  </w:t>
      </w:r>
      <w:r>
        <w:rPr>
          <w:rFonts w:hint="eastAsia" w:ascii="Times New Roman" w:hAnsi="宋体" w:eastAsia="宋体" w:cs="宋体"/>
          <w:b/>
          <w:bCs/>
          <w:color w:val="auto"/>
          <w:kern w:val="0"/>
          <w:sz w:val="21"/>
          <w:szCs w:val="21"/>
          <w:highlight w:val="none"/>
          <w:lang w:val="en-US" w:eastAsia="zh-CN" w:bidi="ar"/>
        </w:rPr>
        <w:t>日</w:t>
      </w:r>
    </w:p>
    <w:p w14:paraId="7F8085A5">
      <w:pPr>
        <w:spacing w:line="360" w:lineRule="auto"/>
        <w:rPr>
          <w:rFonts w:ascii="宋体" w:hAnsi="Calibri"/>
          <w:bCs/>
          <w:color w:val="auto"/>
          <w:highlight w:val="none"/>
        </w:rPr>
      </w:pPr>
    </w:p>
    <w:p w14:paraId="57B74CAE">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7E0D874A">
      <w:pPr>
        <w:ind w:firstLine="490"/>
        <w:jc w:val="center"/>
        <w:outlineLvl w:val="0"/>
        <w:rPr>
          <w:rFonts w:ascii="黑体" w:eastAsia="黑体"/>
          <w:bCs/>
          <w:color w:val="auto"/>
          <w:sz w:val="28"/>
          <w:szCs w:val="28"/>
          <w:highlight w:val="none"/>
        </w:rPr>
      </w:pPr>
    </w:p>
    <w:p w14:paraId="30239B9F">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4F8B6530">
      <w:pPr>
        <w:spacing w:line="400" w:lineRule="exact"/>
        <w:jc w:val="center"/>
        <w:outlineLvl w:val="0"/>
        <w:rPr>
          <w:rFonts w:ascii="黑体" w:eastAsia="黑体"/>
          <w:bCs/>
          <w:color w:val="auto"/>
          <w:sz w:val="28"/>
          <w:szCs w:val="28"/>
          <w:highlight w:val="none"/>
        </w:rPr>
      </w:pPr>
    </w:p>
    <w:p w14:paraId="669674B7">
      <w:pPr>
        <w:spacing w:line="400" w:lineRule="exact"/>
        <w:jc w:val="center"/>
        <w:outlineLvl w:val="0"/>
        <w:rPr>
          <w:rFonts w:ascii="黑体" w:eastAsia="黑体"/>
          <w:bCs/>
          <w:color w:val="auto"/>
          <w:sz w:val="28"/>
          <w:szCs w:val="28"/>
          <w:highlight w:val="none"/>
        </w:rPr>
      </w:pPr>
    </w:p>
    <w:p w14:paraId="34776AF7">
      <w:pPr>
        <w:spacing w:line="240" w:lineRule="auto"/>
        <w:ind w:firstLine="480" w:firstLineChars="200"/>
        <w:jc w:val="left"/>
        <w:rPr>
          <w:rFonts w:hint="eastAsia" w:ascii="黑体" w:eastAsia="宋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hAnsi="Times New Roman" w:eastAsia="黑体"/>
          <w:bCs/>
          <w:color w:val="auto"/>
          <w:sz w:val="24"/>
          <w:szCs w:val="24"/>
          <w:highlight w:val="none"/>
        </w:rPr>
        <w:t>JSZC-320214-XSGC-G2026-0005</w:t>
      </w:r>
    </w:p>
    <w:tbl>
      <w:tblPr>
        <w:tblStyle w:val="30"/>
        <w:tblW w:w="9885" w:type="dxa"/>
        <w:jc w:val="center"/>
        <w:tblLayout w:type="fixed"/>
        <w:tblCellMar>
          <w:top w:w="15" w:type="dxa"/>
          <w:left w:w="15" w:type="dxa"/>
          <w:bottom w:w="0" w:type="dxa"/>
          <w:right w:w="15" w:type="dxa"/>
        </w:tblCellMar>
      </w:tblPr>
      <w:tblGrid>
        <w:gridCol w:w="1905"/>
        <w:gridCol w:w="2835"/>
        <w:gridCol w:w="2835"/>
        <w:gridCol w:w="2310"/>
      </w:tblGrid>
      <w:tr w14:paraId="3818598D">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98DE84">
            <w:pPr>
              <w:keepNext w:val="0"/>
              <w:keepLines w:val="0"/>
              <w:suppressLineNumbers w:val="0"/>
              <w:spacing w:before="0" w:beforeAutospacing="0" w:after="0" w:afterAutospacing="0"/>
              <w:ind w:left="0" w:right="0"/>
              <w:jc w:val="center"/>
              <w:rPr>
                <w:rFonts w:hint="default"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2058C16A">
            <w:pPr>
              <w:keepNext w:val="0"/>
              <w:keepLines w:val="0"/>
              <w:suppressLineNumbers w:val="0"/>
              <w:spacing w:before="0" w:beforeAutospacing="0" w:after="0" w:afterAutospacing="0"/>
              <w:ind w:left="0" w:right="0"/>
              <w:jc w:val="center"/>
              <w:rPr>
                <w:rFonts w:hint="default"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30207388">
            <w:pPr>
              <w:keepNext w:val="0"/>
              <w:keepLines w:val="0"/>
              <w:suppressLineNumbers w:val="0"/>
              <w:spacing w:before="0" w:beforeAutospacing="0" w:after="0" w:afterAutospacing="0"/>
              <w:ind w:left="0" w:right="0"/>
              <w:jc w:val="center"/>
              <w:rPr>
                <w:rFonts w:hint="default"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4DC74EE2">
            <w:pPr>
              <w:keepNext w:val="0"/>
              <w:keepLines w:val="0"/>
              <w:suppressLineNumbers w:val="0"/>
              <w:spacing w:before="0" w:beforeAutospacing="0" w:after="0" w:afterAutospacing="0"/>
              <w:ind w:left="0" w:right="0"/>
              <w:jc w:val="center"/>
              <w:rPr>
                <w:rFonts w:hint="default" w:ascii="宋体"/>
                <w:b/>
                <w:bCs/>
                <w:color w:val="auto"/>
                <w:sz w:val="24"/>
                <w:szCs w:val="24"/>
                <w:highlight w:val="none"/>
              </w:rPr>
            </w:pPr>
            <w:r>
              <w:rPr>
                <w:rFonts w:hint="eastAsia" w:ascii="宋体" w:hAnsi="宋体"/>
                <w:b/>
                <w:bCs/>
                <w:color w:val="auto"/>
                <w:sz w:val="24"/>
                <w:szCs w:val="24"/>
                <w:highlight w:val="none"/>
              </w:rPr>
              <w:t>偏离说明</w:t>
            </w:r>
          </w:p>
        </w:tc>
      </w:tr>
      <w:tr w14:paraId="19953C54">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E16B13">
            <w:pPr>
              <w:keepNext w:val="0"/>
              <w:keepLines w:val="0"/>
              <w:suppressLineNumbers w:val="0"/>
              <w:spacing w:before="0" w:beforeAutospacing="0" w:after="0" w:afterAutospacing="0"/>
              <w:ind w:left="0" w:right="0"/>
              <w:jc w:val="center"/>
              <w:rPr>
                <w:rFonts w:hint="default"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09109EE">
            <w:pPr>
              <w:keepNext w:val="0"/>
              <w:keepLines w:val="0"/>
              <w:suppressLineNumbers w:val="0"/>
              <w:spacing w:before="0" w:beforeAutospacing="0" w:after="0" w:afterAutospacing="0"/>
              <w:ind w:left="0" w:right="0"/>
              <w:rPr>
                <w:rFonts w:hint="default"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78A6AF3">
            <w:pPr>
              <w:keepNext w:val="0"/>
              <w:keepLines w:val="0"/>
              <w:suppressLineNumbers w:val="0"/>
              <w:spacing w:before="0" w:beforeAutospacing="0" w:after="0" w:afterAutospacing="0"/>
              <w:ind w:left="0" w:right="0"/>
              <w:jc w:val="center"/>
              <w:rPr>
                <w:rFonts w:hint="default"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4F0DCC6">
            <w:pPr>
              <w:keepNext w:val="0"/>
              <w:keepLines w:val="0"/>
              <w:suppressLineNumbers w:val="0"/>
              <w:spacing w:before="0" w:beforeAutospacing="0" w:after="0" w:afterAutospacing="0"/>
              <w:ind w:left="0" w:right="0"/>
              <w:jc w:val="center"/>
              <w:rPr>
                <w:rFonts w:hint="default" w:ascii="宋体"/>
                <w:bCs/>
                <w:color w:val="auto"/>
                <w:highlight w:val="none"/>
              </w:rPr>
            </w:pPr>
          </w:p>
        </w:tc>
      </w:tr>
    </w:tbl>
    <w:p w14:paraId="6208E62E">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1FB674EF">
      <w:pPr>
        <w:rPr>
          <w:rFonts w:ascii="宋体"/>
          <w:bCs/>
          <w:color w:val="auto"/>
          <w:sz w:val="30"/>
          <w:highlight w:val="none"/>
        </w:rPr>
      </w:pPr>
    </w:p>
    <w:bookmarkEnd w:id="189"/>
    <w:bookmarkEnd w:id="190"/>
    <w:bookmarkEnd w:id="204"/>
    <w:p w14:paraId="2988EB78">
      <w:pPr>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6690A8FE">
      <w:pPr>
        <w:ind w:firstLine="420"/>
        <w:outlineLvl w:val="0"/>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 “偏离说明”中注明“无偏离”；</w:t>
      </w:r>
    </w:p>
    <w:p w14:paraId="163E56C0">
      <w:pPr>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p>
    <w:p w14:paraId="5D64C4A8">
      <w:pPr>
        <w:ind w:firstLine="420"/>
        <w:outlineLvl w:val="0"/>
        <w:rPr>
          <w:rFonts w:ascii="宋体" w:hAnsi="宋体"/>
          <w:bCs/>
          <w:color w:val="auto"/>
          <w:sz w:val="24"/>
          <w:szCs w:val="24"/>
          <w:highlight w:val="none"/>
        </w:rPr>
      </w:pPr>
    </w:p>
    <w:p w14:paraId="33FF3E7A">
      <w:pPr>
        <w:rPr>
          <w:color w:val="auto"/>
          <w:highlight w:val="none"/>
        </w:rPr>
      </w:pPr>
    </w:p>
    <w:p w14:paraId="57DB1508">
      <w:pPr>
        <w:outlineLvl w:val="0"/>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十一、项目人员配置考察表（格式）</w:t>
      </w:r>
    </w:p>
    <w:p w14:paraId="47327772">
      <w:pPr>
        <w:ind w:firstLine="420"/>
        <w:outlineLvl w:val="0"/>
        <w:rPr>
          <w:rFonts w:ascii="黑体" w:hAnsi="宋体" w:eastAsia="黑体"/>
          <w:bCs/>
          <w:color w:val="auto"/>
          <w:sz w:val="24"/>
          <w:szCs w:val="24"/>
          <w:highlight w:val="none"/>
        </w:rPr>
      </w:pPr>
    </w:p>
    <w:p w14:paraId="55A97276">
      <w:pPr>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项目人员配置考察表</w:t>
      </w:r>
    </w:p>
    <w:p w14:paraId="084B8646">
      <w:pPr>
        <w:spacing w:line="400" w:lineRule="exact"/>
        <w:jc w:val="center"/>
        <w:rPr>
          <w:rFonts w:ascii="黑体" w:eastAsia="黑体"/>
          <w:bCs/>
          <w:color w:val="auto"/>
          <w:sz w:val="28"/>
          <w:szCs w:val="28"/>
          <w:highlight w:val="none"/>
        </w:rPr>
      </w:pPr>
    </w:p>
    <w:p w14:paraId="14648C36">
      <w:pPr>
        <w:ind w:firstLine="480"/>
        <w:rPr>
          <w:rFonts w:hint="eastAsia" w:ascii="黑体" w:eastAsia="宋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hAnsi="Times New Roman" w:eastAsia="黑体"/>
          <w:bCs/>
          <w:color w:val="auto"/>
          <w:sz w:val="24"/>
          <w:szCs w:val="24"/>
          <w:highlight w:val="none"/>
        </w:rPr>
        <w:t>JSZC-320214-XSGC-G2026-0005</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3"/>
        <w:gridCol w:w="1050"/>
        <w:gridCol w:w="723"/>
        <w:gridCol w:w="690"/>
        <w:gridCol w:w="806"/>
        <w:gridCol w:w="1233"/>
        <w:gridCol w:w="1223"/>
        <w:gridCol w:w="1749"/>
        <w:gridCol w:w="952"/>
      </w:tblGrid>
      <w:tr w14:paraId="016FC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vAlign w:val="center"/>
          </w:tcPr>
          <w:p w14:paraId="4C87911F">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序号</w:t>
            </w:r>
          </w:p>
        </w:tc>
        <w:tc>
          <w:tcPr>
            <w:tcW w:w="1098" w:type="dxa"/>
            <w:vAlign w:val="center"/>
          </w:tcPr>
          <w:p w14:paraId="30BE12FA">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姓名</w:t>
            </w:r>
          </w:p>
        </w:tc>
        <w:tc>
          <w:tcPr>
            <w:tcW w:w="744" w:type="dxa"/>
            <w:vAlign w:val="center"/>
          </w:tcPr>
          <w:p w14:paraId="3E95445F">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性别</w:t>
            </w:r>
          </w:p>
        </w:tc>
        <w:tc>
          <w:tcPr>
            <w:tcW w:w="709" w:type="dxa"/>
            <w:vAlign w:val="center"/>
          </w:tcPr>
          <w:p w14:paraId="136A4CF4">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年龄</w:t>
            </w:r>
          </w:p>
        </w:tc>
        <w:tc>
          <w:tcPr>
            <w:tcW w:w="834" w:type="dxa"/>
            <w:vAlign w:val="center"/>
          </w:tcPr>
          <w:p w14:paraId="759336E0">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学历</w:t>
            </w:r>
          </w:p>
        </w:tc>
        <w:tc>
          <w:tcPr>
            <w:tcW w:w="1276" w:type="dxa"/>
            <w:vAlign w:val="center"/>
          </w:tcPr>
          <w:p w14:paraId="1A8CB45B">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岗位职责</w:t>
            </w:r>
          </w:p>
        </w:tc>
        <w:tc>
          <w:tcPr>
            <w:tcW w:w="1285" w:type="dxa"/>
            <w:vAlign w:val="center"/>
          </w:tcPr>
          <w:p w14:paraId="4B4A3883">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人员证书名称</w:t>
            </w:r>
          </w:p>
        </w:tc>
        <w:tc>
          <w:tcPr>
            <w:tcW w:w="1833" w:type="dxa"/>
            <w:vAlign w:val="center"/>
          </w:tcPr>
          <w:p w14:paraId="5FFA0539">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人员经验描述</w:t>
            </w:r>
          </w:p>
          <w:p w14:paraId="5578AB4E">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（如有要求）</w:t>
            </w:r>
          </w:p>
        </w:tc>
        <w:tc>
          <w:tcPr>
            <w:tcW w:w="992" w:type="dxa"/>
            <w:vAlign w:val="center"/>
          </w:tcPr>
          <w:p w14:paraId="671221FB">
            <w:pPr>
              <w:keepNext w:val="0"/>
              <w:keepLines w:val="0"/>
              <w:suppressLineNumbers w:val="0"/>
              <w:spacing w:before="0" w:beforeAutospacing="0" w:after="0" w:afterAutospacing="0"/>
              <w:ind w:left="0" w:right="0"/>
              <w:jc w:val="center"/>
              <w:rPr>
                <w:rFonts w:hint="default"/>
                <w:b/>
                <w:color w:val="auto"/>
                <w:sz w:val="24"/>
                <w:highlight w:val="none"/>
              </w:rPr>
            </w:pPr>
            <w:r>
              <w:rPr>
                <w:rFonts w:hint="eastAsia"/>
                <w:b/>
                <w:color w:val="auto"/>
                <w:sz w:val="24"/>
                <w:highlight w:val="none"/>
              </w:rPr>
              <w:t>备注</w:t>
            </w:r>
          </w:p>
        </w:tc>
      </w:tr>
      <w:tr w14:paraId="7DAAE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003856D6">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1098" w:type="dxa"/>
          </w:tcPr>
          <w:p w14:paraId="7D994C76">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744" w:type="dxa"/>
            <w:vAlign w:val="center"/>
          </w:tcPr>
          <w:p w14:paraId="16B901C3">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709" w:type="dxa"/>
            <w:vAlign w:val="center"/>
          </w:tcPr>
          <w:p w14:paraId="24497A7A">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834" w:type="dxa"/>
            <w:vAlign w:val="center"/>
          </w:tcPr>
          <w:p w14:paraId="2FA93EBE">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276" w:type="dxa"/>
            <w:vAlign w:val="center"/>
          </w:tcPr>
          <w:p w14:paraId="3F04B476">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285" w:type="dxa"/>
            <w:vAlign w:val="center"/>
          </w:tcPr>
          <w:p w14:paraId="63353C26">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833" w:type="dxa"/>
            <w:vAlign w:val="center"/>
          </w:tcPr>
          <w:p w14:paraId="1F8FD5FE">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992" w:type="dxa"/>
            <w:vAlign w:val="center"/>
          </w:tcPr>
          <w:p w14:paraId="62EC5FEA">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r>
      <w:tr w14:paraId="4C8DC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1AB0C90E">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1098" w:type="dxa"/>
          </w:tcPr>
          <w:p w14:paraId="54A8B2A0">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744" w:type="dxa"/>
            <w:vAlign w:val="center"/>
          </w:tcPr>
          <w:p w14:paraId="1006421E">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709" w:type="dxa"/>
            <w:vAlign w:val="center"/>
          </w:tcPr>
          <w:p w14:paraId="00B32665">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834" w:type="dxa"/>
            <w:vAlign w:val="center"/>
          </w:tcPr>
          <w:p w14:paraId="1616A6DE">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276" w:type="dxa"/>
            <w:vAlign w:val="center"/>
          </w:tcPr>
          <w:p w14:paraId="34A8CF88">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285" w:type="dxa"/>
            <w:vAlign w:val="center"/>
          </w:tcPr>
          <w:p w14:paraId="00AC6B05">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833" w:type="dxa"/>
            <w:vAlign w:val="center"/>
          </w:tcPr>
          <w:p w14:paraId="5A3F8471">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992" w:type="dxa"/>
            <w:vAlign w:val="center"/>
          </w:tcPr>
          <w:p w14:paraId="0036AB05">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r>
      <w:tr w14:paraId="70B00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79073567">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1098" w:type="dxa"/>
          </w:tcPr>
          <w:p w14:paraId="1AAE3E94">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744" w:type="dxa"/>
            <w:vAlign w:val="center"/>
          </w:tcPr>
          <w:p w14:paraId="2AEE7047">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709" w:type="dxa"/>
            <w:vAlign w:val="center"/>
          </w:tcPr>
          <w:p w14:paraId="1106EBDF">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834" w:type="dxa"/>
            <w:vAlign w:val="center"/>
          </w:tcPr>
          <w:p w14:paraId="130DE625">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276" w:type="dxa"/>
            <w:vAlign w:val="center"/>
          </w:tcPr>
          <w:p w14:paraId="2B53F968">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r>
              <w:rPr>
                <w:rFonts w:hint="default" w:ascii="黑体" w:eastAsia="黑体"/>
                <w:bCs/>
                <w:color w:val="auto"/>
                <w:sz w:val="24"/>
                <w:szCs w:val="24"/>
                <w:highlight w:val="none"/>
              </w:rPr>
              <w:t>……</w:t>
            </w:r>
          </w:p>
        </w:tc>
        <w:tc>
          <w:tcPr>
            <w:tcW w:w="1285" w:type="dxa"/>
            <w:vAlign w:val="center"/>
          </w:tcPr>
          <w:p w14:paraId="01716577">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833" w:type="dxa"/>
            <w:vAlign w:val="center"/>
          </w:tcPr>
          <w:p w14:paraId="0128D824">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992" w:type="dxa"/>
            <w:vAlign w:val="center"/>
          </w:tcPr>
          <w:p w14:paraId="2D753EB7">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r>
      <w:tr w14:paraId="4AED9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61657CC6">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1098" w:type="dxa"/>
          </w:tcPr>
          <w:p w14:paraId="31F31E27">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744" w:type="dxa"/>
            <w:vAlign w:val="center"/>
          </w:tcPr>
          <w:p w14:paraId="0233EECF">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709" w:type="dxa"/>
            <w:vAlign w:val="center"/>
          </w:tcPr>
          <w:p w14:paraId="57F7AE35">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834" w:type="dxa"/>
            <w:vAlign w:val="center"/>
          </w:tcPr>
          <w:p w14:paraId="595C3F9D">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276" w:type="dxa"/>
            <w:vAlign w:val="center"/>
          </w:tcPr>
          <w:p w14:paraId="3EEBFC1F">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285" w:type="dxa"/>
            <w:vAlign w:val="center"/>
          </w:tcPr>
          <w:p w14:paraId="4FABCA86">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833" w:type="dxa"/>
            <w:vAlign w:val="center"/>
          </w:tcPr>
          <w:p w14:paraId="7123AFCB">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992" w:type="dxa"/>
            <w:vAlign w:val="center"/>
          </w:tcPr>
          <w:p w14:paraId="0EEE4F5C">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r>
      <w:tr w14:paraId="1B58B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36BB7FF3">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1098" w:type="dxa"/>
          </w:tcPr>
          <w:p w14:paraId="1D81D10A">
            <w:pPr>
              <w:keepNext w:val="0"/>
              <w:keepLines w:val="0"/>
              <w:suppressLineNumbers w:val="0"/>
              <w:spacing w:before="0" w:beforeAutospacing="0" w:after="0" w:afterAutospacing="0"/>
              <w:ind w:left="0" w:right="0"/>
              <w:outlineLvl w:val="0"/>
              <w:rPr>
                <w:rFonts w:hint="default" w:ascii="黑体" w:eastAsia="黑体"/>
                <w:bCs/>
                <w:color w:val="auto"/>
                <w:sz w:val="24"/>
                <w:szCs w:val="24"/>
                <w:highlight w:val="none"/>
              </w:rPr>
            </w:pPr>
          </w:p>
        </w:tc>
        <w:tc>
          <w:tcPr>
            <w:tcW w:w="744" w:type="dxa"/>
            <w:vAlign w:val="center"/>
          </w:tcPr>
          <w:p w14:paraId="50EA4684">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709" w:type="dxa"/>
            <w:vAlign w:val="center"/>
          </w:tcPr>
          <w:p w14:paraId="4C7EFDEE">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834" w:type="dxa"/>
            <w:vAlign w:val="center"/>
          </w:tcPr>
          <w:p w14:paraId="722DF672">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276" w:type="dxa"/>
            <w:vAlign w:val="center"/>
          </w:tcPr>
          <w:p w14:paraId="32734F60">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285" w:type="dxa"/>
            <w:vAlign w:val="center"/>
          </w:tcPr>
          <w:p w14:paraId="31F4FF38">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1833" w:type="dxa"/>
            <w:vAlign w:val="center"/>
          </w:tcPr>
          <w:p w14:paraId="0F3A877B">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c>
          <w:tcPr>
            <w:tcW w:w="992" w:type="dxa"/>
            <w:vAlign w:val="center"/>
          </w:tcPr>
          <w:p w14:paraId="7C1DBEE8">
            <w:pPr>
              <w:keepNext w:val="0"/>
              <w:keepLines w:val="0"/>
              <w:suppressLineNumbers w:val="0"/>
              <w:spacing w:before="0" w:beforeAutospacing="0" w:after="0" w:afterAutospacing="0"/>
              <w:ind w:left="0" w:right="0"/>
              <w:jc w:val="center"/>
              <w:outlineLvl w:val="0"/>
              <w:rPr>
                <w:rFonts w:hint="default" w:ascii="黑体" w:eastAsia="黑体"/>
                <w:bCs/>
                <w:color w:val="auto"/>
                <w:sz w:val="24"/>
                <w:szCs w:val="24"/>
                <w:highlight w:val="none"/>
              </w:rPr>
            </w:pPr>
          </w:p>
        </w:tc>
      </w:tr>
    </w:tbl>
    <w:p w14:paraId="153886A9">
      <w:pPr>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32916971">
      <w:pPr>
        <w:rPr>
          <w:rFonts w:ascii="宋体" w:hAnsi="宋体"/>
          <w:bCs/>
          <w:color w:val="auto"/>
          <w:highlight w:val="none"/>
        </w:rPr>
      </w:pPr>
    </w:p>
    <w:p w14:paraId="1DF709DD">
      <w:pPr>
        <w:rPr>
          <w:rFonts w:ascii="宋体" w:hAnsi="宋体"/>
          <w:bCs/>
          <w:color w:val="auto"/>
          <w:highlight w:val="none"/>
        </w:rPr>
      </w:pPr>
      <w:r>
        <w:rPr>
          <w:rFonts w:hint="eastAsia" w:ascii="宋体" w:hAnsi="宋体"/>
          <w:bCs/>
          <w:color w:val="auto"/>
          <w:highlight w:val="none"/>
        </w:rPr>
        <w:t>注：1. 本表对应评分标准中的项目人员配置情况，表格不够可自行延长。</w:t>
      </w:r>
    </w:p>
    <w:p w14:paraId="122F4035">
      <w:pPr>
        <w:rPr>
          <w:rFonts w:ascii="宋体" w:hAnsi="宋体"/>
          <w:bCs/>
          <w:color w:val="auto"/>
          <w:highlight w:val="none"/>
        </w:rPr>
      </w:pPr>
      <w:r>
        <w:rPr>
          <w:rFonts w:hint="eastAsia" w:ascii="宋体" w:hAnsi="宋体"/>
          <w:bCs/>
          <w:color w:val="auto"/>
          <w:highlight w:val="none"/>
        </w:rPr>
        <w:t>2.上表内容须按评分标准中的相关要求提供相应证明材料。</w:t>
      </w:r>
    </w:p>
    <w:p w14:paraId="4699847C">
      <w:pPr>
        <w:rPr>
          <w:rFonts w:ascii="宋体" w:hAnsi="宋体"/>
          <w:bCs/>
          <w:color w:val="auto"/>
          <w:highlight w:val="none"/>
        </w:rPr>
      </w:pPr>
      <w:r>
        <w:rPr>
          <w:rFonts w:hint="eastAsia" w:ascii="宋体" w:hAnsi="宋体"/>
          <w:bCs/>
          <w:color w:val="auto"/>
          <w:highlight w:val="none"/>
        </w:rPr>
        <w:t>3.证明材料均请附在本表之后。</w:t>
      </w: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微软雅黑"/>
    <w:panose1 w:val="03000509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方正小标宋_GBK">
    <w:altName w:val="Arial Unicode MS"/>
    <w:panose1 w:val="03000509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Showcard Gothic">
    <w:panose1 w:val="04020904020102020604"/>
    <w:charset w:val="00"/>
    <w:family w:val="decorative"/>
    <w:pitch w:val="default"/>
    <w:sig w:usb0="00000003" w:usb1="00000000" w:usb2="00000000" w:usb3="00000000" w:csb0="20000001" w:csb1="00000000"/>
  </w:font>
  <w:font w:name="Segoe UI">
    <w:panose1 w:val="020B0502040204020203"/>
    <w:charset w:val="00"/>
    <w:family w:val="swiss"/>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C5190">
    <w:pPr>
      <w:pStyle w:val="231"/>
      <w:framePr w:wrap="around" w:vAnchor="text" w:hAnchor="margin" w:xAlign="center" w:y="1"/>
      <w:rPr>
        <w:rStyle w:val="256"/>
        <w:rFonts w:ascii="宋体" w:hAnsi="宋体"/>
      </w:rPr>
    </w:pPr>
    <w:r>
      <w:rPr>
        <w:rFonts w:ascii="宋体" w:hAnsi="宋体"/>
      </w:rPr>
      <w:fldChar w:fldCharType="begin"/>
    </w:r>
    <w:r>
      <w:rPr>
        <w:rStyle w:val="256"/>
        <w:rFonts w:ascii="宋体" w:hAnsi="宋体"/>
      </w:rPr>
      <w:instrText xml:space="preserve">PAGE  </w:instrText>
    </w:r>
    <w:r>
      <w:rPr>
        <w:rFonts w:ascii="宋体" w:hAnsi="宋体"/>
      </w:rPr>
      <w:fldChar w:fldCharType="separate"/>
    </w:r>
    <w:r>
      <w:rPr>
        <w:rStyle w:val="256"/>
        <w:rFonts w:ascii="宋体" w:hAnsi="宋体"/>
      </w:rPr>
      <w:t>31</w:t>
    </w:r>
    <w:r>
      <w:rPr>
        <w:rFonts w:ascii="宋体" w:hAnsi="宋体"/>
      </w:rPr>
      <w:fldChar w:fldCharType="end"/>
    </w:r>
  </w:p>
  <w:p w14:paraId="4BF705F9">
    <w:pPr>
      <w:pStyle w:val="231"/>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7B65C">
    <w:pPr>
      <w:pStyle w:val="231"/>
      <w:framePr w:wrap="around" w:vAnchor="text" w:hAnchor="margin" w:xAlign="center" w:y="1"/>
      <w:rPr>
        <w:rStyle w:val="256"/>
      </w:rPr>
    </w:pPr>
    <w:r>
      <w:fldChar w:fldCharType="begin"/>
    </w:r>
    <w:r>
      <w:rPr>
        <w:rStyle w:val="256"/>
      </w:rPr>
      <w:instrText xml:space="preserve">PAGE  </w:instrText>
    </w:r>
    <w:r>
      <w:fldChar w:fldCharType="separate"/>
    </w:r>
    <w:r>
      <w:rPr>
        <w:rStyle w:val="256"/>
      </w:rPr>
      <w:t>1</w:t>
    </w:r>
    <w:r>
      <w:fldChar w:fldCharType="end"/>
    </w:r>
  </w:p>
  <w:p w14:paraId="63E35D9D">
    <w:pPr>
      <w:pStyle w:val="2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635A">
    <w:pPr>
      <w:pStyle w:val="2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99E6687B"/>
    <w:multiLevelType w:val="singleLevel"/>
    <w:tmpl w:val="99E6687B"/>
    <w:lvl w:ilvl="0" w:tentative="0">
      <w:start w:val="1"/>
      <w:numFmt w:val="decimal"/>
      <w:suff w:val="nothing"/>
      <w:lvlText w:val="%1、"/>
      <w:lvlJc w:val="left"/>
    </w:lvl>
  </w:abstractNum>
  <w:abstractNum w:abstractNumId="2">
    <w:nsid w:val="B5E306ED"/>
    <w:multiLevelType w:val="multilevel"/>
    <w:tmpl w:val="B5E306ED"/>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bullet"/>
      <w:pStyle w:val="299"/>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29E1DC9"/>
    <w:multiLevelType w:val="singleLevel"/>
    <w:tmpl w:val="F29E1DC9"/>
    <w:lvl w:ilvl="0" w:tentative="0">
      <w:start w:val="1"/>
      <w:numFmt w:val="decimal"/>
      <w:suff w:val="nothing"/>
      <w:lvlText w:val="%1、"/>
      <w:lvlJc w:val="left"/>
    </w:lvl>
  </w:abstractNum>
  <w:abstractNum w:abstractNumId="7">
    <w:nsid w:val="F4B5D9F5"/>
    <w:multiLevelType w:val="multilevel"/>
    <w:tmpl w:val="F4B5D9F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F58D0F29"/>
    <w:multiLevelType w:val="singleLevel"/>
    <w:tmpl w:val="F58D0F29"/>
    <w:lvl w:ilvl="0" w:tentative="0">
      <w:start w:val="1"/>
      <w:numFmt w:val="decimal"/>
      <w:suff w:val="nothing"/>
      <w:lvlText w:val="%1、"/>
      <w:lvlJc w:val="left"/>
    </w:lvl>
  </w:abstractNum>
  <w:abstractNum w:abstractNumId="9">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1"/>
      <w:suff w:val="nothing"/>
      <w:lvlText w:val=""/>
      <w:lvlJc w:val="left"/>
      <w:pPr>
        <w:ind w:left="0" w:firstLine="0"/>
      </w:pPr>
      <w:rPr>
        <w:rFonts w:hint="eastAsia"/>
      </w:rPr>
    </w:lvl>
    <w:lvl w:ilvl="6" w:tentative="0">
      <w:start w:val="1"/>
      <w:numFmt w:val="decimal"/>
      <w:pStyle w:val="192"/>
      <w:suff w:val="nothing"/>
      <w:lvlText w:val=""/>
      <w:lvlJc w:val="left"/>
      <w:pPr>
        <w:ind w:left="0" w:firstLine="0"/>
      </w:pPr>
      <w:rPr>
        <w:rFonts w:hint="eastAsia"/>
      </w:rPr>
    </w:lvl>
    <w:lvl w:ilvl="7" w:tentative="0">
      <w:start w:val="1"/>
      <w:numFmt w:val="decimal"/>
      <w:pStyle w:val="193"/>
      <w:suff w:val="nothing"/>
      <w:lvlText w:val=""/>
      <w:lvlJc w:val="left"/>
      <w:pPr>
        <w:ind w:left="0" w:firstLine="0"/>
      </w:pPr>
      <w:rPr>
        <w:rFonts w:hint="eastAsia"/>
      </w:rPr>
    </w:lvl>
    <w:lvl w:ilvl="8" w:tentative="0">
      <w:start w:val="1"/>
      <w:numFmt w:val="decimal"/>
      <w:pStyle w:val="194"/>
      <w:suff w:val="nothing"/>
      <w:lvlText w:val=""/>
      <w:lvlJc w:val="left"/>
      <w:pPr>
        <w:ind w:left="0" w:firstLine="0"/>
      </w:pPr>
      <w:rPr>
        <w:rFonts w:hint="eastAsia"/>
      </w:rPr>
    </w:lvl>
  </w:abstractNum>
  <w:abstractNum w:abstractNumId="10">
    <w:nsid w:val="0248C179"/>
    <w:multiLevelType w:val="multilevel"/>
    <w:tmpl w:val="0248C17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decimal"/>
      <w:pStyle w:val="28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C751F0B"/>
    <w:multiLevelType w:val="singleLevel"/>
    <w:tmpl w:val="5C751F0B"/>
    <w:lvl w:ilvl="0" w:tentative="0">
      <w:start w:val="1"/>
      <w:numFmt w:val="decimal"/>
      <w:suff w:val="nothing"/>
      <w:lvlText w:val="%1、"/>
      <w:lvlJc w:val="left"/>
    </w:lvl>
  </w:abstractNum>
  <w:num w:numId="1">
    <w:abstractNumId w:val="9"/>
  </w:num>
  <w:num w:numId="2">
    <w:abstractNumId w:val="5"/>
  </w:num>
  <w:num w:numId="3">
    <w:abstractNumId w:val="12"/>
  </w:num>
  <w:num w:numId="4">
    <w:abstractNumId w:val="3"/>
  </w:num>
  <w:num w:numId="5">
    <w:abstractNumId w:val="2"/>
  </w:num>
  <w:num w:numId="6">
    <w:abstractNumId w:val="14"/>
  </w:num>
  <w:num w:numId="7">
    <w:abstractNumId w:val="1"/>
  </w:num>
  <w:num w:numId="8">
    <w:abstractNumId w:val="6"/>
  </w:num>
  <w:num w:numId="9">
    <w:abstractNumId w:val="8"/>
  </w:num>
  <w:num w:numId="10">
    <w:abstractNumId w:val="10"/>
  </w:num>
  <w:num w:numId="11">
    <w:abstractNumId w:val="0"/>
  </w:num>
  <w:num w:numId="12">
    <w:abstractNumId w:val="13"/>
  </w:num>
  <w:num w:numId="13">
    <w:abstractNumId w:val="4"/>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revisionView w:markup="0"/>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86D"/>
    <w:rsid w:val="000479BF"/>
    <w:rsid w:val="00084B55"/>
    <w:rsid w:val="00162B00"/>
    <w:rsid w:val="0040686D"/>
    <w:rsid w:val="004C22F2"/>
    <w:rsid w:val="00843AAC"/>
    <w:rsid w:val="00A03517"/>
    <w:rsid w:val="00B26D51"/>
    <w:rsid w:val="00BA52C2"/>
    <w:rsid w:val="00C7600D"/>
    <w:rsid w:val="0197097E"/>
    <w:rsid w:val="083E0A11"/>
    <w:rsid w:val="08D321F3"/>
    <w:rsid w:val="0A6842D0"/>
    <w:rsid w:val="0B2075AC"/>
    <w:rsid w:val="0EE77EB9"/>
    <w:rsid w:val="100920B1"/>
    <w:rsid w:val="11C20769"/>
    <w:rsid w:val="131C20FB"/>
    <w:rsid w:val="18BA663E"/>
    <w:rsid w:val="199441A4"/>
    <w:rsid w:val="1BAB04C0"/>
    <w:rsid w:val="1C1A51C0"/>
    <w:rsid w:val="1E055CA4"/>
    <w:rsid w:val="1E6D287C"/>
    <w:rsid w:val="201523AC"/>
    <w:rsid w:val="224C0E52"/>
    <w:rsid w:val="2369313B"/>
    <w:rsid w:val="250C6474"/>
    <w:rsid w:val="25254686"/>
    <w:rsid w:val="253C026C"/>
    <w:rsid w:val="25635746"/>
    <w:rsid w:val="25A20B86"/>
    <w:rsid w:val="279A2A09"/>
    <w:rsid w:val="2ACB3C99"/>
    <w:rsid w:val="2C19233E"/>
    <w:rsid w:val="2FC55B9D"/>
    <w:rsid w:val="30C43E10"/>
    <w:rsid w:val="30E16A06"/>
    <w:rsid w:val="32044D41"/>
    <w:rsid w:val="32F7504A"/>
    <w:rsid w:val="33D9561C"/>
    <w:rsid w:val="34F85EB7"/>
    <w:rsid w:val="382316B2"/>
    <w:rsid w:val="39525C5E"/>
    <w:rsid w:val="3AC07DBA"/>
    <w:rsid w:val="3ECA18A9"/>
    <w:rsid w:val="40552625"/>
    <w:rsid w:val="40F11868"/>
    <w:rsid w:val="42784CF1"/>
    <w:rsid w:val="42982C9D"/>
    <w:rsid w:val="42FA74B4"/>
    <w:rsid w:val="45863281"/>
    <w:rsid w:val="46813FFB"/>
    <w:rsid w:val="49A20738"/>
    <w:rsid w:val="4AEA60F7"/>
    <w:rsid w:val="4C2C59A7"/>
    <w:rsid w:val="4C9646F1"/>
    <w:rsid w:val="4FD20E06"/>
    <w:rsid w:val="50E772C9"/>
    <w:rsid w:val="524175CC"/>
    <w:rsid w:val="54A13C33"/>
    <w:rsid w:val="561B6FE5"/>
    <w:rsid w:val="565109F0"/>
    <w:rsid w:val="57E97DCB"/>
    <w:rsid w:val="585F384E"/>
    <w:rsid w:val="5AD21A31"/>
    <w:rsid w:val="5B5641A8"/>
    <w:rsid w:val="5D485594"/>
    <w:rsid w:val="5DE3706A"/>
    <w:rsid w:val="5EEE5CC7"/>
    <w:rsid w:val="5F1F2324"/>
    <w:rsid w:val="5F217E4A"/>
    <w:rsid w:val="5F681233"/>
    <w:rsid w:val="61871103"/>
    <w:rsid w:val="628801E0"/>
    <w:rsid w:val="62AD7AFC"/>
    <w:rsid w:val="62E23D94"/>
    <w:rsid w:val="63DD0B1A"/>
    <w:rsid w:val="65E427C3"/>
    <w:rsid w:val="66374F8F"/>
    <w:rsid w:val="671169F6"/>
    <w:rsid w:val="6A0B4E0A"/>
    <w:rsid w:val="6E3A3324"/>
    <w:rsid w:val="6E4B503C"/>
    <w:rsid w:val="6E55366C"/>
    <w:rsid w:val="742835D1"/>
    <w:rsid w:val="753C7334"/>
    <w:rsid w:val="753D53FF"/>
    <w:rsid w:val="766F54E7"/>
    <w:rsid w:val="767320BC"/>
    <w:rsid w:val="768A7E63"/>
    <w:rsid w:val="76AD50B3"/>
    <w:rsid w:val="76E00193"/>
    <w:rsid w:val="79350CE9"/>
    <w:rsid w:val="7B917CAE"/>
    <w:rsid w:val="7C0C7FC7"/>
    <w:rsid w:val="7C413482"/>
    <w:rsid w:val="7CC059B7"/>
    <w:rsid w:val="7E9059CF"/>
    <w:rsid w:val="7EEF6B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rPr>
  </w:style>
  <w:style w:type="character" w:default="1" w:styleId="32">
    <w:name w:val="Default Paragraph Font"/>
    <w:semiHidden/>
    <w:unhideWhenUsed/>
    <w:qFormat/>
    <w:uiPriority w:val="1"/>
  </w:style>
  <w:style w:type="table" w:default="1" w:styleId="3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link w:val="183"/>
    <w:semiHidden/>
    <w:unhideWhenUsed/>
    <w:qFormat/>
    <w:uiPriority w:val="99"/>
    <w:rPr>
      <w:sz w:val="20"/>
    </w:rPr>
  </w:style>
  <w:style w:type="paragraph" w:styleId="18">
    <w:name w:val="footer"/>
    <w:basedOn w:val="1"/>
    <w:link w:val="56"/>
    <w:unhideWhenUsed/>
    <w:qFormat/>
    <w:uiPriority w:val="99"/>
    <w:pPr>
      <w:tabs>
        <w:tab w:val="center" w:pos="7143"/>
        <w:tab w:val="right" w:pos="14287"/>
      </w:tabs>
    </w:pPr>
  </w:style>
  <w:style w:type="paragraph" w:styleId="19">
    <w:name w:val="header"/>
    <w:basedOn w:val="1"/>
    <w:link w:val="54"/>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link w:val="49"/>
    <w:qFormat/>
    <w:uiPriority w:val="11"/>
    <w:pPr>
      <w:spacing w:before="200" w:after="200"/>
    </w:pPr>
    <w:rPr>
      <w:sz w:val="24"/>
      <w:szCs w:val="24"/>
    </w:rPr>
  </w:style>
  <w:style w:type="paragraph" w:styleId="23">
    <w:name w:val="footnote text"/>
    <w:basedOn w:val="1"/>
    <w:link w:val="182"/>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Normal (Web)"/>
    <w:basedOn w:val="1"/>
    <w:semiHidden/>
    <w:unhideWhenUsed/>
    <w:qFormat/>
    <w:uiPriority w:val="99"/>
    <w:rPr>
      <w:sz w:val="24"/>
    </w:r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正文文本11"/>
    <w:qFormat/>
    <w:uiPriority w:val="0"/>
    <w:pPr>
      <w:widowControl w:val="0"/>
      <w:jc w:val="both"/>
    </w:pPr>
    <w:rPr>
      <w:rFonts w:ascii="Times New Roman" w:hAnsi="Times New Roman" w:eastAsia="宋体" w:cs="Times New Roman"/>
      <w:sz w:val="18"/>
      <w:lang w:val="en-US" w:eastAsia="zh-CN" w:bidi="ar-SA"/>
    </w:rPr>
  </w:style>
  <w:style w:type="character" w:customStyle="1" w:styleId="37">
    <w:name w:val="标题 1 字符"/>
    <w:link w:val="2"/>
    <w:qFormat/>
    <w:uiPriority w:val="9"/>
    <w:rPr>
      <w:rFonts w:ascii="Arial" w:hAnsi="Arial" w:eastAsia="Arial" w:cs="Arial"/>
      <w:sz w:val="40"/>
      <w:szCs w:val="40"/>
    </w:rPr>
  </w:style>
  <w:style w:type="character" w:customStyle="1" w:styleId="38">
    <w:name w:val="标题 2 字符"/>
    <w:link w:val="3"/>
    <w:qFormat/>
    <w:uiPriority w:val="9"/>
    <w:rPr>
      <w:rFonts w:ascii="Arial" w:hAnsi="Arial" w:eastAsia="Arial" w:cs="Arial"/>
      <w:sz w:val="34"/>
    </w:rPr>
  </w:style>
  <w:style w:type="character" w:customStyle="1" w:styleId="39">
    <w:name w:val="标题 3 字符"/>
    <w:link w:val="4"/>
    <w:qFormat/>
    <w:uiPriority w:val="9"/>
    <w:rPr>
      <w:rFonts w:ascii="Arial" w:hAnsi="Arial" w:eastAsia="Arial" w:cs="Arial"/>
      <w:sz w:val="30"/>
      <w:szCs w:val="30"/>
    </w:rPr>
  </w:style>
  <w:style w:type="character" w:customStyle="1" w:styleId="40">
    <w:name w:val="标题 4 字符"/>
    <w:link w:val="5"/>
    <w:qFormat/>
    <w:uiPriority w:val="9"/>
    <w:rPr>
      <w:rFonts w:ascii="Arial" w:hAnsi="Arial" w:eastAsia="Arial" w:cs="Arial"/>
      <w:b/>
      <w:bCs/>
      <w:sz w:val="26"/>
      <w:szCs w:val="26"/>
    </w:rPr>
  </w:style>
  <w:style w:type="character" w:customStyle="1" w:styleId="41">
    <w:name w:val="标题 5 字符"/>
    <w:link w:val="6"/>
    <w:qFormat/>
    <w:uiPriority w:val="9"/>
    <w:rPr>
      <w:rFonts w:ascii="Arial" w:hAnsi="Arial" w:eastAsia="Arial" w:cs="Arial"/>
      <w:b/>
      <w:bCs/>
      <w:sz w:val="24"/>
      <w:szCs w:val="24"/>
    </w:rPr>
  </w:style>
  <w:style w:type="character" w:customStyle="1" w:styleId="42">
    <w:name w:val="标题 6 字符"/>
    <w:link w:val="7"/>
    <w:qFormat/>
    <w:uiPriority w:val="9"/>
    <w:rPr>
      <w:rFonts w:ascii="Arial" w:hAnsi="Arial" w:eastAsia="Arial" w:cs="Arial"/>
      <w:b/>
      <w:bCs/>
      <w:sz w:val="22"/>
      <w:szCs w:val="22"/>
    </w:rPr>
  </w:style>
  <w:style w:type="character" w:customStyle="1" w:styleId="43">
    <w:name w:val="标题 7 字符"/>
    <w:link w:val="8"/>
    <w:qFormat/>
    <w:uiPriority w:val="9"/>
    <w:rPr>
      <w:rFonts w:ascii="Arial" w:hAnsi="Arial" w:eastAsia="Arial" w:cs="Arial"/>
      <w:b/>
      <w:bCs/>
      <w:i/>
      <w:iCs/>
      <w:sz w:val="22"/>
      <w:szCs w:val="22"/>
    </w:rPr>
  </w:style>
  <w:style w:type="character" w:customStyle="1" w:styleId="44">
    <w:name w:val="标题 8 字符"/>
    <w:link w:val="9"/>
    <w:qFormat/>
    <w:uiPriority w:val="9"/>
    <w:rPr>
      <w:rFonts w:ascii="Arial" w:hAnsi="Arial" w:eastAsia="Arial" w:cs="Arial"/>
      <w:i/>
      <w:iCs/>
      <w:sz w:val="22"/>
      <w:szCs w:val="22"/>
    </w:rPr>
  </w:style>
  <w:style w:type="character" w:customStyle="1" w:styleId="45">
    <w:name w:val="标题 9 字符"/>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rPr>
      <w:rFonts w:ascii="Times New Roman" w:hAnsi="Times New Roman" w:eastAsia="宋体" w:cs="Times New Roman"/>
      <w:lang w:val="en-US" w:eastAsia="zh-CN" w:bidi="ar-SA"/>
    </w:rPr>
  </w:style>
  <w:style w:type="character" w:customStyle="1" w:styleId="48">
    <w:name w:val="标题 字符"/>
    <w:link w:val="29"/>
    <w:qFormat/>
    <w:uiPriority w:val="10"/>
    <w:rPr>
      <w:sz w:val="48"/>
      <w:szCs w:val="48"/>
    </w:rPr>
  </w:style>
  <w:style w:type="character" w:customStyle="1" w:styleId="49">
    <w:name w:val="副标题 字符"/>
    <w:link w:val="22"/>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引用 字符"/>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3">
    <w:name w:val="明显引用 字符"/>
    <w:link w:val="52"/>
    <w:qFormat/>
    <w:uiPriority w:val="30"/>
    <w:rPr>
      <w:i/>
    </w:rPr>
  </w:style>
  <w:style w:type="character" w:customStyle="1" w:styleId="54">
    <w:name w:val="页眉 字符"/>
    <w:link w:val="19"/>
    <w:qFormat/>
    <w:uiPriority w:val="99"/>
  </w:style>
  <w:style w:type="character" w:customStyle="1" w:styleId="55">
    <w:name w:val="Footer Char"/>
    <w:qFormat/>
    <w:uiPriority w:val="99"/>
  </w:style>
  <w:style w:type="character" w:customStyle="1" w:styleId="56">
    <w:name w:val="页脚 字符"/>
    <w:link w:val="18"/>
    <w:qFormat/>
    <w:uiPriority w:val="99"/>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脚注文本 字符"/>
    <w:link w:val="23"/>
    <w:qFormat/>
    <w:uiPriority w:val="99"/>
    <w:rPr>
      <w:sz w:val="18"/>
    </w:rPr>
  </w:style>
  <w:style w:type="character" w:customStyle="1" w:styleId="183">
    <w:name w:val="尾注文本 字符"/>
    <w:link w:val="17"/>
    <w:qFormat/>
    <w:uiPriority w:val="99"/>
    <w:rPr>
      <w:sz w:val="20"/>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标题 11"/>
    <w:basedOn w:val="1"/>
    <w:next w:val="1"/>
    <w:link w:val="197"/>
    <w:qFormat/>
    <w:uiPriority w:val="0"/>
    <w:pPr>
      <w:keepNext/>
      <w:jc w:val="center"/>
      <w:outlineLvl w:val="0"/>
    </w:pPr>
    <w:rPr>
      <w:rFonts w:ascii="楷体_GB2312" w:eastAsia="楷体_GB2312"/>
      <w:sz w:val="28"/>
      <w:szCs w:val="28"/>
    </w:rPr>
  </w:style>
  <w:style w:type="paragraph" w:customStyle="1" w:styleId="186">
    <w:name w:val="标题 21"/>
    <w:basedOn w:val="1"/>
    <w:next w:val="187"/>
    <w:link w:val="198"/>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7">
    <w:name w:val="正文缩进1"/>
    <w:basedOn w:val="1"/>
    <w:link w:val="199"/>
    <w:qFormat/>
    <w:uiPriority w:val="0"/>
    <w:pPr>
      <w:ind w:firstLine="420"/>
    </w:pPr>
    <w:rPr>
      <w:sz w:val="20"/>
    </w:rPr>
  </w:style>
  <w:style w:type="paragraph" w:customStyle="1" w:styleId="188">
    <w:name w:val="标题 31"/>
    <w:basedOn w:val="1"/>
    <w:next w:val="187"/>
    <w:link w:val="200"/>
    <w:qFormat/>
    <w:uiPriority w:val="0"/>
    <w:pPr>
      <w:keepNext/>
      <w:keepLines/>
      <w:spacing w:before="260" w:after="260" w:line="416" w:lineRule="auto"/>
      <w:outlineLvl w:val="2"/>
    </w:pPr>
    <w:rPr>
      <w:b/>
      <w:bCs/>
      <w:sz w:val="32"/>
      <w:szCs w:val="32"/>
    </w:rPr>
  </w:style>
  <w:style w:type="paragraph" w:customStyle="1" w:styleId="189">
    <w:name w:val="标题 41"/>
    <w:basedOn w:val="1"/>
    <w:next w:val="187"/>
    <w:link w:val="201"/>
    <w:qFormat/>
    <w:uiPriority w:val="0"/>
    <w:pPr>
      <w:keepNext/>
      <w:keepLines/>
      <w:spacing w:before="280" w:after="290" w:line="376" w:lineRule="auto"/>
      <w:outlineLvl w:val="3"/>
    </w:pPr>
    <w:rPr>
      <w:rFonts w:ascii="Arial" w:hAnsi="Arial" w:eastAsia="黑体"/>
      <w:b/>
      <w:bCs/>
      <w:sz w:val="28"/>
      <w:szCs w:val="28"/>
    </w:rPr>
  </w:style>
  <w:style w:type="paragraph" w:customStyle="1" w:styleId="190">
    <w:name w:val="标题 51"/>
    <w:basedOn w:val="1"/>
    <w:next w:val="187"/>
    <w:link w:val="202"/>
    <w:qFormat/>
    <w:uiPriority w:val="0"/>
    <w:pPr>
      <w:keepNext/>
      <w:outlineLvl w:val="4"/>
    </w:pPr>
    <w:rPr>
      <w:rFonts w:ascii="宋体"/>
      <w:color w:val="000000"/>
      <w:sz w:val="28"/>
      <w:szCs w:val="28"/>
    </w:rPr>
  </w:style>
  <w:style w:type="paragraph" w:customStyle="1" w:styleId="191">
    <w:name w:val="标题 61"/>
    <w:basedOn w:val="1"/>
    <w:next w:val="1"/>
    <w:link w:val="20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2">
    <w:name w:val="标题 71"/>
    <w:basedOn w:val="1"/>
    <w:next w:val="1"/>
    <w:link w:val="204"/>
    <w:qFormat/>
    <w:uiPriority w:val="0"/>
    <w:pPr>
      <w:keepNext/>
      <w:keepLines/>
      <w:numPr>
        <w:ilvl w:val="6"/>
        <w:numId w:val="1"/>
      </w:numPr>
      <w:spacing w:before="240" w:after="64" w:line="320" w:lineRule="auto"/>
      <w:outlineLvl w:val="6"/>
    </w:pPr>
    <w:rPr>
      <w:b/>
      <w:bCs/>
      <w:sz w:val="24"/>
      <w:szCs w:val="24"/>
    </w:rPr>
  </w:style>
  <w:style w:type="paragraph" w:customStyle="1" w:styleId="193">
    <w:name w:val="标题 81"/>
    <w:basedOn w:val="1"/>
    <w:next w:val="1"/>
    <w:link w:val="20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4">
    <w:name w:val="标题 91"/>
    <w:basedOn w:val="1"/>
    <w:next w:val="1"/>
    <w:link w:val="206"/>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5">
    <w:name w:val="默认段落字体1"/>
    <w:unhideWhenUsed/>
    <w:qFormat/>
    <w:uiPriority w:val="1"/>
  </w:style>
  <w:style w:type="table" w:customStyle="1" w:styleId="196">
    <w:name w:val="普通表格1"/>
    <w:unhideWhenUsed/>
    <w:qFormat/>
    <w:uiPriority w:val="99"/>
    <w:tblPr>
      <w:tblCellMar>
        <w:top w:w="0" w:type="dxa"/>
        <w:left w:w="0" w:type="dxa"/>
        <w:bottom w:w="0" w:type="dxa"/>
        <w:right w:w="0" w:type="dxa"/>
      </w:tblCellMar>
    </w:tblPr>
  </w:style>
  <w:style w:type="character" w:customStyle="1" w:styleId="197">
    <w:name w:val="标题 1 Char"/>
    <w:link w:val="185"/>
    <w:qFormat/>
    <w:uiPriority w:val="0"/>
    <w:rPr>
      <w:rFonts w:ascii="楷体_GB2312" w:hAnsi="Times New Roman" w:eastAsia="楷体_GB2312" w:cs="Times New Roman"/>
      <w:sz w:val="28"/>
      <w:szCs w:val="28"/>
    </w:rPr>
  </w:style>
  <w:style w:type="character" w:customStyle="1" w:styleId="198">
    <w:name w:val="标题 2 Char"/>
    <w:link w:val="186"/>
    <w:qFormat/>
    <w:uiPriority w:val="0"/>
    <w:rPr>
      <w:rFonts w:ascii="Arial" w:hAnsi="Arial" w:eastAsia="幼圆" w:cs="Arial"/>
      <w:b/>
      <w:bCs/>
      <w:sz w:val="44"/>
      <w:szCs w:val="44"/>
    </w:rPr>
  </w:style>
  <w:style w:type="character" w:customStyle="1" w:styleId="199">
    <w:name w:val="正文缩进 Char"/>
    <w:link w:val="187"/>
    <w:qFormat/>
    <w:uiPriority w:val="0"/>
    <w:rPr>
      <w:rFonts w:ascii="Times New Roman" w:hAnsi="Times New Roman" w:eastAsia="宋体" w:cs="Times New Roman"/>
      <w:szCs w:val="21"/>
    </w:rPr>
  </w:style>
  <w:style w:type="character" w:customStyle="1" w:styleId="200">
    <w:name w:val="标题 3 Char"/>
    <w:link w:val="188"/>
    <w:qFormat/>
    <w:uiPriority w:val="0"/>
    <w:rPr>
      <w:rFonts w:ascii="Times New Roman" w:hAnsi="Times New Roman" w:eastAsia="宋体" w:cs="Times New Roman"/>
      <w:b/>
      <w:bCs/>
      <w:sz w:val="32"/>
      <w:szCs w:val="32"/>
    </w:rPr>
  </w:style>
  <w:style w:type="character" w:customStyle="1" w:styleId="201">
    <w:name w:val="标题 4 Char"/>
    <w:link w:val="189"/>
    <w:qFormat/>
    <w:uiPriority w:val="0"/>
    <w:rPr>
      <w:rFonts w:ascii="Arial" w:hAnsi="Arial" w:eastAsia="黑体" w:cs="Arial"/>
      <w:b/>
      <w:bCs/>
      <w:sz w:val="28"/>
      <w:szCs w:val="28"/>
    </w:rPr>
  </w:style>
  <w:style w:type="character" w:customStyle="1" w:styleId="202">
    <w:name w:val="标题 5 Char"/>
    <w:link w:val="190"/>
    <w:qFormat/>
    <w:uiPriority w:val="0"/>
    <w:rPr>
      <w:rFonts w:ascii="宋体" w:hAnsi="Times New Roman" w:eastAsia="宋体" w:cs="Times New Roman"/>
      <w:color w:val="000000"/>
      <w:sz w:val="28"/>
      <w:szCs w:val="28"/>
    </w:rPr>
  </w:style>
  <w:style w:type="character" w:customStyle="1" w:styleId="203">
    <w:name w:val="标题 6 Char"/>
    <w:link w:val="191"/>
    <w:qFormat/>
    <w:uiPriority w:val="0"/>
    <w:rPr>
      <w:rFonts w:ascii="Arial" w:hAnsi="Arial" w:eastAsia="黑体" w:cs="Times New Roman"/>
      <w:b/>
      <w:bCs/>
      <w:sz w:val="24"/>
      <w:szCs w:val="24"/>
    </w:rPr>
  </w:style>
  <w:style w:type="character" w:customStyle="1" w:styleId="204">
    <w:name w:val="标题 7 Char"/>
    <w:link w:val="192"/>
    <w:qFormat/>
    <w:uiPriority w:val="0"/>
    <w:rPr>
      <w:rFonts w:ascii="Times New Roman" w:hAnsi="Times New Roman" w:eastAsia="宋体" w:cs="Times New Roman"/>
      <w:b/>
      <w:bCs/>
      <w:sz w:val="24"/>
      <w:szCs w:val="24"/>
    </w:rPr>
  </w:style>
  <w:style w:type="character" w:customStyle="1" w:styleId="205">
    <w:name w:val="标题 8 Char"/>
    <w:link w:val="193"/>
    <w:qFormat/>
    <w:uiPriority w:val="0"/>
    <w:rPr>
      <w:rFonts w:ascii="Arial" w:hAnsi="Arial" w:eastAsia="黑体" w:cs="Times New Roman"/>
      <w:sz w:val="24"/>
      <w:szCs w:val="24"/>
    </w:rPr>
  </w:style>
  <w:style w:type="character" w:customStyle="1" w:styleId="206">
    <w:name w:val="标题 9 Char"/>
    <w:link w:val="194"/>
    <w:qFormat/>
    <w:uiPriority w:val="0"/>
    <w:rPr>
      <w:rFonts w:ascii="Arial" w:hAnsi="Arial" w:eastAsia="黑体" w:cs="Times New Roman"/>
      <w:szCs w:val="21"/>
    </w:rPr>
  </w:style>
  <w:style w:type="paragraph" w:customStyle="1" w:styleId="207">
    <w:name w:val="列表 31"/>
    <w:basedOn w:val="1"/>
    <w:qFormat/>
    <w:uiPriority w:val="0"/>
    <w:pPr>
      <w:ind w:left="100" w:hanging="200"/>
    </w:pPr>
  </w:style>
  <w:style w:type="paragraph" w:customStyle="1" w:styleId="208">
    <w:name w:val="目录 71"/>
    <w:basedOn w:val="1"/>
    <w:next w:val="1"/>
    <w:semiHidden/>
    <w:qFormat/>
    <w:uiPriority w:val="0"/>
    <w:pPr>
      <w:ind w:left="1260"/>
      <w:jc w:val="left"/>
    </w:pPr>
  </w:style>
  <w:style w:type="paragraph" w:customStyle="1" w:styleId="209">
    <w:name w:val="文档结构图1"/>
    <w:basedOn w:val="1"/>
    <w:link w:val="210"/>
    <w:semiHidden/>
    <w:qFormat/>
    <w:uiPriority w:val="0"/>
    <w:pPr>
      <w:shd w:val="clear" w:color="auto" w:fill="000080"/>
    </w:pPr>
    <w:rPr>
      <w:sz w:val="20"/>
    </w:rPr>
  </w:style>
  <w:style w:type="character" w:customStyle="1" w:styleId="210">
    <w:name w:val="文档结构图 Char"/>
    <w:link w:val="209"/>
    <w:semiHidden/>
    <w:qFormat/>
    <w:uiPriority w:val="0"/>
    <w:rPr>
      <w:rFonts w:ascii="Times New Roman" w:hAnsi="Times New Roman" w:eastAsia="宋体" w:cs="Times New Roman"/>
      <w:szCs w:val="21"/>
      <w:shd w:val="clear" w:color="auto" w:fill="000080"/>
    </w:rPr>
  </w:style>
  <w:style w:type="paragraph" w:customStyle="1" w:styleId="211">
    <w:name w:val="批注文字1"/>
    <w:basedOn w:val="1"/>
    <w:link w:val="212"/>
    <w:semiHidden/>
    <w:qFormat/>
    <w:uiPriority w:val="0"/>
    <w:pPr>
      <w:jc w:val="left"/>
    </w:pPr>
    <w:rPr>
      <w:sz w:val="20"/>
    </w:rPr>
  </w:style>
  <w:style w:type="character" w:customStyle="1" w:styleId="212">
    <w:name w:val="批注文字 Char"/>
    <w:link w:val="211"/>
    <w:semiHidden/>
    <w:qFormat/>
    <w:uiPriority w:val="0"/>
    <w:rPr>
      <w:rFonts w:ascii="Times New Roman" w:hAnsi="Times New Roman" w:eastAsia="宋体" w:cs="Times New Roman"/>
      <w:szCs w:val="21"/>
    </w:rPr>
  </w:style>
  <w:style w:type="paragraph" w:customStyle="1" w:styleId="213">
    <w:name w:val="正文文本 31"/>
    <w:basedOn w:val="1"/>
    <w:link w:val="214"/>
    <w:qFormat/>
    <w:uiPriority w:val="0"/>
    <w:rPr>
      <w:rFonts w:ascii="仿宋_GB2312" w:hAnsi="Arial" w:eastAsia="仿宋_GB2312"/>
      <w:sz w:val="32"/>
      <w:szCs w:val="32"/>
    </w:rPr>
  </w:style>
  <w:style w:type="character" w:customStyle="1" w:styleId="214">
    <w:name w:val="正文文本 3 Char"/>
    <w:link w:val="213"/>
    <w:qFormat/>
    <w:uiPriority w:val="0"/>
    <w:rPr>
      <w:rFonts w:ascii="仿宋_GB2312" w:hAnsi="Arial" w:eastAsia="仿宋_GB2312" w:cs="Times New Roman"/>
      <w:sz w:val="32"/>
      <w:szCs w:val="32"/>
    </w:rPr>
  </w:style>
  <w:style w:type="paragraph" w:customStyle="1" w:styleId="215">
    <w:name w:val="正文文本1"/>
    <w:basedOn w:val="1"/>
    <w:link w:val="216"/>
    <w:qFormat/>
    <w:uiPriority w:val="0"/>
    <w:rPr>
      <w:rFonts w:ascii="楷体_GB2312" w:hAnsi="Arial" w:eastAsia="楷体_GB2312"/>
      <w:sz w:val="28"/>
      <w:szCs w:val="28"/>
    </w:rPr>
  </w:style>
  <w:style w:type="character" w:customStyle="1" w:styleId="216">
    <w:name w:val="正文文本 Char"/>
    <w:link w:val="215"/>
    <w:qFormat/>
    <w:uiPriority w:val="0"/>
    <w:rPr>
      <w:rFonts w:ascii="楷体_GB2312" w:hAnsi="Arial" w:eastAsia="楷体_GB2312" w:cs="Times New Roman"/>
      <w:sz w:val="28"/>
      <w:szCs w:val="28"/>
    </w:rPr>
  </w:style>
  <w:style w:type="paragraph" w:customStyle="1" w:styleId="217">
    <w:name w:val="正文文本缩进1"/>
    <w:basedOn w:val="1"/>
    <w:link w:val="218"/>
    <w:qFormat/>
    <w:uiPriority w:val="0"/>
    <w:pPr>
      <w:ind w:firstLine="645"/>
    </w:pPr>
    <w:rPr>
      <w:rFonts w:ascii="楷体_GB2312" w:eastAsia="楷体_GB2312"/>
      <w:sz w:val="32"/>
      <w:szCs w:val="32"/>
    </w:rPr>
  </w:style>
  <w:style w:type="character" w:customStyle="1" w:styleId="218">
    <w:name w:val="正文文本缩进 Char"/>
    <w:link w:val="217"/>
    <w:qFormat/>
    <w:uiPriority w:val="0"/>
    <w:rPr>
      <w:rFonts w:ascii="楷体_GB2312" w:hAnsi="Times New Roman" w:eastAsia="楷体_GB2312" w:cs="Times New Roman"/>
      <w:sz w:val="32"/>
      <w:szCs w:val="32"/>
    </w:rPr>
  </w:style>
  <w:style w:type="paragraph" w:customStyle="1" w:styleId="219">
    <w:name w:val="列表 21"/>
    <w:basedOn w:val="1"/>
    <w:qFormat/>
    <w:uiPriority w:val="0"/>
    <w:pPr>
      <w:ind w:left="100" w:hanging="200"/>
    </w:pPr>
  </w:style>
  <w:style w:type="paragraph" w:customStyle="1" w:styleId="220">
    <w:name w:val="目录 51"/>
    <w:basedOn w:val="1"/>
    <w:next w:val="1"/>
    <w:semiHidden/>
    <w:qFormat/>
    <w:uiPriority w:val="0"/>
    <w:pPr>
      <w:ind w:left="840"/>
      <w:jc w:val="left"/>
    </w:pPr>
  </w:style>
  <w:style w:type="paragraph" w:customStyle="1" w:styleId="221">
    <w:name w:val="目录 31"/>
    <w:basedOn w:val="1"/>
    <w:next w:val="1"/>
    <w:semiHidden/>
    <w:qFormat/>
    <w:uiPriority w:val="0"/>
    <w:pPr>
      <w:ind w:left="420"/>
      <w:jc w:val="left"/>
    </w:pPr>
    <w:rPr>
      <w:i/>
      <w:iCs/>
      <w:szCs w:val="24"/>
    </w:rPr>
  </w:style>
  <w:style w:type="paragraph" w:customStyle="1" w:styleId="222">
    <w:name w:val="纯文本1"/>
    <w:basedOn w:val="1"/>
    <w:link w:val="223"/>
    <w:qFormat/>
    <w:uiPriority w:val="0"/>
    <w:rPr>
      <w:rFonts w:ascii="宋体" w:hAnsi="Courier New"/>
      <w:sz w:val="20"/>
    </w:rPr>
  </w:style>
  <w:style w:type="character" w:customStyle="1" w:styleId="223">
    <w:name w:val="纯文本 Char"/>
    <w:link w:val="222"/>
    <w:qFormat/>
    <w:uiPriority w:val="0"/>
    <w:rPr>
      <w:rFonts w:ascii="宋体" w:hAnsi="Courier New" w:eastAsia="宋体" w:cs="Courier New"/>
      <w:szCs w:val="21"/>
    </w:rPr>
  </w:style>
  <w:style w:type="paragraph" w:customStyle="1" w:styleId="224">
    <w:name w:val="目录 81"/>
    <w:basedOn w:val="1"/>
    <w:next w:val="1"/>
    <w:semiHidden/>
    <w:qFormat/>
    <w:uiPriority w:val="0"/>
    <w:pPr>
      <w:ind w:left="1470"/>
      <w:jc w:val="left"/>
    </w:pPr>
  </w:style>
  <w:style w:type="paragraph" w:customStyle="1" w:styleId="225">
    <w:name w:val="日期1"/>
    <w:basedOn w:val="1"/>
    <w:next w:val="1"/>
    <w:link w:val="226"/>
    <w:qFormat/>
    <w:uiPriority w:val="0"/>
    <w:rPr>
      <w:sz w:val="24"/>
      <w:szCs w:val="24"/>
    </w:rPr>
  </w:style>
  <w:style w:type="character" w:customStyle="1" w:styleId="226">
    <w:name w:val="日期 Char"/>
    <w:link w:val="225"/>
    <w:qFormat/>
    <w:uiPriority w:val="0"/>
    <w:rPr>
      <w:rFonts w:ascii="Times New Roman" w:hAnsi="Times New Roman" w:eastAsia="宋体" w:cs="Times New Roman"/>
      <w:sz w:val="24"/>
      <w:szCs w:val="24"/>
    </w:rPr>
  </w:style>
  <w:style w:type="paragraph" w:customStyle="1" w:styleId="227">
    <w:name w:val="正文文本缩进 21"/>
    <w:basedOn w:val="1"/>
    <w:link w:val="228"/>
    <w:qFormat/>
    <w:uiPriority w:val="0"/>
    <w:pPr>
      <w:ind w:left="630" w:firstLine="645"/>
    </w:pPr>
    <w:rPr>
      <w:rFonts w:ascii="Arial" w:hAnsi="Arial" w:eastAsia="仿宋_GB2312"/>
      <w:sz w:val="32"/>
      <w:szCs w:val="32"/>
    </w:rPr>
  </w:style>
  <w:style w:type="character" w:customStyle="1" w:styleId="228">
    <w:name w:val="正文文本缩进 2 Char"/>
    <w:link w:val="227"/>
    <w:qFormat/>
    <w:uiPriority w:val="0"/>
    <w:rPr>
      <w:rFonts w:ascii="Arial" w:hAnsi="Arial" w:eastAsia="仿宋_GB2312" w:cs="Arial"/>
      <w:sz w:val="32"/>
      <w:szCs w:val="32"/>
    </w:rPr>
  </w:style>
  <w:style w:type="paragraph" w:customStyle="1" w:styleId="229">
    <w:name w:val="批注框文本1"/>
    <w:basedOn w:val="1"/>
    <w:link w:val="230"/>
    <w:semiHidden/>
    <w:qFormat/>
    <w:uiPriority w:val="0"/>
    <w:rPr>
      <w:sz w:val="18"/>
      <w:szCs w:val="18"/>
    </w:rPr>
  </w:style>
  <w:style w:type="character" w:customStyle="1" w:styleId="230">
    <w:name w:val="批注框文本 Char"/>
    <w:link w:val="229"/>
    <w:semiHidden/>
    <w:qFormat/>
    <w:uiPriority w:val="0"/>
    <w:rPr>
      <w:rFonts w:ascii="Times New Roman" w:hAnsi="Times New Roman" w:eastAsia="宋体" w:cs="Times New Roman"/>
      <w:sz w:val="18"/>
      <w:szCs w:val="18"/>
    </w:rPr>
  </w:style>
  <w:style w:type="paragraph" w:customStyle="1" w:styleId="231">
    <w:name w:val="页脚1"/>
    <w:basedOn w:val="1"/>
    <w:link w:val="232"/>
    <w:qFormat/>
    <w:uiPriority w:val="0"/>
    <w:pPr>
      <w:tabs>
        <w:tab w:val="center" w:pos="4153"/>
        <w:tab w:val="right" w:pos="8306"/>
      </w:tabs>
      <w:jc w:val="left"/>
    </w:pPr>
    <w:rPr>
      <w:sz w:val="18"/>
      <w:szCs w:val="18"/>
    </w:rPr>
  </w:style>
  <w:style w:type="character" w:customStyle="1" w:styleId="232">
    <w:name w:val="页脚 Char"/>
    <w:link w:val="231"/>
    <w:qFormat/>
    <w:uiPriority w:val="0"/>
    <w:rPr>
      <w:rFonts w:ascii="Times New Roman" w:hAnsi="Times New Roman" w:eastAsia="宋体" w:cs="Times New Roman"/>
      <w:sz w:val="18"/>
      <w:szCs w:val="18"/>
    </w:rPr>
  </w:style>
  <w:style w:type="paragraph" w:customStyle="1" w:styleId="233">
    <w:name w:val="页眉1"/>
    <w:basedOn w:val="1"/>
    <w:link w:val="234"/>
    <w:qFormat/>
    <w:uiPriority w:val="99"/>
    <w:pPr>
      <w:pBdr>
        <w:bottom w:val="single" w:color="000000" w:sz="6" w:space="1"/>
      </w:pBdr>
      <w:tabs>
        <w:tab w:val="center" w:pos="4153"/>
        <w:tab w:val="right" w:pos="8306"/>
      </w:tabs>
      <w:jc w:val="center"/>
    </w:pPr>
    <w:rPr>
      <w:sz w:val="18"/>
      <w:szCs w:val="18"/>
    </w:rPr>
  </w:style>
  <w:style w:type="character" w:customStyle="1" w:styleId="234">
    <w:name w:val="页眉 Char"/>
    <w:link w:val="233"/>
    <w:qFormat/>
    <w:uiPriority w:val="99"/>
    <w:rPr>
      <w:rFonts w:ascii="Times New Roman" w:hAnsi="Times New Roman" w:eastAsia="宋体" w:cs="Times New Roman"/>
      <w:sz w:val="18"/>
      <w:szCs w:val="18"/>
    </w:rPr>
  </w:style>
  <w:style w:type="paragraph" w:customStyle="1" w:styleId="23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6">
    <w:name w:val="目录 41"/>
    <w:basedOn w:val="1"/>
    <w:next w:val="1"/>
    <w:semiHidden/>
    <w:qFormat/>
    <w:uiPriority w:val="0"/>
    <w:pPr>
      <w:ind w:left="630"/>
      <w:jc w:val="left"/>
    </w:pPr>
  </w:style>
  <w:style w:type="paragraph" w:customStyle="1" w:styleId="237">
    <w:name w:val="列表1"/>
    <w:basedOn w:val="1"/>
    <w:qFormat/>
    <w:uiPriority w:val="0"/>
    <w:pPr>
      <w:ind w:left="200" w:hanging="200"/>
    </w:pPr>
  </w:style>
  <w:style w:type="paragraph" w:customStyle="1" w:styleId="238">
    <w:name w:val="目录 61"/>
    <w:basedOn w:val="1"/>
    <w:next w:val="1"/>
    <w:semiHidden/>
    <w:qFormat/>
    <w:uiPriority w:val="0"/>
    <w:pPr>
      <w:ind w:left="1050"/>
      <w:jc w:val="left"/>
    </w:pPr>
  </w:style>
  <w:style w:type="paragraph" w:customStyle="1" w:styleId="239">
    <w:name w:val="正文文本缩进 31"/>
    <w:basedOn w:val="1"/>
    <w:link w:val="240"/>
    <w:qFormat/>
    <w:uiPriority w:val="0"/>
    <w:pPr>
      <w:ind w:left="645" w:firstLine="645"/>
    </w:pPr>
    <w:rPr>
      <w:rFonts w:ascii="Arial" w:hAnsi="Arial" w:eastAsia="仿宋_GB2312"/>
      <w:color w:val="FFFF00"/>
      <w:sz w:val="32"/>
      <w:szCs w:val="32"/>
    </w:rPr>
  </w:style>
  <w:style w:type="character" w:customStyle="1" w:styleId="240">
    <w:name w:val="正文文本缩进 3 Char"/>
    <w:link w:val="239"/>
    <w:qFormat/>
    <w:uiPriority w:val="0"/>
    <w:rPr>
      <w:rFonts w:ascii="Arial" w:hAnsi="Arial" w:eastAsia="仿宋_GB2312" w:cs="Arial"/>
      <w:color w:val="FFFF00"/>
      <w:sz w:val="32"/>
      <w:szCs w:val="32"/>
    </w:rPr>
  </w:style>
  <w:style w:type="paragraph" w:customStyle="1" w:styleId="241">
    <w:name w:val="图表目录1"/>
    <w:basedOn w:val="1"/>
    <w:next w:val="1"/>
    <w:semiHidden/>
    <w:qFormat/>
    <w:uiPriority w:val="0"/>
    <w:pPr>
      <w:ind w:left="840" w:hanging="420"/>
    </w:pPr>
  </w:style>
  <w:style w:type="paragraph" w:customStyle="1" w:styleId="242">
    <w:name w:val="目录 21"/>
    <w:basedOn w:val="1"/>
    <w:next w:val="1"/>
    <w:semiHidden/>
    <w:qFormat/>
    <w:uiPriority w:val="0"/>
    <w:pPr>
      <w:ind w:left="210"/>
      <w:jc w:val="left"/>
    </w:pPr>
    <w:rPr>
      <w:smallCaps/>
      <w:szCs w:val="24"/>
    </w:rPr>
  </w:style>
  <w:style w:type="paragraph" w:customStyle="1" w:styleId="243">
    <w:name w:val="目录 91"/>
    <w:basedOn w:val="1"/>
    <w:next w:val="1"/>
    <w:semiHidden/>
    <w:qFormat/>
    <w:uiPriority w:val="0"/>
    <w:pPr>
      <w:ind w:left="1680"/>
      <w:jc w:val="left"/>
    </w:pPr>
  </w:style>
  <w:style w:type="paragraph" w:customStyle="1" w:styleId="244">
    <w:name w:val="正文文本 21"/>
    <w:basedOn w:val="1"/>
    <w:link w:val="245"/>
    <w:qFormat/>
    <w:uiPriority w:val="0"/>
    <w:pPr>
      <w:widowControl/>
      <w:jc w:val="center"/>
    </w:pPr>
    <w:rPr>
      <w:rFonts w:ascii="楷体_GB2312" w:eastAsia="楷体_GB2312"/>
      <w:sz w:val="28"/>
      <w:szCs w:val="28"/>
    </w:rPr>
  </w:style>
  <w:style w:type="character" w:customStyle="1" w:styleId="245">
    <w:name w:val="正文文本 2 Char"/>
    <w:link w:val="244"/>
    <w:qFormat/>
    <w:uiPriority w:val="0"/>
    <w:rPr>
      <w:rFonts w:ascii="楷体_GB2312" w:hAnsi="Times New Roman" w:eastAsia="楷体_GB2312" w:cs="Times New Roman"/>
      <w:sz w:val="28"/>
      <w:szCs w:val="28"/>
    </w:rPr>
  </w:style>
  <w:style w:type="paragraph" w:customStyle="1" w:styleId="24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7">
    <w:name w:val="索引 11"/>
    <w:basedOn w:val="1"/>
    <w:next w:val="1"/>
    <w:semiHidden/>
    <w:qFormat/>
    <w:uiPriority w:val="0"/>
    <w:pPr>
      <w:spacing w:line="240" w:lineRule="atLeast"/>
    </w:pPr>
    <w:rPr>
      <w:b/>
      <w:bCs/>
    </w:rPr>
  </w:style>
  <w:style w:type="paragraph" w:customStyle="1" w:styleId="248">
    <w:name w:val="批注主题1"/>
    <w:basedOn w:val="211"/>
    <w:next w:val="211"/>
    <w:link w:val="249"/>
    <w:semiHidden/>
    <w:qFormat/>
    <w:uiPriority w:val="0"/>
    <w:rPr>
      <w:b/>
      <w:bCs/>
    </w:rPr>
  </w:style>
  <w:style w:type="character" w:customStyle="1" w:styleId="249">
    <w:name w:val="批注主题 Char"/>
    <w:link w:val="248"/>
    <w:semiHidden/>
    <w:qFormat/>
    <w:uiPriority w:val="0"/>
    <w:rPr>
      <w:rFonts w:ascii="Times New Roman" w:hAnsi="Times New Roman" w:eastAsia="宋体" w:cs="Times New Roman"/>
      <w:b/>
      <w:bCs/>
      <w:szCs w:val="21"/>
    </w:rPr>
  </w:style>
  <w:style w:type="paragraph" w:customStyle="1" w:styleId="250">
    <w:name w:val="正文首行缩进1"/>
    <w:basedOn w:val="1"/>
    <w:link w:val="251"/>
    <w:qFormat/>
    <w:uiPriority w:val="0"/>
    <w:pPr>
      <w:spacing w:line="360" w:lineRule="auto"/>
      <w:ind w:firstLine="200"/>
    </w:pPr>
    <w:rPr>
      <w:rFonts w:ascii="仿宋_GB2312" w:eastAsia="仿宋_GB2312"/>
      <w:sz w:val="30"/>
      <w:szCs w:val="30"/>
    </w:rPr>
  </w:style>
  <w:style w:type="character" w:customStyle="1" w:styleId="251">
    <w:name w:val="正文首行缩进 Char"/>
    <w:link w:val="250"/>
    <w:qFormat/>
    <w:uiPriority w:val="0"/>
    <w:rPr>
      <w:rFonts w:ascii="仿宋_GB2312" w:hAnsi="Times New Roman" w:eastAsia="仿宋_GB2312" w:cs="Times New Roman"/>
      <w:sz w:val="30"/>
      <w:szCs w:val="30"/>
    </w:rPr>
  </w:style>
  <w:style w:type="paragraph" w:customStyle="1" w:styleId="252">
    <w:name w:val="正文首行缩进 21"/>
    <w:basedOn w:val="217"/>
    <w:link w:val="253"/>
    <w:qFormat/>
    <w:uiPriority w:val="0"/>
    <w:pPr>
      <w:spacing w:line="360" w:lineRule="auto"/>
      <w:ind w:firstLine="420"/>
    </w:pPr>
    <w:rPr>
      <w:rFonts w:ascii="宋体" w:hAnsi="宋体" w:eastAsia="宋体"/>
      <w:szCs w:val="20"/>
    </w:rPr>
  </w:style>
  <w:style w:type="character" w:customStyle="1" w:styleId="253">
    <w:name w:val="正文首行缩进 2 Char"/>
    <w:link w:val="252"/>
    <w:qFormat/>
    <w:uiPriority w:val="0"/>
    <w:rPr>
      <w:rFonts w:ascii="宋体" w:hAnsi="宋体" w:eastAsia="宋体" w:cs="Times New Roman"/>
      <w:sz w:val="32"/>
      <w:szCs w:val="20"/>
    </w:rPr>
  </w:style>
  <w:style w:type="table" w:customStyle="1" w:styleId="254">
    <w:name w:val="网格型1"/>
    <w:basedOn w:val="196"/>
    <w:qFormat/>
    <w:uiPriority w:val="0"/>
    <w:pPr>
      <w:widowControl w:val="0"/>
      <w:jc w:val="both"/>
    </w:pPr>
  </w:style>
  <w:style w:type="character" w:customStyle="1" w:styleId="255">
    <w:name w:val="要点1"/>
    <w:qFormat/>
    <w:uiPriority w:val="0"/>
    <w:rPr>
      <w:b/>
      <w:bCs/>
    </w:rPr>
  </w:style>
  <w:style w:type="character" w:customStyle="1" w:styleId="256">
    <w:name w:val="页码1"/>
    <w:qFormat/>
    <w:uiPriority w:val="0"/>
  </w:style>
  <w:style w:type="character" w:customStyle="1" w:styleId="257">
    <w:name w:val="已访问的超链接1"/>
    <w:qFormat/>
    <w:uiPriority w:val="0"/>
    <w:rPr>
      <w:color w:val="800080"/>
      <w:u w:val="single"/>
    </w:rPr>
  </w:style>
  <w:style w:type="character" w:customStyle="1" w:styleId="258">
    <w:name w:val="HTML 打字机1"/>
    <w:qFormat/>
    <w:uiPriority w:val="99"/>
    <w:rPr>
      <w:rFonts w:ascii="宋体" w:hAnsi="宋体" w:eastAsia="宋体" w:cs="宋体"/>
      <w:sz w:val="24"/>
      <w:szCs w:val="24"/>
    </w:rPr>
  </w:style>
  <w:style w:type="character" w:customStyle="1" w:styleId="259">
    <w:name w:val="超链接1"/>
    <w:qFormat/>
    <w:uiPriority w:val="0"/>
    <w:rPr>
      <w:color w:val="0000FF"/>
      <w:u w:val="single"/>
    </w:rPr>
  </w:style>
  <w:style w:type="character" w:customStyle="1" w:styleId="260">
    <w:name w:val="批注引用1"/>
    <w:semiHidden/>
    <w:qFormat/>
    <w:uiPriority w:val="0"/>
    <w:rPr>
      <w:sz w:val="21"/>
      <w:szCs w:val="21"/>
    </w:rPr>
  </w:style>
  <w:style w:type="character" w:customStyle="1" w:styleId="261">
    <w:name w:val="font5 Char"/>
    <w:qFormat/>
    <w:uiPriority w:val="0"/>
    <w:rPr>
      <w:rFonts w:ascii="宋体" w:hAnsi="宋体" w:eastAsia="宋体"/>
      <w:sz w:val="28"/>
      <w:szCs w:val="28"/>
      <w:lang w:val="en-US" w:eastAsia="zh-CN" w:bidi="ar-SA"/>
    </w:rPr>
  </w:style>
  <w:style w:type="character" w:customStyle="1" w:styleId="262">
    <w:name w:val="二级目录 Char"/>
    <w:link w:val="263"/>
    <w:qFormat/>
    <w:uiPriority w:val="0"/>
    <w:rPr>
      <w:b/>
      <w:sz w:val="30"/>
      <w:szCs w:val="28"/>
    </w:rPr>
  </w:style>
  <w:style w:type="paragraph" w:customStyle="1" w:styleId="263">
    <w:name w:val="二级目录"/>
    <w:next w:val="1"/>
    <w:link w:val="262"/>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64">
    <w:name w:val="列出段落 Char"/>
    <w:link w:val="265"/>
    <w:qFormat/>
    <w:uiPriority w:val="0"/>
    <w:rPr>
      <w:rFonts w:ascii="Calibri" w:hAnsi="Calibri"/>
      <w:sz w:val="24"/>
      <w:szCs w:val="24"/>
      <w:lang w:eastAsia="en-US" w:bidi="en-US"/>
    </w:rPr>
  </w:style>
  <w:style w:type="paragraph" w:customStyle="1" w:styleId="265">
    <w:name w:val="列出段落1"/>
    <w:basedOn w:val="1"/>
    <w:link w:val="264"/>
    <w:qFormat/>
    <w:uiPriority w:val="0"/>
    <w:pPr>
      <w:widowControl/>
      <w:ind w:left="720"/>
      <w:contextualSpacing/>
      <w:jc w:val="left"/>
    </w:pPr>
    <w:rPr>
      <w:rFonts w:ascii="Calibri" w:hAnsi="Calibri"/>
      <w:sz w:val="24"/>
      <w:szCs w:val="24"/>
      <w:lang w:eastAsia="en-US" w:bidi="en-US"/>
    </w:rPr>
  </w:style>
  <w:style w:type="paragraph" w:customStyle="1" w:styleId="266">
    <w:name w:val="Body Text(ch)"/>
    <w:basedOn w:val="1"/>
    <w:next w:val="215"/>
    <w:qFormat/>
    <w:uiPriority w:val="0"/>
    <w:pPr>
      <w:spacing w:after="120"/>
    </w:pPr>
    <w:rPr>
      <w:rFonts w:ascii="宋体" w:hAnsi="Arial"/>
      <w:bCs/>
      <w:iCs/>
      <w:szCs w:val="24"/>
    </w:rPr>
  </w:style>
  <w:style w:type="paragraph" w:customStyle="1" w:styleId="26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Char"/>
    <w:basedOn w:val="1"/>
    <w:qFormat/>
    <w:uiPriority w:val="0"/>
    <w:pPr>
      <w:tabs>
        <w:tab w:val="left" w:pos="360"/>
      </w:tabs>
      <w:ind w:firstLine="200"/>
    </w:pPr>
    <w:rPr>
      <w:sz w:val="28"/>
      <w:szCs w:val="30"/>
    </w:rPr>
  </w:style>
  <w:style w:type="paragraph" w:customStyle="1" w:styleId="270">
    <w:name w:val="Char1"/>
    <w:basedOn w:val="209"/>
    <w:qFormat/>
    <w:uiPriority w:val="0"/>
    <w:rPr>
      <w:rFonts w:ascii="Tahoma" w:hAnsi="Tahoma"/>
      <w:sz w:val="24"/>
      <w:szCs w:val="24"/>
    </w:rPr>
  </w:style>
  <w:style w:type="paragraph" w:customStyle="1" w:styleId="27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5">
    <w:name w:val="Char Char Char Char"/>
    <w:basedOn w:val="209"/>
    <w:qFormat/>
    <w:uiPriority w:val="0"/>
    <w:pPr>
      <w:spacing w:line="360" w:lineRule="auto"/>
    </w:pPr>
    <w:rPr>
      <w:rFonts w:ascii="Tahoma" w:hAnsi="Tahoma"/>
      <w:sz w:val="24"/>
      <w:szCs w:val="24"/>
    </w:rPr>
  </w:style>
  <w:style w:type="paragraph" w:customStyle="1" w:styleId="276">
    <w:name w:val="列出段落2"/>
    <w:basedOn w:val="1"/>
    <w:qFormat/>
    <w:uiPriority w:val="99"/>
    <w:pPr>
      <w:widowControl/>
      <w:ind w:left="720"/>
      <w:contextualSpacing/>
      <w:jc w:val="left"/>
    </w:pPr>
    <w:rPr>
      <w:rFonts w:ascii="Calibri" w:hAnsi="Calibri"/>
      <w:sz w:val="24"/>
      <w:szCs w:val="24"/>
      <w:lang w:eastAsia="en-US" w:bidi="en-US"/>
    </w:rPr>
  </w:style>
  <w:style w:type="paragraph" w:customStyle="1" w:styleId="277">
    <w:name w:val="4"/>
    <w:basedOn w:val="1"/>
    <w:next w:val="239"/>
    <w:qFormat/>
    <w:uiPriority w:val="0"/>
    <w:pPr>
      <w:spacing w:line="360" w:lineRule="auto"/>
      <w:ind w:firstLine="420"/>
    </w:pPr>
    <w:rPr>
      <w:color w:val="FF0000"/>
      <w:sz w:val="24"/>
      <w:szCs w:val="24"/>
    </w:rPr>
  </w:style>
  <w:style w:type="paragraph" w:customStyle="1" w:styleId="27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9">
    <w:name w:val="Char Char Char Char Char Char Char Char Char Char"/>
    <w:basedOn w:val="1"/>
    <w:qFormat/>
    <w:uiPriority w:val="0"/>
    <w:pPr>
      <w:spacing w:line="360" w:lineRule="auto"/>
    </w:pPr>
    <w:rPr>
      <w:sz w:val="24"/>
      <w:szCs w:val="20"/>
    </w:rPr>
  </w:style>
  <w:style w:type="paragraph" w:customStyle="1" w:styleId="280">
    <w:name w:val="样式1"/>
    <w:basedOn w:val="1"/>
    <w:qFormat/>
    <w:uiPriority w:val="0"/>
    <w:pPr>
      <w:numPr>
        <w:ilvl w:val="0"/>
        <w:numId w:val="3"/>
      </w:numPr>
    </w:pPr>
    <w:rPr>
      <w:rFonts w:ascii="宋体" w:hAnsi="宋体"/>
    </w:rPr>
  </w:style>
  <w:style w:type="paragraph" w:customStyle="1" w:styleId="28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1">
    <w:name w:val="Char Char Char Char1"/>
    <w:basedOn w:val="209"/>
    <w:qFormat/>
    <w:uiPriority w:val="0"/>
    <w:pPr>
      <w:spacing w:line="360" w:lineRule="auto"/>
    </w:pPr>
    <w:rPr>
      <w:rFonts w:ascii="Tahoma" w:hAnsi="Tahoma"/>
      <w:sz w:val="24"/>
      <w:szCs w:val="24"/>
    </w:rPr>
  </w:style>
  <w:style w:type="paragraph" w:customStyle="1" w:styleId="292">
    <w:name w:val="table_1stline"/>
    <w:basedOn w:val="1"/>
    <w:qFormat/>
    <w:uiPriority w:val="0"/>
    <w:pPr>
      <w:widowControl/>
      <w:spacing w:before="120"/>
      <w:jc w:val="left"/>
    </w:pPr>
    <w:rPr>
      <w:bCs/>
      <w:sz w:val="20"/>
      <w:szCs w:val="20"/>
      <w:lang w:val="de-DE" w:eastAsia="de-DE"/>
    </w:rPr>
  </w:style>
  <w:style w:type="paragraph" w:customStyle="1" w:styleId="29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5">
    <w:name w:val="修订1"/>
    <w:semiHidden/>
    <w:qFormat/>
    <w:uiPriority w:val="99"/>
    <w:rPr>
      <w:rFonts w:ascii="Times New Roman" w:hAnsi="Times New Roman" w:eastAsia="宋体" w:cs="Times New Roman"/>
      <w:sz w:val="21"/>
      <w:szCs w:val="21"/>
      <w:lang w:val="en-US" w:eastAsia="zh-CN" w:bidi="ar-SA"/>
    </w:rPr>
  </w:style>
  <w:style w:type="paragraph" w:customStyle="1" w:styleId="296">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97">
    <w:name w:val="普通文字"/>
    <w:basedOn w:val="1"/>
    <w:next w:val="1"/>
    <w:qFormat/>
    <w:uiPriority w:val="99"/>
    <w:rPr>
      <w:rFonts w:ascii="宋体"/>
      <w:sz w:val="24"/>
      <w:szCs w:val="20"/>
    </w:rPr>
  </w:style>
  <w:style w:type="paragraph" w:customStyle="1" w:styleId="298">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299">
    <w:name w:val="列表项目符号 21"/>
    <w:basedOn w:val="1"/>
    <w:unhideWhenUsed/>
    <w:qFormat/>
    <w:uiPriority w:val="99"/>
    <w:pPr>
      <w:numPr>
        <w:ilvl w:val="0"/>
        <w:numId w:val="4"/>
      </w:numPr>
    </w:pPr>
  </w:style>
  <w:style w:type="table" w:customStyle="1" w:styleId="300">
    <w:name w:val="网格型11"/>
    <w:basedOn w:val="301"/>
    <w:qFormat/>
    <w:uiPriority w:val="59"/>
  </w:style>
  <w:style w:type="table" w:customStyle="1" w:styleId="301">
    <w:name w:val="普通表格11"/>
    <w:semiHidden/>
    <w:qFormat/>
    <w:uiPriority w:val="0"/>
    <w:tblPr>
      <w:tblCellMar>
        <w:top w:w="0" w:type="dxa"/>
        <w:left w:w="0" w:type="dxa"/>
        <w:bottom w:w="0" w:type="dxa"/>
        <w:right w:w="0" w:type="dxa"/>
      </w:tblCellMar>
    </w:tblPr>
  </w:style>
  <w:style w:type="table" w:customStyle="1" w:styleId="302">
    <w:name w:val="Table Normal"/>
    <w:unhideWhenUsed/>
    <w:qFormat/>
    <w:uiPriority w:val="0"/>
    <w:rPr>
      <w:rFonts w:ascii="Arial" w:hAnsi="Arial" w:cs="Arial"/>
      <w:color w:val="000000"/>
      <w:szCs w:val="21"/>
      <w:lang w:eastAsia="en-US"/>
    </w:rPr>
    <w:tblPr>
      <w:tblCellMar>
        <w:top w:w="0" w:type="dxa"/>
        <w:left w:w="0" w:type="dxa"/>
        <w:bottom w:w="0" w:type="dxa"/>
        <w:right w:w="0" w:type="dxa"/>
      </w:tblCellMar>
    </w:tblPr>
  </w:style>
  <w:style w:type="paragraph" w:customStyle="1" w:styleId="303">
    <w:name w:val="Table Text"/>
    <w:basedOn w:val="1"/>
    <w:semiHidden/>
    <w:qFormat/>
    <w:uiPriority w:val="0"/>
    <w:pPr>
      <w:widowControl/>
      <w:jc w:val="left"/>
    </w:pPr>
    <w:rPr>
      <w:rFonts w:ascii="宋体" w:hAnsi="宋体" w:cs="宋体"/>
      <w:color w:val="000000"/>
      <w:lang w:eastAsia="en-US"/>
    </w:rPr>
  </w:style>
  <w:style w:type="paragraph" w:customStyle="1" w:styleId="304">
    <w:name w:val="*正文"/>
    <w:basedOn w:val="1"/>
    <w:qFormat/>
    <w:uiPriority w:val="0"/>
    <w:pPr>
      <w:ind w:firstLine="200" w:firstLineChars="200"/>
    </w:pPr>
    <w:rPr>
      <w:kern w:val="2"/>
      <w:sz w:val="24"/>
      <w:szCs w:val="28"/>
    </w:rPr>
  </w:style>
  <w:style w:type="character" w:customStyle="1" w:styleId="305">
    <w:name w:val="15"/>
    <w:basedOn w:val="32"/>
    <w:qFormat/>
    <w:uiPriority w:val="0"/>
    <w:rPr>
      <w:rFonts w:hint="default" w:ascii="Times New Roman" w:hAnsi="Times New Roman" w:cs="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d31809fc-428f-4fe7-8c58-c9abee6ecc2b</errorID>
      <errorWord>“.</errorWord>
      <group>L1_Punc</group>
      <groupName>标点问题</groupName>
      <ability>L2_Punc</ability>
      <abilityName>标点符号检查</abilityName>
      <candidateList>
        <item>“</item>
      </candidateList>
      <explain/>
      <paraID>2A2D540F</paraID>
      <start>145</start>
      <end>147</end>
      <status>unmodified</status>
      <modifiedWord/>
      <trackRevisions>false</trackRevisions>
    </reviewItem>
    <reviewItem>
      <errorID>6c947d29-0e63-4729-9124-534b07e68344</errorID>
      <errorWord>法律、法规</errorWord>
      <group>L1_Word</group>
      <groupName>字词问题</groupName>
      <ability>L2_Typo</ability>
      <abilityName>字词错误</abilityName>
      <candidateList>
        <item>法律法规</item>
      </candidateList>
      <explain/>
      <paraID>677AEEBB</paraID>
      <start>10</start>
      <end>15</end>
      <status>unmodified</status>
      <modifiedWord/>
      <trackRevisions>false</trackRevisions>
    </reviewItem>
    <reviewItem>
      <errorID>ef320982-f3e3-4224-88b4-5c8243469bcd</errorID>
      <errorWord>&lt;</errorWord>
      <group>L1_Format</group>
      <groupName>格式问题</groupName>
      <ability>L2_HalfPunc</ability>
      <abilityName>全半角检查</abilityName>
      <candidateList>
        <item>〈</item>
      </candidateList>
      <explain>文本全半角错误。</explain>
      <paraID>2DFC9A83</paraID>
      <start>49</start>
      <end>50</end>
      <status>unmodified</status>
      <modifiedWord/>
      <trackRevisions>false</trackRevisions>
    </reviewItem>
    <reviewItem>
      <errorID>cc0ece96-a766-4e59-9a2f-f03c8a8c21a3</errorID>
      <errorWord>&lt;</errorWord>
      <group>L1_Format</group>
      <groupName>格式问题</groupName>
      <ability>L2_HalfPunc</ability>
      <abilityName>全半角检查</abilityName>
      <candidateList>
        <item>〈</item>
      </candidateList>
      <explain>文本全半角错误。</explain>
      <paraID>385B2F82</paraID>
      <start>49</start>
      <end>50</end>
      <status>unmodified</status>
      <modifiedWord/>
      <trackRevisions>false</trackRevisions>
    </reviewItem>
    <reviewItem>
      <errorID>acf7b88f-d047-46a2-9a89-ccaf53a031e0</errorID>
      <errorWord>&lt;</errorWord>
      <group>L1_Format</group>
      <groupName>格式问题</groupName>
      <ability>L2_HalfPunc</ability>
      <abilityName>全半角检查</abilityName>
      <candidateList>
        <item>〈</item>
      </candidateList>
      <explain>文本全半角错误。</explain>
      <paraID>151B97E9</paraID>
      <start>34</start>
      <end>35</end>
      <status>unmodified</status>
      <modifiedWord/>
      <trackRevisions>false</trackRevisions>
    </reviewItem>
    <reviewItem>
      <errorID>9eaea730-11a7-4a8c-b31b-03d30576b47b</errorID>
      <errorWord>法律、法规</errorWord>
      <group>L1_Word</group>
      <groupName>字词问题</groupName>
      <ability>L2_Typo</ability>
      <abilityName>字词错误</abilityName>
      <candidateList>
        <item>法律法规</item>
      </candidateList>
      <explain/>
      <paraID>7E90F3CF</paraID>
      <start>9</start>
      <end>14</end>
      <status>unmodified</status>
      <modifiedWord/>
      <trackRevisions>false</trackRevisions>
    </reviewItem>
    <reviewItem>
      <errorID>7620a565-c7bb-450e-bb95-90a940bc2199</errorID>
      <errorWord>属</errorWord>
      <group>L1_Word</group>
      <groupName>字词问题</groupName>
      <ability>L2_Typo</ability>
      <abilityName>字词错误</abilityName>
      <candidateList>
        <item>属于</item>
      </candidateList>
      <explain/>
      <paraID>7E90F3CF</paraID>
      <start>23</start>
      <end>24</end>
      <status>unmodified</status>
      <modifiedWord/>
      <trackRevisions>false</trackRevisions>
    </reviewItem>
    <reviewItem>
      <errorID>9e3d5cc5-ddca-4836-b46d-e1fbd1fe56e5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16252679</paraID>
      <start>81</start>
      <end>83</end>
      <status>unmodified</status>
      <modifiedWord/>
      <trackRevisions>false</trackRevisions>
    </reviewItem>
    <reviewItem>
      <errorID>3486daf5-daa3-42c5-bcd4-b35e5b0f3c47</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2C06F9F6</paraID>
      <start>80</start>
      <end>82</end>
      <status>unmodified</status>
      <modifiedWord/>
      <trackRevisions>false</trackRevisions>
    </reviewItem>
    <reviewItem>
      <errorID>090e477c-598c-4cf7-9758-dec529826155</errorID>
      <errorWord>)</errorWord>
      <group>L1_Format</group>
      <groupName>格式问题</groupName>
      <ability>L2_HalfPunc</ability>
      <abilityName>全半角检查</abilityName>
      <candidateList>
        <item>）</item>
      </candidateList>
      <explain>文本全半角错误。</explain>
      <paraID>2F44AF65</paraID>
      <start>86</start>
      <end>88</end>
      <status>modified</status>
      <modifiedWord>）</modifiedWord>
      <trackRevisions>true</trackRevisions>
    </reviewItem>
    <reviewItem>
      <errorID>31c984fd-ca3a-48a1-b36f-a1a1bce98d5a</errorID>
      <errorWord>如是</errorWord>
      <group>L1_Word</group>
      <groupName>字词问题</groupName>
      <ability>L2_Typo</ability>
      <abilityName>字词错误</abilityName>
      <candidateList>
        <item>如</item>
      </candidateList>
      <explain/>
      <paraID>5C30989A</paraID>
      <start>39</start>
      <end>41</end>
      <status>unmodified</status>
      <modifiedWord/>
      <trackRevisions>false</trackRevisions>
    </reviewItem>
    <reviewItem>
      <errorID>e231ff48-4a31-444d-bb40-e6dad24df0d2</errorID>
      <errorWord>不须</errorWord>
      <group>L1_Word</group>
      <groupName>字词问题</groupName>
      <ability>L2_Typo</ability>
      <abilityName>字词错误</abilityName>
      <candidateList>
        <item>无需</item>
      </candidateList>
      <explain>同“无须”。</explain>
      <paraID>163E56C0</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54aee613-5330-4d37-850f-d90deabcb6fc}">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60</Pages>
  <Words>21886</Words>
  <Characters>23593</Characters>
  <Lines>258</Lines>
  <Paragraphs>72</Paragraphs>
  <TotalTime>41</TotalTime>
  <ScaleCrop>false</ScaleCrop>
  <LinksUpToDate>false</LinksUpToDate>
  <CharactersWithSpaces>23868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2026-03-19T01:46:00Z</dcterms:created>
  <dc:creator>无锡市政府</dc:creator>
  <cp:lastModifiedBy>秋秋的</cp:lastModifiedBy>
  <dcterms:modified xsi:type="dcterms:W3CDTF">2026-04-17T10:24:08Z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eyJoZGlkIjoiNTRlMGU0Mjc3MDhlODAyM2NlMmEzOWI5YmY3OWRlOWMiLCJ1c2VySWQiOiI2MzU5OTc0MDEifQ==</vt:lpwstr>
  </property>
  <property fmtid="{D5CDD505-2E9C-101B-9397-08002B2CF9AE}" pid="3" name="KSOProductBuildVer">
    <vt:lpwstr>2052-12.1.0.25225</vt:lpwstr>
  </property>
  <property fmtid="{D5CDD505-2E9C-101B-9397-08002B2CF9AE}" pid="4" name="ICV">
    <vt:lpwstr>6CA84E5A5A934FA9960587E8B62FB423_13</vt:lpwstr>
  </property>
</Properties>
</file>