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w:t>
      </w:r>
      <w:r/>
    </w:p>
    <w:p>
      <w:pPr>
        <w:ind w:left="0" w:right="0" w:firstLine="723"/>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b/>
          <w:color w:val="000000"/>
          <w:sz w:val="30"/>
          <w:u w:val="single"/>
        </w:rPr>
        <w:t xml:space="preserve">JSZC-320506-SXYZ-C2026-0002</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木渎派出所食堂物资采购配送</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苏州市吴中区木渎镇人民政府</w:t>
      </w:r>
      <w:r/>
    </w:p>
    <w:p>
      <w:pPr>
        <w:ind w:left="0" w:right="0" w:firstLine="1759"/>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(苏州市公安局吴中分局木渎派出所)</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苏州顺心源招投标咨询服务有限公司</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b/>
          <w:color w:val="000000"/>
          <w:sz w:val="30"/>
          <w:u w:val="single"/>
        </w:rPr>
        <w:t xml:space="preserve">     服务类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2026年5月</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前附表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565"/>
        <w:gridCol w:w="6615"/>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JSZC-320506-SXYZ-C2026-0002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木渎派出所食堂物资采购配送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联系人：赵晓燕、林玉琼、周雨泽轩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63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名称：苏州市吴中区木渎镇人民政府(苏州市公安局吴中分局木渎派出所)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联系人：岳飘峰</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联系电话：0512-66262662</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响应文件提交截止之日起90天（日历日）</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获取采购文件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响应文件网上</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2026年5月26日13点30分（北京时间）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响应文件必须在截止时间前完成提交（上传），逾期提交（上传）的响应文件恕不接受。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2026年5月26日13点30分（北京时间）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w:t>
            </w:r>
            <w:hyperlink r:id="rId11" w:tooltip="http://jszfcg.jsczt.cn/" w:history="1">
              <w:r>
                <w:rPr>
                  <w:rFonts w:ascii="SimSun" w:hAnsi="SimSun" w:eastAsia="SimSun" w:cs="SimSun"/>
                  <w:color w:val="000000"/>
                  <w:sz w:val="24"/>
                  <w:szCs w:val="24"/>
                </w:rPr>
                <w:t xml:space="preserve">http://jszfcg.jsczt.cn/</w:t>
              </w:r>
            </w:hyperlink>
            <w:r>
              <w:rPr>
                <w:rFonts w:ascii="SimSun" w:hAnsi="SimSun" w:eastAsia="SimSun" w:cs="SimSun"/>
                <w:color w:val="000000"/>
                <w:sz w:val="24"/>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trHeight w:val="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5</w:t>
            </w:r>
            <w:r>
              <w:rPr>
                <w:rFonts w:ascii="SimSun" w:hAnsi="SimSun" w:eastAsia="SimSun" w:cs="SimSun"/>
                <w:color w:val="000000"/>
                <w:sz w:val="24"/>
              </w:rPr>
              <w:t xml:space="preserve">月</w:t>
            </w:r>
            <w:r>
              <w:rPr>
                <w:rFonts w:ascii="SimSun" w:hAnsi="SimSun" w:eastAsia="SimSun" w:cs="SimSun"/>
                <w:color w:val="000000"/>
                <w:sz w:val="24"/>
                <w:u w:val="single"/>
              </w:rPr>
              <w:t xml:space="preserve">26</w:t>
            </w:r>
            <w:r>
              <w:rPr>
                <w:rFonts w:ascii="SimSun" w:hAnsi="SimSun" w:eastAsia="SimSun" w:cs="SimSun"/>
                <w:color w:val="000000"/>
                <w:sz w:val="24"/>
              </w:rPr>
              <w:t xml:space="preserve">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[狮山科技馆]政府采购817</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本项目采用电子响应文件，供应商按照采购文件要求制作上传电子响应文件，投标时供应商无需提供纸质响应文件。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成交后5个工作日内，成交单位向招标代理机构提供与电子响应文件内容一致的纸质响应文件两份。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按合同约定，未做说明的则为无。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确定出成交单位后，采购代理机构在法定时间内向成交单位发出成交通知书。成交通知书将成为合同的组成部分。</w:t>
            </w:r>
            <w:r/>
          </w:p>
          <w:p>
            <w:pPr>
              <w:ind w:left="0" w:right="0" w:firstLine="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请成交单位在成交结果公告届满之日起30日内,使用CA证书登录“苏采云”系统及时下载成交通知书。</w:t>
            </w:r>
            <w:r/>
          </w:p>
        </w:tc>
      </w:tr>
    </w:tbl>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一、磋商公告</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二、磋商须知</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三、评审方法及评分标准</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四、合同主要条款及格式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五、磋商响应文件格式</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b/>
          <w:color w:val="000000"/>
          <w:sz w:val="32"/>
          <w:u w:val="none"/>
        </w:rPr>
        <w:t xml:space="preserve">磋商公告</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8"/>
      </w:tblGrid>
      <w:tr>
        <w:trPr>
          <w:trHeight w:val="1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木渎派出所食堂物资采购配送项目的潜在供应商应在苏采云平台免费下载、获取采购文件，并于2026年5月26日13点30分（北京时间）前提交响应文件。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项目编号：JSZC-320506-SXYZ-C2026-0002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项目名称：木渎派出所食堂物资采购配送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预算金额：人民币叁佰壹拾陆万圆整（￥3160000.00）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对苏州市吴中区木渎镇人民政府</w:t>
      </w:r>
      <w:r>
        <w:rPr>
          <w:rFonts w:ascii="Calibri" w:hAnsi="Calibri" w:eastAsia="Calibri" w:cs="Calibri"/>
          <w:color w:val="000000"/>
          <w:sz w:val="24"/>
        </w:rPr>
        <w:t xml:space="preserve">(</w:t>
      </w:r>
      <w:r>
        <w:rPr>
          <w:rFonts w:ascii="SimSun" w:hAnsi="SimSun" w:eastAsia="SimSun" w:cs="SimSun"/>
          <w:color w:val="000000"/>
          <w:sz w:val="24"/>
        </w:rPr>
        <w:t xml:space="preserve">苏州市公安局吴中分局木渎派出所</w:t>
      </w:r>
      <w:r>
        <w:rPr>
          <w:rFonts w:ascii="Calibri" w:hAnsi="Calibri" w:eastAsia="Calibri" w:cs="Calibri"/>
          <w:color w:val="000000"/>
          <w:sz w:val="24"/>
        </w:rPr>
        <w:t xml:space="preserve">)</w:t>
      </w:r>
      <w:r>
        <w:rPr>
          <w:rFonts w:ascii="SimSun" w:hAnsi="SimSun" w:eastAsia="SimSun" w:cs="SimSun"/>
          <w:color w:val="000000"/>
          <w:sz w:val="24"/>
        </w:rPr>
        <w:t xml:space="preserve">所需的食堂物资进行配送。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项目合同履行期限：1年（2026年6月1日-2027年5月31日）或实际结算总金额达到预算总金额为止（二者中以先到者为准）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所属行业为批发业，供应商应为中小微企业、监狱企业、残疾人福利性单位。供应商为中小微企业、监狱企业、残疾人福利性单位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（2）未被“信用中国”网站或“中国政府采购网”网站列入失信被执行人、重大税收违法案件当事人名单、政府采购严重失信行为记录名单。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响应单位具有有效期内的食品经营许可证或食品生产许可证。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时间：自招标文件公告发布之日起5个工作日，每天上午00:00-12:00，下午12:00-23:59（北京时间，法定节假日除外）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地点：线上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1.截止时间：2026年5月26日13点30分（北京时间）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2.地点：“苏采云”系统（网址：http://jszfcg.jsczt.cn/）。响应文件网上递交，不需要现场参加采购活动。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1.时间：2026年5月26日13点30分（北京时间）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2" w:tooltip="http://jszfcg.jsczt.cn/%EF%BC%89" w:history="1">
        <w:r>
          <w:rPr>
            <w:rStyle w:val="754"/>
            <w:rFonts w:ascii="SimSun" w:hAnsi="SimSun" w:eastAsia="SimSun" w:cs="SimSun"/>
            <w:color w:val="000000"/>
            <w:sz w:val="24"/>
            <w:u w:val="single"/>
          </w:rPr>
          <w:t xml:space="preserve">http://jszfcg.jsczt.cn/）</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线上参加开标（开启）会方式：供应商登录“苏采云”系统在平台首页点击“开标大厅”，进入江苏省政府采购一体化不见面开标（采购）大厅，在今日项目列表，点击项目，进入不见面开标系统。</w:t>
      </w:r>
      <w:r>
        <w:rPr>
          <w:rFonts w:ascii="Arial" w:hAnsi="Arial" w:eastAsia="Arial" w:cs="Arial"/>
          <w:b/>
          <w:color w:val="000000"/>
          <w:sz w:val="24"/>
        </w:rPr>
        <w:t xml:space="preserve">本项目为不见面磋商项目，开启阶段供应商在【供应商解密】环节必须使用 </w:t>
      </w:r>
      <w:r>
        <w:rPr>
          <w:rFonts w:ascii="SimSun" w:hAnsi="SimSun" w:eastAsia="SimSun" w:cs="SimSun"/>
          <w:b/>
          <w:color w:val="000000"/>
          <w:sz w:val="24"/>
        </w:rPr>
        <w:t xml:space="preserve">CA</w:t>
      </w:r>
      <w:r>
        <w:rPr>
          <w:rFonts w:ascii="Arial" w:hAnsi="Arial" w:eastAsia="Arial" w:cs="Arial"/>
          <w:b/>
          <w:color w:val="000000"/>
          <w:sz w:val="24"/>
        </w:rPr>
        <w:t xml:space="preserve">证书解密电子响应文件，如在系统规定的解密时间</w:t>
      </w:r>
      <w:r>
        <w:rPr>
          <w:rFonts w:ascii="SimSun" w:hAnsi="SimSun" w:eastAsia="SimSun" w:cs="SimSun"/>
          <w:b/>
          <w:color w:val="000000"/>
          <w:sz w:val="24"/>
        </w:rPr>
        <w:t xml:space="preserve">(</w:t>
      </w:r>
      <w:r>
        <w:rPr>
          <w:rFonts w:ascii="Arial" w:hAnsi="Arial" w:eastAsia="Arial" w:cs="Arial"/>
          <w:b/>
          <w:color w:val="000000"/>
          <w:sz w:val="24"/>
        </w:rPr>
        <w:t xml:space="preserve">响应文件提交截止时间后 </w:t>
      </w:r>
      <w:r>
        <w:rPr>
          <w:rFonts w:ascii="SimSun" w:hAnsi="SimSun" w:eastAsia="SimSun" w:cs="SimSun"/>
          <w:b/>
          <w:color w:val="000000"/>
          <w:sz w:val="24"/>
        </w:rPr>
        <w:t xml:space="preserve">30 </w:t>
      </w:r>
      <w:r>
        <w:rPr>
          <w:rFonts w:ascii="Arial" w:hAnsi="Arial" w:eastAsia="Arial" w:cs="Arial"/>
          <w:b/>
          <w:color w:val="000000"/>
          <w:sz w:val="24"/>
        </w:rPr>
        <w:t xml:space="preserve">分钟</w:t>
      </w:r>
      <w:r>
        <w:rPr>
          <w:rFonts w:ascii="SimSun" w:hAnsi="SimSun" w:eastAsia="SimSun" w:cs="SimSun"/>
          <w:b/>
          <w:color w:val="000000"/>
          <w:sz w:val="24"/>
        </w:rPr>
        <w:t xml:space="preserve">)</w:t>
      </w:r>
      <w:r>
        <w:rPr>
          <w:rFonts w:ascii="Arial" w:hAnsi="Arial" w:eastAsia="Arial" w:cs="Arial"/>
          <w:b/>
          <w:color w:val="000000"/>
          <w:sz w:val="24"/>
        </w:rPr>
        <w:t xml:space="preserve">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自本公告发布之日起三个工作日。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1.本次采购的相关信息刊登在苏州市政府采购网、江苏政府采购网，成交公告亦是刊登在此媒体，敬请各供应商注意。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2.获取采购文件方式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供应商参与政府采购活动需办理江苏省电子政务证书认证中心</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证书和方正国际软件（北京）有限公司电子签章。</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证书及电子签章的办理方法详见苏州市政府采购网—法规政策</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《转发省财政厅关于更换全省政府采购交易系统</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数字证书和电子签章的通知》或者“苏采云”系统登录界面中的“新</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办理指南”。</w:t>
      </w:r>
      <w:r>
        <w:rPr>
          <w:rFonts w:ascii="Arial" w:hAnsi="Arial" w:eastAsia="Arial" w:cs="Arial"/>
          <w:b/>
          <w:color w:val="000000"/>
          <w:sz w:val="24"/>
          <w:highlight w:val="white"/>
        </w:rPr>
        <w:t xml:space="preserve">“苏采云”系统目前仅支持“苏采云”系统下的政务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证书，江苏省内各地区办理的“苏采云”系统下的政务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证书全省通用。</w:t>
      </w:r>
      <w:r>
        <w:rPr>
          <w:rFonts w:ascii="Arial" w:hAnsi="Arial" w:eastAsia="Arial" w:cs="Arial"/>
          <w:color w:val="000000"/>
          <w:sz w:val="24"/>
          <w:highlight w:val="white"/>
        </w:rPr>
        <w:t xml:space="preserve">苏州现场办理地址：苏州高新区邓尉路</w:t>
      </w:r>
      <w:r>
        <w:rPr>
          <w:rFonts w:ascii="SimSun" w:hAnsi="SimSun" w:eastAsia="SimSun" w:cs="SimSun"/>
          <w:color w:val="000000"/>
          <w:sz w:val="24"/>
          <w:highlight w:val="white"/>
        </w:rPr>
        <w:t xml:space="preserve">105</w:t>
      </w:r>
      <w:r>
        <w:rPr>
          <w:rFonts w:ascii="Arial" w:hAnsi="Arial" w:eastAsia="Arial" w:cs="Arial"/>
          <w:color w:val="000000"/>
          <w:sz w:val="24"/>
          <w:highlight w:val="white"/>
        </w:rPr>
        <w:t xml:space="preserve">号狮山科技馆</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楼服务大厅，咨询电话：</w:t>
      </w:r>
      <w:r>
        <w:rPr>
          <w:rFonts w:ascii="SimSun" w:hAnsi="SimSun" w:eastAsia="SimSun" w:cs="SimSun"/>
          <w:color w:val="000000"/>
          <w:sz w:val="24"/>
          <w:highlight w:val="white"/>
        </w:rPr>
        <w:t xml:space="preserve">0512-69820834</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2</w:t>
      </w:r>
      <w:r>
        <w:rPr>
          <w:rFonts w:ascii="Arial" w:hAnsi="Arial" w:eastAsia="Arial" w:cs="Arial"/>
          <w:color w:val="000000"/>
          <w:sz w:val="24"/>
          <w:highlight w:val="white"/>
        </w:rPr>
        <w:t xml:space="preserve">）参与采购活动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供应商插入</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w:t>
      </w:r>
      <w:r>
        <w:rPr>
          <w:rFonts w:ascii="Arial" w:hAnsi="Arial" w:eastAsia="Arial" w:cs="Arial"/>
          <w:color w:val="000000"/>
          <w:sz w:val="24"/>
          <w:highlight w:val="white"/>
        </w:rPr>
        <w:t xml:space="preserve">）电子投标准备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供应商在“苏采云”系统中操作参与项目后，必须在“已参与项目”界面中下载电子采购文件（后缀名为“</w:t>
      </w:r>
      <w:r>
        <w:rPr>
          <w:rFonts w:ascii="SimSun" w:hAnsi="SimSun" w:eastAsia="SimSun" w:cs="SimSun"/>
          <w:color w:val="000000"/>
          <w:sz w:val="24"/>
          <w:highlight w:val="white"/>
        </w:rPr>
        <w:t xml:space="preserve">.kedt</w:t>
      </w:r>
      <w:r>
        <w:rPr>
          <w:rFonts w:ascii="Arial" w:hAnsi="Arial" w:eastAsia="Arial" w:cs="Arial"/>
          <w:color w:val="000000"/>
          <w:sz w:val="24"/>
          <w:highlight w:val="white"/>
        </w:rPr>
        <w:t xml:space="preserve">”）并导入政府采购客户端工具后方可进行响应文件制作和提交</w:t>
      </w:r>
      <w:r>
        <w:rPr>
          <w:rFonts w:ascii="Arial" w:hAnsi="Arial" w:eastAsia="Arial" w:cs="Arial"/>
          <w:b/>
          <w:color w:val="000000"/>
          <w:sz w:val="24"/>
          <w:highlight w:val="white"/>
        </w:rPr>
        <w:t xml:space="preserve">（具体详见《苏采云系统供应商操作手册》，网址链接</w:t>
      </w:r>
      <w:r>
        <w:rPr>
          <w:rFonts w:ascii="SimSun" w:hAnsi="SimSun" w:eastAsia="SimSun" w:cs="SimSun"/>
          <w:b/>
          <w:color w:val="000000"/>
          <w:sz w:val="24"/>
          <w:highlight w:val="white"/>
        </w:rPr>
        <w:t xml:space="preserve">https://czju.suzhou.gov.cn/zfcg/html/content/20231220161910031.shtml</w:t>
      </w:r>
      <w:r>
        <w:rPr>
          <w:rFonts w:ascii="Arial" w:hAnsi="Arial" w:eastAsia="Arial" w:cs="Arial"/>
          <w:b/>
          <w:color w:val="000000"/>
          <w:sz w:val="24"/>
          <w:highlight w:val="white"/>
        </w:rPr>
        <w:t xml:space="preserve">）</w:t>
      </w:r>
      <w:r>
        <w:rPr>
          <w:rFonts w:ascii="Arial" w:hAnsi="Arial" w:eastAsia="Arial" w:cs="Arial"/>
          <w:color w:val="000000"/>
          <w:sz w:val="24"/>
          <w:highlight w:val="white"/>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注册咨询：</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技术咨询电话：</w:t>
      </w:r>
      <w:r>
        <w:rPr>
          <w:rFonts w:ascii="SimSun" w:hAnsi="SimSun" w:eastAsia="SimSun" w:cs="SimSun"/>
          <w:color w:val="000000"/>
          <w:sz w:val="24"/>
          <w:highlight w:val="white"/>
        </w:rPr>
        <w:t xml:space="preserve">400-608-6099</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签章使用问题：</w:t>
      </w:r>
      <w:r>
        <w:rPr>
          <w:rFonts w:ascii="SimSun" w:hAnsi="SimSun" w:eastAsia="SimSun" w:cs="SimSun"/>
          <w:color w:val="000000"/>
          <w:sz w:val="24"/>
          <w:highlight w:val="white"/>
        </w:rPr>
        <w:t xml:space="preserve">025-83633811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025-83633812</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15380932027</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15371015030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系统使用指导与咨询：联系电话：</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QQ</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3048755361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1315179389</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895706745</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售价：免费。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名称：苏州市吴中区木渎镇人民政府(苏州市公安局吴中分局木渎派出所)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人：岳飘峰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电话：0512-66262662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人：赵晓燕、林玉琼、周雨泽轩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电话：0512-65980060</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二、磋商须知</w:t>
      </w:r>
      <w:r/>
    </w:p>
    <w:p>
      <w:pPr>
        <w:numPr>
          <w:ilvl w:val="0"/>
          <w:numId w:val="6"/>
        </w:numPr>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苏州市吴中区木渎镇人民政府(苏州市公安局吴中分局木渎派出所)所需的食堂物资采购配送，每年的职工人数大约450人左右，提供每日三餐采购配送服务，每周配送7天食材，周一至周五中餐还需按采购单位需求配送一种特色食品，即水果、牛奶或夏季消暑食品等。</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一）主要原材料质量标准：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2、家禽冻品（鸡腿、鸡翅、鸡尖等）质量要求：配送单位须提供产品合格证明文件，动物产品提供《动物或动物产品分销信息凭证》或《动物检疫合格证》。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5、无公害蔬菜质量要求：必须符合GB18406.1-2001 农产品安全质量无公害蔬菜安全要求，对蔬菜中有害物质严格控制在标准规定范围之内，按要求提供农药残留检测报告。</w:t>
      </w:r>
      <w:r/>
    </w:p>
    <w:p>
      <w:pPr>
        <w:ind w:left="0" w:right="0" w:firstLine="420"/>
        <w:spacing w:before="31" w:after="3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6、调味品质量要求：食用盐符合GB5461-2000标准；酱油符合GB 18186-2000标准；味精符合GB2720-2003标准；生粉（淀粉制品）符合GB2713-2003标准；食糖符合GB13104-2005卫生标准；镇江香醋符合GB/T18623-2011标准；酿造食醋符合GB18187-2000标准；白砂糖国家标准GB 317-2006）；绵白糖（绵白糖国家标准GB 1445-2000）；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7、食品添加剂质量要求：食品添加剂应符合相应的食品安全标准，添加剂的使用必须符合GB2760-2011标准，对食品的添加量严格控制在标准规定范围之内。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8、鲜蛋质量要求：鸡蛋等新鲜蛋类必须符合GB2748-2003标准。</w:t>
      </w:r>
      <w:r/>
    </w:p>
    <w:p>
      <w:pPr>
        <w:ind w:left="0" w:right="0" w:firstLine="420"/>
        <w:spacing w:before="31" w:after="3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9、大米质量要求：粳米一级国家标准GB1354-2009；面粉质量要求：小麦粉特制一等国家标准GB1355-1986；食用油质量要求：非转基因，国家标准GB1535-2003；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二）品牌及检测要求：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1、肉类（含家禽、鱼、肉等冷鲜肉及冷冻肉）、豆制品、调味品、必须使用品牌产品，即由所处经营领域中有较高知名度与美誉度的大型企业提供，其产品可以追根溯源。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2、每次配送均需提供配送食材的检测报告或食材检验合格证。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3、采购单位将委托权威部门定期对配送单位提供的食材进行检测。如检测发现质量问题，由配送单位承担检测费用并承担相应责任。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三）调味料拟定单价表（品牌仅供参考，提供不低于以下档次品牌即可）</w:t>
        <w:tab/>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2105"/>
        <w:gridCol w:w="1240"/>
        <w:gridCol w:w="889"/>
        <w:gridCol w:w="955"/>
        <w:gridCol w:w="1000"/>
      </w:tblGrid>
      <w:tr>
        <w:trPr>
          <w:trHeight w:val="2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计数单位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金额（元）</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太太宴会酱油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2500g花雕酒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600g东吴醇香酒(五年陈)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分金亭白酒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500g太太乐特鲜鸡精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百钻棉白糖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惠美家白砂糖2500g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500g恒顺陈醋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500g恒顺香醋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500g鼎丰白醋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500g鼎丰醋精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840g味好美椒盐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500g精制海盐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50g味椒盐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400g三角生粉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1000g上海梅林番茄酱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850g新疆番茄酱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500g维加咖喱粉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500g味美源胡椒粉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225g红曲粉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560g鼎丰南乳汁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500g平望辣油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230g平望辣酱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315g芝麻酱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食用口碱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500g味好美胡椒粉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1900ml海天老抽王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380ml太仓麻油纯正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250g超鲜香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230g桂林辣酱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250g嫩肉粉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700g海天耗油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454g白鹤澄面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250g糖桂花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750g皇冠面包糠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狮头吉士粉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3.5公斤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菊花味精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为方便供应商对调味料进行响应报价，现预估上述调味料。实际服务过程中包括但不限于上述品牌相关调味品，具体调味料要求根据采购方实际需求可能更换类似品牌或不低于上述档次品牌的产品。若实际供货中涉及上表范围外的调味料，价格按照大型超市市场价×（1-成交优惠率）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四）原材料采购卫生要求：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1、配送品牌要求：</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70"/>
        <w:gridCol w:w="5821"/>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食材品牌</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雨润、双汇、青莲、中粮（不低于上述档次品牌）</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食用油（非转基因）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金成、福临门、金龙鱼（不低于上述档次品牌）</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海天、李锦记、太太乐（不低于上述档次品牌）</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大成、成达、六和、凯牧（不低于上述档次品牌）</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豆制品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艺杏、祖名、日和（不低于上述档次品牌）</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本地基地（优选）</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本地基地（优选）</w:t>
            </w:r>
            <w:r/>
          </w:p>
        </w:tc>
      </w:tr>
      <w:tr>
        <w:trPr>
          <w:trHeight w:val="3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菜场</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南北干货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菜场</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并对配送单位扣除进行本次配送货物金额5-10倍的货款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单位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w:t>
      </w:r>
      <w:r>
        <w:rPr>
          <w:rFonts w:ascii="SimSun" w:hAnsi="SimSun" w:eastAsia="SimSun" w:cs="SimSun"/>
          <w:color w:val="000000"/>
          <w:sz w:val="24"/>
        </w:rPr>
        <w:t xml:space="preserve">卫生标准和要求的食品。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五）配送频率要求：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1、每天送货一次，应急配送的在收到通知后半小时内响应，1小时内完成或提出解决方案。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3、配送车辆符合国家食品运输相关规定。</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供应商需对本项目及自身情况（包括但不限于所有食材、包装、税费、运杂（到位）、保险、管理、售后服务等全部费用以及响应单位企业利润、税金和政策性文件规定及合同包含的所有风险、责任、代理服务费等各项应有费用）报出针对原材料的采购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2、若采购单位有特殊情况需临时要求供货，成交单位须有相应的应急预案，并承诺在采购单位规定的合理时间范围内能送货至采购单位指定地点。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核有下列情形之一者采购方有权立即终止配送单位的配送工作，并终止与之签订的食堂配送协议：（1）原材料问题引起的员工食物中毒等食源性疾病的发生；（2）月度满意度考核连续三个月低于85分；（3）被政府监管部门查到故意向采购单位销售假冒伪劣商品；（4）经查实，将部分配送工作分包或转包给他人或其他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方在合同签订后协商产生服务满意度考核办法，并约定综合满意率85%（试用期暂定为80%）为服务方的服务工作目标；当综合满意率≤85%时，第一次警告并责令整改，第二次责令整改及处罚，按满意度相应分值扣除相应采购费用。当满意率＜70%时，采购单位有权要求服务方制定整改计划并在一个月内限期改正并处罚，对于二次及以上或无法限期改正的或当连续二次综合满意率＜60%时，采购方有权单方面解除本合同并不承担由此带来的赔偿责任。以上调控处罚金额双方协商确定，金额每1%的费用次不少于200元（成交后双方可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责任事故，取消配送资格的供应商，不得继续为采购方提供所有物质的配送，已签订的合同双方协商解除。为避免采购方用餐情况发生中断，则由预成交排名第二顺位的供应商继续提供食堂物质配送，以保证采购方正常用餐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6、本项目需配备项目负责人1名，所配备服务人员不少于6名。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报价要求：菜品、粮油以苏州发展和改革委员会官网上公布的最新“苏州市部分农贸市场零售均价”为基准价，按照采购文件中的报价表作规定的优惠率报价。调味料根据拟定价为基准价，按照采购文件中的报价表作规定的优惠率报价。合同最终结算总价不得超过年采购概预算，若服务期限内结算金额达到年采购概预算后合同自动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际服务过程中包括但不限于网上公示相关菜品、粮油、调味料，具体菜品、粮油、调味料要求根据采购方实际需求可能有所调整。若实际供货中涉及范围在官网公布上未查到，则菜品、粮油部分价格按照大型超市市场价×菜品、粮油（1-成交优惠率）结算；若实际供货中涉及表格范围外的调味料，则价格按照大型超市市场价×调味料（1-成交优惠率）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（四）考核要求：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甲方每月对乙方服务项目进行考核，具体详见附件《配餐服务月考核表》。考核项目总分低于60分，则扣除人民币500元，作为处罚，以示警告；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1、乙方在上级部门检查中不合格受到处罚，甲方将从乙方的服务费中扣除200元。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2、因乙方提供不洁食物造成甲方人员食物中毒等食品安全事故的，由乙方负责赔偿并承担相应的法律后果。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3、乙方所配送甲方的食材，必须是通过严格删选的，食材要新鲜、安全，若在配送过程中，出现2次不合格情况，甲方将从乙方的服务费中扣除500元，以示警告。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4、乙方在配送过程中，如若因为特殊因素，不能及时将货物送达，乙方必须提前通知甲方，与甲方协商处理方案，出现2次不合格情况的，甲方将从乙方的服务费中扣除500元，以示警告。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5、原材料进货单据必须齐全，单货相符，货物出入库手续完备，甲方会不定时的抽查乙方上述单据情况，若完善结果中，出现2次不合格情况的，甲方将从乙方的服务费中扣除500元，以示警告。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6、配送货物单据，必须齐全，包括检测报告、送货单等，若一月累计出现3次不合格情况的，甲方将从乙方的服务费中扣除500元，以示警告。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7、原材料供应商，索证需要齐全，甲方会不定时的抽查乙方索证情况，若抽查累计出现3次不合格情况的，甲方将从乙方的服务费中扣除500元，以示警告。</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5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1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月度考核表</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年      月</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评价制度</w:t>
            </w:r>
            <w:r/>
          </w:p>
        </w:tc>
      </w:tr>
      <w:tr>
        <w:trPr>
          <w:trHeight w:val="6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良</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差</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66"/>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考核结果：1、通过以上评分，该供应商的综合得分：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2、该供应商应处于的等级：A,120分以上 B，100-80分 C，60分以下（月考核60以下不合格）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考核部门签字：</w:t>
            </w:r>
            <w:r/>
          </w:p>
        </w:tc>
        <w:tc>
          <w:tcPr>
            <w:gridSpan w:val="4"/>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51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供应商签字</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、其他要求：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1、响应单位针对本项目配置的人员数量不得低于采购文件的要求。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2、考核中扣除成交单位的考核费，不得变相转嫁给服务人员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3、成交单位应为作业人员提供工作服及必要的劳动防护用品。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4、服务期内，采购人根据工作需要召开会议，成交单位负责人必须准时参加。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5、安全责任：成交单位承担所有人员的安全责任及费用。成交单位负责在服务中一切安全工作，如发生人员伤亡等意外事故，一切后果全部由成交单位负责，采购方不承担任何安全及事故责任。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6、成交单位违反国家相关法规，与聘用人员发生纠纷，均由成交单位负责调解与处理，采购单位不承担责任。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7、因成交单位管理不善，造成工作范围内的设施、设备等损坏的，由成交单位负责赔偿损失，情节严重的可终止合同甚至诉诸法律。</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8、除采购文件中特别说明外，成交单位所需的全部工作装备和耗材均由成交人负责提供。</w:t>
      </w:r>
      <w:r/>
    </w:p>
    <w:p>
      <w:pPr>
        <w:ind w:left="0" w:right="0" w:firstLine="42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三、验收标准：</w:t>
      </w:r>
      <w:r>
        <w:rPr>
          <w:rFonts w:ascii="SimSun" w:hAnsi="SimSun" w:eastAsia="SimSun" w:cs="SimSun"/>
          <w:color w:val="000000"/>
          <w:sz w:val="24"/>
        </w:rPr>
        <w:t xml:space="preserve">按照国家标准及采购文件要求执行。</w:t>
      </w:r>
      <w:r/>
    </w:p>
    <w:p>
      <w:pPr>
        <w:ind w:left="0" w:right="0" w:firstLine="42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1、响应单位须说明其是否响应采购文件中提出的全部内容与要求，如果以其中某些条款不响应时，应在文件中逐条列出，未列出的视同响应。</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2、响应单位按照采购文件的要求提交响应文件，并对所提供的全部资料的真实性承担法律责任。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3、合同期内如遇特殊情况暂停服务，其暂停期间的费用将按实际天数扣除。</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4、此次响应报价应综合考量完成本项目服务内容所需的各类应有费用。</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5、成交单位将根据采购文件、响应文件的相关约定，承担合同责任，履行合同义务。</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6、磋商说明：</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（1）不符合供应商资格要求的响应文件视为无效响应；</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（2）参加磋商的供应商必须提供磋商代表的身份证明原件；</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（3）最终报价超过采购预算的，不能成交；</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（4）不实质性响应磋商文件的不能成交；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7、采购文件最终解释权归采购单位及招标代理机构所有。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五、响应文件的组成及要求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（一）文件组成（部分格式见附件）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1、封面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4、响应单位法定代表人身份证扫描件、授权委托人身份证扫描件；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5、响应单位基本情况表（详见投标文件格式）；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7、《项目负责人情况一览表》、《项目组人员配备一览表》；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8、招标文件技术部分规定提交的其他相关材料；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9.1关于资格文件的声明函（详见投标文件格式）；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9.2具有独立承担民事责任的能力。提供包括法人或者其他组织的营业执照等证明文件，自然人的身份证明；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9.3具有良好的商业信誉和健全的财务会计制度证明。提供最近一期经审计的财务报告；其他组织、自然人及成立未满一年的法人提供基本开户银行出具的资信证明；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具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9.5具备履行合同所必需的设备和专业技术能力的证明材料；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9.6投标人参加政府采购活动前3年内在经营活动中没有重大违法记录的书面声明函；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9.7中小企业声明函、残疾人福利性单位声明函、其他享受政府采购政策的证明材料；（详见投标文件格式）。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10、符合条件：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10.2《服务要求偏离表》、《商务条款偏离表》；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10.3投标单位对招标文件其他符合性条款的响应情况；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11、综合评审评分项：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11.1招标文件评分标准中规定提交的其他相关材料；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价格折扣文件：（本项目专门面向中小企业采购，不涉及价格折扣，无需提供）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注：（1）以上9.1-9.6为资格审查要求提供的材料，是作为对供应商资格审查、质疑身份认定的依据，响应供应商必须提供并加盖电子公章。否则，磋商响应文件将被认定为不符合资格审查要求。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（2）以上10.1-10.3为符合性审查须提供的资料，响应供应商必须提供并加盖电子公章。否则，磋商响应文件将被认定为未实质性响应。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3</w:t>
      </w:r>
      <w:r>
        <w:rPr>
          <w:rFonts w:ascii="Arial" w:hAnsi="Arial" w:eastAsia="Arial" w:cs="Arial"/>
          <w:b/>
          <w:color w:val="000000"/>
          <w:sz w:val="24"/>
        </w:rPr>
        <w:t xml:space="preserve">）制作电子响应文件时必须与投标文件制作软件目录</w:t>
      </w:r>
      <w:r>
        <w:rPr>
          <w:rFonts w:ascii="SimSun" w:hAnsi="SimSun" w:eastAsia="SimSun" w:cs="SimSun"/>
          <w:b/>
          <w:color w:val="000000"/>
          <w:sz w:val="24"/>
        </w:rPr>
        <w:t xml:space="preserve">一</w:t>
      </w:r>
      <w:r>
        <w:rPr>
          <w:rFonts w:ascii="Arial" w:hAnsi="Arial" w:eastAsia="Arial" w:cs="Arial"/>
          <w:b/>
          <w:color w:val="000000"/>
          <w:sz w:val="24"/>
        </w:rPr>
        <w:t xml:space="preserve">一对应，将相关资料上传至相应模块。</w:t>
      </w:r>
      <w:r>
        <w:rPr>
          <w:rFonts w:ascii="Arial" w:hAnsi="Arial" w:eastAsia="Arial" w:cs="Arial"/>
          <w:color w:val="000000"/>
          <w:sz w:val="24"/>
        </w:rPr>
        <w:t xml:space="preserve">注意不要漏项。如有不确定上传的位置的，可以上传至其他资料或上传至符合性审查资料</w:t>
      </w:r>
      <w:r>
        <w:rPr>
          <w:rFonts w:ascii="Arial" w:hAnsi="Arial" w:eastAsia="Arial" w:cs="Arial"/>
          <w:b/>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供应商应对所投项目的全部内容进行报价，只投其中部分内容者或出现选择性报价的，其响应文件将被拒绝。响应总报价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乙方不得再要求追加任何费用。同时，除非合同条款中另有规定，否则，乙方所报价格在合同实施期间不因市场变化因素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4、成交供应商所需的全部工作装备和耗材应自行承担。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5、成交供应商工作人员在岗履行职责期间（包括上下班途中），发生自身的人身伤害、伤亡，均由成交供应商负责处理并承担经济和道义上的责任，采购单位不承担任何责任。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6、本项目采用线上二次报价：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总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8、一项内容只允许一个报价，采购单位不接受任何有选择性的报价。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9、磋商响应文件报价中的单价和总价全部采用人民币表示，除非合同的特殊条款另有规定。</w:t>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1、采购代理机构按规定的时间、地点主持磋商采购活动开启响应文件。供应商应当按照《操作手册》规定，参加响应文件开启和在“苏采云”系统规定的时间内对电子响应文件进行解密。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2、“苏采云”系统将自动开启各供应商的响应文件，并公布各供应商的报价。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3、供应商在响应文件开启过程中涉及到的响应文件解密、结果确认等工作，应按照《操作手册》规定执行。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4、供应商如果对响应文件开启过程和开启记录有疑义，应当根据《操作手册》规定提出，未提出的，视同认可开启结果。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6、磋商小组要求磋商供应商澄清、说明或者更正响应文件，供应商在响应文件开启及项目评审全过程中应保持通讯畅通，及时登录“苏采云”系统查阅、答复相关信息。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7、磋商小组所有成员集中与单一供应商分别进行磋商，并给予所有参加磋商的供应商平等的磋商机会。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9、磋商供应商应当按照磋商文件的变动情况和磋商小组的要求重新提交响应文件，并由其法定代表人或授权代表签字或者加盖公章。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10、最后报价截止时间前，供应商可以删除文件重新上传，截止时间后以最新上传的报价文件为准；如超过截止时间未上传，或文件损坏，或报价超过预算，或遗漏签章，均作无效报价处理。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11、经磋商确定最终采购需求和提交最后报价的磋商供应商后，由磋商小组采用综合评分法对提交最后报价的磋商供应商的响应文件和最后报价进行综合评分。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12、磋商小组根据磋商成交原则确定成交供应商，并将结果通知所有参加磋商的供应商。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14、如磋商过程中出现本采购文件未尽事宜，由磋商小组根据政府采购有关法律、法规讨论决定。</w:t>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、磋商响应单位必须说明其是否响应采购文件中提出的全部服务内容与要求，如果以其中某些条款不响应时，应在文件中逐条列出，未列出的视同响应。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4"/>
        </w:rPr>
        <w:t xml:space="preserve">þ</w:t>
      </w:r>
      <w:r>
        <w:rPr>
          <w:rFonts w:ascii="Arial" w:hAnsi="Arial" w:eastAsia="Arial" w:cs="Arial"/>
          <w:b/>
          <w:color w:val="000000"/>
          <w:sz w:val="24"/>
        </w:rPr>
        <w:t xml:space="preserve">不需提交，采购文件中有关磋商保证金的规定均不适用。投标（响应）人应在投标（响应）文件中提交《投标（响应）保证承诺书》（详见附件），否则为无效投标。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、成交服务费：由成交单位按照预算金额计算并支付，具体为</w:t>
      </w:r>
      <w:r>
        <w:rPr>
          <w:rFonts w:ascii="SimSun" w:hAnsi="SimSun" w:eastAsia="SimSun" w:cs="SimSun"/>
          <w:color w:val="000000"/>
          <w:sz w:val="24"/>
        </w:rPr>
        <w:t xml:space="preserve">100</w:t>
      </w:r>
      <w:r>
        <w:rPr>
          <w:rFonts w:ascii="Arial" w:hAnsi="Arial" w:eastAsia="Arial" w:cs="Arial"/>
          <w:color w:val="000000"/>
          <w:sz w:val="24"/>
        </w:rPr>
        <w:t xml:space="preserve">万元以内</w:t>
      </w:r>
      <w:r>
        <w:rPr>
          <w:rFonts w:ascii="SimSun" w:hAnsi="SimSun" w:eastAsia="SimSun" w:cs="SimSun"/>
          <w:color w:val="000000"/>
          <w:sz w:val="24"/>
        </w:rPr>
        <w:t xml:space="preserve">1.5%</w:t>
      </w:r>
      <w:r>
        <w:rPr>
          <w:rFonts w:ascii="Arial" w:hAnsi="Arial" w:eastAsia="Arial" w:cs="Arial"/>
          <w:color w:val="000000"/>
          <w:sz w:val="24"/>
        </w:rPr>
        <w:t xml:space="preserve">、</w:t>
      </w:r>
      <w:r>
        <w:rPr>
          <w:rFonts w:ascii="SimSun" w:hAnsi="SimSun" w:eastAsia="SimSun" w:cs="SimSun"/>
          <w:color w:val="000000"/>
          <w:sz w:val="24"/>
        </w:rPr>
        <w:t xml:space="preserve">100</w:t>
      </w:r>
      <w:r>
        <w:rPr>
          <w:rFonts w:ascii="Arial" w:hAnsi="Arial" w:eastAsia="Arial" w:cs="Arial"/>
          <w:color w:val="000000"/>
          <w:sz w:val="24"/>
        </w:rPr>
        <w:t xml:space="preserve">万元～</w:t>
      </w:r>
      <w:r>
        <w:rPr>
          <w:rFonts w:ascii="SimSun" w:hAnsi="SimSun" w:eastAsia="SimSun" w:cs="SimSun"/>
          <w:color w:val="000000"/>
          <w:sz w:val="24"/>
        </w:rPr>
        <w:t xml:space="preserve">500</w:t>
      </w:r>
      <w:r>
        <w:rPr>
          <w:rFonts w:ascii="Arial" w:hAnsi="Arial" w:eastAsia="Arial" w:cs="Arial"/>
          <w:color w:val="000000"/>
          <w:sz w:val="24"/>
        </w:rPr>
        <w:t xml:space="preserve">万元以内</w:t>
      </w:r>
      <w:r>
        <w:rPr>
          <w:rFonts w:ascii="SimSun" w:hAnsi="SimSun" w:eastAsia="SimSun" w:cs="SimSun"/>
          <w:color w:val="000000"/>
          <w:sz w:val="24"/>
        </w:rPr>
        <w:t xml:space="preserve">1.1%</w:t>
      </w:r>
      <w:r>
        <w:rPr>
          <w:rFonts w:ascii="Arial" w:hAnsi="Arial" w:eastAsia="Arial" w:cs="Arial"/>
          <w:color w:val="000000"/>
          <w:sz w:val="24"/>
        </w:rPr>
        <w:t xml:space="preserve">差额定率累进法计算并支付成交服务费，该费用应在领取成交通知书时付清。本项目服务费金额为人民币</w:t>
      </w:r>
      <w:r>
        <w:rPr>
          <w:rFonts w:ascii="SimSun" w:hAnsi="SimSun" w:eastAsia="SimSun" w:cs="SimSun"/>
          <w:color w:val="000000"/>
          <w:sz w:val="24"/>
        </w:rPr>
        <w:t xml:space="preserve">38760.00</w:t>
      </w:r>
      <w:r>
        <w:rPr>
          <w:rFonts w:ascii="Arial" w:hAnsi="Arial" w:eastAsia="Arial" w:cs="Arial"/>
          <w:color w:val="000000"/>
          <w:sz w:val="24"/>
        </w:rPr>
        <w:t xml:space="preserve">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服务费交纳账户：苏州顺心源招投标咨询服务有限公司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开户银行：中国建设银行苏州胥口支行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号：3225  0199 7548  0000  0790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注：本项目服务费采购人已考虑在采购预算范围内，由成交单位支付。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）不符合供应商资格要求的响应文件将被拒绝；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w:t>
      </w:r>
      <w:r>
        <w:rPr>
          <w:rFonts w:ascii="Arial" w:hAnsi="Arial" w:eastAsia="Arial" w:cs="Arial"/>
          <w:b/>
          <w:color w:val="000000"/>
          <w:sz w:val="24"/>
        </w:rPr>
        <w:t xml:space="preserve">机器码检查中，不同供应商使用同一台电脑编制响应文件的，响应文件将被认定为无效响应；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）最终报价超过采购预算或最高限价的，不能成交；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）不实质性响应磋商文件的不能成交；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）最终合同单价按最终总报价同比例下浮。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w:t>
      </w:r>
      <w:r>
        <w:rPr>
          <w:rFonts w:ascii="Arial" w:hAnsi="Arial" w:eastAsia="Arial" w:cs="Arial"/>
          <w:b/>
          <w:color w:val="000000"/>
          <w:sz w:val="24"/>
        </w:rPr>
        <w:t xml:space="preserve">联合投标：本项目不接受联合投标。</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联合体各方应签订联合投标协议（详见统一格式</w:t>
      </w:r>
      <w:r>
        <w:rPr>
          <w:rFonts w:ascii="SimSun" w:hAnsi="SimSun" w:eastAsia="SimSun" w:cs="SimSun"/>
          <w:color w:val="000000"/>
          <w:sz w:val="24"/>
        </w:rPr>
        <w:t xml:space="preserve">)</w:t>
      </w:r>
      <w:r>
        <w:rPr>
          <w:rFonts w:ascii="Arial" w:hAnsi="Arial" w:eastAsia="Arial" w:cs="Arial"/>
          <w:color w:val="000000"/>
          <w:sz w:val="24"/>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联合体各方共同与采购人签订合同，就采购合同约定的事项对采购人承担连带责任。</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除非另有规定或说明，本文中“响应单位”一词亦指联合体各成员。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、凡涉及磋商采购文件的补充说明和修改，均以苏州政府采购网上发布的通知为准。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w:t>
      </w:r>
      <w:r>
        <w:rPr>
          <w:rFonts w:ascii="Arial" w:hAnsi="Arial" w:eastAsia="Arial" w:cs="Arial"/>
          <w:b/>
          <w:color w:val="000000"/>
          <w:sz w:val="24"/>
        </w:rPr>
        <w:t xml:space="preserve">关于对参与供应商信用记录的政府采购要求</w:t>
      </w:r>
      <w:r>
        <w:rPr>
          <w:rFonts w:ascii="Arial" w:hAnsi="Arial" w:eastAsia="Arial" w:cs="Arial"/>
          <w:color w:val="000000"/>
          <w:sz w:val="24"/>
        </w:rPr>
        <w:t xml:space="preserve">：</w:t>
      </w:r>
      <w:r/>
    </w:p>
    <w:p>
      <w:pPr>
        <w:ind w:left="0" w:right="0" w:firstLine="42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）采购代理机构会在接收响应文件截止时间后，登录信用中国网站（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）供应商若在经营活动中受到罚款的，请携带相关地方、部门对较大数额认定标准的证明材料，与响应文件一并提交。若无法提供，则可能承担响应无效等相应不利后果。</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）对存在失信信息的供应商，由失信供应商进行确认。同时，采购代理机构工作人员应根据评审小组确认的失信信息，登录到相关来源网站页面进行复核并打印，作为证据留存。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）企业经营异常名录中被责令停产停业、暂扣或者吊销许可证或者执照，或者对经营活动中的违法行为处以较大数额罚款（“较大数额罚款”认定为</w:t>
      </w:r>
      <w:r>
        <w:rPr>
          <w:rFonts w:ascii="SimSun" w:hAnsi="SimSun" w:eastAsia="SimSun" w:cs="SimSun"/>
          <w:color w:val="000000"/>
          <w:sz w:val="24"/>
        </w:rPr>
        <w:t xml:space="preserve">200</w:t>
      </w:r>
      <w:r>
        <w:rPr>
          <w:rFonts w:ascii="Arial" w:hAnsi="Arial" w:eastAsia="Arial" w:cs="Arial"/>
          <w:color w:val="000000"/>
          <w:sz w:val="24"/>
        </w:rPr>
        <w:t xml:space="preserve">万元以上的罚款，法律、行政法规以及国务院有关部门明确规定相关领域“较大数额罚款”标准高于</w:t>
      </w:r>
      <w:r>
        <w:rPr>
          <w:rFonts w:ascii="SimSun" w:hAnsi="SimSun" w:eastAsia="SimSun" w:cs="SimSun"/>
          <w:color w:val="000000"/>
          <w:sz w:val="24"/>
        </w:rPr>
        <w:t xml:space="preserve">200</w:t>
      </w:r>
      <w:r>
        <w:rPr>
          <w:rFonts w:ascii="Arial" w:hAnsi="Arial" w:eastAsia="Arial" w:cs="Arial"/>
          <w:color w:val="000000"/>
          <w:sz w:val="24"/>
        </w:rPr>
        <w:t xml:space="preserve">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、告知成交结果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采购单位或其委托的代理机构根据相关规定发布成交公告，成交公告发出的同时应当向成交供应商发出《成交通知书》</w:t>
      </w:r>
      <w:r>
        <w:rPr>
          <w:rFonts w:ascii="Arial" w:hAnsi="Arial" w:eastAsia="Arial" w:cs="Arial"/>
          <w:color w:val="000000"/>
          <w:sz w:val="24"/>
          <w:u w:val="none"/>
        </w:rPr>
        <w:t xml:space="preserve">。请成交供应商在成交结果公告届满之日起</w:t>
      </w:r>
      <w:r>
        <w:rPr>
          <w:rFonts w:ascii="SimSun" w:hAnsi="SimSun" w:eastAsia="SimSun" w:cs="SimSun"/>
          <w:color w:val="000000"/>
          <w:sz w:val="24"/>
          <w:u w:val="none"/>
        </w:rPr>
        <w:t xml:space="preserve">30</w:t>
      </w:r>
      <w:r>
        <w:rPr>
          <w:rFonts w:ascii="Arial" w:hAnsi="Arial" w:eastAsia="Arial" w:cs="Arial"/>
          <w:color w:val="000000"/>
          <w:sz w:val="24"/>
          <w:u w:val="none"/>
        </w:rPr>
        <w:t xml:space="preserve">日内</w:t>
      </w:r>
      <w:r>
        <w:rPr>
          <w:rFonts w:ascii="SimSun" w:hAnsi="SimSun" w:eastAsia="SimSun" w:cs="SimSun"/>
          <w:color w:val="000000"/>
          <w:sz w:val="24"/>
          <w:u w:val="none"/>
        </w:rPr>
        <w:t xml:space="preserve">,</w:t>
      </w:r>
      <w:r>
        <w:rPr>
          <w:rFonts w:ascii="Arial" w:hAnsi="Arial" w:eastAsia="Arial" w:cs="Arial"/>
          <w:color w:val="000000"/>
          <w:sz w:val="24"/>
          <w:u w:val="none"/>
        </w:rPr>
        <w:t xml:space="preserve">使用</w:t>
      </w:r>
      <w:r>
        <w:rPr>
          <w:rFonts w:ascii="SimSun" w:hAnsi="SimSun" w:eastAsia="SimSun" w:cs="SimSun"/>
          <w:color w:val="000000"/>
          <w:sz w:val="24"/>
          <w:u w:val="none"/>
        </w:rPr>
        <w:t xml:space="preserve">CA</w:t>
      </w:r>
      <w:r>
        <w:rPr>
          <w:rFonts w:ascii="Arial" w:hAnsi="Arial" w:eastAsia="Arial" w:cs="Arial"/>
          <w:color w:val="000000"/>
          <w:sz w:val="24"/>
          <w:u w:val="none"/>
        </w:rPr>
        <w:t xml:space="preserve">数字证书登录“苏采云”系统及时下载成交通知书。因系统存储空间有限，自成交结果公告届满之日起</w:t>
      </w:r>
      <w:r>
        <w:rPr>
          <w:rFonts w:ascii="SimSun" w:hAnsi="SimSun" w:eastAsia="SimSun" w:cs="SimSun"/>
          <w:color w:val="000000"/>
          <w:sz w:val="24"/>
          <w:u w:val="none"/>
        </w:rPr>
        <w:t xml:space="preserve">30</w:t>
      </w:r>
      <w:r>
        <w:rPr>
          <w:rFonts w:ascii="Arial" w:hAnsi="Arial" w:eastAsia="Arial" w:cs="Arial"/>
          <w:color w:val="000000"/>
          <w:sz w:val="24"/>
          <w:u w:val="none"/>
        </w:rPr>
        <w:t xml:space="preserve">日后，“苏采云”系统不再保证提供下载成交通知书服务</w:t>
      </w:r>
      <w:r>
        <w:rPr>
          <w:rFonts w:ascii="SimSun" w:hAnsi="SimSun" w:eastAsia="SimSun" w:cs="SimSun"/>
          <w:color w:val="000000"/>
          <w:sz w:val="24"/>
          <w:u w:val="none"/>
        </w:rPr>
        <w:t xml:space="preserve">,</w:t>
      </w:r>
      <w:r>
        <w:rPr>
          <w:rFonts w:ascii="Arial" w:hAnsi="Arial" w:eastAsia="Arial" w:cs="Arial"/>
          <w:color w:val="000000"/>
          <w:sz w:val="24"/>
          <w:u w:val="none"/>
        </w:rPr>
        <w:t xml:space="preserve">因未及时下载而造成的不利后果由成交供应商自行承担）；</w:t>
      </w:r>
      <w:r>
        <w:rPr>
          <w:rFonts w:ascii="Arial" w:hAnsi="Arial" w:eastAsia="Arial" w:cs="Arial"/>
          <w:color w:val="000000"/>
          <w:sz w:val="24"/>
        </w:rPr>
        <w:t xml:space="preserve">对未通过资格审查的供应商，应当告知其未通过的原因；未成交供应商须在成交公告发出之日起</w:t>
      </w:r>
      <w:r>
        <w:rPr>
          <w:rFonts w:ascii="SimSun" w:hAnsi="SimSun" w:eastAsia="SimSun" w:cs="SimSun"/>
          <w:color w:val="000000"/>
          <w:sz w:val="24"/>
        </w:rPr>
        <w:t xml:space="preserve">2</w:t>
      </w:r>
      <w:r>
        <w:rPr>
          <w:rFonts w:ascii="Arial" w:hAnsi="Arial" w:eastAsia="Arial" w:cs="Arial"/>
          <w:color w:val="000000"/>
          <w:sz w:val="24"/>
        </w:rPr>
        <w:t xml:space="preserve">个工作日内向采购代理机构另行提供用以接收《未成交通知书》的电子邮件地址，未按时提供电子邮件地址或提供信息有误的，视为自动放弃并自行承担相应后果。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、成交供应商除发生法律规定的不能预见、不能避免并不能克服的客观情况外不得放弃或拒绝签订合同的。放弃或拒绝签订合同的，采购人视情将其通报给财政部门。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12.2本次采购文件要求供应商在法定质疑期内一次性提出针对同一采购程序环节的质疑。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12.3供应商提出质疑应当提交质疑函和必要的证明材料，质疑函应当包括下列内容：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质疑联系人：赵晓燕、林玉琼、周雨泽轩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现场递交地址:苏州市吴中区木渎镇翠坊南街蓝湾文旅街区13号楼102室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Arial" w:hAnsi="Arial" w:eastAsia="Arial" w:cs="Arial"/>
          <w:color w:val="000000"/>
          <w:sz w:val="24"/>
        </w:rPr>
        <w:t xml:space="preserve">、相关政策（如涉及）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）本次招标不接受进口设备的投标，进口产品的定义为：指通过中国海关报关验收进入中国境内且产自境外的产品，具体按照苏财购〔</w:t>
      </w:r>
      <w:r>
        <w:rPr>
          <w:rFonts w:ascii="SimSun" w:hAnsi="SimSun" w:eastAsia="SimSun" w:cs="SimSun"/>
          <w:color w:val="000000"/>
          <w:sz w:val="24"/>
        </w:rPr>
        <w:t xml:space="preserve">2008</w:t>
      </w:r>
      <w:r>
        <w:rPr>
          <w:rFonts w:ascii="Arial" w:hAnsi="Arial" w:eastAsia="Arial" w:cs="Arial"/>
          <w:color w:val="000000"/>
          <w:sz w:val="24"/>
        </w:rPr>
        <w:t xml:space="preserve">〕</w:t>
      </w:r>
      <w:r>
        <w:rPr>
          <w:rFonts w:ascii="SimSun" w:hAnsi="SimSun" w:eastAsia="SimSun" w:cs="SimSun"/>
          <w:color w:val="000000"/>
          <w:sz w:val="24"/>
        </w:rPr>
        <w:t xml:space="preserve">14</w:t>
      </w:r>
      <w:r>
        <w:rPr>
          <w:rFonts w:ascii="Arial" w:hAnsi="Arial" w:eastAsia="Arial" w:cs="Arial"/>
          <w:color w:val="000000"/>
          <w:sz w:val="24"/>
        </w:rPr>
        <w:t xml:space="preserve">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）小、微企业</w:t>
      </w:r>
      <w:r>
        <w:rPr>
          <w:rFonts w:ascii="Arial" w:hAnsi="Arial" w:eastAsia="Arial" w:cs="Arial"/>
          <w:b/>
          <w:color w:val="000000"/>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根据《政府采购促进中小企业发展管理办法》（财库〔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46</w:t>
      </w:r>
      <w:r>
        <w:rPr>
          <w:rFonts w:ascii="Arial" w:hAnsi="Arial" w:eastAsia="Arial" w:cs="Arial"/>
          <w:color w:val="000000"/>
          <w:sz w:val="24"/>
        </w:rPr>
        <w:t xml:space="preserve">号）、《关于做好政府采购支持企业发展有关事项的通知》（苏财购〔</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52</w:t>
      </w:r>
      <w:r>
        <w:rPr>
          <w:rFonts w:ascii="Arial" w:hAnsi="Arial" w:eastAsia="Arial" w:cs="Arial"/>
          <w:color w:val="000000"/>
          <w:sz w:val="24"/>
        </w:rPr>
        <w:t xml:space="preserve">号）及《关于印发</w:t>
      </w:r>
      <w:r>
        <w:rPr>
          <w:rFonts w:ascii="SimSun" w:hAnsi="SimSun" w:eastAsia="SimSun" w:cs="SimSun"/>
          <w:color w:val="000000"/>
          <w:sz w:val="24"/>
        </w:rPr>
        <w:t xml:space="preserve">&lt;</w:t>
      </w:r>
      <w:r>
        <w:rPr>
          <w:rFonts w:ascii="Arial" w:hAnsi="Arial" w:eastAsia="Arial" w:cs="Arial"/>
          <w:color w:val="000000"/>
          <w:sz w:val="24"/>
        </w:rPr>
        <w:t xml:space="preserve">苏州市政府采购促进中小企业发展实施意见</w:t>
      </w:r>
      <w:r>
        <w:rPr>
          <w:rFonts w:ascii="SimSun" w:hAnsi="SimSun" w:eastAsia="SimSun" w:cs="SimSun"/>
          <w:color w:val="000000"/>
          <w:sz w:val="24"/>
        </w:rPr>
        <w:t xml:space="preserve">&gt;</w:t>
      </w:r>
      <w:r>
        <w:rPr>
          <w:rFonts w:ascii="Arial" w:hAnsi="Arial" w:eastAsia="Arial" w:cs="Arial"/>
          <w:color w:val="000000"/>
          <w:sz w:val="24"/>
        </w:rPr>
        <w:t xml:space="preserve">的通知》（苏财购〔</w:t>
      </w:r>
      <w:r>
        <w:rPr>
          <w:rFonts w:ascii="SimSun" w:hAnsi="SimSun" w:eastAsia="SimSun" w:cs="SimSun"/>
          <w:color w:val="000000"/>
          <w:sz w:val="24"/>
        </w:rPr>
        <w:t xml:space="preserve">2022</w:t>
      </w:r>
      <w:r>
        <w:rPr>
          <w:rFonts w:ascii="Arial" w:hAnsi="Arial" w:eastAsia="Arial" w:cs="Arial"/>
          <w:color w:val="000000"/>
          <w:sz w:val="24"/>
        </w:rPr>
        <w:t xml:space="preserve">〕</w:t>
      </w:r>
      <w:r>
        <w:rPr>
          <w:rFonts w:ascii="SimSun" w:hAnsi="SimSun" w:eastAsia="SimSun" w:cs="SimSun"/>
          <w:color w:val="000000"/>
          <w:sz w:val="24"/>
        </w:rPr>
        <w:t xml:space="preserve">16</w:t>
      </w:r>
      <w:r>
        <w:rPr>
          <w:rFonts w:ascii="Arial" w:hAnsi="Arial" w:eastAsia="Arial" w:cs="Arial"/>
          <w:color w:val="000000"/>
          <w:sz w:val="24"/>
        </w:rPr>
        <w:t xml:space="preserve">号）的相关规定，如供应商认定本企业提供的货物、工程或服务符合上述文件规定情形，可以享受中小企业扶持政策的，则需根据《中小企业划型标准规定》（工信部联企业〔</w:t>
      </w:r>
      <w:r>
        <w:rPr>
          <w:rFonts w:ascii="SimSun" w:hAnsi="SimSun" w:eastAsia="SimSun" w:cs="SimSun"/>
          <w:color w:val="000000"/>
          <w:sz w:val="24"/>
        </w:rPr>
        <w:t xml:space="preserve">2011</w:t>
      </w:r>
      <w:r>
        <w:rPr>
          <w:rFonts w:ascii="Arial" w:hAnsi="Arial" w:eastAsia="Arial" w:cs="Arial"/>
          <w:color w:val="000000"/>
          <w:sz w:val="24"/>
        </w:rPr>
        <w:t xml:space="preserve">〕</w:t>
      </w:r>
      <w:r>
        <w:rPr>
          <w:rFonts w:ascii="SimSun" w:hAnsi="SimSun" w:eastAsia="SimSun" w:cs="SimSun"/>
          <w:color w:val="000000"/>
          <w:sz w:val="24"/>
        </w:rPr>
        <w:t xml:space="preserve">300</w:t>
      </w:r>
      <w:r>
        <w:rPr>
          <w:rFonts w:ascii="Arial" w:hAnsi="Arial" w:eastAsia="Arial" w:cs="Arial"/>
          <w:color w:val="000000"/>
          <w:sz w:val="24"/>
        </w:rPr>
        <w:t xml:space="preserve">号）提交《中小企业声明函》并加盖公章，其投标报价扣除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w:t>
      </w:r>
      <w:r>
        <w:rPr>
          <w:rFonts w:ascii="Arial" w:hAnsi="Arial" w:eastAsia="Arial" w:cs="Arial"/>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Arial" w:hAnsi="Arial" w:eastAsia="Arial" w:cs="Arial"/>
          <w:b/>
          <w:color w:val="000000"/>
          <w:sz w:val="24"/>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根据《政府采购促进中小企业发展管理办法》（财库〔</w:t>
      </w:r>
      <w:r>
        <w:rPr>
          <w:rFonts w:ascii="SimSun" w:hAnsi="SimSun" w:eastAsia="SimSun" w:cs="SimSun"/>
          <w:b/>
          <w:color w:val="000000"/>
          <w:sz w:val="24"/>
        </w:rPr>
        <w:t xml:space="preserve">2020</w:t>
      </w:r>
      <w:r>
        <w:rPr>
          <w:rFonts w:ascii="Arial" w:hAnsi="Arial" w:eastAsia="Arial" w:cs="Arial"/>
          <w:b/>
          <w:color w:val="000000"/>
          <w:sz w:val="24"/>
        </w:rPr>
        <w:t xml:space="preserve">〕</w:t>
      </w:r>
      <w:r>
        <w:rPr>
          <w:rFonts w:ascii="SimSun" w:hAnsi="SimSun" w:eastAsia="SimSun" w:cs="SimSun"/>
          <w:b/>
          <w:color w:val="000000"/>
          <w:sz w:val="24"/>
        </w:rPr>
        <w:t xml:space="preserve">46</w:t>
      </w:r>
      <w:r>
        <w:rPr>
          <w:rFonts w:ascii="Arial" w:hAnsi="Arial" w:eastAsia="Arial" w:cs="Arial"/>
          <w:b/>
          <w:color w:val="000000"/>
          <w:sz w:val="24"/>
        </w:rPr>
        <w:t xml:space="preserve">号）及《中小企业划型标准规定》（工信部联企业〔</w:t>
      </w:r>
      <w:r>
        <w:rPr>
          <w:rFonts w:ascii="SimSun" w:hAnsi="SimSun" w:eastAsia="SimSun" w:cs="SimSun"/>
          <w:b/>
          <w:color w:val="000000"/>
          <w:sz w:val="24"/>
        </w:rPr>
        <w:t xml:space="preserve">2011</w:t>
      </w:r>
      <w:r>
        <w:rPr>
          <w:rFonts w:ascii="Arial" w:hAnsi="Arial" w:eastAsia="Arial" w:cs="Arial"/>
          <w:b/>
          <w:color w:val="000000"/>
          <w:sz w:val="24"/>
        </w:rPr>
        <w:t xml:space="preserve">〕</w:t>
      </w:r>
      <w:r>
        <w:rPr>
          <w:rFonts w:ascii="SimSun" w:hAnsi="SimSun" w:eastAsia="SimSun" w:cs="SimSun"/>
          <w:b/>
          <w:color w:val="000000"/>
          <w:sz w:val="24"/>
        </w:rPr>
        <w:t xml:space="preserve">300</w:t>
      </w:r>
      <w:r>
        <w:rPr>
          <w:rFonts w:ascii="Arial" w:hAnsi="Arial" w:eastAsia="Arial" w:cs="Arial"/>
          <w:b/>
          <w:color w:val="000000"/>
          <w:sz w:val="24"/>
        </w:rPr>
        <w:t xml:space="preserve">号），本采购项目对应的中小企业划分标准所属行业为：</w:t>
      </w:r>
      <w:r>
        <w:rPr>
          <w:rFonts w:ascii="SimSun" w:hAnsi="SimSun" w:eastAsia="SimSun" w:cs="SimSun"/>
          <w:b/>
          <w:color w:val="000000"/>
          <w:sz w:val="24"/>
        </w:rPr>
        <w:t xml:space="preserve">批发业</w:t>
      </w:r>
      <w:r>
        <w:rPr>
          <w:rFonts w:ascii="Arial" w:hAnsi="Arial" w:eastAsia="Arial" w:cs="Arial"/>
          <w:b/>
          <w:color w:val="000000"/>
          <w:sz w:val="24"/>
        </w:rPr>
        <w:t xml:space="preserve">。</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）残疾人福利性单位</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号）的相关规定，在政府采购活动中残疾人福利性单位视同小型、微型企业，享受预留份额、评审中价格扣除（其投标报价扣除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）监狱企业</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根据《关于政府采购支持监狱企业发展有关问题的通知》（财库〔</w:t>
      </w:r>
      <w:r>
        <w:rPr>
          <w:rFonts w:ascii="SimSun" w:hAnsi="SimSun" w:eastAsia="SimSun" w:cs="SimSun"/>
          <w:color w:val="000000"/>
          <w:sz w:val="24"/>
        </w:rPr>
        <w:t xml:space="preserve">2014</w:t>
      </w:r>
      <w:r>
        <w:rPr>
          <w:rFonts w:ascii="Arial" w:hAnsi="Arial" w:eastAsia="Arial" w:cs="Arial"/>
          <w:color w:val="000000"/>
          <w:sz w:val="24"/>
        </w:rPr>
        <w:t xml:space="preserve">〕</w:t>
      </w:r>
      <w:r>
        <w:rPr>
          <w:rFonts w:ascii="SimSun" w:hAnsi="SimSun" w:eastAsia="SimSun" w:cs="SimSun"/>
          <w:color w:val="000000"/>
          <w:sz w:val="24"/>
        </w:rPr>
        <w:t xml:space="preserve">68</w:t>
      </w:r>
      <w:r>
        <w:rPr>
          <w:rFonts w:ascii="Arial" w:hAnsi="Arial" w:eastAsia="Arial" w:cs="Arial"/>
          <w:color w:val="000000"/>
          <w:sz w:val="24"/>
        </w:rPr>
        <w:t xml:space="preserve">号）的相关规定，在政府采购活动中，监狱企业视同小型、微型企业，享受预留份额、评审中价格扣除（其投标报价扣除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）根据《关于调整优化节能产品、环境标志产品政府采购执行机制的通知》（财库〔</w:t>
      </w:r>
      <w:r>
        <w:rPr>
          <w:rFonts w:ascii="SimSun" w:hAnsi="SimSun" w:eastAsia="SimSun" w:cs="SimSun"/>
          <w:color w:val="000000"/>
          <w:sz w:val="24"/>
        </w:rPr>
        <w:t xml:space="preserve">2019</w:t>
      </w:r>
      <w:r>
        <w:rPr>
          <w:rFonts w:ascii="Arial" w:hAnsi="Arial" w:eastAsia="Arial" w:cs="Arial"/>
          <w:color w:val="000000"/>
          <w:sz w:val="24"/>
        </w:rPr>
        <w:t xml:space="preserve">〕</w:t>
      </w:r>
      <w:r>
        <w:rPr>
          <w:rFonts w:ascii="SimSun" w:hAnsi="SimSun" w:eastAsia="SimSun" w:cs="SimSun"/>
          <w:color w:val="000000"/>
          <w:sz w:val="24"/>
        </w:rPr>
        <w:t xml:space="preserve">9</w:t>
      </w:r>
      <w:r>
        <w:rPr>
          <w:rFonts w:ascii="Arial" w:hAnsi="Arial" w:eastAsia="Arial" w:cs="Arial"/>
          <w:color w:val="000000"/>
          <w:sz w:val="24"/>
        </w:rPr>
        <w:t xml:space="preserve">号）等相关文件的规定，</w:t>
      </w:r>
      <w:r>
        <w:rPr>
          <w:rFonts w:ascii="Arial" w:hAnsi="Arial" w:eastAsia="Arial" w:cs="Arial"/>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w:t>
      </w:r>
      <w:r>
        <w:rPr>
          <w:rFonts w:ascii="SimSun" w:hAnsi="SimSun" w:eastAsia="SimSun" w:cs="SimSun"/>
          <w:b/>
          <w:color w:val="000000"/>
          <w:sz w:val="24"/>
        </w:rPr>
        <w:t xml:space="preserve">http://www.ccgp.gov.cn</w:t>
      </w:r>
      <w:r>
        <w:rPr>
          <w:rFonts w:ascii="Arial" w:hAnsi="Arial" w:eastAsia="Arial" w:cs="Arial"/>
          <w:b/>
          <w:color w:val="000000"/>
          <w:sz w:val="24"/>
        </w:rPr>
        <w:t xml:space="preserve">）查询</w:t>
      </w:r>
      <w:r>
        <w:rPr>
          <w:rFonts w:ascii="SimSun" w:hAnsi="SimSun" w:eastAsia="SimSun" w:cs="SimSun"/>
          <w:b/>
          <w:color w:val="000000"/>
          <w:sz w:val="24"/>
        </w:rPr>
        <w:t xml:space="preserve">,</w:t>
      </w:r>
      <w:r>
        <w:rPr>
          <w:rFonts w:ascii="Arial" w:hAnsi="Arial" w:eastAsia="Arial" w:cs="Arial"/>
          <w:b/>
          <w:color w:val="000000"/>
          <w:sz w:val="24"/>
        </w:rPr>
        <w:t xml:space="preserve">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）为加快数据中心绿色转型，根据财政部、生态环境部、工业和信息化部关于印发《绿色数据中心政府采购需求标准（试行）》的通知（财库〔</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 </w:t>
      </w:r>
      <w:r>
        <w:rPr>
          <w:rFonts w:ascii="Arial" w:hAnsi="Arial" w:eastAsia="Arial" w:cs="Arial"/>
          <w:color w:val="000000"/>
          <w:sz w:val="24"/>
        </w:rPr>
        <w:t xml:space="preserve">号文）文件规定，供应商提供产品及相关快递服务的包装应符合标准要求。</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）政府采购中实施本国产品标准及相关政策（如涉及）</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本项目对采购本国产品给予政策支持：</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）本项目政府采购活动中既有本国产品又有非本国产品参与竞争的，依法对本国产品给予价格评审优惠，对本国产品的报价给予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rPr>
        <w:t xml:space="preserve">80%</w:t>
      </w:r>
      <w:r>
        <w:rPr>
          <w:rFonts w:ascii="Arial" w:hAnsi="Arial" w:eastAsia="Arial" w:cs="Arial"/>
          <w:color w:val="000000"/>
          <w:sz w:val="24"/>
        </w:rPr>
        <w:t xml:space="preserve">以上时（供应商需在“投标文件格式”的“附件：投标分项报价表”中填写比例数值），依法对该供应商提供的全部产品给予价格评审优惠，即对该供应商提供的全部产品的总报价给予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的价格扣除，用扣除后的价格参与评审。供应商未填写比例数值，或比例数值未达到</w:t>
      </w:r>
      <w:r>
        <w:rPr>
          <w:rFonts w:ascii="SimSun" w:hAnsi="SimSun" w:eastAsia="SimSun" w:cs="SimSun"/>
          <w:color w:val="000000"/>
          <w:sz w:val="24"/>
        </w:rPr>
        <w:t xml:space="preserve">80%</w:t>
      </w:r>
      <w:r>
        <w:rPr>
          <w:rFonts w:ascii="Arial" w:hAnsi="Arial" w:eastAsia="Arial" w:cs="Arial"/>
          <w:color w:val="000000"/>
          <w:sz w:val="24"/>
        </w:rPr>
        <w:t xml:space="preserve">的，将不享受本国产品价格评审优惠。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34</w:t>
      </w:r>
      <w:r>
        <w:rPr>
          <w:rFonts w:ascii="Arial" w:hAnsi="Arial" w:eastAsia="Arial" w:cs="Arial"/>
          <w:color w:val="000000"/>
          <w:sz w:val="24"/>
        </w:rPr>
        <w:t xml:space="preserve">号）和招标文件规定的，供应商提供的相关产品视为不符合本国产品标准。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（3）在采购活动中因重大变故，采购任务取消的。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rPr>
          <w:rFonts w:ascii="Arial" w:hAnsi="Arial" w:eastAsia="Arial" w:cs="Arial"/>
          <w:b/>
          <w:color w:val="000000"/>
          <w:sz w:val="24"/>
        </w:rPr>
        <w:t xml:space="preserve">、导致无效投标因素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投标人（响应单位）存在下列情况之一的，投标无效：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）投标（响应）文件未按招标（采购）文件要求签署、盖章的；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）不具备招标（采购）文件中规定的资格要求的；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）报价超过招标（采购）文件中规定的预算金额（总预算和单项预算）或者最高限价的；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）投标（响应）文件含有采购单位不能接受的附加条件的；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）不同投标（响应）文件制作机器码一致的；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）法律、法规和招标（采购）文件规定的其他无效情形。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75" w:after="75"/>
        <w:tabs>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三、评审方法及评分标准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、本次招标评标方法为综合评分法，即在</w:t>
      </w:r>
      <w:r>
        <w:rPr>
          <w:rFonts w:ascii="Arial" w:hAnsi="Arial" w:eastAsia="Arial" w:cs="Arial"/>
          <w:color w:val="000000"/>
          <w:sz w:val="24"/>
        </w:rPr>
        <w:t xml:space="preserve">最大限度地</w:t>
      </w:r>
      <w:r>
        <w:rPr>
          <w:rFonts w:ascii="Arial" w:hAnsi="Arial" w:eastAsia="Arial" w:cs="Arial"/>
          <w:color w:val="000000"/>
          <w:sz w:val="24"/>
          <w:highlight w:val="white"/>
        </w:rPr>
        <w:t xml:space="preserve">满足采购文件实质性要求前提下，按照采购文件中规定的评分标准和各项因素进行综合评审后，</w:t>
      </w:r>
      <w:r>
        <w:rPr>
          <w:rFonts w:ascii="Arial" w:hAnsi="Arial" w:eastAsia="Arial" w:cs="Arial"/>
          <w:color w:val="000000"/>
          <w:sz w:val="24"/>
        </w:rPr>
        <w:t xml:space="preserve">由综合评分得分最高的磋商响应单位为成交候选单位。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、评标委员会认为投标单位的报价明显低于其他通过符合性审查投标单位的报价，有可能影响产品质量或者不能诚信履约的，应当要求其在</w:t>
      </w:r>
      <w:r>
        <w:rPr>
          <w:rFonts w:ascii="Arial" w:hAnsi="Arial" w:eastAsia="Arial" w:cs="Arial"/>
          <w:color w:val="000000"/>
          <w:sz w:val="24"/>
        </w:rPr>
        <w:t xml:space="preserve">苏采云系统</w:t>
      </w:r>
      <w:r>
        <w:rPr>
          <w:rFonts w:ascii="Arial" w:hAnsi="Arial" w:eastAsia="Arial" w:cs="Arial"/>
          <w:color w:val="000000"/>
          <w:sz w:val="24"/>
          <w:highlight w:val="white"/>
        </w:rPr>
        <w:t xml:space="preserve">内提供书面说明，必要时提交相关证明材料；投标单位不能证明其报价合理性的，评标委员会应当将其作为无效投标处理。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注：强化政府采购异常低价审查：政府采购评审中出现下列情形之一的，评审委员会应当启动异常低价投标(响应)审查程序: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（1）投标(响应)报价低于全部通过符合性审查供应商投标(响应)报价平均值50%的，即（1-优惠率报价）&lt;全部通过符合性审查供应商（1-优惠率报价）平均值*50%；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（2）投标(响应)报价低于通过符合性审查的次低报价供应商投标(响应)报价50%的，即（1-优惠率报价）&lt;通过符合性审查的供应商（1-优惠率报价）次低价*50%；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（3）投标(响应)报价低于采购项目最高限价45%的，即（1-优惠率报价）&lt;45%；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有出现以上情形之一的，依照（财库〔2026〕2号）文件相关规定执行。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、评分标准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（一）价格基准分：10分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1、第一步：本项目采用优惠率报价，报价优惠率不超过100%且不为负的为有效磋商报价，除此以外的磋商报价为无效磋商报价。无效磋商报价的磋商响应文件不进行评审，也不得成交。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2、第二步：在所有有效磋商报价中满足采购文件要求，且经磋商后最终总评审价格最低的磋商报价为评标基准价，其价格分为10分，其他磋商供应商的价格分按照下列公式计算（计算结果四舍五入保留两位小数）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3、磋商报价得分＝（1-评标基准价)/(1-最终报价优惠率）*价格权值*100（价格权值为10%）。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（二）综合管理服务方案：（52分）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1、服务方案（9分）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响应单位提供包含 7×24 小时响应机制、具体启动流程和明确响应时限的方案。方案机制完善，流程规范，时限承诺明确，可操作性强的，得</w:t>
      </w:r>
      <w:r>
        <w:rPr>
          <w:rFonts w:ascii="SimSun" w:hAnsi="SimSun" w:eastAsia="SimSun" w:cs="SimSun"/>
          <w:color w:val="000000"/>
          <w:spacing w:val="-21"/>
          <w:sz w:val="24"/>
        </w:rPr>
        <w:t xml:space="preserve"> </w:t>
      </w:r>
      <w:r>
        <w:rPr>
          <w:rFonts w:ascii="SimSun" w:hAnsi="SimSun" w:eastAsia="SimSun" w:cs="SimSun"/>
          <w:color w:val="000000"/>
          <w:spacing w:val="-1"/>
          <w:sz w:val="24"/>
        </w:rPr>
        <w:t xml:space="preserve">9</w:t>
      </w:r>
      <w:r>
        <w:rPr>
          <w:rFonts w:ascii="SimSun" w:hAnsi="SimSun" w:eastAsia="SimSun" w:cs="SimSun"/>
          <w:color w:val="000000"/>
          <w:spacing w:val="-23"/>
          <w:sz w:val="24"/>
        </w:rPr>
        <w:t xml:space="preserve"> </w:t>
      </w:r>
      <w:r>
        <w:rPr>
          <w:rFonts w:ascii="SimSun" w:hAnsi="SimSun" w:eastAsia="SimSun" w:cs="SimSun"/>
          <w:color w:val="000000"/>
          <w:spacing w:val="-1"/>
          <w:sz w:val="24"/>
        </w:rPr>
        <w:t xml:space="preserve">分；方案机制相对完善，流程相对规范，时限承诺</w:t>
      </w:r>
      <w:r>
        <w:rPr>
          <w:rFonts w:ascii="SimSun" w:hAnsi="SimSun" w:eastAsia="SimSun" w:cs="SimSun"/>
          <w:color w:val="000000"/>
          <w:sz w:val="24"/>
        </w:rPr>
        <w:t xml:space="preserve">相对明确，可操作性较强的，得</w:t>
      </w:r>
      <w:r>
        <w:rPr>
          <w:rFonts w:ascii="SimSun" w:hAnsi="SimSun" w:eastAsia="SimSun" w:cs="SimSun"/>
          <w:color w:val="000000"/>
          <w:spacing w:val="-21"/>
          <w:sz w:val="24"/>
        </w:rPr>
        <w:t xml:space="preserve"> </w:t>
      </w:r>
      <w:r>
        <w:rPr>
          <w:rFonts w:ascii="SimSun" w:hAnsi="SimSun" w:eastAsia="SimSun" w:cs="SimSun"/>
          <w:color w:val="000000"/>
          <w:sz w:val="24"/>
        </w:rPr>
        <w:t xml:space="preserve">5</w:t>
      </w:r>
      <w:r>
        <w:rPr>
          <w:rFonts w:ascii="SimSun" w:hAnsi="SimSun" w:eastAsia="SimSun" w:cs="SimSun"/>
          <w:color w:val="000000"/>
          <w:spacing w:val="-22"/>
          <w:sz w:val="24"/>
        </w:rPr>
        <w:t xml:space="preserve"> </w:t>
      </w:r>
      <w:r>
        <w:rPr>
          <w:rFonts w:ascii="SimSun" w:hAnsi="SimSun" w:eastAsia="SimSun" w:cs="SimSun"/>
          <w:color w:val="000000"/>
          <w:sz w:val="24"/>
        </w:rPr>
        <w:t xml:space="preserve">分；方案机制</w:t>
      </w:r>
      <w:r>
        <w:rPr>
          <w:rFonts w:ascii="SimSun" w:hAnsi="SimSun" w:eastAsia="SimSun" w:cs="SimSun"/>
          <w:color w:val="000000"/>
          <w:spacing w:val="-1"/>
          <w:sz w:val="24"/>
        </w:rPr>
        <w:t xml:space="preserve">基本建立，流程规范性一般，时限承诺不够明确，可操作性一般的，得</w:t>
      </w:r>
      <w:r>
        <w:rPr>
          <w:rFonts w:ascii="SimSun" w:hAnsi="SimSun" w:eastAsia="SimSun" w:cs="SimSun"/>
          <w:color w:val="000000"/>
          <w:spacing w:val="-33"/>
          <w:sz w:val="24"/>
        </w:rPr>
        <w:t xml:space="preserve"> 1</w:t>
      </w:r>
      <w:r>
        <w:rPr>
          <w:rFonts w:ascii="SimSun" w:hAnsi="SimSun" w:eastAsia="SimSun" w:cs="SimSun"/>
          <w:color w:val="000000"/>
          <w:spacing w:val="-1"/>
          <w:sz w:val="24"/>
        </w:rPr>
        <w:t xml:space="preserve"> 分；未提供相关内容或方案存在明显缺陷的，不得分。</w:t>
      </w:r>
      <w:r/>
    </w:p>
    <w:p>
      <w:pPr>
        <w:ind w:left="461"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2、应急预案制定（9分）</w:t>
      </w:r>
      <w:r/>
    </w:p>
    <w:p>
      <w:pPr>
        <w:ind w:left="37" w:right="57" w:firstLine="430"/>
        <w:jc w:val="both"/>
        <w:spacing w:before="213"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响应单位对自然灾害、突发事件等导致供应中断的</w:t>
      </w:r>
      <w:r>
        <w:rPr>
          <w:rFonts w:ascii="SimSun" w:hAnsi="SimSun" w:eastAsia="SimSun" w:cs="SimSun"/>
          <w:color w:val="000000"/>
          <w:sz w:val="24"/>
        </w:rPr>
        <w:t xml:space="preserve">专项预案，包括备用供应渠道、协作机制和特殊物资储备等。预案体系完善，针对性强，</w:t>
      </w:r>
      <w:r>
        <w:rPr>
          <w:rFonts w:ascii="SimSun" w:hAnsi="SimSun" w:eastAsia="SimSun" w:cs="SimSun"/>
          <w:color w:val="000000"/>
          <w:spacing w:val="-1"/>
          <w:sz w:val="24"/>
        </w:rPr>
        <w:t xml:space="preserve">措施规范，联动机制清晰，可操作性强的，得</w:t>
      </w:r>
      <w:r>
        <w:rPr>
          <w:rFonts w:ascii="SimSun" w:hAnsi="SimSun" w:eastAsia="SimSun" w:cs="SimSun"/>
          <w:color w:val="000000"/>
          <w:spacing w:val="-21"/>
          <w:sz w:val="24"/>
        </w:rPr>
        <w:t xml:space="preserve">9</w:t>
      </w:r>
      <w:r>
        <w:rPr>
          <w:rFonts w:ascii="SimSun" w:hAnsi="SimSun" w:eastAsia="SimSun" w:cs="SimSun"/>
          <w:color w:val="000000"/>
          <w:spacing w:val="-1"/>
          <w:sz w:val="24"/>
        </w:rPr>
        <w:t xml:space="preserve">分；</w:t>
      </w:r>
      <w:r>
        <w:rPr>
          <w:rFonts w:ascii="SimSun" w:hAnsi="SimSun" w:eastAsia="SimSun" w:cs="SimSun"/>
          <w:color w:val="000000"/>
          <w:sz w:val="24"/>
        </w:rPr>
        <w:t xml:space="preserve">预案体系相对完善，针对性较强，措施相对</w:t>
      </w:r>
      <w:r>
        <w:rPr>
          <w:rFonts w:ascii="SimSun" w:hAnsi="SimSun" w:eastAsia="SimSun" w:cs="SimSun"/>
          <w:color w:val="000000"/>
          <w:spacing w:val="-1"/>
          <w:sz w:val="24"/>
        </w:rPr>
        <w:t xml:space="preserve">规范，联动机制较清晰，可操作性较强的，得</w:t>
      </w:r>
      <w:r>
        <w:rPr>
          <w:rFonts w:ascii="SimSun" w:hAnsi="SimSun" w:eastAsia="SimSun" w:cs="SimSun"/>
          <w:color w:val="000000"/>
          <w:spacing w:val="-23"/>
          <w:sz w:val="24"/>
        </w:rPr>
        <w:t xml:space="preserve">5</w:t>
      </w:r>
      <w:r>
        <w:rPr>
          <w:rFonts w:ascii="SimSun" w:hAnsi="SimSun" w:eastAsia="SimSun" w:cs="SimSun"/>
          <w:color w:val="000000"/>
          <w:spacing w:val="-1"/>
          <w:sz w:val="24"/>
        </w:rPr>
        <w:t xml:space="preserve">分；预</w:t>
      </w:r>
      <w:r>
        <w:rPr>
          <w:rFonts w:ascii="SimSun" w:hAnsi="SimSun" w:eastAsia="SimSun" w:cs="SimSun"/>
          <w:color w:val="000000"/>
          <w:sz w:val="24"/>
        </w:rPr>
        <w:t xml:space="preserve">案体系基本建立，针对性一般，措施规范性不足，</w:t>
      </w:r>
      <w:r>
        <w:rPr>
          <w:rFonts w:ascii="SimSun" w:hAnsi="SimSun" w:eastAsia="SimSun" w:cs="SimSun"/>
          <w:color w:val="000000"/>
          <w:spacing w:val="-1"/>
          <w:sz w:val="24"/>
        </w:rPr>
        <w:t xml:space="preserve">联动机制不够清晰，可操作性一般的，得</w:t>
      </w:r>
      <w:r>
        <w:rPr>
          <w:rFonts w:ascii="SimSun" w:hAnsi="SimSun" w:eastAsia="SimSun" w:cs="SimSun"/>
          <w:color w:val="000000"/>
          <w:spacing w:val="-1"/>
          <w:sz w:val="24"/>
        </w:rPr>
        <w:t xml:space="preserve">1分；未提供相关内容或预案存在明显缺陷的，不得分。</w:t>
      </w:r>
      <w:r/>
    </w:p>
    <w:p>
      <w:pPr>
        <w:ind w:left="463"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3、菜单设计与创新能力（9分）</w:t>
      </w:r>
      <w:r/>
    </w:p>
    <w:p>
      <w:pPr>
        <w:ind w:left="36" w:right="28" w:firstLine="5"/>
        <w:jc w:val="both"/>
        <w:spacing w:before="136"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响应单位根据预算、主题和地域习惯提供多套定制化</w:t>
      </w:r>
      <w:r>
        <w:rPr>
          <w:rFonts w:ascii="SimSun" w:hAnsi="SimSun" w:eastAsia="SimSun" w:cs="SimSun"/>
          <w:color w:val="000000"/>
          <w:sz w:val="24"/>
        </w:rPr>
        <w:t xml:space="preserve">菜单的能力，以及菜品时令更新计划。菜</w:t>
      </w:r>
      <w:r>
        <w:rPr>
          <w:rFonts w:ascii="SimSun" w:hAnsi="SimSun" w:eastAsia="SimSun" w:cs="SimSun"/>
          <w:color w:val="000000"/>
          <w:spacing w:val="-3"/>
          <w:sz w:val="24"/>
        </w:rPr>
        <w:t xml:space="preserve">单设计理念先进，结构完善，搭配科学，创新性强，可操作性强的，得</w:t>
      </w:r>
      <w:r>
        <w:rPr>
          <w:rFonts w:ascii="SimSun" w:hAnsi="SimSun" w:eastAsia="SimSun" w:cs="SimSun"/>
          <w:color w:val="000000"/>
          <w:spacing w:val="-41"/>
          <w:sz w:val="24"/>
        </w:rPr>
        <w:t xml:space="preserve">9</w:t>
      </w:r>
      <w:r>
        <w:rPr>
          <w:rFonts w:ascii="SimSun" w:hAnsi="SimSun" w:eastAsia="SimSun" w:cs="SimSun"/>
          <w:color w:val="000000"/>
          <w:spacing w:val="-3"/>
          <w:sz w:val="24"/>
        </w:rPr>
        <w:t xml:space="preserve">分；菜单</w:t>
      </w:r>
      <w:r>
        <w:rPr>
          <w:rFonts w:ascii="SimSun" w:hAnsi="SimSun" w:eastAsia="SimSun" w:cs="SimSun"/>
          <w:color w:val="000000"/>
          <w:spacing w:val="-4"/>
          <w:sz w:val="24"/>
        </w:rPr>
        <w:t xml:space="preserve">设计理念较清晰，</w:t>
      </w:r>
      <w:r>
        <w:rPr>
          <w:rFonts w:ascii="SimSun" w:hAnsi="SimSun" w:eastAsia="SimSun" w:cs="SimSun"/>
          <w:color w:val="000000"/>
          <w:spacing w:val="-1"/>
          <w:sz w:val="24"/>
        </w:rPr>
        <w:t xml:space="preserve">结构相对完善，搭配较合理，有一定创新性，可操作性较强的，得</w:t>
      </w:r>
      <w:r>
        <w:rPr>
          <w:rFonts w:ascii="SimSun" w:hAnsi="SimSun" w:eastAsia="SimSun" w:cs="SimSun"/>
          <w:color w:val="000000"/>
          <w:spacing w:val="-2"/>
          <w:sz w:val="24"/>
        </w:rPr>
        <w:t xml:space="preserve"> </w:t>
      </w:r>
      <w:r>
        <w:rPr>
          <w:rFonts w:ascii="SimSun" w:hAnsi="SimSun" w:eastAsia="SimSun" w:cs="SimSun"/>
          <w:color w:val="000000"/>
          <w:spacing w:val="-1"/>
          <w:sz w:val="24"/>
        </w:rPr>
        <w:t xml:space="preserve">5</w:t>
      </w:r>
      <w:r>
        <w:rPr>
          <w:rFonts w:ascii="SimSun" w:hAnsi="SimSun" w:eastAsia="SimSun" w:cs="SimSun"/>
          <w:color w:val="000000"/>
          <w:spacing w:val="-22"/>
          <w:sz w:val="24"/>
        </w:rPr>
        <w:t xml:space="preserve"> </w:t>
      </w:r>
      <w:r>
        <w:rPr>
          <w:rFonts w:ascii="SimSun" w:hAnsi="SimSun" w:eastAsia="SimSun" w:cs="SimSun"/>
          <w:color w:val="000000"/>
          <w:spacing w:val="-1"/>
          <w:sz w:val="24"/>
        </w:rPr>
        <w:t xml:space="preserve">分；菜单设计理念基本清晰，结构基本完整，搭配合理性一般，创新性不足，可操作性一般的，得</w:t>
      </w:r>
      <w:r>
        <w:rPr>
          <w:rFonts w:ascii="SimSun" w:hAnsi="SimSun" w:eastAsia="SimSun" w:cs="SimSun"/>
          <w:color w:val="000000"/>
          <w:spacing w:val="-9"/>
          <w:sz w:val="24"/>
        </w:rPr>
        <w:t xml:space="preserve"> </w:t>
      </w:r>
      <w:r>
        <w:rPr>
          <w:rFonts w:ascii="SimSun" w:hAnsi="SimSun" w:eastAsia="SimSun" w:cs="SimSun"/>
          <w:color w:val="000000"/>
          <w:spacing w:val="-1"/>
          <w:sz w:val="24"/>
        </w:rPr>
        <w:t xml:space="preserve">1分；未提供相关内容或方案存在明显缺陷的，不得分。</w:t>
      </w:r>
      <w:r/>
    </w:p>
    <w:p>
      <w:pPr>
        <w:ind w:left="45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4、食品安全管控方案（9分）</w:t>
      </w:r>
      <w:r/>
    </w:p>
    <w:p>
      <w:pPr>
        <w:ind w:left="36" w:right="28" w:firstLine="431"/>
        <w:jc w:val="both"/>
        <w:spacing w:before="219"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r>
      <w:r>
        <w:rPr>
          <w:rFonts w:ascii="SimSun" w:hAnsi="SimSun" w:eastAsia="SimSun" w:cs="SimSun"/>
          <w:color w:val="000000"/>
          <w:spacing w:val="1"/>
          <w:sz w:val="24"/>
        </w:rPr>
        <w:t xml:space="preserve">响应单位提供从食材采购、运输、储存、加工到成品留样的全链条管控与溯源方案。管控体系完善，制度规范，责任明确，关键控制点清晰，可操作性强的，得9分；管控体系相对完善，制度相对规范，责任相对明确，关键控制点较清晰，可操作性较强的，得5分；管控体系基本建立，制度规范性一般，责任不够清晰，关键控制点不明确，可操作性一般的，得1分；未提供相关内容或方案存在明显缺陷的，不得分。</w:t>
      </w:r>
      <w:r>
        <w:rPr>
          <w:rFonts w:ascii="SimSun" w:hAnsi="SimSun" w:eastAsia="SimSun" w:cs="SimSun"/>
          <w:color w:val="000000"/>
          <w:spacing w:val="-2"/>
          <w:sz w:val="24"/>
        </w:rPr>
      </w:r>
      <w:r/>
    </w:p>
    <w:p>
      <w:pPr>
        <w:ind w:left="46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5、服务流程与标准化（9分）</w:t>
      </w:r>
      <w:r/>
    </w:p>
    <w:p>
      <w:pPr>
        <w:ind w:left="37" w:right="28" w:firstLine="430"/>
        <w:jc w:val="both"/>
        <w:spacing w:before="22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r>
      <w:r>
        <w:rPr>
          <w:rFonts w:ascii="SimSun" w:hAnsi="SimSun" w:eastAsia="SimSun" w:cs="SimSun"/>
          <w:color w:val="000000"/>
          <w:spacing w:val="1"/>
          <w:sz w:val="24"/>
        </w:rPr>
        <w:t xml:space="preserve">响应单位提供从接收指令、制作菜品、配送到结算的全流程服务标准，以及相关人员的培训与考核方案。服务流程设计完善，标准规范，岗位职责明确，培训考核方案详实，可操作性强的，得9分；服务流程设计相对完善，标准相对规范，岗位职责较明确，培训考核方案较详实，可操作性较强的，得5分；服务流程设计基本完整，标准规范性一般，岗位职责不够清晰，培训考核方案简单，可操作性一般的，得 1分；未提供相关内容或方案存在明显缺陷的，不得分。</w:t>
      </w:r>
      <w:r>
        <w:rPr>
          <w:rFonts w:ascii="SimSun" w:hAnsi="SimSun" w:eastAsia="SimSun" w:cs="SimSun"/>
          <w:color w:val="000000"/>
          <w:spacing w:val="-2"/>
          <w:sz w:val="24"/>
        </w:rPr>
      </w:r>
      <w:r/>
    </w:p>
    <w:p>
      <w:pPr>
        <w:ind w:left="461"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6、资源与成本优化能力（7</w:t>
      </w:r>
      <w:r>
        <w:rPr>
          <w:rFonts w:ascii="SimSun" w:hAnsi="SimSun" w:eastAsia="SimSun" w:cs="SimSun"/>
          <w:b/>
          <w:color w:val="000000"/>
          <w:spacing w:val="-3"/>
          <w:sz w:val="24"/>
        </w:rPr>
        <w:t xml:space="preserve">分）</w:t>
      </w:r>
      <w:r/>
    </w:p>
    <w:p>
      <w:pPr>
        <w:ind w:left="37" w:right="28" w:firstLine="430"/>
        <w:jc w:val="both"/>
        <w:spacing w:before="22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提出的关于供应链管理、时令采购、合理配餐、减少浪费等方面的具体优化建议。优化建议具体、系统，方法科学，预期效益量化，可操作性强的，得7分；优化建议较具体，方法较合理，预期效益较明确，可操作性较强的，得 4 分；优化建议较为笼统，方法合理性一般，预期效益不明确，可操作性一般的，得 1 分；未提供相关内容或建议存在明显缺陷的，不得分。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（四）磋商响应单位的履约能力（38分）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1、人员综合实力比较（19分）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（1）派驻的项目负责人综合素质比较（8分）：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A、具有本科或以上学历的，得1分；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B、具有餐饮职业经理人高级职称得3分；中级职称得2分；初级职称得1分，最高得3分；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C、具有公共营养师证，得2分；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D、食品安全总监培训合格证书，得2分；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（2）派驻的服务人员综合素质比较（11分）：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A、具有大专或以上学历的，有1个得1分，最高得3分；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B、具有食品安全管理员证书，有1个得1分，最高得4分；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C、具有注册营养配餐师或公共营养师证，有1个得2分，最高得4分；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注：响应文件中需上传相应人员的证书扫描件及社保部门出具的最近一期响应单位为该持证人员缴纳社保的证明材料的扫描件，缺失、不符或不提供者，对应项不得分。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2、单位综合实力比较（19分）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（1）响应单位具有有效期内的食品安全管理体系认证、HACCP 危害分析与关键控制点认证、食品可追溯管理体系认证、供应链安全管理体系认证，有一个得2分，最高8分。响应文件中提供证书复印件，同时需提供在全国认证认可信息公共服务平台进行查询的相关信息截图,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（2）响应单位具有有效期内的餐厅餐饮管理服务认证，得2分；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（3）响应单位获得的政府部门颁发的荣誉，有1项得2分，最高得4分；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（4）响应单位具有2023年以来签订的类似食堂项目业绩，有1个得1分，最高得5分；响应文件内需提供合同复印件，否则不得分。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四、合同主要条款及格式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甲方（采购人）：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乙方（成交供应商）：</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根据《中华人民共和国政府采购法》《中华人民共和国民法典》等相关法律法规的规定，苏州顺心源招投标咨询服务有限公司采购编号</w:t>
      </w:r>
      <w:r>
        <w:rPr>
          <w:rFonts w:ascii="SimSun" w:hAnsi="SimSun" w:eastAsia="SimSun" w:cs="SimSun"/>
          <w:b/>
          <w:color w:val="000000"/>
          <w:sz w:val="24"/>
          <w:u w:val="single"/>
        </w:rPr>
        <w:t xml:space="preserve">JSZC-320506-SXYZ-C2026-0002</w:t>
      </w:r>
      <w:r>
        <w:rPr>
          <w:rFonts w:ascii="SimSun" w:hAnsi="SimSun" w:eastAsia="SimSun" w:cs="SimSun"/>
          <w:color w:val="000000"/>
          <w:sz w:val="24"/>
        </w:rPr>
        <w:t xml:space="preserve">号竞争性磋商文件及该文件的响应文件和成交通知书，甲乙双方就此次成交的</w:t>
      </w:r>
      <w:r>
        <w:rPr>
          <w:rFonts w:ascii="SimSun" w:hAnsi="SimSun" w:eastAsia="SimSun" w:cs="SimSun"/>
          <w:b/>
          <w:color w:val="000000"/>
          <w:sz w:val="24"/>
          <w:u w:val="single"/>
        </w:rPr>
        <w:t xml:space="preserve">木渎派出所食堂物资采购配送</w:t>
      </w:r>
      <w:r>
        <w:rPr>
          <w:rFonts w:ascii="SimSun" w:hAnsi="SimSun" w:eastAsia="SimSun" w:cs="SimSun"/>
          <w:color w:val="000000"/>
          <w:sz w:val="24"/>
        </w:rPr>
        <w:t xml:space="preserve">（以下简称“本项目”）相关事宜，签订本合同书，以资共同遵守。</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合同内容</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2924"/>
        <w:gridCol w:w="2101"/>
        <w:gridCol w:w="998"/>
        <w:gridCol w:w="1415"/>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木渎派出所食堂物资采购配送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二、服务需求：详见采购文件。</w:t>
      </w:r>
      <w:r/>
    </w:p>
    <w:p>
      <w:pPr>
        <w:ind w:left="723" w:right="0" w:hanging="72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三、项目合同履行期限、地点 </w:t>
        <w:br/>
      </w:r>
      <w:r>
        <w:rPr>
          <w:rFonts w:ascii="SimSun" w:hAnsi="SimSun" w:eastAsia="SimSun" w:cs="SimSun"/>
          <w:color w:val="000000"/>
          <w:sz w:val="24"/>
        </w:rPr>
        <w:t xml:space="preserve">1、项目合同履行期限：1年（2026年6月1日-2027年5月31日）或实际结算总金额达到预算总金额为止（二者中以先到者为准）。</w:t>
        <w:br/>
        <w:t xml:space="preserve">2、服务地点：甲方指定地点。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四、价格与支付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1、本项目合同总金额（预算总金额）为</w:t>
      </w:r>
      <w:r>
        <w:rPr>
          <w:rFonts w:ascii="SimSun" w:hAnsi="SimSun" w:eastAsia="SimSun" w:cs="SimSun"/>
          <w:b/>
          <w:color w:val="000000"/>
          <w:sz w:val="24"/>
          <w:u w:val="single"/>
        </w:rPr>
        <w:t xml:space="preserve">人民币叁佰壹拾陆万圆整（￥3160000.00元），</w:t>
      </w:r>
      <w:r>
        <w:rPr>
          <w:rFonts w:ascii="SimSun" w:hAnsi="SimSun" w:eastAsia="SimSun" w:cs="SimSun"/>
          <w:b/>
          <w:color w:val="000000"/>
          <w:sz w:val="24"/>
        </w:rPr>
        <w:t xml:space="preserve">合同成交优惠率为</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rPr>
          <w:rFonts w:ascii="SimSun" w:hAnsi="SimSun" w:eastAsia="SimSun" w:cs="SimSun"/>
          <w:color w:val="000000"/>
          <w:sz w:val="24"/>
        </w:rPr>
        <w:t xml:space="preserve">费用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乙方不得再要求追加任何费用。同时，除非合同条款中另有规定，否则，乙方所报价格在合同实施期间不因市场变化因素而变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结算：结算价=苏州发展和改革委员会官网上公布的当日“苏州市部分农贸市场零售均价”×（1-成交优惠率），在项目服务期间，如需配送苏州市发展和改革委员会官网未公布价格的食材品类，其价格按照大型超市当日零售价×（1-成交优惠率）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甲方每次在下月向乙方付清上月发生的货款。合同签订后5个工作日内，甲方向乙方支付合同金额的10%作为项目预付款，前期的供货费用从预付款扣除，甲方不另行支付，预付款价格供清后供货价格每月结算一次，按合同约定，所有货物均按实结算，凭合法有效票据通过银行转账支付。当采购结算费用达到采购预算总价(¥3160000.00)时，此项目服务终止。在签订合同时，乙方明确表示无需预付款或者主动要求降低预付款比例的，甲方可不适用上述关于预付款的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4、乙方要求付款时应提供以下资料：（1）合格的发票；（2）其他（若有）。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5、支付方式：银行汇票或转帐支票或数字人民币。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6、乙方账户信息如下：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pStyle w:val="75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五、质量要求、考核：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1、乙方根据本合同所提供服务均应当符合国家法律法规、相关规范以及本项目采购招标文件和双方约定的要求。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2、甲方对乙方提供的木渎派出所食堂物资采购配送每月进行考核，乙方应每月接受并配合甲方组织的考核工作。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3、考核细则：见附件《月度考核表》。</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六、双方权利义务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退货或换货金额的两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2、乙方必须持有食品经营许可证、工商营业执照以及其他相关证照，且经营状况良好。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3、乙方在供货时不得提供以下食品：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(1)无品名、产地、厂名、生产日期、保质期与中文标识及原料说明的定型包装食品。由甲方负责质量把关。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(3)腐败变质、油脂酸败、霉变、生虫、污秽不洁、混有异物或者其他感官性状异常，含毒、有害物质污染，可能对人体健康有害的食品。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(4)滥用食品添加剂、农药残留超标的水果等。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5、乙方必须根据甲方提出的食品、品牌、规格、数量和质量要求送货，并在甲方规定的时间内及时送达甲方指定地点。不按规定时间及地点送达的，将罚款并承担违约责任。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6、如乙方不按规定结算，擅自涨价，乙方应向甲方退回涨价部分金额。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7、因乙方所供应食品的质量问题引起甲方员工食物中毒等食源性疾病的发生或其他事故由乙方负全部责任，并承担由此引起的全部经济损失及相应的法律责任。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因供货问题造成食堂无法正常运行的，乙方应根据合同承担相应赔偿责任；经核实如乙方提供非法渠道的食品，视为欺诈，乙方要承担商品价值双倍的赔偿，并依据现行的国家法律法规追究其他责任，并连带追究所投产品生产企业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9、甲方食堂所用食品按采购文件采购范围全部由乙方供应，甲方在协议期内一般不得另行采购。(特殊情况除外)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10、甲方在隔月向乙方付清前一个月发生的货款，不得拖欠。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11、甲方建立食品索证制度及食品验收制度，向乙方索取食品的检验合格证或者检验报告，并进行验收。做好索证登记工作，加强食品库房管理。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12、若甲方有特殊情况需临时要求供货，乙方须按照投标文件中承诺的应急预案执行，并在甲方规定的合理时间内能送货至甲方指定地点。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因重大责任事故，取消配送资格的供应商，不得继续为甲方提供所有物质的配送，已签订的合同双方协商解除。为避免甲方用餐情况发生中断，则由预成交排名第二顺位的供应商继续提供食堂物质配送，以保证甲方正常用餐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14、甲、乙双方均自觉遵守国家有关法律、法规。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15、如有未尽事宜，则由甲方、乙方另行协商决定。</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1、乙方违反以上协议或有以下情况发生，甲方有权中止乙方的供货商资格。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（1）商品短斤缺两、以次充好、擅自提价等失误，经整改后仍累计发生三次及以上；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（2）因商品质量问题退换三次或供货迟到三次及其以上；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（3）食物中毒等食源性疾病的发生或其他事故。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（4）在招投标中乙方存在借资质进行招投标行为的。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（1）甲乙双方签订合同以后，乙方提出放弃或被取消配送资格的，乙方不得参与下一轮甲方组织的食堂材料供货及配送服务商采购活动；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（2）取消配送资格的供应商，不得继续为甲方提供所有物质的配送，已签订的合同无效。为避免甲方用餐情况发生中断，则由预成交排名第二顺位的供应商继续提供食堂物质配送，以保证甲方正常用餐情况。</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1、合同一方因不可抗力不能履行本合同的，根据不可抗力的影响，部分或者全部免除责任。但合同一方迟延履行后发生不可抗力的，不能免除责任。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2、合同一方因不可抗力不能履行合同的，应当自不可抗力发生之日起3日内通知对方，以减轻可能给对方造成的损失，并应当在发出不可抗力通知后的15日内提供书面证明材料。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3、不可抗力事由消除后，合同继续履行等相关事宜，由甲乙双方协商确定。</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1、除《政府采购法》第49条、第50条规定的情形及本合同约定的情形外，本合同签订后，甲乙双方不得变更、中止或终止本合同。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（1）因不可抗力或上级主管部门相关规定致使不能实现本合同目的的，未受不可抗力影响的一方有权解除本合同；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（2）因合同一方严重违约导致本合同不能履行的，另一方有权解除本合同；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（3）在本合同有效期内，乙方擅自变更、转让其应履行的本合同项下的义务的；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（4）乙方未按本合同约定、乙方承诺的内容提供服务，给甲方造成较大损失或合同目的不能实现的。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3、有权解除合同的一方，应当在违约事实或不可抗力发生之后三个月内书面通知对方解除合同，合同在书面通知到达对方时解除。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4、未经甲方书面同意，乙方不得将本合同的部分或全部义务转让给任何第三方。</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十一、重大事项变更的通知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履行过程中，甲乙双方一切关于本合同事项上的对接应以书面通知为准。双方所确认的联系人、联系方式及法律文书送达地址（本合同首部所载明地址），如发生变更的，应当于变更之日起3日内书面通知另一方，未通知的自行承担由此引起的法院送达不能等一切不利后果。</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十二、保密条款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2、无论本合同是否变更、解除或终止，本合同的保密条款不受其限制而继续有效，双方都应继续承担保密条款约定的保密义务。双方承担保密义务的期限为永久。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3、若乙方未能遵守本合同约定的保密义务的，甲方可要求乙方支付本合同总金额10%的违约金，并有权视情节轻重单方解除本合同。</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2、乙方应保证在提供本项目下服务过程中不侵害任何第三人的知识产权等合法权益，因知识产权纠纷第三人向甲方请求赔偿的，乙方应承担由此产生的一切费用，给甲方造成损失的，乙方应赔偿甲方一切损失。</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本合同未尽事宜应按照《中华人民共和国民法典》《中华人民共和国政府采购法》等相关法律法规规定解释。</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甲乙双方通过“苏采云”系统线上签订电子合同的，则本合同自双方在“苏采云”系统中加盖电子印章之日起生效。如甲乙双方签订纸质合同的，则本合同自甲乙双方签章之日起生效。签订后2个工作日内须在苏州政府采购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招标文件及该文件的响应文件是本合同不可分割的组成部分，与本合同具有同等法律效力。如上述文件与本合同内容不一致，双方认可按照本合同约定内容执行。本合同在履行过程中出现的未尽事宜，由双方在不违背本合同和招标文件的原则下协商解决，协商结果以书面形式盖章记录在案，作为本合同的附件，与本合同具有同等法律效力，但需向甲方提交贰份备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3、本合同壹式陆份，甲乙双方各执贰份，招标代理机构执壹份，政府采购监督管理部门备案壹份，陆份合同具有同等法律效力。</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4、本合同附件是合同组成部分，与本合同具有同等法律效力。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 本合同书及本合同书签署后各方以书面形式确认的补充协议等；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 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④ </w:t>
      </w:r>
      <w:r>
        <w:rPr>
          <w:rFonts w:ascii="SimSun" w:hAnsi="SimSun" w:eastAsia="SimSun" w:cs="SimSun"/>
          <w:color w:val="000000"/>
          <w:sz w:val="24"/>
        </w:rPr>
        <w:t xml:space="preserve">响应</w:t>
      </w:r>
      <w:r>
        <w:rPr>
          <w:rFonts w:ascii="Arial" w:hAnsi="Arial" w:eastAsia="Arial" w:cs="Arial"/>
          <w:color w:val="000000"/>
          <w:sz w:val="24"/>
        </w:rPr>
        <w:t xml:space="preserve">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⑤ 乙方在招标过程中所作的其它承诺、声明、书面澄清等。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以上文件视为是能互相说明的，如上述文件之间存在冲突或不一致的，以排列序位在前的文件为准，同一序位的文件以形成时间在后的为准。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附件:《配餐服务月考核表》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w:t>
      </w:r>
      <w:r/>
    </w:p>
    <w:p>
      <w:pPr>
        <w:ind w:left="0" w:right="0" w:firstLine="0"/>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甲方每月对乙方服务项目进行考核，具体详见附件《配餐服务月考核表》。考核项目总分低于60分，则扣除人民币500元，作为处罚，以示警告；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1、乙方在上级部门检查中不合格受到处罚，甲方将从乙方的服务费中扣除200元。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2、因乙方提供不洁食物造成甲方人员食物中毒等食品安全事故的，由乙方负责赔偿并承担相应的法律后果。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3、乙方所配送甲方的食材，必须是通过严格删选的，食材要新鲜、安全，若在配送过程中，出现2次不合格情况，甲方将从乙方的服务费中扣除500元，以示警告。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4、乙方在配送过程中，如若因为特殊因素，不能及时将货物送达，乙方必须提前通知甲方，与甲方协商处理方案，出现2次不合格情况的，甲方将从乙方的服务费中扣除500元，以示警告。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5、原材料进货单据必须齐全，单货相符，货物出入库手续完备，甲方会不定时的抽查乙方上述单据情况，若完善结果中，出现2次不合格情况的，甲方将从乙方的服务费中扣除500元，以示警告。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6、配送货物单据，必须齐全，包括检测报告、送货单等，若一月累计出现3次不合格情况的，甲方将从乙方的服务费中扣除500元，以示警告。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7、原材料供应商，索证需要齐全，甲方会不定时的抽查乙方索证情况，若抽查累计出现3次不合格情况的，甲方将从乙方的服务费中扣除500元，以示警告。</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5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1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月度考核表</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年      月</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评价制度</w:t>
            </w:r>
            <w:r/>
          </w:p>
        </w:tc>
      </w:tr>
      <w:tr>
        <w:trPr>
          <w:trHeight w:val="6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良</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差</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66"/>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考核结果：1、通过以上评分，该供应商的综合得分：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2、该供应商应处于的等级：A,120分以上 B，100-80分 C，60分以下（月考核60以下不合格）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考核部门签字：</w:t>
            </w:r>
            <w:r/>
          </w:p>
        </w:tc>
        <w:tc>
          <w:tcPr>
            <w:gridSpan w:val="4"/>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51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供应商签字</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562"/>
        <w:jc w:val="center"/>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五、磋商响应文件格式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注：本附件所有格式为响应文件的组成部分，供应商可根据自身情况进行补充和修改，但补充和修改不得造成与本格式内容有实质性的违背。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r/>
    </w:p>
    <w:p>
      <w:pPr>
        <w:ind w:left="0" w:right="0" w:firstLine="0"/>
        <w:jc w:val="center"/>
        <w:spacing w:before="0" w:after="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磋 商 响 应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 购 人：</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磋商单位（章）： </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单位地址：</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联系人</w:t>
      </w:r>
      <w:r>
        <w:rPr>
          <w:rFonts w:ascii="SimSun" w:hAnsi="SimSun" w:eastAsia="SimSun" w:cs="SimSun"/>
          <w:b/>
          <w:color w:val="000000"/>
          <w:sz w:val="32"/>
          <w:u w:val="single"/>
        </w:rPr>
        <w:t xml:space="preserve">：</w:t>
      </w:r>
      <w:r>
        <w:rPr>
          <w:rFonts w:ascii="SimSun" w:hAnsi="SimSun" w:eastAsia="SimSun" w:cs="SimSun"/>
          <w:b/>
          <w:color w:val="000000"/>
          <w:sz w:val="32"/>
        </w:rPr>
        <w:t xml:space="preserve">电话：</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法定代表人或授权代理人（签字或盖章）：</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 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附件1：磋商响应函</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附件2：开标一览表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附件3：报价明细表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附件4：磋商响应声明</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附件5：法人授权委托书</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附件6：磋商供应商情况表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附件7：资格证明文件</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附件8：要求作为响应文件组成部分的其他内容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附件1：磋商响应函</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我方收到贵公司 采购文件，经仔细阅读和研究，我方决定参加谈判，并向贵公司作出如下承诺：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1、我方愿意按照采购文件的一切要求，提供本项目的所有内容，我方响应的货物报价包括完成本项工作所需的一切应有费用。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2、如果我方的响应文件被接受，我方将严格履行采购文件中规定的每一项要求，严格履行合同的责任和义务，保证按期、按质履行合同，完成合同所规定的全部内容。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3、我方同意采购文件及更正文件中的规定。本响应文件的有效期限为响应文件递交截止时间之日起</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4、我方保证所提交的响应文件中所有资料均是真实的、准确的。若与真实情况不符，我方愿意承担由此而产生的一切后果。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5、我方愿意遵守采购公告及采购文件中所列的收费标准。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6、我方承诺该项响应在谈判后的全过程中保持有效，不作任何更改和变动。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7、我方承诺在参加政府采购活动前三年内，在经营活动中没有重大违法记录。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8、如果我方成交，我方愿意按采购文件规定支付成交服务费，如未按规定缴纳成交服务费，采购代理机构有权保留诉讼的权力；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9、与本谈判有关的通讯地址：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 系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附件2：开标一览表（以电子投标制作工具中格式为准）</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5"/>
        <w:gridCol w:w="5649"/>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响应优惠率</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9"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     %</w:t>
            </w:r>
            <w:r/>
          </w:p>
        </w:tc>
      </w:tr>
      <w:tr>
        <w:trPr>
          <w:trHeight w:val="1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9"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苏州市发展和改革委员会官网公布的当日“苏州市部分农贸市场零售均价”的100%为基准下浮作优惠率报价，优惠率即为下浮率。在项目服务期间，如需配送苏州市发展和改革委员会官网未公布价格的食材品类，其价格按照大型超市当日零售价×（1-成交优惠率）结算，合同最终价格不得超过年采购预算(¥3160000.00)，若服务期限内结算金额达到年采购概预算后合同自动终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2、响应报价（优惠率）不得超过苏州市发展和改革委员会官网公布的当日“苏州市部分农贸市场零售均价”的100%（优惠率）且不得为负，否则按无效标处理。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附件3：磋商响应声明</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1.根据贵方为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）的采购公告，我方签字代表</w:t>
      </w:r>
      <w:r>
        <w:rPr>
          <w:rFonts w:ascii="SimSun" w:hAnsi="SimSun" w:eastAsia="SimSun" w:cs="SimSun"/>
          <w:color w:val="000000"/>
          <w:sz w:val="24"/>
          <w:u w:val="single"/>
        </w:rPr>
        <w:t xml:space="preserve">      （全名、职务）   </w:t>
      </w:r>
      <w:r>
        <w:rPr>
          <w:rFonts w:ascii="SimSun" w:hAnsi="SimSun" w:eastAsia="SimSun" w:cs="SimSun"/>
          <w:color w:val="000000"/>
          <w:sz w:val="24"/>
        </w:rPr>
        <w:t xml:space="preserve">经正式授权并代表供应商</w:t>
      </w:r>
      <w:r>
        <w:rPr>
          <w:rFonts w:ascii="SimSun" w:hAnsi="SimSun" w:eastAsia="SimSun" w:cs="SimSun"/>
          <w:color w:val="000000"/>
          <w:sz w:val="24"/>
          <w:u w:val="single"/>
        </w:rPr>
        <w:t xml:space="preserve">      （供应商名称、地址） </w:t>
      </w:r>
      <w:r>
        <w:rPr>
          <w:rFonts w:ascii="SimSun" w:hAnsi="SimSun" w:eastAsia="SimSun" w:cs="SimSun"/>
          <w:color w:val="000000"/>
          <w:sz w:val="24"/>
        </w:rPr>
        <w:t xml:space="preserve">提交包含下列响应文件电子文档。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（1）符合性审查证明资料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2.据此函，我方宣布响应承诺如下：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2.4我方愿意向贵方提供任何与本项目磋商采购有关的数据或资料。若贵方需要，我方愿意提供我方作出的一切承诺的证明材料。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2.5我方同意若存在无法按约定条款履行义务等行为，贵方有权取消我方的成交资格。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2.6我方愿意遵守采购文件中所列的收费标准。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2.7如果我方被确定成交，我方愿意按采购文件要求支付成交服务费，逾期按中国人民银行公布的同期人民币贷款最高利率计付利息。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rPr>
          <w:rFonts w:ascii="SimSun" w:hAnsi="SimSun" w:eastAsia="SimSun" w:cs="SimSun"/>
          <w:color w:val="000000"/>
          <w:sz w:val="24"/>
        </w:rPr>
        <w:t xml:space="preserve">传真号：</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联系电话（固定电话和移动电话）：</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供应商电子信箱：</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供应商签章：</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附件4：法人授权委托书</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法人代表授权书</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我方的法人代表</w:t>
      </w:r>
      <w:r>
        <w:rPr>
          <w:rFonts w:ascii="SimSun" w:hAnsi="SimSun" w:eastAsia="SimSun" w:cs="SimSun"/>
          <w:color w:val="000000"/>
          <w:sz w:val="24"/>
          <w:u w:val="single"/>
        </w:rPr>
        <w:t xml:space="preserve">（填写“法人代表全名”）</w:t>
      </w:r>
      <w:r>
        <w:rPr>
          <w:rFonts w:ascii="SimSun" w:hAnsi="SimSun" w:eastAsia="SimSun" w:cs="SimSun"/>
          <w:color w:val="000000"/>
          <w:sz w:val="24"/>
        </w:rPr>
        <w:t xml:space="preserve">授权</w:t>
      </w:r>
      <w:r>
        <w:rPr>
          <w:rFonts w:ascii="SimSun" w:hAnsi="SimSun" w:eastAsia="SimSun" w:cs="SimSun"/>
          <w:color w:val="000000"/>
          <w:sz w:val="24"/>
          <w:u w:val="single"/>
        </w:rPr>
        <w:t xml:space="preserve">（填写“授权代表全名”）</w:t>
      </w:r>
      <w:r>
        <w:rPr>
          <w:rFonts w:ascii="SimSun" w:hAnsi="SimSun" w:eastAsia="SimSun" w:cs="SimSun"/>
          <w:color w:val="000000"/>
          <w:sz w:val="24"/>
        </w:rPr>
        <w:t xml:space="preserve">为我方的授权代表，代表我方参加</w:t>
      </w:r>
      <w:r>
        <w:rPr>
          <w:rFonts w:ascii="SimSun" w:hAnsi="SimSun" w:eastAsia="SimSun" w:cs="SimSun"/>
          <w:color w:val="000000"/>
          <w:sz w:val="24"/>
          <w:u w:val="single"/>
        </w:rPr>
        <w:t xml:space="preserve">   （填写“项目名称”）     </w:t>
      </w:r>
      <w:r>
        <w:rPr>
          <w:rFonts w:ascii="SimSun" w:hAnsi="SimSun" w:eastAsia="SimSun" w:cs="SimSun"/>
          <w:color w:val="000000"/>
          <w:sz w:val="24"/>
        </w:rPr>
        <w:t xml:space="preserve">项目（采购编号：）的响应磋商，全权代表我方处理响应磋商过程的一切事宜。授权代表在响应磋商过程中所签署的一切文件和处理与之有关的一切事务，我方均予以认可并对此承担责任。授权期限自______至____。</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授权代表无转委权。特此授权。</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（全称并加盖单位公章）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法人代表签字或盖章：</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附：法人代表、授权代表的身份证正反面复印件</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7"/>
      </w:tblGrid>
      <w:tr>
        <w:trPr>
          <w:trHeight w:val="64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087" w:type="dxa"/>
            <w:vAlign w:val="center"/>
            <w:textDirection w:val="lrTb"/>
            <w:noWrap w:val="false"/>
          </w:tcPr>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要求：真实、有效、清晰</w:t>
            </w:r>
            <w:r>
              <w:rPr>
                <w:rFonts w:ascii="SimSun" w:hAnsi="SimSun" w:eastAsia="SimSun" w:cs="SimSun"/>
                <w:b/>
                <w:color w:val="000000"/>
                <w:sz w:val="24"/>
              </w:rPr>
              <w:t xml:space="preserve"> </w:t>
            </w:r>
            <w:r>
              <w:rPr>
                <w:rFonts w:ascii="Calibri" w:hAnsi="Calibri" w:eastAsia="Calibri" w:cs="Calibri"/>
                <w:sz w:val="24"/>
              </w:rPr>
            </w:r>
            <w:r/>
          </w:p>
        </w:tc>
      </w:tr>
    </w:tbl>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附件5：响应供应商基本情况表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响应供应商基本情况表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磋商供应商名称（盖公章）</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6"/>
        <w:gridCol w:w="2034"/>
        <w:gridCol w:w="72"/>
        <w:gridCol w:w="1250"/>
        <w:gridCol w:w="1307"/>
        <w:gridCol w:w="484"/>
      </w:tblGrid>
      <w:tr>
        <w:trPr>
          <w:trHeight w:val="3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 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附件6：资格证明文件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附件6-1：关于资格证明文件的声明函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关于资格证明文件的声明函</w:t>
      </w:r>
      <w:r/>
    </w:p>
    <w:p>
      <w:pPr>
        <w:ind w:left="0" w:right="0" w:firstLine="0"/>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1、我方已知晓竞争性磋商文件要求并认真审核自身情况，在此郑重声明，我方具备并满足下列各项条款的规定。本声明如有虚假或不实之处，我方将失去合格供应商资格。</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9"/>
        <w:gridCol w:w="2766"/>
      </w:tblGrid>
      <w:tr>
        <w:trPr>
          <w:trHeight w:val="598"/>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供应商资格条件证明材料</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6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3"/>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2、我方对上述声明的真实性、合法性、准确性、有效性负责，并愿意根据磋商文件和磋商过程中贵方要求提供全部现有资料、数据、文件等予以证实。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备注：对于接受联合体形式的磋商且供应商是联合体的，则联合体各成员都应当提交本资格证明文件。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附件6-2：营业执照等证明文件</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）供应商为法人（包括企业、事业单位和社会团体）的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签发的我方统一社会信用代码</w:t>
      </w:r>
      <w:r>
        <w:rPr>
          <w:rFonts w:ascii="SimSun" w:hAnsi="SimSun" w:eastAsia="SimSun" w:cs="SimSun"/>
          <w:color w:val="000000"/>
          <w:sz w:val="24"/>
          <w:u w:val="single"/>
        </w:rPr>
        <w:t xml:space="preserve">（请填写法人的具体证照名称）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）供应商为非法人（包括其他组织、自然人）的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（请填写非自然人的非法人的具体证照名称）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（请填写自然人的身份证件名称）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1、请供应商根据实际情况填写，在相应的（）中打“√”并选择相应的“□”（若有）后，再按照本格式的要求提供相应证明材料的复印件。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附件6-3：财务状况报告</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）供应商提供财务报告的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财务报告复印件，包括资产负债表、利润表、现金流量表、所有者权益变动表及其附注（若有），上述证明材料真实有效，否则我方负全部责任。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□事业单位适用：现附上我方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财务报告复印件，包括资产负债表、收入支出表或收入费用表、财政补助收入支出表（若有），上述证明材料真实有效，否则我方负全部责任。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□社会团体适用：现附上我方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财务报告复印件，包括资产负债表、业务活动表、现金流量表，上述证明材料真实有效，否则我方负全部责任。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）供应商提供资信证明的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□非自然人适用：现附上我方开户（基本户）许可证复印件及我方银行：</w:t>
      </w:r>
      <w:r>
        <w:rPr>
          <w:rFonts w:ascii="SimSun" w:hAnsi="SimSun" w:eastAsia="SimSun" w:cs="SimSun"/>
          <w:color w:val="000000"/>
          <w:sz w:val="24"/>
          <w:u w:val="single"/>
        </w:rPr>
        <w:t xml:space="preserve">（填写“基本户的开户银行全称”）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□自然人适用：现附上我方银行：</w:t>
      </w:r>
      <w:r>
        <w:rPr>
          <w:rFonts w:ascii="SimSun" w:hAnsi="SimSun" w:eastAsia="SimSun" w:cs="SimSun"/>
          <w:color w:val="000000"/>
          <w:sz w:val="24"/>
          <w:u w:val="single"/>
        </w:rPr>
        <w:t xml:space="preserve">（填写自然人的“个人账户的开户银行全称”）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2、供应商提供的财务报告或资信证明复印件（成立年限按照响应文件递交截止时间推算）应符合下列规定：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2.1成立年限满1年及以上的供应商，提供经审计的上一年度的年度财务报告。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2.2成立年限不足1年的供应商，提供资信证明复印件。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附件6-4：依法缴纳税收证明材料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1、依法缴纳税收的供应商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（按照供应商实际缴纳的税种名称填写，如：增值税、所得税等）</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2、依法免税的供应商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）现附上我方依法免税证明材料复印件，上述证明材料真实有效，否则我方负全部责任。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2、供应商提供的税收凭据复印件应符合下列规定：</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2.1响应文件递交截止时间前（不含截止时间的当月）已依法缴纳税收的供应商，提供响应文件递交截止时间前（不含截止时间的当月）中任一月份的税收凭据复印件。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2.2响应文件递交截止时间的当月成立且已依法缴纳税收的供应商，提供截止时间当月的税收凭据复印件。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2.3响应文件递交截止时间的当月成立但因税务机关原因而尚未依法缴纳税收的供应商，提供依法缴纳税收承诺书原件扫描件（格式自拟），该承诺书视同税收凭据。</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“依法缴纳税收证明材料”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未依法缴纳税收</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附件6-5：依法缴纳社会保障资金证明材料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2、依法不需要缴纳社会保障资金的供应商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）现附上我方依法不需要缴纳社会保障资金证明材料复印件，上述证明材料真实有效，否则我方负全部责任。</w:t>
      </w:r>
      <w:r/>
    </w:p>
    <w:p>
      <w:pPr>
        <w:ind w:left="0" w:right="0" w:firstLine="0"/>
        <w:spacing w:before="240" w:after="240" w:line="2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2、供应商提供的社会保险凭据复印件应符合下列规定：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2.1响应文件递交截止时间前（不含截止时间的当月）已依法缴纳社会保障资金的供应商，提供响应文件递交截止时间前（不含截止时间的当月）中任一月份的社会保险凭据复印件。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2.2响应文件递交截止时间的当月成立且已依法缴纳社会保障资金的供应商，提供响应文件递交截止时间当月的社会保险凭据复印件。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依法缴纳社会保障资金证明材料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未依法缴纳社会保障资金</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附件6-6：具备履行合同所必需设备和专业技术能力证明材料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ind w:left="0" w:right="0" w:firstLine="156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附件6-7：参加采购活动前三年内在经营活动中没有重大违法记录书面声明</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附件6-8：供应商与其他单位存在控股、管理关系情况表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供应商与其他单位存在控股、管理关系情况表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1"/>
        <w:gridCol w:w="311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rPr>
        <w:t xml:space="preserve"> </w:t>
      </w: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附件6-9：偏离表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（1）服务偏离表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1322"/>
        <w:gridCol w:w="1322"/>
        <w:gridCol w:w="1322"/>
        <w:gridCol w:w="1322"/>
        <w:gridCol w:w="1322"/>
      </w:tblGrid>
      <w:tr>
        <w:trPr>
          <w:trHeight w:val="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1、对照磋商文件要求，所提供的服务与磋商文件的规定有偏离的，应在此表中申明与招标要求的偏差和例外。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2、未在上表中说明的，如在响应文件其他内容中已有文字说明的，则以已有文字说明为准，否则，将被认为完全响应磋商文件的规定。但该表不作为投标人对所投服务要求详细描述和说明的替代。</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（2）商务条款偏离表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948"/>
        <w:gridCol w:w="2331"/>
        <w:gridCol w:w="2349"/>
        <w:gridCol w:w="66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投标人对所投标的物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附件7：要求作为响应文件组成部分的其他内容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附件7-1：投入人员情况表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（1）项目负责人情况一览表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8"/>
        <w:gridCol w:w="1851"/>
        <w:gridCol w:w="1527"/>
        <w:gridCol w:w="398"/>
        <w:gridCol w:w="1083"/>
        <w:gridCol w:w="1325"/>
        <w:gridCol w:w="1818"/>
      </w:tblGrid>
      <w:tr>
        <w:trPr>
          <w:trHeight w:val="594"/>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2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gridSpan w:val="2"/>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8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37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8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从事专业工作时间：</w:t>
            </w:r>
            <w:r/>
          </w:p>
        </w:tc>
      </w:tr>
      <w:tr>
        <w:trPr>
          <w:trHeight w:val="62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拥有的职称：</w:t>
            </w:r>
            <w:r/>
          </w:p>
        </w:tc>
      </w:tr>
      <w:tr>
        <w:trPr>
          <w:trHeight w:val="18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曾获得的奖励情况：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1133"/>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该项目负责人在我单位任职且在从业经历中没有任何违法、违规而被查处的不良记录。（提供公司为其缴纳的社保证明）</w:t>
            </w:r>
            <w:r/>
          </w:p>
        </w:tc>
      </w:tr>
      <w:tr>
        <w:trPr>
          <w:trHeight w:val="978"/>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6"/>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540" w:right="0" w:hanging="1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注：需随此表附上项目负责人的证书等相关资料的复印件加盖公章。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w:t>
      </w:r>
      <w:r>
        <w:rPr>
          <w:rFonts w:ascii="Calibri" w:hAnsi="Calibri" w:eastAsia="Calibri" w:cs="Calibri"/>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附件7-2：投入项目人员情况表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投入项目人员情况表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8"/>
        <w:gridCol w:w="1193"/>
        <w:gridCol w:w="1192"/>
        <w:gridCol w:w="1192"/>
        <w:gridCol w:w="1459"/>
        <w:gridCol w:w="928"/>
      </w:tblGrid>
      <w:tr>
        <w:trPr>
          <w:trHeight w:val="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48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附件7-3：企业类似项目一览表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企业类似项目一览表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352"/>
        <w:gridCol w:w="1292"/>
        <w:gridCol w:w="1896"/>
        <w:gridCol w:w="1689"/>
      </w:tblGrid>
      <w:tr>
        <w:trPr>
          <w:trHeight w:val="8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附：提供证明材料详见评分标准。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w:t>
      </w:r>
      <w:r>
        <w:rPr>
          <w:rFonts w:ascii="SimSun" w:hAnsi="SimSun" w:eastAsia="SimSun" w:cs="SimSun"/>
          <w:color w:val="000000"/>
          <w:sz w:val="24"/>
          <w:u w:val="single"/>
        </w:rPr>
        <w:t xml:space="preserve">（承接）</w:t>
      </w:r>
      <w:r>
        <w:rPr>
          <w:rFonts w:ascii="SimSun" w:hAnsi="SimSun" w:eastAsia="SimSun" w:cs="SimSun"/>
          <w:color w:val="000000"/>
          <w:sz w:val="24"/>
        </w:rPr>
        <w:t xml:space="preserve">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rPr>
          <w:rFonts w:ascii="SimSun" w:hAnsi="SimSun" w:eastAsia="SimSun" w:cs="SimSun"/>
          <w:b/>
          <w:color w:val="000000"/>
          <w:sz w:val="24"/>
        </w:rPr>
        <w:t xml:space="preserve">附件7-5：残疾人福利性单位声明函</w:t>
      </w:r>
      <w:r>
        <w:rPr>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本单位郑重声明，根据《财政部民政部中国残疾人联合会关于促进残疾人就业政府采购政策的通知》（财库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简体">
    <w:panose1 w:val="020B0503020202020204"/>
  </w:font>
  <w:font w:name="Calibri Light">
    <w:panose1 w:val="020F03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fldSimple w:instr="PAGE \* MERGEFORMAT">
      <w:r>
        <w:t xml:space="preserve">1</w:t>
      </w:r>
    </w:fldSimple>
    <w:r/>
    <w:r/>
  </w:p>
  <w:p>
    <w:pPr>
      <w:pStyle w:val="685"/>
      <w:ind w:firstLine="709"/>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both"/>
      <w:tabs>
        <w:tab w:val="center" w:pos="4153" w:leader="none"/>
        <w:tab w:val="right" w:pos="8306" w:leader="none"/>
      </w:tabs>
      <w:rPr>
        <w:rFonts w:hint="eastAsia" w:eastAsia="宋体"/>
        <w:color w:val="000000"/>
        <w:lang w:val="en-US" w:eastAsia="zh-CN"/>
      </w:rPr>
    </w:pPr>
    <w:r>
      <w:rPr>
        <w:rFonts w:hint="eastAsia"/>
        <w:color w:val="000000"/>
      </w:rPr>
      <w:t xml:space="preserve">苏州顺心源招投标咨询服务有限公司                         </w:t>
    </w:r>
    <w:r>
      <w:rPr>
        <w:rFonts w:hint="eastAsia" w:eastAsia="宋体"/>
        <w:color w:val="000000"/>
        <w:lang w:val="en-US" w:eastAsia="zh-CN"/>
      </w:rPr>
      <w:t xml:space="preserve">     </w:t>
    </w:r>
    <w:r>
      <w:rPr>
        <w:rFonts w:hint="eastAsia"/>
        <w:color w:val="000000"/>
      </w:rPr>
      <w:t xml:space="preserve">采购编号：</w:t>
    </w:r>
    <w:r>
      <w:rPr>
        <w:rFonts w:hint="eastAsia" w:eastAsia="宋体"/>
        <w:color w:val="000000"/>
      </w:rPr>
      <w:t xml:space="preserve">JSZC-320506-SXYZ-C2026-0002</w:t>
    </w:r>
    <w:r>
      <w:rPr>
        <w:rFonts w:hint="eastAsia" w:eastAsia="宋体"/>
        <w:color w:val="000000"/>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03"/>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1"/>
      <w:isLgl w:val="false"/>
      <w:suff w:val="tab"/>
      <w:lvlText w:val=""/>
      <w:lvlJc w:val="left"/>
      <w:pPr>
        <w:pStyle w:val="703"/>
        <w:ind w:left="360" w:hanging="360"/>
        <w:tabs>
          <w:tab w:val="num" w:pos="360" w:leader="none"/>
        </w:tabs>
      </w:pPr>
      <w:rPr>
        <w:rFonts w:ascii="Wingdings" w:hAnsi="Wingdings" w:cs="Wingdings"/>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03"/>
        <w:ind w:left="945" w:hanging="525"/>
      </w:pPr>
    </w:lvl>
    <w:lvl w:ilvl="1">
      <w:start w:val="1"/>
      <w:numFmt w:val="lowerLetter"/>
      <w:isLgl w:val="false"/>
      <w:suff w:val="tab"/>
      <w:lvlText w:val="%2)"/>
      <w:lvlJc w:val="left"/>
      <w:pPr>
        <w:pStyle w:val="703"/>
        <w:ind w:left="1264" w:hanging="420"/>
      </w:pPr>
    </w:lvl>
    <w:lvl w:ilvl="2">
      <w:start w:val="1"/>
      <w:numFmt w:val="lowerRoman"/>
      <w:isLgl w:val="false"/>
      <w:suff w:val="tab"/>
      <w:lvlText w:val="%3."/>
      <w:lvlJc w:val="right"/>
      <w:pPr>
        <w:pStyle w:val="703"/>
        <w:ind w:left="1684" w:hanging="420"/>
      </w:pPr>
    </w:lvl>
    <w:lvl w:ilvl="3">
      <w:start w:val="1"/>
      <w:numFmt w:val="decimal"/>
      <w:isLgl w:val="false"/>
      <w:suff w:val="tab"/>
      <w:lvlText w:val="%4."/>
      <w:lvlJc w:val="left"/>
      <w:pPr>
        <w:pStyle w:val="703"/>
        <w:ind w:left="2104" w:hanging="420"/>
      </w:pPr>
    </w:lvl>
    <w:lvl w:ilvl="4">
      <w:start w:val="1"/>
      <w:numFmt w:val="lowerLetter"/>
      <w:isLgl w:val="false"/>
      <w:suff w:val="tab"/>
      <w:lvlText w:val="%5)"/>
      <w:lvlJc w:val="left"/>
      <w:pPr>
        <w:pStyle w:val="703"/>
        <w:ind w:left="2524" w:hanging="420"/>
      </w:pPr>
    </w:lvl>
    <w:lvl w:ilvl="5">
      <w:start w:val="1"/>
      <w:numFmt w:val="lowerRoman"/>
      <w:isLgl w:val="false"/>
      <w:suff w:val="tab"/>
      <w:lvlText w:val="%6."/>
      <w:lvlJc w:val="right"/>
      <w:pPr>
        <w:pStyle w:val="703"/>
        <w:ind w:left="2944" w:hanging="420"/>
      </w:pPr>
    </w:lvl>
    <w:lvl w:ilvl="6">
      <w:start w:val="1"/>
      <w:numFmt w:val="decimal"/>
      <w:isLgl w:val="false"/>
      <w:suff w:val="tab"/>
      <w:lvlText w:val="%7."/>
      <w:lvlJc w:val="left"/>
      <w:pPr>
        <w:pStyle w:val="703"/>
        <w:ind w:left="3364" w:hanging="420"/>
      </w:pPr>
    </w:lvl>
    <w:lvl w:ilvl="7">
      <w:start w:val="1"/>
      <w:numFmt w:val="lowerLetter"/>
      <w:isLgl w:val="false"/>
      <w:suff w:val="tab"/>
      <w:lvlText w:val="%8)"/>
      <w:lvlJc w:val="left"/>
      <w:pPr>
        <w:pStyle w:val="703"/>
        <w:ind w:left="3784" w:hanging="420"/>
      </w:pPr>
    </w:lvl>
    <w:lvl w:ilvl="8">
      <w:start w:val="1"/>
      <w:numFmt w:val="lowerRoman"/>
      <w:isLgl w:val="false"/>
      <w:suff w:val="tab"/>
      <w:lvlText w:val="%9."/>
      <w:lvlJc w:val="right"/>
      <w:pPr>
        <w:pStyle w:val="703"/>
        <w:ind w:left="4204" w:hanging="420"/>
      </w:pPr>
    </w:lvl>
  </w:abstractNum>
  <w:abstractNum w:abstractNumId="4">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21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Title"/>
    <w:basedOn w:val="703"/>
    <w:next w:val="703"/>
    <w:link w:val="744"/>
    <w:uiPriority w:val="10"/>
    <w:qFormat/>
    <w:pPr>
      <w:contextualSpacing/>
      <w:spacing w:before="300" w:after="200"/>
    </w:pPr>
    <w:rPr>
      <w:sz w:val="48"/>
      <w:szCs w:val="48"/>
    </w:rPr>
  </w:style>
  <w:style w:type="paragraph" w:styleId="683">
    <w:name w:val="Subtitle"/>
    <w:basedOn w:val="703"/>
    <w:next w:val="703"/>
    <w:link w:val="733"/>
    <w:uiPriority w:val="11"/>
    <w:qFormat/>
    <w:pPr>
      <w:spacing w:before="200" w:after="200"/>
    </w:pPr>
    <w:rPr>
      <w:sz w:val="24"/>
      <w:szCs w:val="24"/>
    </w:rPr>
  </w:style>
  <w:style w:type="paragraph" w:styleId="684">
    <w:name w:val="Header"/>
    <w:basedOn w:val="703"/>
    <w:link w:val="788"/>
    <w:uiPriority w:val="99"/>
    <w:unhideWhenUsed/>
    <w:pPr>
      <w:spacing w:after="0" w:line="240" w:lineRule="auto"/>
      <w:tabs>
        <w:tab w:val="center" w:pos="7143" w:leader="none"/>
        <w:tab w:val="right" w:pos="14287" w:leader="none"/>
      </w:tabs>
    </w:pPr>
  </w:style>
  <w:style w:type="paragraph" w:styleId="685">
    <w:name w:val="Footer"/>
    <w:basedOn w:val="703"/>
    <w:link w:val="790"/>
    <w:uiPriority w:val="99"/>
    <w:unhideWhenUsed/>
    <w:pPr>
      <w:spacing w:after="0" w:line="240" w:lineRule="auto"/>
      <w:tabs>
        <w:tab w:val="center" w:pos="7143" w:leader="none"/>
        <w:tab w:val="right" w:pos="14287" w:leader="none"/>
      </w:tabs>
    </w:pPr>
  </w:style>
  <w:style w:type="paragraph" w:styleId="686">
    <w:name w:val="Caption"/>
    <w:basedOn w:val="703"/>
    <w:next w:val="703"/>
    <w:uiPriority w:val="35"/>
    <w:semiHidden/>
    <w:unhideWhenUsed/>
    <w:qFormat/>
    <w:pPr>
      <w:spacing w:line="276" w:lineRule="auto"/>
    </w:pPr>
    <w:rPr>
      <w:b/>
      <w:bCs/>
      <w:color w:val="4f81bd" w:themeColor="accent1"/>
      <w:sz w:val="18"/>
      <w:szCs w:val="18"/>
    </w:rPr>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Hyperlink"/>
    <w:uiPriority w:val="99"/>
    <w:unhideWhenUsed/>
    <w:rPr>
      <w:color w:val="0000ff" w:themeColor="hyperlink"/>
      <w:u w:val="single"/>
    </w:rPr>
  </w:style>
  <w:style w:type="paragraph" w:styleId="689">
    <w:name w:val="footnote text"/>
    <w:basedOn w:val="703"/>
    <w:link w:val="735"/>
    <w:uiPriority w:val="99"/>
    <w:semiHidden/>
    <w:unhideWhenUsed/>
    <w:pPr>
      <w:spacing w:after="40" w:line="240" w:lineRule="auto"/>
    </w:pPr>
    <w:rPr>
      <w:sz w:val="18"/>
    </w:rPr>
  </w:style>
  <w:style w:type="character" w:styleId="690">
    <w:name w:val="footnote reference"/>
    <w:uiPriority w:val="99"/>
    <w:unhideWhenUsed/>
    <w:rPr>
      <w:vertAlign w:val="superscript"/>
    </w:rPr>
  </w:style>
  <w:style w:type="paragraph" w:styleId="691">
    <w:name w:val="endnote text"/>
    <w:basedOn w:val="703"/>
    <w:link w:val="725"/>
    <w:uiPriority w:val="99"/>
    <w:semiHidden/>
    <w:unhideWhenUsed/>
    <w:pPr>
      <w:spacing w:after="0" w:line="240" w:lineRule="auto"/>
    </w:pPr>
    <w:rPr>
      <w:sz w:val="20"/>
    </w:rPr>
  </w:style>
  <w:style w:type="character" w:styleId="692">
    <w:name w:val="endnote reference"/>
    <w:uiPriority w:val="99"/>
    <w:semiHidden/>
    <w:unhideWhenUsed/>
    <w:rPr>
      <w:vertAlign w:val="superscript"/>
    </w:rPr>
  </w:style>
  <w:style w:type="paragraph" w:styleId="693">
    <w:name w:val="toc 1"/>
    <w:basedOn w:val="703"/>
    <w:next w:val="703"/>
    <w:uiPriority w:val="39"/>
    <w:unhideWhenUsed/>
    <w:pPr>
      <w:ind w:left="0" w:right="0" w:firstLine="0"/>
      <w:spacing w:after="57"/>
    </w:pPr>
  </w:style>
  <w:style w:type="paragraph" w:styleId="694">
    <w:name w:val="toc 2"/>
    <w:basedOn w:val="703"/>
    <w:next w:val="703"/>
    <w:uiPriority w:val="39"/>
    <w:unhideWhenUsed/>
    <w:pPr>
      <w:ind w:left="283" w:right="0" w:firstLine="0"/>
      <w:spacing w:after="57"/>
    </w:pPr>
  </w:style>
  <w:style w:type="paragraph" w:styleId="695">
    <w:name w:val="toc 3"/>
    <w:basedOn w:val="703"/>
    <w:next w:val="703"/>
    <w:uiPriority w:val="39"/>
    <w:unhideWhenUsed/>
    <w:pPr>
      <w:ind w:left="567" w:right="0" w:firstLine="0"/>
      <w:spacing w:after="57"/>
    </w:pPr>
  </w:style>
  <w:style w:type="paragraph" w:styleId="696">
    <w:name w:val="toc 4"/>
    <w:basedOn w:val="703"/>
    <w:next w:val="703"/>
    <w:uiPriority w:val="39"/>
    <w:unhideWhenUsed/>
    <w:pPr>
      <w:ind w:left="850" w:right="0" w:firstLine="0"/>
      <w:spacing w:after="57"/>
    </w:pPr>
  </w:style>
  <w:style w:type="paragraph" w:styleId="697">
    <w:name w:val="toc 5"/>
    <w:basedOn w:val="703"/>
    <w:next w:val="703"/>
    <w:uiPriority w:val="39"/>
    <w:unhideWhenUsed/>
    <w:pPr>
      <w:ind w:left="1134" w:right="0" w:firstLine="0"/>
      <w:spacing w:after="57"/>
    </w:pPr>
  </w:style>
  <w:style w:type="paragraph" w:styleId="698">
    <w:name w:val="toc 6"/>
    <w:basedOn w:val="703"/>
    <w:next w:val="703"/>
    <w:uiPriority w:val="39"/>
    <w:unhideWhenUsed/>
    <w:pPr>
      <w:ind w:left="1417" w:right="0" w:firstLine="0"/>
      <w:spacing w:after="57"/>
    </w:pPr>
  </w:style>
  <w:style w:type="paragraph" w:styleId="699">
    <w:name w:val="toc 7"/>
    <w:basedOn w:val="703"/>
    <w:next w:val="703"/>
    <w:uiPriority w:val="39"/>
    <w:unhideWhenUsed/>
    <w:pPr>
      <w:ind w:left="1701" w:right="0" w:firstLine="0"/>
      <w:spacing w:after="57"/>
    </w:pPr>
  </w:style>
  <w:style w:type="paragraph" w:styleId="700">
    <w:name w:val="toc 8"/>
    <w:basedOn w:val="703"/>
    <w:next w:val="703"/>
    <w:uiPriority w:val="39"/>
    <w:unhideWhenUsed/>
    <w:pPr>
      <w:ind w:left="1984" w:right="0" w:firstLine="0"/>
      <w:spacing w:after="57"/>
    </w:pPr>
  </w:style>
  <w:style w:type="paragraph" w:styleId="701">
    <w:name w:val="toc 9"/>
    <w:basedOn w:val="703"/>
    <w:next w:val="703"/>
    <w:uiPriority w:val="39"/>
    <w:unhideWhenUsed/>
    <w:pPr>
      <w:ind w:left="2268" w:right="0" w:firstLine="0"/>
      <w:spacing w:after="57"/>
    </w:pPr>
  </w:style>
  <w:style w:type="paragraph" w:styleId="702">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rFonts w:ascii="Calibri" w:hAnsi="Calibri" w:eastAsia="Arial" w:cs="Arial"/>
      <w:sz w:val="21"/>
      <w:szCs w:val="24"/>
      <w:lang w:eastAsia="zh-CN"/>
    </w:rPr>
  </w:style>
  <w:style w:type="paragraph" w:styleId="704">
    <w:name w:val="标题 2"/>
    <w:basedOn w:val="703"/>
    <w:next w:val="703"/>
    <w:link w:val="707"/>
    <w:unhideWhenUsed/>
    <w:qFormat/>
    <w:pPr>
      <w:keepLines/>
      <w:keepNext/>
      <w:spacing w:before="260" w:after="260" w:line="416" w:lineRule="auto"/>
      <w:outlineLvl w:val="1"/>
    </w:pPr>
    <w:rPr>
      <w:rFonts w:ascii="Cambria" w:hAnsi="Cambria" w:eastAsia="宋体" w:cs="Times New Roman"/>
      <w:b/>
      <w:bCs/>
      <w:sz w:val="32"/>
      <w:szCs w:val="32"/>
    </w:rPr>
  </w:style>
  <w:style w:type="character" w:styleId="705">
    <w:name w:val="默认段落字体"/>
    <w:next w:val="705"/>
    <w:link w:val="703"/>
    <w:uiPriority w:val="1"/>
    <w:unhideWhenUsed/>
    <w:qFormat/>
  </w:style>
  <w:style w:type="table" w:styleId="706">
    <w:name w:val="普通表格"/>
    <w:next w:val="706"/>
    <w:link w:val="703"/>
    <w:uiPriority w:val="99"/>
    <w:unhideWhenUsed/>
    <w:qFormat/>
    <w:tblPr/>
  </w:style>
  <w:style w:type="character" w:styleId="707">
    <w:name w:val="标题 2 Char"/>
    <w:basedOn w:val="705"/>
    <w:next w:val="707"/>
    <w:link w:val="704"/>
    <w:semiHidden/>
    <w:qFormat/>
    <w:rPr>
      <w:rFonts w:ascii="Cambria" w:hAnsi="Cambria" w:eastAsia="宋体" w:cs="Times New Roman"/>
      <w:b/>
      <w:bCs/>
      <w:sz w:val="32"/>
      <w:szCs w:val="32"/>
    </w:rPr>
  </w:style>
  <w:style w:type="paragraph" w:styleId="708">
    <w:name w:val="目录 7"/>
    <w:basedOn w:val="703"/>
    <w:next w:val="703"/>
    <w:link w:val="703"/>
    <w:uiPriority w:val="39"/>
    <w:unhideWhenUsed/>
    <w:qFormat/>
    <w:pPr>
      <w:ind w:left="1701" w:right="0" w:firstLine="0"/>
      <w:spacing w:after="57"/>
    </w:pPr>
  </w:style>
  <w:style w:type="paragraph" w:styleId="709">
    <w:name w:val="正文缩进"/>
    <w:basedOn w:val="703"/>
    <w:next w:val="703"/>
    <w:link w:val="710"/>
    <w:qFormat/>
    <w:pPr>
      <w:ind w:firstLine="420"/>
      <w:jc w:val="left"/>
    </w:pPr>
    <w:rPr>
      <w:rFonts w:ascii="Times New Roman" w:hAnsi="Times New Roman" w:eastAsia="楷体_GB2312" w:cs="Times New Roman"/>
      <w:sz w:val="24"/>
      <w:szCs w:val="20"/>
    </w:rPr>
  </w:style>
  <w:style w:type="character" w:styleId="710">
    <w:name w:val="正文缩进 字符"/>
    <w:next w:val="710"/>
    <w:link w:val="709"/>
    <w:qFormat/>
    <w:rPr>
      <w:rFonts w:eastAsia="楷体_GB2312"/>
      <w:sz w:val="24"/>
    </w:rPr>
  </w:style>
  <w:style w:type="paragraph" w:styleId="711">
    <w:name w:val="批注文字"/>
    <w:basedOn w:val="703"/>
    <w:next w:val="711"/>
    <w:link w:val="712"/>
    <w:qFormat/>
    <w:pPr>
      <w:jc w:val="left"/>
    </w:pPr>
  </w:style>
  <w:style w:type="character" w:styleId="712">
    <w:name w:val="批注文字 字符1"/>
    <w:basedOn w:val="705"/>
    <w:next w:val="712"/>
    <w:link w:val="711"/>
    <w:qFormat/>
    <w:rPr>
      <w:rFonts w:ascii="Calibri" w:hAnsi="Calibri" w:eastAsia="Arial" w:cs="Arial"/>
      <w:sz w:val="21"/>
      <w:szCs w:val="24"/>
    </w:rPr>
  </w:style>
  <w:style w:type="paragraph" w:styleId="713">
    <w:name w:val="正文文本"/>
    <w:basedOn w:val="703"/>
    <w:next w:val="703"/>
    <w:link w:val="714"/>
    <w:uiPriority w:val="99"/>
    <w:unhideWhenUsed/>
    <w:qFormat/>
    <w:pPr>
      <w:spacing w:after="120"/>
    </w:pPr>
    <w:rPr>
      <w:rFonts w:ascii="Times New Roman" w:hAnsi="Times New Roman" w:eastAsia="宋体" w:cs="Times New Roman"/>
    </w:rPr>
  </w:style>
  <w:style w:type="character" w:styleId="714">
    <w:name w:val="正文文本 字符"/>
    <w:basedOn w:val="705"/>
    <w:next w:val="714"/>
    <w:link w:val="713"/>
    <w:qFormat/>
    <w:rPr>
      <w:rFonts w:ascii="Calibri" w:hAnsi="Calibri" w:eastAsia="Arial" w:cs="Arial"/>
      <w:sz w:val="21"/>
      <w:szCs w:val="24"/>
    </w:rPr>
  </w:style>
  <w:style w:type="paragraph" w:styleId="715">
    <w:name w:val="正文文本缩进"/>
    <w:basedOn w:val="703"/>
    <w:next w:val="717"/>
    <w:link w:val="716"/>
    <w:qFormat/>
    <w:pPr>
      <w:ind w:left="420"/>
      <w:spacing w:after="120"/>
    </w:pPr>
  </w:style>
  <w:style w:type="character" w:styleId="716">
    <w:name w:val="正文文本缩进 字符"/>
    <w:basedOn w:val="705"/>
    <w:next w:val="716"/>
    <w:link w:val="715"/>
    <w:qFormat/>
    <w:rPr>
      <w:rFonts w:ascii="Calibri" w:hAnsi="Calibri" w:eastAsia="Arial" w:cs="Arial"/>
      <w:sz w:val="21"/>
      <w:szCs w:val="24"/>
    </w:rPr>
  </w:style>
  <w:style w:type="paragraph" w:styleId="717">
    <w:name w:val="寄信人地址"/>
    <w:basedOn w:val="703"/>
    <w:next w:val="717"/>
    <w:link w:val="703"/>
    <w:qFormat/>
    <w:rPr>
      <w:rFonts w:ascii="Arial" w:hAnsi="Arial" w:eastAsia="KaiTi_GB2312" w:cs="Times New Roman"/>
      <w:sz w:val="26"/>
      <w:szCs w:val="20"/>
    </w:rPr>
  </w:style>
  <w:style w:type="paragraph" w:styleId="718">
    <w:name w:val="文本块"/>
    <w:basedOn w:val="703"/>
    <w:next w:val="718"/>
    <w:link w:val="703"/>
    <w:qFormat/>
    <w:pPr>
      <w:ind w:left="630" w:right="-609" w:firstLine="420"/>
      <w:spacing w:line="360" w:lineRule="auto"/>
    </w:pPr>
    <w:rPr>
      <w:rFonts w:hint="eastAsia" w:ascii="仿宋_GB2312" w:hAnsi="Times New Roman" w:eastAsia="仿宋_GB2312" w:cs="Times New Roman"/>
      <w:szCs w:val="20"/>
    </w:rPr>
  </w:style>
  <w:style w:type="paragraph" w:styleId="719">
    <w:name w:val="目录 5"/>
    <w:basedOn w:val="703"/>
    <w:next w:val="703"/>
    <w:link w:val="703"/>
    <w:uiPriority w:val="39"/>
    <w:unhideWhenUsed/>
    <w:qFormat/>
    <w:pPr>
      <w:ind w:left="1134" w:right="0" w:firstLine="0"/>
      <w:spacing w:after="57"/>
    </w:pPr>
  </w:style>
  <w:style w:type="paragraph" w:styleId="720">
    <w:name w:val="目录 3"/>
    <w:basedOn w:val="703"/>
    <w:next w:val="703"/>
    <w:link w:val="703"/>
    <w:uiPriority w:val="39"/>
    <w:unhideWhenUsed/>
    <w:qFormat/>
    <w:pPr>
      <w:ind w:left="567" w:right="0" w:firstLine="0"/>
      <w:spacing w:after="57"/>
    </w:pPr>
  </w:style>
  <w:style w:type="paragraph" w:styleId="721">
    <w:name w:val="纯文本"/>
    <w:basedOn w:val="703"/>
    <w:next w:val="721"/>
    <w:link w:val="722"/>
    <w:qFormat/>
    <w:pPr>
      <w:jc w:val="left"/>
      <w:widowControl/>
    </w:pPr>
    <w:rPr>
      <w:rFonts w:ascii="宋体" w:hAnsi="Courier New" w:eastAsia="楷体_GB2312" w:cs="Times New Roman"/>
      <w:sz w:val="26"/>
    </w:rPr>
  </w:style>
  <w:style w:type="character" w:styleId="722">
    <w:name w:val="纯文本 字符"/>
    <w:basedOn w:val="705"/>
    <w:next w:val="722"/>
    <w:link w:val="721"/>
    <w:qFormat/>
    <w:rPr>
      <w:rFonts w:ascii="宋体" w:hAnsi="Courier New" w:cs="Courier New"/>
      <w:sz w:val="21"/>
      <w:szCs w:val="21"/>
    </w:rPr>
  </w:style>
  <w:style w:type="paragraph" w:styleId="723">
    <w:name w:val="目录 8"/>
    <w:basedOn w:val="703"/>
    <w:next w:val="703"/>
    <w:link w:val="703"/>
    <w:uiPriority w:val="39"/>
    <w:unhideWhenUsed/>
    <w:qFormat/>
    <w:pPr>
      <w:ind w:left="1984" w:right="0" w:firstLine="0"/>
      <w:spacing w:after="57"/>
    </w:pPr>
  </w:style>
  <w:style w:type="paragraph" w:styleId="724">
    <w:name w:val="尾注文本"/>
    <w:basedOn w:val="703"/>
    <w:next w:val="724"/>
    <w:link w:val="725"/>
    <w:uiPriority w:val="99"/>
    <w:unhideWhenUsed/>
    <w:qFormat/>
    <w:pPr>
      <w:spacing w:after="0" w:line="240" w:lineRule="auto"/>
    </w:pPr>
    <w:rPr>
      <w:sz w:val="20"/>
    </w:rPr>
  </w:style>
  <w:style w:type="character" w:styleId="725">
    <w:name w:val="Endnote Text Char"/>
    <w:next w:val="725"/>
    <w:link w:val="724"/>
    <w:uiPriority w:val="99"/>
    <w:qFormat/>
    <w:rPr>
      <w:sz w:val="20"/>
    </w:rPr>
  </w:style>
  <w:style w:type="paragraph" w:styleId="726">
    <w:name w:val="批注框文本"/>
    <w:basedOn w:val="703"/>
    <w:next w:val="726"/>
    <w:link w:val="727"/>
    <w:qFormat/>
    <w:rPr>
      <w:sz w:val="18"/>
      <w:szCs w:val="18"/>
    </w:rPr>
  </w:style>
  <w:style w:type="character" w:styleId="727">
    <w:name w:val="批注框文本 字符"/>
    <w:basedOn w:val="705"/>
    <w:next w:val="727"/>
    <w:link w:val="726"/>
    <w:qFormat/>
    <w:rPr>
      <w:rFonts w:ascii="Calibri" w:hAnsi="Calibri" w:eastAsia="Arial" w:cs="Arial"/>
      <w:sz w:val="18"/>
      <w:szCs w:val="18"/>
    </w:rPr>
  </w:style>
  <w:style w:type="paragraph" w:styleId="728">
    <w:name w:val="页脚"/>
    <w:basedOn w:val="703"/>
    <w:next w:val="728"/>
    <w:link w:val="703"/>
    <w:uiPriority w:val="99"/>
    <w:unhideWhenUsed/>
    <w:pPr>
      <w:jc w:val="left"/>
      <w:tabs>
        <w:tab w:val="center" w:pos="4153" w:leader="none"/>
        <w:tab w:val="right" w:pos="8306" w:leader="none"/>
      </w:tabs>
    </w:pPr>
    <w:rPr>
      <w:sz w:val="18"/>
    </w:rPr>
  </w:style>
  <w:style w:type="paragraph" w:styleId="729">
    <w:name w:val="页眉"/>
    <w:basedOn w:val="703"/>
    <w:next w:val="729"/>
    <w:link w:val="70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30">
    <w:name w:val="目录 1"/>
    <w:basedOn w:val="703"/>
    <w:next w:val="703"/>
    <w:link w:val="703"/>
    <w:qFormat/>
    <w:pPr>
      <w:jc w:val="left"/>
    </w:pPr>
    <w:rPr>
      <w:rFonts w:ascii="Times New Roman" w:hAnsi="Times New Roman" w:eastAsia="楷体_GB2312" w:cs="Times New Roman"/>
      <w:sz w:val="24"/>
      <w:szCs w:val="20"/>
    </w:rPr>
  </w:style>
  <w:style w:type="paragraph" w:styleId="731">
    <w:name w:val="目录 4"/>
    <w:basedOn w:val="703"/>
    <w:next w:val="703"/>
    <w:link w:val="703"/>
    <w:uiPriority w:val="39"/>
    <w:unhideWhenUsed/>
    <w:qFormat/>
    <w:pPr>
      <w:ind w:left="850" w:right="0" w:firstLine="0"/>
      <w:spacing w:after="57"/>
    </w:pPr>
  </w:style>
  <w:style w:type="paragraph" w:styleId="732">
    <w:name w:val="副标题"/>
    <w:basedOn w:val="703"/>
    <w:next w:val="703"/>
    <w:link w:val="733"/>
    <w:uiPriority w:val="11"/>
    <w:qFormat/>
    <w:pPr>
      <w:spacing w:before="200" w:after="200"/>
    </w:pPr>
    <w:rPr>
      <w:sz w:val="24"/>
      <w:szCs w:val="24"/>
    </w:rPr>
  </w:style>
  <w:style w:type="character" w:styleId="733">
    <w:name w:val="Subtitle Char"/>
    <w:basedOn w:val="705"/>
    <w:next w:val="733"/>
    <w:link w:val="732"/>
    <w:uiPriority w:val="11"/>
    <w:qFormat/>
    <w:rPr>
      <w:sz w:val="24"/>
      <w:szCs w:val="24"/>
    </w:rPr>
  </w:style>
  <w:style w:type="paragraph" w:styleId="734">
    <w:name w:val="脚注文本"/>
    <w:basedOn w:val="703"/>
    <w:next w:val="734"/>
    <w:link w:val="735"/>
    <w:uiPriority w:val="99"/>
    <w:unhideWhenUsed/>
    <w:qFormat/>
    <w:pPr>
      <w:spacing w:after="40" w:line="240" w:lineRule="auto"/>
    </w:pPr>
    <w:rPr>
      <w:sz w:val="18"/>
    </w:rPr>
  </w:style>
  <w:style w:type="character" w:styleId="735">
    <w:name w:val="Footnote Text Char"/>
    <w:next w:val="735"/>
    <w:link w:val="734"/>
    <w:uiPriority w:val="99"/>
    <w:qFormat/>
    <w:rPr>
      <w:sz w:val="18"/>
    </w:rPr>
  </w:style>
  <w:style w:type="paragraph" w:styleId="736">
    <w:name w:val="目录 6"/>
    <w:basedOn w:val="703"/>
    <w:next w:val="703"/>
    <w:link w:val="703"/>
    <w:uiPriority w:val="39"/>
    <w:unhideWhenUsed/>
    <w:qFormat/>
    <w:pPr>
      <w:ind w:left="1417" w:right="0" w:firstLine="0"/>
      <w:spacing w:after="57"/>
    </w:pPr>
  </w:style>
  <w:style w:type="paragraph" w:styleId="737">
    <w:name w:val="正文文本缩进 3"/>
    <w:basedOn w:val="703"/>
    <w:next w:val="737"/>
    <w:link w:val="738"/>
    <w:qFormat/>
    <w:pPr>
      <w:ind w:firstLine="480"/>
      <w:jc w:val="left"/>
      <w:spacing w:line="440" w:lineRule="atLeast"/>
    </w:pPr>
    <w:rPr>
      <w:rFonts w:ascii="Times New Roman" w:hAnsi="Times New Roman" w:eastAsia="宋体" w:cs="Times New Roman"/>
      <w:sz w:val="24"/>
    </w:rPr>
  </w:style>
  <w:style w:type="character" w:styleId="738">
    <w:name w:val="正文文本缩进 3 字符"/>
    <w:basedOn w:val="705"/>
    <w:next w:val="738"/>
    <w:link w:val="737"/>
    <w:qFormat/>
    <w:rPr>
      <w:rFonts w:ascii="Calibri" w:hAnsi="Calibri" w:eastAsia="Arial" w:cs="Arial"/>
      <w:sz w:val="16"/>
      <w:szCs w:val="16"/>
    </w:rPr>
  </w:style>
  <w:style w:type="paragraph" w:styleId="739">
    <w:name w:val="图表目录"/>
    <w:basedOn w:val="703"/>
    <w:next w:val="703"/>
    <w:link w:val="703"/>
    <w:uiPriority w:val="99"/>
    <w:unhideWhenUsed/>
    <w:qFormat/>
    <w:pPr>
      <w:spacing w:after="0" w:afterAutospacing="0"/>
    </w:pPr>
  </w:style>
  <w:style w:type="paragraph" w:styleId="740">
    <w:name w:val="目录 2"/>
    <w:basedOn w:val="703"/>
    <w:next w:val="703"/>
    <w:link w:val="703"/>
    <w:uiPriority w:val="39"/>
    <w:unhideWhenUsed/>
    <w:qFormat/>
    <w:pPr>
      <w:ind w:left="283" w:right="0" w:firstLine="0"/>
      <w:spacing w:after="57"/>
    </w:pPr>
  </w:style>
  <w:style w:type="paragraph" w:styleId="741">
    <w:name w:val="目录 9"/>
    <w:basedOn w:val="703"/>
    <w:next w:val="703"/>
    <w:link w:val="703"/>
    <w:uiPriority w:val="39"/>
    <w:unhideWhenUsed/>
    <w:qFormat/>
    <w:pPr>
      <w:ind w:left="2268" w:right="0" w:firstLine="0"/>
      <w:spacing w:after="57"/>
    </w:pPr>
  </w:style>
  <w:style w:type="paragraph" w:styleId="742">
    <w:name w:val="普通(网站)"/>
    <w:basedOn w:val="703"/>
    <w:next w:val="742"/>
    <w:link w:val="703"/>
    <w:uiPriority w:val="99"/>
    <w:qFormat/>
    <w:pPr>
      <w:jc w:val="left"/>
      <w:spacing w:beforeAutospacing="1" w:afterAutospacing="1"/>
    </w:pPr>
    <w:rPr>
      <w:rFonts w:cs="Times New Roman"/>
      <w:sz w:val="24"/>
    </w:rPr>
  </w:style>
  <w:style w:type="paragraph" w:styleId="743">
    <w:name w:val="标题"/>
    <w:basedOn w:val="703"/>
    <w:next w:val="703"/>
    <w:link w:val="744"/>
    <w:uiPriority w:val="10"/>
    <w:qFormat/>
    <w:pPr>
      <w:contextualSpacing/>
      <w:spacing w:before="300" w:after="200"/>
    </w:pPr>
    <w:rPr>
      <w:sz w:val="48"/>
      <w:szCs w:val="48"/>
    </w:rPr>
  </w:style>
  <w:style w:type="character" w:styleId="744">
    <w:name w:val="Title Char"/>
    <w:basedOn w:val="705"/>
    <w:next w:val="744"/>
    <w:link w:val="743"/>
    <w:uiPriority w:val="10"/>
    <w:qFormat/>
    <w:rPr>
      <w:sz w:val="48"/>
      <w:szCs w:val="48"/>
    </w:rPr>
  </w:style>
  <w:style w:type="paragraph" w:styleId="745">
    <w:name w:val="批注主题"/>
    <w:basedOn w:val="711"/>
    <w:next w:val="711"/>
    <w:link w:val="746"/>
    <w:qFormat/>
    <w:rPr>
      <w:b/>
      <w:bCs/>
    </w:rPr>
  </w:style>
  <w:style w:type="character" w:styleId="746">
    <w:name w:val="批注主题 字符1"/>
    <w:basedOn w:val="712"/>
    <w:next w:val="746"/>
    <w:link w:val="745"/>
    <w:qFormat/>
    <w:rPr>
      <w:rFonts w:ascii="Calibri" w:hAnsi="Calibri" w:eastAsia="Arial" w:cs="Arial"/>
      <w:b/>
      <w:bCs/>
      <w:sz w:val="21"/>
      <w:szCs w:val="24"/>
    </w:rPr>
  </w:style>
  <w:style w:type="paragraph" w:styleId="747">
    <w:name w:val="正文首行缩进 2"/>
    <w:basedOn w:val="715"/>
    <w:next w:val="747"/>
    <w:link w:val="703"/>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48">
    <w:name w:val="网格型"/>
    <w:basedOn w:val="706"/>
    <w:next w:val="748"/>
    <w:link w:val="703"/>
    <w:uiPriority w:val="59"/>
    <w:qFormat/>
    <w:tblPr/>
  </w:style>
  <w:style w:type="character" w:styleId="749">
    <w:name w:val="要点"/>
    <w:basedOn w:val="705"/>
    <w:next w:val="749"/>
    <w:link w:val="703"/>
    <w:qFormat/>
    <w:rPr>
      <w:b/>
    </w:rPr>
  </w:style>
  <w:style w:type="character" w:styleId="750">
    <w:name w:val="尾注引用"/>
    <w:basedOn w:val="705"/>
    <w:next w:val="750"/>
    <w:link w:val="703"/>
    <w:uiPriority w:val="99"/>
    <w:unhideWhenUsed/>
    <w:qFormat/>
    <w:rPr>
      <w:vertAlign w:val="superscript"/>
    </w:rPr>
  </w:style>
  <w:style w:type="character" w:styleId="751">
    <w:name w:val="页码"/>
    <w:basedOn w:val="705"/>
    <w:next w:val="751"/>
    <w:link w:val="703"/>
    <w:qFormat/>
  </w:style>
  <w:style w:type="character" w:styleId="752">
    <w:name w:val="已访问的超链接"/>
    <w:basedOn w:val="705"/>
    <w:next w:val="752"/>
    <w:link w:val="703"/>
    <w:unhideWhenUsed/>
    <w:qFormat/>
    <w:rPr>
      <w:color w:val="333333"/>
      <w:u w:val="none"/>
    </w:rPr>
  </w:style>
  <w:style w:type="character" w:styleId="753">
    <w:name w:val="强调"/>
    <w:basedOn w:val="705"/>
    <w:next w:val="753"/>
    <w:link w:val="703"/>
    <w:qFormat/>
  </w:style>
  <w:style w:type="character" w:styleId="754">
    <w:name w:val="超链接"/>
    <w:basedOn w:val="705"/>
    <w:next w:val="754"/>
    <w:link w:val="703"/>
    <w:uiPriority w:val="99"/>
    <w:qFormat/>
    <w:rPr>
      <w:color w:val="333333"/>
      <w:u w:val="none"/>
    </w:rPr>
  </w:style>
  <w:style w:type="character" w:styleId="755">
    <w:name w:val="批注引用"/>
    <w:basedOn w:val="705"/>
    <w:next w:val="755"/>
    <w:link w:val="703"/>
    <w:qFormat/>
    <w:rPr>
      <w:sz w:val="21"/>
      <w:szCs w:val="21"/>
    </w:rPr>
  </w:style>
  <w:style w:type="character" w:styleId="756">
    <w:name w:val="脚注引用"/>
    <w:basedOn w:val="705"/>
    <w:next w:val="756"/>
    <w:link w:val="703"/>
    <w:uiPriority w:val="99"/>
    <w:unhideWhenUsed/>
    <w:qFormat/>
    <w:rPr>
      <w:vertAlign w:val="superscript"/>
    </w:rPr>
  </w:style>
  <w:style w:type="character" w:styleId="757">
    <w:name w:val="标题 2 字符"/>
    <w:basedOn w:val="705"/>
    <w:next w:val="757"/>
    <w:link w:val="758"/>
    <w:semiHidden/>
    <w:qFormat/>
    <w:rPr>
      <w:rFonts w:ascii="Calibri Light" w:hAnsi="Calibri Light" w:eastAsia="Arial" w:cs="Arial"/>
      <w:b/>
      <w:bCs/>
      <w:sz w:val="32"/>
      <w:szCs w:val="32"/>
    </w:rPr>
  </w:style>
  <w:style w:type="paragraph" w:styleId="758">
    <w:name w:val="Heading 2"/>
    <w:basedOn w:val="703"/>
    <w:next w:val="703"/>
    <w:link w:val="757"/>
    <w:unhideWhenUsed/>
    <w:qFormat/>
    <w:pPr>
      <w:keepLines/>
      <w:keepNext/>
      <w:spacing w:before="260" w:after="260" w:line="416" w:lineRule="auto"/>
      <w:outlineLvl w:val="1"/>
    </w:pPr>
    <w:rPr>
      <w:rFonts w:ascii="Calibri Light" w:hAnsi="Calibri Light" w:eastAsia="Arial" w:cs="Arial"/>
      <w:b/>
      <w:bCs/>
      <w:sz w:val="32"/>
      <w:szCs w:val="32"/>
    </w:rPr>
  </w:style>
  <w:style w:type="paragraph" w:styleId="759">
    <w:name w:val="Heading 1"/>
    <w:basedOn w:val="703"/>
    <w:next w:val="703"/>
    <w:link w:val="760"/>
    <w:qFormat/>
    <w:pPr>
      <w:keepLines/>
      <w:keepNext/>
      <w:spacing w:before="340" w:after="330" w:line="578" w:lineRule="auto"/>
      <w:outlineLvl w:val="0"/>
    </w:pPr>
    <w:rPr>
      <w:b/>
      <w:bCs/>
      <w:sz w:val="44"/>
      <w:szCs w:val="44"/>
    </w:rPr>
  </w:style>
  <w:style w:type="character" w:styleId="760">
    <w:name w:val="标题 1 字符"/>
    <w:basedOn w:val="705"/>
    <w:next w:val="760"/>
    <w:link w:val="759"/>
    <w:qFormat/>
    <w:rPr>
      <w:rFonts w:ascii="Calibri" w:hAnsi="Calibri" w:eastAsia="Arial" w:cs="Arial"/>
      <w:b/>
      <w:bCs/>
      <w:sz w:val="44"/>
      <w:szCs w:val="44"/>
    </w:rPr>
  </w:style>
  <w:style w:type="paragraph" w:styleId="761">
    <w:name w:val="Heading 3"/>
    <w:basedOn w:val="703"/>
    <w:next w:val="703"/>
    <w:link w:val="762"/>
    <w:qFormat/>
    <w:pPr>
      <w:keepLines/>
      <w:keepNext/>
      <w:spacing w:before="260" w:after="260" w:line="416" w:lineRule="auto"/>
      <w:outlineLvl w:val="2"/>
    </w:pPr>
    <w:rPr>
      <w:rFonts w:ascii="Times New Roman" w:hAnsi="Times New Roman" w:eastAsia="宋体" w:cs="Times New Roman"/>
      <w:b/>
      <w:sz w:val="32"/>
      <w:szCs w:val="20"/>
    </w:rPr>
  </w:style>
  <w:style w:type="character" w:styleId="762">
    <w:name w:val="标题 3 字符"/>
    <w:basedOn w:val="705"/>
    <w:next w:val="762"/>
    <w:link w:val="761"/>
    <w:qFormat/>
    <w:rPr>
      <w:b/>
      <w:sz w:val="32"/>
    </w:rPr>
  </w:style>
  <w:style w:type="paragraph" w:styleId="763">
    <w:name w:val="Heading 4"/>
    <w:basedOn w:val="703"/>
    <w:next w:val="703"/>
    <w:link w:val="703"/>
    <w:qFormat/>
    <w:pPr>
      <w:keepNext/>
      <w:outlineLvl w:val="3"/>
    </w:pPr>
    <w:rPr>
      <w:sz w:val="28"/>
      <w:szCs w:val="20"/>
    </w:rPr>
  </w:style>
  <w:style w:type="paragraph" w:styleId="764">
    <w:name w:val="Heading 5"/>
    <w:basedOn w:val="703"/>
    <w:next w:val="70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705"/>
    <w:next w:val="765"/>
    <w:link w:val="764"/>
    <w:uiPriority w:val="9"/>
    <w:qFormat/>
    <w:rPr>
      <w:rFonts w:ascii="Arial" w:hAnsi="Arial" w:eastAsia="Arial" w:cs="Arial"/>
      <w:b/>
      <w:bCs/>
      <w:sz w:val="24"/>
      <w:szCs w:val="24"/>
    </w:rPr>
  </w:style>
  <w:style w:type="paragraph" w:styleId="766">
    <w:name w:val="Heading 6"/>
    <w:basedOn w:val="703"/>
    <w:next w:val="70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705"/>
    <w:next w:val="767"/>
    <w:link w:val="766"/>
    <w:uiPriority w:val="9"/>
    <w:qFormat/>
    <w:rPr>
      <w:rFonts w:ascii="Arial" w:hAnsi="Arial" w:eastAsia="Arial" w:cs="Arial"/>
      <w:b/>
      <w:bCs/>
      <w:sz w:val="22"/>
      <w:szCs w:val="22"/>
    </w:rPr>
  </w:style>
  <w:style w:type="paragraph" w:styleId="768">
    <w:name w:val="Heading 7"/>
    <w:basedOn w:val="703"/>
    <w:next w:val="70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705"/>
    <w:next w:val="769"/>
    <w:link w:val="768"/>
    <w:uiPriority w:val="9"/>
    <w:qFormat/>
    <w:rPr>
      <w:rFonts w:ascii="Arial" w:hAnsi="Arial" w:eastAsia="Arial" w:cs="Arial"/>
      <w:b/>
      <w:bCs/>
      <w:i/>
      <w:iCs/>
      <w:sz w:val="22"/>
      <w:szCs w:val="22"/>
    </w:rPr>
  </w:style>
  <w:style w:type="paragraph" w:styleId="770">
    <w:name w:val="Heading 8"/>
    <w:basedOn w:val="703"/>
    <w:next w:val="70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705"/>
    <w:next w:val="771"/>
    <w:link w:val="770"/>
    <w:uiPriority w:val="9"/>
    <w:qFormat/>
    <w:rPr>
      <w:rFonts w:ascii="Arial" w:hAnsi="Arial" w:eastAsia="Arial" w:cs="Arial"/>
      <w:i/>
      <w:iCs/>
      <w:sz w:val="22"/>
      <w:szCs w:val="22"/>
    </w:rPr>
  </w:style>
  <w:style w:type="paragraph" w:styleId="772">
    <w:name w:val="Heading 9"/>
    <w:basedOn w:val="703"/>
    <w:next w:val="70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705"/>
    <w:next w:val="773"/>
    <w:link w:val="772"/>
    <w:uiPriority w:val="9"/>
    <w:qFormat/>
    <w:rPr>
      <w:rFonts w:ascii="Arial" w:hAnsi="Arial" w:eastAsia="Arial" w:cs="Arial"/>
      <w:i/>
      <w:iCs/>
      <w:sz w:val="21"/>
      <w:szCs w:val="21"/>
    </w:rPr>
  </w:style>
  <w:style w:type="paragraph" w:styleId="774">
    <w:name w:val="Caption1"/>
    <w:basedOn w:val="703"/>
    <w:next w:val="703"/>
    <w:link w:val="703"/>
    <w:uiPriority w:val="35"/>
    <w:unhideWhenUsed/>
    <w:qFormat/>
    <w:pPr>
      <w:spacing w:line="276" w:lineRule="auto"/>
    </w:pPr>
    <w:rPr>
      <w:b/>
      <w:bCs/>
      <w:color w:val="5b9bd5"/>
      <w:sz w:val="18"/>
      <w:szCs w:val="18"/>
    </w:rPr>
  </w:style>
  <w:style w:type="paragraph" w:styleId="775">
    <w:name w:val="Footer1"/>
    <w:basedOn w:val="703"/>
    <w:next w:val="775"/>
    <w:link w:val="776"/>
    <w:qFormat/>
    <w:pPr>
      <w:jc w:val="left"/>
      <w:tabs>
        <w:tab w:val="center" w:pos="4153" w:leader="none"/>
        <w:tab w:val="right" w:pos="8306" w:leader="none"/>
      </w:tabs>
    </w:pPr>
    <w:rPr>
      <w:sz w:val="18"/>
      <w:szCs w:val="18"/>
    </w:rPr>
  </w:style>
  <w:style w:type="character" w:styleId="776">
    <w:name w:val="页脚 字符"/>
    <w:basedOn w:val="705"/>
    <w:next w:val="776"/>
    <w:link w:val="775"/>
    <w:qFormat/>
    <w:rPr>
      <w:rFonts w:ascii="Calibri" w:hAnsi="Calibri" w:eastAsia="Arial" w:cs="Arial"/>
      <w:sz w:val="18"/>
      <w:szCs w:val="18"/>
    </w:rPr>
  </w:style>
  <w:style w:type="paragraph" w:styleId="777">
    <w:name w:val="Header1"/>
    <w:basedOn w:val="703"/>
    <w:next w:val="777"/>
    <w:link w:val="778"/>
    <w:qFormat/>
    <w:pPr>
      <w:jc w:val="center"/>
      <w:tabs>
        <w:tab w:val="center" w:pos="4153" w:leader="none"/>
        <w:tab w:val="right" w:pos="8306" w:leader="none"/>
      </w:tabs>
      <w:pBdr>
        <w:bottom w:val="single" w:color="000000" w:sz="6" w:space="1"/>
      </w:pBdr>
    </w:pPr>
    <w:rPr>
      <w:sz w:val="18"/>
      <w:szCs w:val="18"/>
    </w:rPr>
  </w:style>
  <w:style w:type="character" w:styleId="778">
    <w:name w:val="页眉 字符"/>
    <w:basedOn w:val="705"/>
    <w:next w:val="778"/>
    <w:link w:val="777"/>
    <w:qFormat/>
    <w:rPr>
      <w:rFonts w:ascii="Calibri" w:hAnsi="Calibri" w:eastAsia="Arial" w:cs="Arial"/>
      <w:sz w:val="18"/>
      <w:szCs w:val="18"/>
    </w:rPr>
  </w:style>
  <w:style w:type="character" w:styleId="779">
    <w:name w:val="Heading 1 Char"/>
    <w:basedOn w:val="705"/>
    <w:next w:val="779"/>
    <w:link w:val="703"/>
    <w:uiPriority w:val="9"/>
    <w:qFormat/>
    <w:rPr>
      <w:rFonts w:ascii="Arial" w:hAnsi="Arial" w:eastAsia="Arial" w:cs="Arial"/>
      <w:sz w:val="40"/>
      <w:szCs w:val="40"/>
    </w:rPr>
  </w:style>
  <w:style w:type="character" w:styleId="780">
    <w:name w:val="Heading 2 Char"/>
    <w:basedOn w:val="705"/>
    <w:next w:val="780"/>
    <w:link w:val="703"/>
    <w:uiPriority w:val="9"/>
    <w:qFormat/>
    <w:rPr>
      <w:rFonts w:ascii="Arial" w:hAnsi="Arial" w:eastAsia="Arial" w:cs="Arial"/>
      <w:sz w:val="34"/>
    </w:rPr>
  </w:style>
  <w:style w:type="character" w:styleId="781">
    <w:name w:val="Heading 3 Char"/>
    <w:basedOn w:val="705"/>
    <w:next w:val="781"/>
    <w:link w:val="703"/>
    <w:uiPriority w:val="9"/>
    <w:qFormat/>
    <w:rPr>
      <w:rFonts w:ascii="Arial" w:hAnsi="Arial" w:eastAsia="Arial" w:cs="Arial"/>
      <w:sz w:val="30"/>
      <w:szCs w:val="30"/>
    </w:rPr>
  </w:style>
  <w:style w:type="character" w:styleId="782">
    <w:name w:val="Heading 4 Char"/>
    <w:basedOn w:val="705"/>
    <w:next w:val="782"/>
    <w:link w:val="703"/>
    <w:uiPriority w:val="9"/>
    <w:qFormat/>
    <w:rPr>
      <w:rFonts w:ascii="Arial" w:hAnsi="Arial" w:eastAsia="Arial" w:cs="Arial"/>
      <w:b/>
      <w:bCs/>
      <w:sz w:val="26"/>
      <w:szCs w:val="26"/>
    </w:rPr>
  </w:style>
  <w:style w:type="paragraph" w:styleId="783">
    <w:name w:val="No Spacing"/>
    <w:next w:val="783"/>
    <w:link w:val="703"/>
    <w:uiPriority w:val="1"/>
    <w:qFormat/>
    <w:pPr>
      <w:spacing w:before="0" w:after="0" w:line="240" w:lineRule="auto"/>
    </w:pPr>
  </w:style>
  <w:style w:type="paragraph" w:styleId="784">
    <w:name w:val="Quote"/>
    <w:basedOn w:val="703"/>
    <w:next w:val="703"/>
    <w:link w:val="785"/>
    <w:uiPriority w:val="29"/>
    <w:qFormat/>
    <w:pPr>
      <w:ind w:left="720" w:right="720"/>
    </w:pPr>
    <w:rPr>
      <w:i/>
    </w:rPr>
  </w:style>
  <w:style w:type="character" w:styleId="785">
    <w:name w:val="Quote Char"/>
    <w:next w:val="785"/>
    <w:link w:val="784"/>
    <w:uiPriority w:val="29"/>
    <w:qFormat/>
    <w:rPr>
      <w:i/>
    </w:rPr>
  </w:style>
  <w:style w:type="paragraph" w:styleId="786">
    <w:name w:val="Intense Quote"/>
    <w:basedOn w:val="703"/>
    <w:next w:val="703"/>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next w:val="787"/>
    <w:link w:val="786"/>
    <w:uiPriority w:val="30"/>
    <w:qFormat/>
    <w:rPr>
      <w:i/>
    </w:rPr>
  </w:style>
  <w:style w:type="character" w:styleId="788">
    <w:name w:val="Header Char"/>
    <w:basedOn w:val="705"/>
    <w:next w:val="788"/>
    <w:link w:val="703"/>
    <w:uiPriority w:val="99"/>
    <w:qFormat/>
  </w:style>
  <w:style w:type="character" w:styleId="789">
    <w:name w:val="Footer Char"/>
    <w:basedOn w:val="705"/>
    <w:next w:val="789"/>
    <w:link w:val="703"/>
    <w:uiPriority w:val="99"/>
    <w:qFormat/>
  </w:style>
  <w:style w:type="character" w:styleId="790">
    <w:name w:val="Caption Char"/>
    <w:next w:val="790"/>
    <w:link w:val="703"/>
    <w:uiPriority w:val="99"/>
    <w:qFormat/>
  </w:style>
  <w:style w:type="table" w:styleId="791">
    <w:name w:val="Table Grid Light"/>
    <w:basedOn w:val="706"/>
    <w:next w:val="791"/>
    <w:link w:val="703"/>
    <w:uiPriority w:val="59"/>
    <w:qFormat/>
    <w:pPr>
      <w:spacing w:after="0" w:line="240" w:lineRule="auto"/>
    </w:pPr>
    <w:tblPr/>
  </w:style>
  <w:style w:type="table" w:styleId="792">
    <w:name w:val="Plain Table 1"/>
    <w:basedOn w:val="706"/>
    <w:next w:val="792"/>
    <w:link w:val="703"/>
    <w:uiPriority w:val="59"/>
    <w:qFormat/>
    <w:pPr>
      <w:spacing w:after="0" w:line="240" w:lineRule="auto"/>
    </w:pPr>
    <w:tblPr/>
  </w:style>
  <w:style w:type="table" w:styleId="793">
    <w:name w:val="Plain Table 2"/>
    <w:basedOn w:val="706"/>
    <w:next w:val="793"/>
    <w:link w:val="703"/>
    <w:uiPriority w:val="59"/>
    <w:qFormat/>
    <w:pPr>
      <w:spacing w:after="0" w:line="240" w:lineRule="auto"/>
    </w:pPr>
    <w:tblPr/>
  </w:style>
  <w:style w:type="table" w:styleId="794">
    <w:name w:val="Plain Table 3"/>
    <w:basedOn w:val="706"/>
    <w:next w:val="794"/>
    <w:link w:val="703"/>
    <w:uiPriority w:val="99"/>
    <w:qFormat/>
    <w:pPr>
      <w:spacing w:after="0" w:line="240" w:lineRule="auto"/>
    </w:pPr>
    <w:tblPr/>
  </w:style>
  <w:style w:type="table" w:styleId="795">
    <w:name w:val="Plain Table 4"/>
    <w:basedOn w:val="706"/>
    <w:next w:val="795"/>
    <w:link w:val="703"/>
    <w:uiPriority w:val="99"/>
    <w:qFormat/>
    <w:pPr>
      <w:spacing w:after="0" w:line="240" w:lineRule="auto"/>
    </w:pPr>
    <w:tblPr/>
  </w:style>
  <w:style w:type="table" w:styleId="796">
    <w:name w:val="Plain Table 5"/>
    <w:basedOn w:val="706"/>
    <w:next w:val="796"/>
    <w:link w:val="703"/>
    <w:uiPriority w:val="99"/>
    <w:qFormat/>
    <w:pPr>
      <w:spacing w:after="0" w:line="240" w:lineRule="auto"/>
    </w:pPr>
    <w:tblPr/>
  </w:style>
  <w:style w:type="table" w:styleId="797">
    <w:name w:val="Grid Table 1 Light"/>
    <w:basedOn w:val="706"/>
    <w:next w:val="797"/>
    <w:link w:val="703"/>
    <w:uiPriority w:val="99"/>
    <w:qFormat/>
    <w:pPr>
      <w:spacing w:after="0" w:line="240" w:lineRule="auto"/>
    </w:pPr>
    <w:tblPr/>
  </w:style>
  <w:style w:type="table" w:styleId="798">
    <w:name w:val="Grid Table 1 Light - Accent 1"/>
    <w:basedOn w:val="706"/>
    <w:next w:val="798"/>
    <w:link w:val="703"/>
    <w:uiPriority w:val="99"/>
    <w:qFormat/>
    <w:pPr>
      <w:spacing w:after="0" w:line="240" w:lineRule="auto"/>
    </w:pPr>
    <w:tblPr/>
  </w:style>
  <w:style w:type="table" w:styleId="799">
    <w:name w:val="Grid Table 1 Light - Accent 2"/>
    <w:basedOn w:val="706"/>
    <w:next w:val="799"/>
    <w:link w:val="703"/>
    <w:uiPriority w:val="99"/>
    <w:qFormat/>
    <w:pPr>
      <w:spacing w:after="0" w:line="240" w:lineRule="auto"/>
    </w:pPr>
    <w:tblPr/>
  </w:style>
  <w:style w:type="table" w:styleId="800">
    <w:name w:val="Grid Table 1 Light - Accent 3"/>
    <w:basedOn w:val="706"/>
    <w:next w:val="800"/>
    <w:link w:val="703"/>
    <w:uiPriority w:val="99"/>
    <w:qFormat/>
    <w:pPr>
      <w:spacing w:after="0" w:line="240" w:lineRule="auto"/>
    </w:pPr>
    <w:tblPr/>
  </w:style>
  <w:style w:type="table" w:styleId="801">
    <w:name w:val="Grid Table 1 Light - Accent 4"/>
    <w:basedOn w:val="706"/>
    <w:next w:val="801"/>
    <w:link w:val="703"/>
    <w:uiPriority w:val="99"/>
    <w:qFormat/>
    <w:pPr>
      <w:spacing w:after="0" w:line="240" w:lineRule="auto"/>
    </w:pPr>
    <w:tblPr/>
  </w:style>
  <w:style w:type="table" w:styleId="802">
    <w:name w:val="Grid Table 1 Light - Accent 5"/>
    <w:basedOn w:val="706"/>
    <w:next w:val="802"/>
    <w:link w:val="703"/>
    <w:uiPriority w:val="99"/>
    <w:qFormat/>
    <w:pPr>
      <w:spacing w:after="0" w:line="240" w:lineRule="auto"/>
    </w:pPr>
    <w:tblPr/>
  </w:style>
  <w:style w:type="table" w:styleId="803">
    <w:name w:val="Grid Table 1 Light - Accent 6"/>
    <w:basedOn w:val="706"/>
    <w:next w:val="803"/>
    <w:link w:val="703"/>
    <w:uiPriority w:val="99"/>
    <w:qFormat/>
    <w:pPr>
      <w:spacing w:after="0" w:line="240" w:lineRule="auto"/>
    </w:pPr>
    <w:tblPr/>
  </w:style>
  <w:style w:type="table" w:styleId="804">
    <w:name w:val="Grid Table 2"/>
    <w:basedOn w:val="706"/>
    <w:next w:val="804"/>
    <w:link w:val="703"/>
    <w:uiPriority w:val="99"/>
    <w:qFormat/>
    <w:pPr>
      <w:spacing w:after="0" w:line="240" w:lineRule="auto"/>
    </w:pPr>
    <w:tblPr/>
  </w:style>
  <w:style w:type="table" w:styleId="805">
    <w:name w:val="Grid Table 2 - Accent 1"/>
    <w:basedOn w:val="706"/>
    <w:next w:val="805"/>
    <w:link w:val="703"/>
    <w:uiPriority w:val="99"/>
    <w:qFormat/>
    <w:pPr>
      <w:spacing w:after="0" w:line="240" w:lineRule="auto"/>
    </w:pPr>
    <w:tblPr/>
  </w:style>
  <w:style w:type="table" w:styleId="806">
    <w:name w:val="Grid Table 2 - Accent 2"/>
    <w:basedOn w:val="706"/>
    <w:next w:val="806"/>
    <w:link w:val="703"/>
    <w:uiPriority w:val="99"/>
    <w:qFormat/>
    <w:pPr>
      <w:spacing w:after="0" w:line="240" w:lineRule="auto"/>
    </w:pPr>
    <w:tblPr/>
  </w:style>
  <w:style w:type="table" w:styleId="807">
    <w:name w:val="Grid Table 2 - Accent 3"/>
    <w:basedOn w:val="706"/>
    <w:next w:val="807"/>
    <w:link w:val="703"/>
    <w:uiPriority w:val="99"/>
    <w:qFormat/>
    <w:pPr>
      <w:spacing w:after="0" w:line="240" w:lineRule="auto"/>
    </w:pPr>
    <w:tblPr/>
  </w:style>
  <w:style w:type="table" w:styleId="808">
    <w:name w:val="Grid Table 2 - Accent 4"/>
    <w:basedOn w:val="706"/>
    <w:next w:val="808"/>
    <w:link w:val="703"/>
    <w:uiPriority w:val="99"/>
    <w:qFormat/>
    <w:pPr>
      <w:spacing w:after="0" w:line="240" w:lineRule="auto"/>
    </w:pPr>
    <w:tblPr/>
  </w:style>
  <w:style w:type="table" w:styleId="809">
    <w:name w:val="Grid Table 2 - Accent 5"/>
    <w:basedOn w:val="706"/>
    <w:next w:val="809"/>
    <w:link w:val="703"/>
    <w:uiPriority w:val="99"/>
    <w:qFormat/>
    <w:pPr>
      <w:spacing w:after="0" w:line="240" w:lineRule="auto"/>
    </w:pPr>
    <w:tblPr/>
  </w:style>
  <w:style w:type="table" w:styleId="810">
    <w:name w:val="Grid Table 2 - Accent 6"/>
    <w:basedOn w:val="706"/>
    <w:next w:val="810"/>
    <w:link w:val="703"/>
    <w:uiPriority w:val="99"/>
    <w:qFormat/>
    <w:pPr>
      <w:spacing w:after="0" w:line="240" w:lineRule="auto"/>
    </w:pPr>
    <w:tblPr/>
  </w:style>
  <w:style w:type="table" w:styleId="811">
    <w:name w:val="Grid Table 3"/>
    <w:basedOn w:val="706"/>
    <w:next w:val="811"/>
    <w:link w:val="703"/>
    <w:uiPriority w:val="99"/>
    <w:qFormat/>
    <w:pPr>
      <w:spacing w:after="0" w:line="240" w:lineRule="auto"/>
    </w:pPr>
    <w:tblPr/>
  </w:style>
  <w:style w:type="table" w:styleId="812">
    <w:name w:val="Grid Table 3 - Accent 1"/>
    <w:basedOn w:val="706"/>
    <w:next w:val="812"/>
    <w:link w:val="703"/>
    <w:uiPriority w:val="99"/>
    <w:qFormat/>
    <w:pPr>
      <w:spacing w:after="0" w:line="240" w:lineRule="auto"/>
    </w:pPr>
    <w:tblPr/>
  </w:style>
  <w:style w:type="table" w:styleId="813">
    <w:name w:val="Grid Table 3 - Accent 2"/>
    <w:basedOn w:val="706"/>
    <w:next w:val="813"/>
    <w:link w:val="703"/>
    <w:uiPriority w:val="99"/>
    <w:qFormat/>
    <w:pPr>
      <w:spacing w:after="0" w:line="240" w:lineRule="auto"/>
    </w:pPr>
    <w:tblPr/>
  </w:style>
  <w:style w:type="table" w:styleId="814">
    <w:name w:val="Grid Table 3 - Accent 3"/>
    <w:basedOn w:val="706"/>
    <w:next w:val="814"/>
    <w:link w:val="703"/>
    <w:uiPriority w:val="99"/>
    <w:qFormat/>
    <w:pPr>
      <w:spacing w:after="0" w:line="240" w:lineRule="auto"/>
    </w:pPr>
    <w:tblPr/>
  </w:style>
  <w:style w:type="table" w:styleId="815">
    <w:name w:val="Grid Table 3 - Accent 4"/>
    <w:basedOn w:val="706"/>
    <w:next w:val="815"/>
    <w:link w:val="703"/>
    <w:uiPriority w:val="99"/>
    <w:qFormat/>
    <w:pPr>
      <w:spacing w:after="0" w:line="240" w:lineRule="auto"/>
    </w:pPr>
    <w:tblPr/>
  </w:style>
  <w:style w:type="table" w:styleId="816">
    <w:name w:val="Grid Table 3 - Accent 5"/>
    <w:basedOn w:val="706"/>
    <w:next w:val="816"/>
    <w:link w:val="703"/>
    <w:uiPriority w:val="99"/>
    <w:qFormat/>
    <w:pPr>
      <w:spacing w:after="0" w:line="240" w:lineRule="auto"/>
    </w:pPr>
    <w:tblPr/>
  </w:style>
  <w:style w:type="table" w:styleId="817">
    <w:name w:val="Grid Table 3 - Accent 6"/>
    <w:basedOn w:val="706"/>
    <w:next w:val="817"/>
    <w:link w:val="703"/>
    <w:uiPriority w:val="99"/>
    <w:qFormat/>
    <w:pPr>
      <w:spacing w:after="0" w:line="240" w:lineRule="auto"/>
    </w:pPr>
    <w:tblPr/>
  </w:style>
  <w:style w:type="table" w:styleId="818">
    <w:name w:val="Grid Table 4"/>
    <w:basedOn w:val="706"/>
    <w:next w:val="818"/>
    <w:link w:val="703"/>
    <w:uiPriority w:val="59"/>
    <w:qFormat/>
    <w:pPr>
      <w:spacing w:after="0" w:line="240" w:lineRule="auto"/>
    </w:pPr>
    <w:tblPr/>
  </w:style>
  <w:style w:type="table" w:styleId="819">
    <w:name w:val="Grid Table 4 - Accent 1"/>
    <w:basedOn w:val="706"/>
    <w:next w:val="819"/>
    <w:link w:val="703"/>
    <w:uiPriority w:val="59"/>
    <w:qFormat/>
    <w:pPr>
      <w:spacing w:after="0" w:line="240" w:lineRule="auto"/>
    </w:pPr>
    <w:tblPr/>
  </w:style>
  <w:style w:type="table" w:styleId="820">
    <w:name w:val="Grid Table 4 - Accent 2"/>
    <w:basedOn w:val="706"/>
    <w:next w:val="820"/>
    <w:link w:val="703"/>
    <w:uiPriority w:val="59"/>
    <w:qFormat/>
    <w:pPr>
      <w:spacing w:after="0" w:line="240" w:lineRule="auto"/>
    </w:pPr>
    <w:tblPr/>
  </w:style>
  <w:style w:type="table" w:styleId="821">
    <w:name w:val="Grid Table 4 - Accent 3"/>
    <w:basedOn w:val="706"/>
    <w:next w:val="821"/>
    <w:link w:val="703"/>
    <w:uiPriority w:val="59"/>
    <w:qFormat/>
    <w:pPr>
      <w:spacing w:after="0" w:line="240" w:lineRule="auto"/>
    </w:pPr>
    <w:tblPr/>
  </w:style>
  <w:style w:type="table" w:styleId="822">
    <w:name w:val="Grid Table 4 - Accent 4"/>
    <w:basedOn w:val="706"/>
    <w:next w:val="822"/>
    <w:link w:val="703"/>
    <w:uiPriority w:val="59"/>
    <w:qFormat/>
    <w:pPr>
      <w:spacing w:after="0" w:line="240" w:lineRule="auto"/>
    </w:pPr>
    <w:tblPr/>
  </w:style>
  <w:style w:type="table" w:styleId="823">
    <w:name w:val="Grid Table 4 - Accent 5"/>
    <w:basedOn w:val="706"/>
    <w:next w:val="823"/>
    <w:link w:val="703"/>
    <w:uiPriority w:val="59"/>
    <w:qFormat/>
    <w:pPr>
      <w:spacing w:after="0" w:line="240" w:lineRule="auto"/>
    </w:pPr>
    <w:tblPr/>
  </w:style>
  <w:style w:type="table" w:styleId="824">
    <w:name w:val="Grid Table 4 - Accent 6"/>
    <w:basedOn w:val="706"/>
    <w:next w:val="824"/>
    <w:link w:val="703"/>
    <w:uiPriority w:val="59"/>
    <w:qFormat/>
    <w:pPr>
      <w:spacing w:after="0" w:line="240" w:lineRule="auto"/>
    </w:pPr>
    <w:tblPr/>
  </w:style>
  <w:style w:type="table" w:styleId="825">
    <w:name w:val="Grid Table 5 Dark"/>
    <w:basedOn w:val="706"/>
    <w:next w:val="825"/>
    <w:link w:val="703"/>
    <w:uiPriority w:val="99"/>
    <w:qFormat/>
    <w:pPr>
      <w:spacing w:after="0" w:line="240" w:lineRule="auto"/>
    </w:pPr>
    <w:tblPr/>
  </w:style>
  <w:style w:type="table" w:styleId="826">
    <w:name w:val="Grid Table 5 Dark- Accent 1"/>
    <w:basedOn w:val="706"/>
    <w:next w:val="826"/>
    <w:link w:val="703"/>
    <w:uiPriority w:val="99"/>
    <w:qFormat/>
    <w:pPr>
      <w:spacing w:after="0" w:line="240" w:lineRule="auto"/>
    </w:pPr>
    <w:tblPr/>
  </w:style>
  <w:style w:type="table" w:styleId="827">
    <w:name w:val="Grid Table 5 Dark - Accent 2"/>
    <w:basedOn w:val="706"/>
    <w:next w:val="827"/>
    <w:link w:val="703"/>
    <w:uiPriority w:val="99"/>
    <w:qFormat/>
    <w:pPr>
      <w:spacing w:after="0" w:line="240" w:lineRule="auto"/>
    </w:pPr>
    <w:tblPr/>
  </w:style>
  <w:style w:type="table" w:styleId="828">
    <w:name w:val="Grid Table 5 Dark - Accent 3"/>
    <w:basedOn w:val="706"/>
    <w:next w:val="828"/>
    <w:link w:val="703"/>
    <w:uiPriority w:val="99"/>
    <w:qFormat/>
    <w:pPr>
      <w:spacing w:after="0" w:line="240" w:lineRule="auto"/>
    </w:pPr>
    <w:tblPr/>
  </w:style>
  <w:style w:type="table" w:styleId="829">
    <w:name w:val="Grid Table 5 Dark- Accent 4"/>
    <w:basedOn w:val="706"/>
    <w:next w:val="829"/>
    <w:link w:val="703"/>
    <w:uiPriority w:val="99"/>
    <w:qFormat/>
    <w:pPr>
      <w:spacing w:after="0" w:line="240" w:lineRule="auto"/>
    </w:pPr>
    <w:tblPr/>
  </w:style>
  <w:style w:type="table" w:styleId="830">
    <w:name w:val="Grid Table 5 Dark - Accent 5"/>
    <w:basedOn w:val="706"/>
    <w:next w:val="830"/>
    <w:link w:val="703"/>
    <w:uiPriority w:val="99"/>
    <w:qFormat/>
    <w:pPr>
      <w:spacing w:after="0" w:line="240" w:lineRule="auto"/>
    </w:pPr>
    <w:tblPr/>
  </w:style>
  <w:style w:type="table" w:styleId="831">
    <w:name w:val="Grid Table 5 Dark - Accent 6"/>
    <w:basedOn w:val="706"/>
    <w:next w:val="831"/>
    <w:link w:val="703"/>
    <w:uiPriority w:val="99"/>
    <w:qFormat/>
    <w:pPr>
      <w:spacing w:after="0" w:line="240" w:lineRule="auto"/>
    </w:pPr>
    <w:tblPr/>
  </w:style>
  <w:style w:type="table" w:styleId="832">
    <w:name w:val="Grid Table 6 Colorful"/>
    <w:basedOn w:val="706"/>
    <w:next w:val="832"/>
    <w:link w:val="703"/>
    <w:uiPriority w:val="99"/>
    <w:qFormat/>
    <w:pPr>
      <w:spacing w:after="0" w:line="240" w:lineRule="auto"/>
    </w:pPr>
    <w:tblPr/>
  </w:style>
  <w:style w:type="table" w:styleId="833">
    <w:name w:val="Grid Table 6 Colorful - Accent 1"/>
    <w:basedOn w:val="706"/>
    <w:next w:val="833"/>
    <w:link w:val="703"/>
    <w:uiPriority w:val="99"/>
    <w:qFormat/>
    <w:pPr>
      <w:spacing w:after="0" w:line="240" w:lineRule="auto"/>
    </w:pPr>
    <w:tblPr/>
  </w:style>
  <w:style w:type="table" w:styleId="834">
    <w:name w:val="Grid Table 6 Colorful - Accent 2"/>
    <w:basedOn w:val="706"/>
    <w:next w:val="834"/>
    <w:link w:val="703"/>
    <w:uiPriority w:val="99"/>
    <w:qFormat/>
    <w:pPr>
      <w:spacing w:after="0" w:line="240" w:lineRule="auto"/>
    </w:pPr>
    <w:tblPr/>
  </w:style>
  <w:style w:type="table" w:styleId="835">
    <w:name w:val="Grid Table 6 Colorful - Accent 3"/>
    <w:basedOn w:val="706"/>
    <w:next w:val="835"/>
    <w:link w:val="703"/>
    <w:uiPriority w:val="99"/>
    <w:qFormat/>
    <w:pPr>
      <w:spacing w:after="0" w:line="240" w:lineRule="auto"/>
    </w:pPr>
    <w:tblPr/>
  </w:style>
  <w:style w:type="table" w:styleId="836">
    <w:name w:val="Grid Table 6 Colorful - Accent 4"/>
    <w:basedOn w:val="706"/>
    <w:next w:val="836"/>
    <w:link w:val="703"/>
    <w:uiPriority w:val="99"/>
    <w:qFormat/>
    <w:pPr>
      <w:spacing w:after="0" w:line="240" w:lineRule="auto"/>
    </w:pPr>
    <w:tblPr/>
  </w:style>
  <w:style w:type="table" w:styleId="837">
    <w:name w:val="Grid Table 6 Colorful - Accent 5"/>
    <w:basedOn w:val="706"/>
    <w:next w:val="837"/>
    <w:link w:val="703"/>
    <w:uiPriority w:val="99"/>
    <w:qFormat/>
    <w:pPr>
      <w:spacing w:after="0" w:line="240" w:lineRule="auto"/>
    </w:pPr>
    <w:tblPr/>
  </w:style>
  <w:style w:type="table" w:styleId="838">
    <w:name w:val="Grid Table 6 Colorful - Accent 6"/>
    <w:basedOn w:val="706"/>
    <w:next w:val="838"/>
    <w:link w:val="703"/>
    <w:uiPriority w:val="99"/>
    <w:qFormat/>
    <w:pPr>
      <w:spacing w:after="0" w:line="240" w:lineRule="auto"/>
    </w:pPr>
    <w:tblPr/>
  </w:style>
  <w:style w:type="table" w:styleId="839">
    <w:name w:val="Grid Table 7 Colorful"/>
    <w:basedOn w:val="706"/>
    <w:next w:val="839"/>
    <w:link w:val="703"/>
    <w:uiPriority w:val="99"/>
    <w:qFormat/>
    <w:pPr>
      <w:spacing w:after="0" w:line="240" w:lineRule="auto"/>
    </w:pPr>
    <w:tblPr/>
  </w:style>
  <w:style w:type="table" w:styleId="840">
    <w:name w:val="Grid Table 7 Colorful - Accent 1"/>
    <w:basedOn w:val="706"/>
    <w:next w:val="840"/>
    <w:link w:val="703"/>
    <w:uiPriority w:val="99"/>
    <w:qFormat/>
    <w:pPr>
      <w:spacing w:after="0" w:line="240" w:lineRule="auto"/>
    </w:pPr>
    <w:tblPr/>
  </w:style>
  <w:style w:type="table" w:styleId="841">
    <w:name w:val="Grid Table 7 Colorful - Accent 2"/>
    <w:basedOn w:val="706"/>
    <w:next w:val="841"/>
    <w:link w:val="703"/>
    <w:uiPriority w:val="99"/>
    <w:qFormat/>
    <w:pPr>
      <w:spacing w:after="0" w:line="240" w:lineRule="auto"/>
    </w:pPr>
    <w:tblPr/>
  </w:style>
  <w:style w:type="table" w:styleId="842">
    <w:name w:val="Grid Table 7 Colorful - Accent 3"/>
    <w:basedOn w:val="706"/>
    <w:next w:val="842"/>
    <w:link w:val="703"/>
    <w:uiPriority w:val="99"/>
    <w:qFormat/>
    <w:pPr>
      <w:spacing w:after="0" w:line="240" w:lineRule="auto"/>
    </w:pPr>
    <w:tblPr/>
  </w:style>
  <w:style w:type="table" w:styleId="843">
    <w:name w:val="Grid Table 7 Colorful - Accent 4"/>
    <w:basedOn w:val="706"/>
    <w:next w:val="843"/>
    <w:link w:val="703"/>
    <w:uiPriority w:val="99"/>
    <w:qFormat/>
    <w:pPr>
      <w:spacing w:after="0" w:line="240" w:lineRule="auto"/>
    </w:pPr>
    <w:tblPr/>
  </w:style>
  <w:style w:type="table" w:styleId="844">
    <w:name w:val="Grid Table 7 Colorful - Accent 5"/>
    <w:basedOn w:val="706"/>
    <w:next w:val="844"/>
    <w:link w:val="703"/>
    <w:uiPriority w:val="99"/>
    <w:qFormat/>
    <w:pPr>
      <w:spacing w:after="0" w:line="240" w:lineRule="auto"/>
    </w:pPr>
    <w:tblPr/>
  </w:style>
  <w:style w:type="table" w:styleId="845">
    <w:name w:val="Grid Table 7 Colorful - Accent 6"/>
    <w:basedOn w:val="706"/>
    <w:next w:val="845"/>
    <w:link w:val="703"/>
    <w:uiPriority w:val="99"/>
    <w:qFormat/>
    <w:pPr>
      <w:spacing w:after="0" w:line="240" w:lineRule="auto"/>
    </w:pPr>
    <w:tblPr/>
  </w:style>
  <w:style w:type="table" w:styleId="846">
    <w:name w:val="List Table 1 Light"/>
    <w:basedOn w:val="706"/>
    <w:next w:val="846"/>
    <w:link w:val="703"/>
    <w:uiPriority w:val="99"/>
    <w:qFormat/>
    <w:pPr>
      <w:spacing w:after="0" w:line="240" w:lineRule="auto"/>
    </w:pPr>
    <w:tblPr/>
  </w:style>
  <w:style w:type="table" w:styleId="847">
    <w:name w:val="List Table 1 Light - Accent 1"/>
    <w:basedOn w:val="706"/>
    <w:next w:val="847"/>
    <w:link w:val="703"/>
    <w:uiPriority w:val="99"/>
    <w:qFormat/>
    <w:pPr>
      <w:spacing w:after="0" w:line="240" w:lineRule="auto"/>
    </w:pPr>
    <w:tblPr/>
  </w:style>
  <w:style w:type="table" w:styleId="848">
    <w:name w:val="List Table 1 Light - Accent 2"/>
    <w:basedOn w:val="706"/>
    <w:next w:val="848"/>
    <w:link w:val="703"/>
    <w:uiPriority w:val="99"/>
    <w:qFormat/>
    <w:pPr>
      <w:spacing w:after="0" w:line="240" w:lineRule="auto"/>
    </w:pPr>
    <w:tblPr/>
  </w:style>
  <w:style w:type="table" w:styleId="849">
    <w:name w:val="List Table 1 Light - Accent 3"/>
    <w:basedOn w:val="706"/>
    <w:next w:val="849"/>
    <w:link w:val="703"/>
    <w:uiPriority w:val="99"/>
    <w:qFormat/>
    <w:pPr>
      <w:spacing w:after="0" w:line="240" w:lineRule="auto"/>
    </w:pPr>
    <w:tblPr/>
  </w:style>
  <w:style w:type="table" w:styleId="850">
    <w:name w:val="List Table 1 Light - Accent 4"/>
    <w:basedOn w:val="706"/>
    <w:next w:val="850"/>
    <w:link w:val="703"/>
    <w:uiPriority w:val="99"/>
    <w:qFormat/>
    <w:pPr>
      <w:spacing w:after="0" w:line="240" w:lineRule="auto"/>
    </w:pPr>
    <w:tblPr/>
  </w:style>
  <w:style w:type="table" w:styleId="851">
    <w:name w:val="List Table 1 Light - Accent 5"/>
    <w:basedOn w:val="706"/>
    <w:next w:val="851"/>
    <w:link w:val="703"/>
    <w:uiPriority w:val="99"/>
    <w:qFormat/>
    <w:pPr>
      <w:spacing w:after="0" w:line="240" w:lineRule="auto"/>
    </w:pPr>
    <w:tblPr/>
  </w:style>
  <w:style w:type="table" w:styleId="852">
    <w:name w:val="List Table 1 Light - Accent 6"/>
    <w:basedOn w:val="706"/>
    <w:next w:val="852"/>
    <w:link w:val="703"/>
    <w:uiPriority w:val="99"/>
    <w:qFormat/>
    <w:pPr>
      <w:spacing w:after="0" w:line="240" w:lineRule="auto"/>
    </w:pPr>
    <w:tblPr/>
  </w:style>
  <w:style w:type="table" w:styleId="853">
    <w:name w:val="List Table 2"/>
    <w:basedOn w:val="706"/>
    <w:next w:val="853"/>
    <w:link w:val="703"/>
    <w:uiPriority w:val="99"/>
    <w:qFormat/>
    <w:pPr>
      <w:spacing w:after="0" w:line="240" w:lineRule="auto"/>
    </w:pPr>
    <w:tblPr/>
  </w:style>
  <w:style w:type="table" w:styleId="854">
    <w:name w:val="List Table 2 - Accent 1"/>
    <w:basedOn w:val="706"/>
    <w:next w:val="854"/>
    <w:link w:val="703"/>
    <w:uiPriority w:val="99"/>
    <w:qFormat/>
    <w:pPr>
      <w:spacing w:after="0" w:line="240" w:lineRule="auto"/>
    </w:pPr>
    <w:tblPr/>
  </w:style>
  <w:style w:type="table" w:styleId="855">
    <w:name w:val="List Table 2 - Accent 2"/>
    <w:basedOn w:val="706"/>
    <w:next w:val="855"/>
    <w:link w:val="703"/>
    <w:uiPriority w:val="99"/>
    <w:qFormat/>
    <w:pPr>
      <w:spacing w:after="0" w:line="240" w:lineRule="auto"/>
    </w:pPr>
    <w:tblPr/>
  </w:style>
  <w:style w:type="table" w:styleId="856">
    <w:name w:val="List Table 2 - Accent 3"/>
    <w:basedOn w:val="706"/>
    <w:next w:val="856"/>
    <w:link w:val="703"/>
    <w:uiPriority w:val="99"/>
    <w:qFormat/>
    <w:pPr>
      <w:spacing w:after="0" w:line="240" w:lineRule="auto"/>
    </w:pPr>
    <w:tblPr/>
  </w:style>
  <w:style w:type="table" w:styleId="857">
    <w:name w:val="List Table 2 - Accent 4"/>
    <w:basedOn w:val="706"/>
    <w:next w:val="857"/>
    <w:link w:val="703"/>
    <w:uiPriority w:val="99"/>
    <w:qFormat/>
    <w:pPr>
      <w:spacing w:after="0" w:line="240" w:lineRule="auto"/>
    </w:pPr>
    <w:tblPr/>
  </w:style>
  <w:style w:type="table" w:styleId="858">
    <w:name w:val="List Table 2 - Accent 5"/>
    <w:basedOn w:val="706"/>
    <w:next w:val="858"/>
    <w:link w:val="703"/>
    <w:uiPriority w:val="99"/>
    <w:qFormat/>
    <w:pPr>
      <w:spacing w:after="0" w:line="240" w:lineRule="auto"/>
    </w:pPr>
    <w:tblPr/>
  </w:style>
  <w:style w:type="table" w:styleId="859">
    <w:name w:val="List Table 2 - Accent 6"/>
    <w:basedOn w:val="706"/>
    <w:next w:val="859"/>
    <w:link w:val="703"/>
    <w:uiPriority w:val="99"/>
    <w:qFormat/>
    <w:pPr>
      <w:spacing w:after="0" w:line="240" w:lineRule="auto"/>
    </w:pPr>
    <w:tblPr/>
  </w:style>
  <w:style w:type="table" w:styleId="860">
    <w:name w:val="List Table 3"/>
    <w:basedOn w:val="706"/>
    <w:next w:val="860"/>
    <w:link w:val="703"/>
    <w:uiPriority w:val="99"/>
    <w:qFormat/>
    <w:pPr>
      <w:spacing w:after="0" w:line="240" w:lineRule="auto"/>
    </w:pPr>
    <w:tblPr/>
  </w:style>
  <w:style w:type="table" w:styleId="861">
    <w:name w:val="List Table 3 - Accent 1"/>
    <w:basedOn w:val="706"/>
    <w:next w:val="861"/>
    <w:link w:val="703"/>
    <w:uiPriority w:val="99"/>
    <w:qFormat/>
    <w:pPr>
      <w:spacing w:after="0" w:line="240" w:lineRule="auto"/>
    </w:pPr>
    <w:tblPr/>
  </w:style>
  <w:style w:type="table" w:styleId="862">
    <w:name w:val="List Table 3 - Accent 2"/>
    <w:basedOn w:val="706"/>
    <w:next w:val="862"/>
    <w:link w:val="703"/>
    <w:uiPriority w:val="99"/>
    <w:qFormat/>
    <w:pPr>
      <w:spacing w:after="0" w:line="240" w:lineRule="auto"/>
    </w:pPr>
    <w:tblPr/>
  </w:style>
  <w:style w:type="table" w:styleId="863">
    <w:name w:val="List Table 3 - Accent 3"/>
    <w:basedOn w:val="706"/>
    <w:next w:val="863"/>
    <w:link w:val="703"/>
    <w:uiPriority w:val="99"/>
    <w:qFormat/>
    <w:pPr>
      <w:spacing w:after="0" w:line="240" w:lineRule="auto"/>
    </w:pPr>
    <w:tblPr/>
  </w:style>
  <w:style w:type="table" w:styleId="864">
    <w:name w:val="List Table 3 - Accent 4"/>
    <w:basedOn w:val="706"/>
    <w:next w:val="864"/>
    <w:link w:val="703"/>
    <w:uiPriority w:val="99"/>
    <w:qFormat/>
    <w:pPr>
      <w:spacing w:after="0" w:line="240" w:lineRule="auto"/>
    </w:pPr>
    <w:tblPr/>
  </w:style>
  <w:style w:type="table" w:styleId="865">
    <w:name w:val="List Table 3 - Accent 5"/>
    <w:basedOn w:val="706"/>
    <w:next w:val="865"/>
    <w:link w:val="703"/>
    <w:uiPriority w:val="99"/>
    <w:qFormat/>
    <w:pPr>
      <w:spacing w:after="0" w:line="240" w:lineRule="auto"/>
    </w:pPr>
    <w:tblPr/>
  </w:style>
  <w:style w:type="table" w:styleId="866">
    <w:name w:val="List Table 3 - Accent 6"/>
    <w:basedOn w:val="706"/>
    <w:next w:val="866"/>
    <w:link w:val="703"/>
    <w:uiPriority w:val="99"/>
    <w:qFormat/>
    <w:pPr>
      <w:spacing w:after="0" w:line="240" w:lineRule="auto"/>
    </w:pPr>
    <w:tblPr/>
  </w:style>
  <w:style w:type="table" w:styleId="867">
    <w:name w:val="List Table 4"/>
    <w:basedOn w:val="706"/>
    <w:next w:val="867"/>
    <w:link w:val="703"/>
    <w:uiPriority w:val="99"/>
    <w:qFormat/>
    <w:pPr>
      <w:spacing w:after="0" w:line="240" w:lineRule="auto"/>
    </w:pPr>
    <w:tblPr/>
  </w:style>
  <w:style w:type="table" w:styleId="868">
    <w:name w:val="List Table 4 - Accent 1"/>
    <w:basedOn w:val="706"/>
    <w:next w:val="868"/>
    <w:link w:val="703"/>
    <w:uiPriority w:val="99"/>
    <w:qFormat/>
    <w:pPr>
      <w:spacing w:after="0" w:line="240" w:lineRule="auto"/>
    </w:pPr>
    <w:tblPr/>
  </w:style>
  <w:style w:type="table" w:styleId="869">
    <w:name w:val="List Table 4 - Accent 2"/>
    <w:basedOn w:val="706"/>
    <w:next w:val="869"/>
    <w:link w:val="703"/>
    <w:uiPriority w:val="99"/>
    <w:qFormat/>
    <w:pPr>
      <w:spacing w:after="0" w:line="240" w:lineRule="auto"/>
    </w:pPr>
    <w:tblPr/>
  </w:style>
  <w:style w:type="table" w:styleId="870">
    <w:name w:val="List Table 4 - Accent 3"/>
    <w:basedOn w:val="706"/>
    <w:next w:val="870"/>
    <w:link w:val="703"/>
    <w:uiPriority w:val="99"/>
    <w:qFormat/>
    <w:pPr>
      <w:spacing w:after="0" w:line="240" w:lineRule="auto"/>
    </w:pPr>
    <w:tblPr/>
  </w:style>
  <w:style w:type="table" w:styleId="871">
    <w:name w:val="List Table 4 - Accent 4"/>
    <w:basedOn w:val="706"/>
    <w:next w:val="871"/>
    <w:link w:val="703"/>
    <w:uiPriority w:val="99"/>
    <w:qFormat/>
    <w:pPr>
      <w:spacing w:after="0" w:line="240" w:lineRule="auto"/>
    </w:pPr>
    <w:tblPr/>
  </w:style>
  <w:style w:type="table" w:styleId="872">
    <w:name w:val="List Table 4 - Accent 5"/>
    <w:basedOn w:val="706"/>
    <w:next w:val="872"/>
    <w:link w:val="703"/>
    <w:uiPriority w:val="99"/>
    <w:qFormat/>
    <w:pPr>
      <w:spacing w:after="0" w:line="240" w:lineRule="auto"/>
    </w:pPr>
    <w:tblPr/>
  </w:style>
  <w:style w:type="table" w:styleId="873">
    <w:name w:val="List Table 4 - Accent 6"/>
    <w:basedOn w:val="706"/>
    <w:next w:val="873"/>
    <w:link w:val="703"/>
    <w:uiPriority w:val="99"/>
    <w:qFormat/>
    <w:pPr>
      <w:spacing w:after="0" w:line="240" w:lineRule="auto"/>
    </w:pPr>
    <w:tblPr/>
  </w:style>
  <w:style w:type="table" w:styleId="874">
    <w:name w:val="List Table 5 Dark"/>
    <w:basedOn w:val="706"/>
    <w:next w:val="874"/>
    <w:link w:val="703"/>
    <w:uiPriority w:val="99"/>
    <w:qFormat/>
    <w:pPr>
      <w:spacing w:after="0" w:line="240" w:lineRule="auto"/>
    </w:pPr>
    <w:tblPr/>
  </w:style>
  <w:style w:type="table" w:styleId="875">
    <w:name w:val="List Table 5 Dark - Accent 1"/>
    <w:basedOn w:val="706"/>
    <w:next w:val="875"/>
    <w:link w:val="703"/>
    <w:uiPriority w:val="99"/>
    <w:qFormat/>
    <w:pPr>
      <w:spacing w:after="0" w:line="240" w:lineRule="auto"/>
    </w:pPr>
    <w:tblPr/>
  </w:style>
  <w:style w:type="table" w:styleId="876">
    <w:name w:val="List Table 5 Dark - Accent 2"/>
    <w:basedOn w:val="706"/>
    <w:next w:val="876"/>
    <w:link w:val="703"/>
    <w:uiPriority w:val="99"/>
    <w:qFormat/>
    <w:pPr>
      <w:spacing w:after="0" w:line="240" w:lineRule="auto"/>
    </w:pPr>
    <w:tblPr/>
  </w:style>
  <w:style w:type="table" w:styleId="877">
    <w:name w:val="List Table 5 Dark - Accent 3"/>
    <w:basedOn w:val="706"/>
    <w:next w:val="877"/>
    <w:link w:val="703"/>
    <w:uiPriority w:val="99"/>
    <w:qFormat/>
    <w:pPr>
      <w:spacing w:after="0" w:line="240" w:lineRule="auto"/>
    </w:pPr>
    <w:tblPr/>
  </w:style>
  <w:style w:type="table" w:styleId="878">
    <w:name w:val="List Table 5 Dark - Accent 4"/>
    <w:basedOn w:val="706"/>
    <w:next w:val="878"/>
    <w:link w:val="703"/>
    <w:uiPriority w:val="99"/>
    <w:qFormat/>
    <w:pPr>
      <w:spacing w:after="0" w:line="240" w:lineRule="auto"/>
    </w:pPr>
    <w:tblPr/>
  </w:style>
  <w:style w:type="table" w:styleId="879">
    <w:name w:val="List Table 5 Dark - Accent 5"/>
    <w:basedOn w:val="706"/>
    <w:next w:val="879"/>
    <w:link w:val="703"/>
    <w:uiPriority w:val="99"/>
    <w:qFormat/>
    <w:pPr>
      <w:spacing w:after="0" w:line="240" w:lineRule="auto"/>
    </w:pPr>
    <w:tblPr/>
  </w:style>
  <w:style w:type="table" w:styleId="880">
    <w:name w:val="List Table 5 Dark - Accent 6"/>
    <w:basedOn w:val="706"/>
    <w:next w:val="880"/>
    <w:link w:val="703"/>
    <w:uiPriority w:val="99"/>
    <w:qFormat/>
    <w:pPr>
      <w:spacing w:after="0" w:line="240" w:lineRule="auto"/>
    </w:pPr>
    <w:tblPr/>
  </w:style>
  <w:style w:type="table" w:styleId="881">
    <w:name w:val="List Table 6 Colorful"/>
    <w:basedOn w:val="706"/>
    <w:next w:val="881"/>
    <w:link w:val="703"/>
    <w:uiPriority w:val="99"/>
    <w:qFormat/>
    <w:pPr>
      <w:spacing w:after="0" w:line="240" w:lineRule="auto"/>
    </w:pPr>
    <w:tblPr/>
  </w:style>
  <w:style w:type="table" w:styleId="882">
    <w:name w:val="List Table 6 Colorful - Accent 1"/>
    <w:basedOn w:val="706"/>
    <w:next w:val="882"/>
    <w:link w:val="703"/>
    <w:uiPriority w:val="99"/>
    <w:qFormat/>
    <w:pPr>
      <w:spacing w:after="0" w:line="240" w:lineRule="auto"/>
    </w:pPr>
    <w:tblPr/>
  </w:style>
  <w:style w:type="table" w:styleId="883">
    <w:name w:val="List Table 6 Colorful - Accent 2"/>
    <w:basedOn w:val="706"/>
    <w:next w:val="883"/>
    <w:link w:val="703"/>
    <w:uiPriority w:val="99"/>
    <w:qFormat/>
    <w:pPr>
      <w:spacing w:after="0" w:line="240" w:lineRule="auto"/>
    </w:pPr>
    <w:tblPr/>
  </w:style>
  <w:style w:type="table" w:styleId="884">
    <w:name w:val="List Table 6 Colorful - Accent 3"/>
    <w:basedOn w:val="706"/>
    <w:next w:val="884"/>
    <w:link w:val="703"/>
    <w:uiPriority w:val="99"/>
    <w:qFormat/>
    <w:pPr>
      <w:spacing w:after="0" w:line="240" w:lineRule="auto"/>
    </w:pPr>
    <w:tblPr/>
  </w:style>
  <w:style w:type="table" w:styleId="885">
    <w:name w:val="List Table 6 Colorful - Accent 4"/>
    <w:basedOn w:val="706"/>
    <w:next w:val="885"/>
    <w:link w:val="703"/>
    <w:uiPriority w:val="99"/>
    <w:qFormat/>
    <w:pPr>
      <w:spacing w:after="0" w:line="240" w:lineRule="auto"/>
    </w:pPr>
    <w:tblPr/>
  </w:style>
  <w:style w:type="table" w:styleId="886">
    <w:name w:val="List Table 6 Colorful - Accent 5"/>
    <w:basedOn w:val="706"/>
    <w:next w:val="886"/>
    <w:link w:val="703"/>
    <w:uiPriority w:val="99"/>
    <w:qFormat/>
    <w:pPr>
      <w:spacing w:after="0" w:line="240" w:lineRule="auto"/>
    </w:pPr>
    <w:tblPr/>
  </w:style>
  <w:style w:type="table" w:styleId="887">
    <w:name w:val="List Table 6 Colorful - Accent 6"/>
    <w:basedOn w:val="706"/>
    <w:next w:val="887"/>
    <w:link w:val="703"/>
    <w:uiPriority w:val="99"/>
    <w:qFormat/>
    <w:pPr>
      <w:spacing w:after="0" w:line="240" w:lineRule="auto"/>
    </w:pPr>
    <w:tblPr/>
  </w:style>
  <w:style w:type="table" w:styleId="888">
    <w:name w:val="List Table 7 Colorful"/>
    <w:basedOn w:val="706"/>
    <w:next w:val="888"/>
    <w:link w:val="703"/>
    <w:uiPriority w:val="99"/>
    <w:qFormat/>
    <w:pPr>
      <w:spacing w:after="0" w:line="240" w:lineRule="auto"/>
    </w:pPr>
    <w:tblPr/>
  </w:style>
  <w:style w:type="table" w:styleId="889">
    <w:name w:val="List Table 7 Colorful - Accent 1"/>
    <w:basedOn w:val="706"/>
    <w:next w:val="889"/>
    <w:link w:val="703"/>
    <w:uiPriority w:val="99"/>
    <w:qFormat/>
    <w:pPr>
      <w:spacing w:after="0" w:line="240" w:lineRule="auto"/>
    </w:pPr>
    <w:tblPr/>
  </w:style>
  <w:style w:type="table" w:styleId="890">
    <w:name w:val="List Table 7 Colorful - Accent 2"/>
    <w:basedOn w:val="706"/>
    <w:next w:val="890"/>
    <w:link w:val="703"/>
    <w:uiPriority w:val="99"/>
    <w:qFormat/>
    <w:pPr>
      <w:spacing w:after="0" w:line="240" w:lineRule="auto"/>
    </w:pPr>
    <w:tblPr/>
  </w:style>
  <w:style w:type="table" w:styleId="891">
    <w:name w:val="List Table 7 Colorful - Accent 3"/>
    <w:basedOn w:val="706"/>
    <w:next w:val="891"/>
    <w:link w:val="703"/>
    <w:uiPriority w:val="99"/>
    <w:qFormat/>
    <w:pPr>
      <w:spacing w:after="0" w:line="240" w:lineRule="auto"/>
    </w:pPr>
    <w:tblPr/>
  </w:style>
  <w:style w:type="table" w:styleId="892">
    <w:name w:val="List Table 7 Colorful - Accent 4"/>
    <w:basedOn w:val="706"/>
    <w:next w:val="892"/>
    <w:link w:val="703"/>
    <w:uiPriority w:val="99"/>
    <w:qFormat/>
    <w:pPr>
      <w:spacing w:after="0" w:line="240" w:lineRule="auto"/>
    </w:pPr>
    <w:tblPr/>
  </w:style>
  <w:style w:type="table" w:styleId="893">
    <w:name w:val="List Table 7 Colorful - Accent 5"/>
    <w:basedOn w:val="706"/>
    <w:next w:val="893"/>
    <w:link w:val="703"/>
    <w:uiPriority w:val="99"/>
    <w:qFormat/>
    <w:pPr>
      <w:spacing w:after="0" w:line="240" w:lineRule="auto"/>
    </w:pPr>
    <w:tblPr/>
  </w:style>
  <w:style w:type="table" w:styleId="894">
    <w:name w:val="List Table 7 Colorful - Accent 6"/>
    <w:basedOn w:val="706"/>
    <w:next w:val="894"/>
    <w:link w:val="703"/>
    <w:uiPriority w:val="99"/>
    <w:qFormat/>
    <w:pPr>
      <w:spacing w:after="0" w:line="240" w:lineRule="auto"/>
    </w:pPr>
    <w:tblPr/>
  </w:style>
  <w:style w:type="table" w:styleId="895">
    <w:name w:val="Lined - Accent"/>
    <w:basedOn w:val="706"/>
    <w:next w:val="895"/>
    <w:link w:val="703"/>
    <w:uiPriority w:val="99"/>
    <w:qFormat/>
    <w:pPr>
      <w:spacing w:after="0" w:line="240" w:lineRule="auto"/>
    </w:pPr>
    <w:rPr>
      <w:color w:val="404040"/>
    </w:rPr>
    <w:tblPr/>
  </w:style>
  <w:style w:type="table" w:styleId="896">
    <w:name w:val="Lined - Accent 1"/>
    <w:basedOn w:val="706"/>
    <w:next w:val="896"/>
    <w:link w:val="703"/>
    <w:uiPriority w:val="99"/>
    <w:qFormat/>
    <w:pPr>
      <w:spacing w:after="0" w:line="240" w:lineRule="auto"/>
    </w:pPr>
    <w:rPr>
      <w:color w:val="404040"/>
    </w:rPr>
    <w:tblPr/>
  </w:style>
  <w:style w:type="table" w:styleId="897">
    <w:name w:val="Lined - Accent 2"/>
    <w:basedOn w:val="706"/>
    <w:next w:val="897"/>
    <w:link w:val="703"/>
    <w:uiPriority w:val="99"/>
    <w:qFormat/>
    <w:pPr>
      <w:spacing w:after="0" w:line="240" w:lineRule="auto"/>
    </w:pPr>
    <w:rPr>
      <w:color w:val="404040"/>
    </w:rPr>
    <w:tblPr/>
  </w:style>
  <w:style w:type="table" w:styleId="898">
    <w:name w:val="Lined - Accent 3"/>
    <w:basedOn w:val="706"/>
    <w:next w:val="898"/>
    <w:link w:val="703"/>
    <w:uiPriority w:val="99"/>
    <w:qFormat/>
    <w:pPr>
      <w:spacing w:after="0" w:line="240" w:lineRule="auto"/>
    </w:pPr>
    <w:rPr>
      <w:color w:val="404040"/>
    </w:rPr>
    <w:tblPr/>
  </w:style>
  <w:style w:type="table" w:styleId="899">
    <w:name w:val="Lined - Accent 4"/>
    <w:basedOn w:val="706"/>
    <w:next w:val="899"/>
    <w:link w:val="703"/>
    <w:uiPriority w:val="99"/>
    <w:qFormat/>
    <w:pPr>
      <w:spacing w:after="0" w:line="240" w:lineRule="auto"/>
    </w:pPr>
    <w:rPr>
      <w:color w:val="404040"/>
    </w:rPr>
    <w:tblPr/>
  </w:style>
  <w:style w:type="table" w:styleId="900">
    <w:name w:val="Lined - Accent 5"/>
    <w:basedOn w:val="706"/>
    <w:next w:val="900"/>
    <w:link w:val="703"/>
    <w:uiPriority w:val="99"/>
    <w:qFormat/>
    <w:pPr>
      <w:spacing w:after="0" w:line="240" w:lineRule="auto"/>
    </w:pPr>
    <w:rPr>
      <w:color w:val="404040"/>
    </w:rPr>
    <w:tblPr/>
  </w:style>
  <w:style w:type="table" w:styleId="901">
    <w:name w:val="Lined - Accent 6"/>
    <w:basedOn w:val="706"/>
    <w:next w:val="901"/>
    <w:link w:val="703"/>
    <w:uiPriority w:val="99"/>
    <w:qFormat/>
    <w:pPr>
      <w:spacing w:after="0" w:line="240" w:lineRule="auto"/>
    </w:pPr>
    <w:rPr>
      <w:color w:val="404040"/>
    </w:rPr>
    <w:tblPr/>
  </w:style>
  <w:style w:type="table" w:styleId="902">
    <w:name w:val="Bordered &amp; Lined - Accent"/>
    <w:basedOn w:val="706"/>
    <w:next w:val="902"/>
    <w:link w:val="703"/>
    <w:uiPriority w:val="99"/>
    <w:qFormat/>
    <w:pPr>
      <w:spacing w:after="0" w:line="240" w:lineRule="auto"/>
    </w:pPr>
    <w:rPr>
      <w:color w:val="404040"/>
    </w:rPr>
    <w:tblPr/>
  </w:style>
  <w:style w:type="table" w:styleId="903">
    <w:name w:val="Bordered &amp; Lined - Accent 1"/>
    <w:basedOn w:val="706"/>
    <w:next w:val="903"/>
    <w:link w:val="703"/>
    <w:uiPriority w:val="99"/>
    <w:qFormat/>
    <w:pPr>
      <w:spacing w:after="0" w:line="240" w:lineRule="auto"/>
    </w:pPr>
    <w:rPr>
      <w:color w:val="404040"/>
    </w:rPr>
    <w:tblPr/>
  </w:style>
  <w:style w:type="table" w:styleId="904">
    <w:name w:val="Bordered &amp; Lined - Accent 2"/>
    <w:basedOn w:val="706"/>
    <w:next w:val="904"/>
    <w:link w:val="703"/>
    <w:uiPriority w:val="99"/>
    <w:qFormat/>
    <w:pPr>
      <w:spacing w:after="0" w:line="240" w:lineRule="auto"/>
    </w:pPr>
    <w:rPr>
      <w:color w:val="404040"/>
    </w:rPr>
    <w:tblPr/>
  </w:style>
  <w:style w:type="table" w:styleId="905">
    <w:name w:val="Bordered &amp; Lined - Accent 3"/>
    <w:basedOn w:val="706"/>
    <w:next w:val="905"/>
    <w:link w:val="703"/>
    <w:uiPriority w:val="99"/>
    <w:qFormat/>
    <w:pPr>
      <w:spacing w:after="0" w:line="240" w:lineRule="auto"/>
    </w:pPr>
    <w:rPr>
      <w:color w:val="404040"/>
    </w:rPr>
    <w:tblPr/>
  </w:style>
  <w:style w:type="table" w:styleId="906">
    <w:name w:val="Bordered &amp; Lined - Accent 4"/>
    <w:basedOn w:val="706"/>
    <w:next w:val="906"/>
    <w:link w:val="703"/>
    <w:uiPriority w:val="99"/>
    <w:qFormat/>
    <w:pPr>
      <w:spacing w:after="0" w:line="240" w:lineRule="auto"/>
    </w:pPr>
    <w:rPr>
      <w:color w:val="404040"/>
    </w:rPr>
    <w:tblPr/>
  </w:style>
  <w:style w:type="table" w:styleId="907">
    <w:name w:val="Bordered &amp; Lined - Accent 5"/>
    <w:basedOn w:val="706"/>
    <w:next w:val="907"/>
    <w:link w:val="703"/>
    <w:uiPriority w:val="99"/>
    <w:qFormat/>
    <w:pPr>
      <w:spacing w:after="0" w:line="240" w:lineRule="auto"/>
    </w:pPr>
    <w:rPr>
      <w:color w:val="404040"/>
    </w:rPr>
    <w:tblPr/>
  </w:style>
  <w:style w:type="table" w:styleId="908">
    <w:name w:val="Bordered &amp; Lined - Accent 6"/>
    <w:basedOn w:val="706"/>
    <w:next w:val="908"/>
    <w:link w:val="703"/>
    <w:uiPriority w:val="99"/>
    <w:qFormat/>
    <w:pPr>
      <w:spacing w:after="0" w:line="240" w:lineRule="auto"/>
    </w:pPr>
    <w:rPr>
      <w:color w:val="404040"/>
    </w:rPr>
    <w:tblPr/>
  </w:style>
  <w:style w:type="table" w:styleId="909">
    <w:name w:val="Bordered"/>
    <w:basedOn w:val="706"/>
    <w:next w:val="909"/>
    <w:link w:val="703"/>
    <w:uiPriority w:val="99"/>
    <w:qFormat/>
    <w:pPr>
      <w:spacing w:after="0" w:line="240" w:lineRule="auto"/>
    </w:pPr>
    <w:tblPr/>
  </w:style>
  <w:style w:type="table" w:styleId="910">
    <w:name w:val="Bordered - Accent 1"/>
    <w:basedOn w:val="706"/>
    <w:next w:val="910"/>
    <w:link w:val="703"/>
    <w:uiPriority w:val="99"/>
    <w:qFormat/>
    <w:pPr>
      <w:spacing w:after="0" w:line="240" w:lineRule="auto"/>
    </w:pPr>
    <w:tblPr/>
  </w:style>
  <w:style w:type="table" w:styleId="911">
    <w:name w:val="Bordered - Accent 2"/>
    <w:basedOn w:val="706"/>
    <w:next w:val="911"/>
    <w:link w:val="703"/>
    <w:uiPriority w:val="99"/>
    <w:qFormat/>
    <w:pPr>
      <w:spacing w:after="0" w:line="240" w:lineRule="auto"/>
    </w:pPr>
    <w:tblPr/>
  </w:style>
  <w:style w:type="table" w:styleId="912">
    <w:name w:val="Bordered - Accent 3"/>
    <w:basedOn w:val="706"/>
    <w:next w:val="912"/>
    <w:link w:val="703"/>
    <w:uiPriority w:val="99"/>
    <w:qFormat/>
    <w:pPr>
      <w:spacing w:after="0" w:line="240" w:lineRule="auto"/>
    </w:pPr>
    <w:tblPr/>
  </w:style>
  <w:style w:type="table" w:styleId="913">
    <w:name w:val="Bordered - Accent 4"/>
    <w:basedOn w:val="706"/>
    <w:next w:val="913"/>
    <w:link w:val="703"/>
    <w:uiPriority w:val="99"/>
    <w:qFormat/>
    <w:pPr>
      <w:spacing w:after="0" w:line="240" w:lineRule="auto"/>
    </w:pPr>
    <w:tblPr/>
  </w:style>
  <w:style w:type="table" w:styleId="914">
    <w:name w:val="Bordered - Accent 5"/>
    <w:basedOn w:val="706"/>
    <w:next w:val="914"/>
    <w:link w:val="703"/>
    <w:uiPriority w:val="99"/>
    <w:qFormat/>
    <w:pPr>
      <w:spacing w:after="0" w:line="240" w:lineRule="auto"/>
    </w:pPr>
    <w:tblPr/>
  </w:style>
  <w:style w:type="table" w:styleId="915">
    <w:name w:val="Bordered - Accent 6"/>
    <w:basedOn w:val="706"/>
    <w:next w:val="915"/>
    <w:link w:val="703"/>
    <w:uiPriority w:val="99"/>
    <w:qFormat/>
    <w:pPr>
      <w:spacing w:after="0" w:line="240" w:lineRule="auto"/>
    </w:pPr>
    <w:tblPr/>
  </w:style>
  <w:style w:type="paragraph" w:styleId="916">
    <w:name w:val="TOC Heading"/>
    <w:next w:val="916"/>
    <w:link w:val="703"/>
    <w:uiPriority w:val="39"/>
    <w:unhideWhenUsed/>
    <w:qFormat/>
  </w:style>
  <w:style w:type="paragraph" w:styleId="917">
    <w:name w:val="正文首行缩进 21"/>
    <w:basedOn w:val="918"/>
    <w:next w:val="917"/>
    <w:link w:val="703"/>
    <w:qFormat/>
    <w:pPr>
      <w:ind w:firstLine="420"/>
    </w:pPr>
    <w:rPr>
      <w:rFonts w:eastAsia="楷体_GB2312"/>
      <w:sz w:val="28"/>
    </w:rPr>
  </w:style>
  <w:style w:type="paragraph" w:styleId="918">
    <w:name w:val="正文文本缩进1"/>
    <w:basedOn w:val="703"/>
    <w:next w:val="703"/>
    <w:link w:val="703"/>
    <w:qFormat/>
    <w:pPr>
      <w:ind w:left="570"/>
      <w:spacing w:line="520" w:lineRule="exact"/>
    </w:pPr>
    <w:rPr>
      <w:rFonts w:ascii="方正仿宋简体" w:hAnsi="创艺简仿宋" w:eastAsia="方正仿宋简体" w:cs="Times New Roman"/>
      <w:sz w:val="24"/>
      <w:szCs w:val="20"/>
    </w:rPr>
  </w:style>
  <w:style w:type="character" w:styleId="919">
    <w:name w:val="正文文本缩进 3 Char"/>
    <w:next w:val="919"/>
    <w:link w:val="703"/>
    <w:qFormat/>
    <w:rPr>
      <w:sz w:val="24"/>
      <w:szCs w:val="24"/>
    </w:rPr>
  </w:style>
  <w:style w:type="character" w:styleId="920">
    <w:name w:val="正文文本 Char"/>
    <w:next w:val="920"/>
    <w:link w:val="703"/>
    <w:uiPriority w:val="99"/>
    <w:qFormat/>
    <w:rPr>
      <w:sz w:val="21"/>
      <w:szCs w:val="24"/>
    </w:rPr>
  </w:style>
  <w:style w:type="paragraph" w:styleId="921">
    <w:name w:val="首行缩进"/>
    <w:basedOn w:val="703"/>
    <w:next w:val="921"/>
    <w:link w:val="703"/>
    <w:uiPriority w:val="99"/>
    <w:qFormat/>
    <w:pPr>
      <w:ind w:firstLine="480"/>
    </w:pPr>
    <w:rPr>
      <w:rFonts w:ascii="Times New Roman" w:hAnsi="Times New Roman" w:eastAsia="宋体" w:cs="Times New Roman"/>
      <w:szCs w:val="20"/>
      <w:lang w:val="zh-CN"/>
    </w:rPr>
  </w:style>
  <w:style w:type="character" w:styleId="922">
    <w:name w:val="纯文本 Char"/>
    <w:next w:val="922"/>
    <w:link w:val="703"/>
    <w:qFormat/>
    <w:rPr>
      <w:rFonts w:ascii="宋体" w:hAnsi="Courier New" w:eastAsia="楷体_GB2312"/>
      <w:sz w:val="26"/>
      <w:szCs w:val="24"/>
    </w:rPr>
  </w:style>
  <w:style w:type="paragraph" w:styleId="923">
    <w:name w:val="纯文本1"/>
    <w:basedOn w:val="703"/>
    <w:next w:val="923"/>
    <w:link w:val="703"/>
    <w:qFormat/>
    <w:rPr>
      <w:rFonts w:ascii="宋体" w:hAnsi="Courier New" w:eastAsia="楷体_GB2312" w:cs="Times New Roman"/>
      <w:sz w:val="28"/>
      <w:szCs w:val="20"/>
    </w:rPr>
  </w:style>
  <w:style w:type="paragraph" w:styleId="924">
    <w:name w:val="纯文本2"/>
    <w:basedOn w:val="703"/>
    <w:next w:val="924"/>
    <w:link w:val="703"/>
    <w:qFormat/>
    <w:rPr>
      <w:rFonts w:ascii="宋体" w:hAnsi="Courier New" w:eastAsia="宋体" w:cs="Times New Roman"/>
    </w:rPr>
  </w:style>
  <w:style w:type="paragraph" w:styleId="925">
    <w:name w:val="纯文本4"/>
    <w:basedOn w:val="703"/>
    <w:next w:val="925"/>
    <w:link w:val="703"/>
    <w:qFormat/>
    <w:rPr>
      <w:rFonts w:ascii="宋体" w:hAnsi="Courier New" w:eastAsia="楷体_GB2312" w:cs="Times New Roman"/>
      <w:sz w:val="26"/>
      <w:szCs w:val="20"/>
    </w:rPr>
  </w:style>
  <w:style w:type="paragraph" w:styleId="926">
    <w:name w:val="列出段落1"/>
    <w:basedOn w:val="703"/>
    <w:next w:val="926"/>
    <w:link w:val="703"/>
    <w:qFormat/>
    <w:pPr>
      <w:ind w:firstLine="420"/>
    </w:pPr>
    <w:rPr>
      <w:rFonts w:ascii="Times New Roman" w:hAnsi="Times New Roman" w:eastAsia="宋体" w:cs="Times New Roman"/>
    </w:rPr>
  </w:style>
  <w:style w:type="paragraph" w:styleId="927">
    <w:name w:val="List Paragraph"/>
    <w:basedOn w:val="703"/>
    <w:next w:val="928"/>
    <w:link w:val="703"/>
    <w:uiPriority w:val="34"/>
    <w:qFormat/>
    <w:pPr>
      <w:ind w:firstLine="420"/>
    </w:pPr>
  </w:style>
  <w:style w:type="paragraph" w:styleId="928">
    <w:name w:val="xl91"/>
    <w:next w:val="929"/>
    <w:link w:val="703"/>
    <w:uiPriority w:val="99"/>
    <w:qFormat/>
    <w:pPr>
      <w:ind w:firstLine="3584"/>
      <w:spacing w:before="280" w:after="280"/>
      <w:outlineLvl w:val="0"/>
    </w:pPr>
    <w:rPr>
      <w:rFonts w:ascii="Calibri" w:hAnsi="Calibri" w:eastAsia="宋体" w:cs="Calibri"/>
      <w:lang w:val="en-US" w:eastAsia="zh-CN" w:bidi="ar-SA"/>
    </w:rPr>
  </w:style>
  <w:style w:type="paragraph" w:styleId="929">
    <w:name w:val="xl76"/>
    <w:next w:val="930"/>
    <w:link w:val="703"/>
    <w:uiPriority w:val="99"/>
    <w:qFormat/>
    <w:pPr>
      <w:ind w:firstLine="3584"/>
      <w:jc w:val="center"/>
      <w:spacing w:before="280" w:after="280"/>
      <w:outlineLvl w:val="0"/>
    </w:pPr>
    <w:rPr>
      <w:rFonts w:ascii="Calibri" w:hAnsi="Calibri" w:eastAsia="宋体" w:cs="Calibri"/>
      <w:lang w:val="en-US" w:eastAsia="zh-CN" w:bidi="ar-SA"/>
    </w:rPr>
  </w:style>
  <w:style w:type="paragraph" w:styleId="930">
    <w:name w:val="正文文本 21"/>
    <w:basedOn w:val="703"/>
    <w:next w:val="931"/>
    <w:link w:val="703"/>
    <w:uiPriority w:val="99"/>
    <w:qFormat/>
    <w:pPr>
      <w:ind w:firstLine="1024"/>
      <w:jc w:val="left"/>
      <w:spacing w:after="120" w:line="480" w:lineRule="auto"/>
      <w:widowControl/>
      <w:outlineLvl w:val="0"/>
    </w:pPr>
    <w:rPr>
      <w:sz w:val="20"/>
      <w:szCs w:val="20"/>
    </w:rPr>
  </w:style>
  <w:style w:type="paragraph" w:styleId="931">
    <w:name w:val="列表项目符号1"/>
    <w:basedOn w:val="703"/>
    <w:next w:val="703"/>
    <w:link w:val="703"/>
    <w:uiPriority w:val="99"/>
    <w:qFormat/>
    <w:pPr>
      <w:numPr>
        <w:ilvl w:val="0"/>
        <w:numId w:val="1"/>
      </w:numPr>
      <w:tabs>
        <w:tab w:val="left" w:pos="360" w:leader="none"/>
      </w:tabs>
    </w:pPr>
  </w:style>
  <w:style w:type="character" w:styleId="932">
    <w:name w:val="批注文字 字符"/>
    <w:next w:val="932"/>
    <w:link w:val="703"/>
    <w:qFormat/>
    <w:rPr>
      <w:rFonts w:eastAsia="宋体"/>
      <w:sz w:val="21"/>
      <w:lang w:val="en-US" w:eastAsia="zh-CN" w:bidi="ar-SA"/>
    </w:rPr>
  </w:style>
  <w:style w:type="character" w:styleId="933">
    <w:name w:val="批注主题 字符"/>
    <w:next w:val="933"/>
    <w:link w:val="703"/>
    <w:qFormat/>
    <w:rPr>
      <w:rFonts w:eastAsia="宋体"/>
      <w:b/>
      <w:bCs/>
      <w:sz w:val="21"/>
      <w:lang w:val="en-US" w:eastAsia="zh-CN" w:bidi="ar-SA"/>
    </w:rPr>
  </w:style>
  <w:style w:type="paragraph" w:styleId="934">
    <w:name w:val="p1"/>
    <w:basedOn w:val="703"/>
    <w:next w:val="934"/>
    <w:link w:val="703"/>
    <w:qFormat/>
    <w:pPr>
      <w:jc w:val="left"/>
      <w:spacing w:before="100" w:beforeAutospacing="1" w:after="100" w:afterAutospacing="1"/>
      <w:widowControl/>
    </w:pPr>
    <w:rPr>
      <w:rFonts w:ascii="宋体" w:hAnsi="宋体" w:eastAsia="宋体" w:cs="宋体"/>
      <w:sz w:val="24"/>
    </w:rPr>
  </w:style>
  <w:style w:type="paragraph" w:styleId="935">
    <w:name w:val="标题3"/>
    <w:basedOn w:val="703"/>
    <w:next w:val="703"/>
    <w:link w:val="703"/>
    <w:qFormat/>
    <w:pPr>
      <w:keepLines/>
      <w:keepNext/>
      <w:spacing w:line="360" w:lineRule="auto"/>
      <w:outlineLvl w:val="2"/>
    </w:pPr>
    <w:rPr>
      <w:rFonts w:eastAsia="宋体"/>
      <w:b/>
      <w:sz w:val="28"/>
      <w:szCs w:val="28"/>
    </w:rPr>
  </w:style>
  <w:style w:type="paragraph" w:styleId="936">
    <w:name w:val="纯文本3"/>
    <w:basedOn w:val="703"/>
    <w:next w:val="936"/>
    <w:link w:val="703"/>
    <w:qFormat/>
    <w:rPr>
      <w:rFonts w:ascii="宋体" w:hAnsi="Courier New" w:eastAsia="楷体_GB2312" w:cs="Times New Roman"/>
      <w:sz w:val="28"/>
      <w:szCs w:val="20"/>
    </w:rPr>
  </w:style>
  <w:style w:type="paragraph" w:styleId="937">
    <w:name w:val="修订1"/>
    <w:next w:val="937"/>
    <w:link w:val="703"/>
    <w:uiPriority w:val="99"/>
    <w:semiHidden/>
    <w:qFormat/>
    <w:rPr>
      <w:rFonts w:ascii="Calibri" w:hAnsi="Calibri" w:eastAsia="Arial" w:cs="Arial"/>
      <w:sz w:val="21"/>
      <w:szCs w:val="24"/>
      <w:lang w:eastAsia="zh-CN"/>
    </w:rPr>
  </w:style>
  <w:style w:type="paragraph" w:styleId="938">
    <w:name w:val="Revision"/>
    <w:next w:val="938"/>
    <w:link w:val="703"/>
    <w:uiPriority w:val="99"/>
    <w:semiHidden/>
    <w:qFormat/>
    <w:rPr>
      <w:rFonts w:ascii="Calibri" w:hAnsi="Calibri" w:eastAsia="Arial" w:cs="Arial"/>
      <w:sz w:val="21"/>
      <w:szCs w:val="24"/>
      <w:lang w:eastAsia="zh-CN"/>
    </w:rPr>
  </w:style>
  <w:style w:type="paragraph" w:styleId="939">
    <w:name w:val="Plain Text1"/>
    <w:basedOn w:val="703"/>
    <w:next w:val="939"/>
    <w:link w:val="703"/>
    <w:qFormat/>
    <w:rPr>
      <w:rFonts w:ascii="宋体" w:hAnsi="Courier New" w:eastAsia="宋体" w:cs="Times New Roman"/>
      <w:sz w:val="26"/>
      <w:szCs w:val="20"/>
    </w:rPr>
  </w:style>
  <w:style w:type="paragraph" w:styleId="940">
    <w:name w:val="纯文本111"/>
    <w:basedOn w:val="703"/>
    <w:next w:val="940"/>
    <w:link w:val="703"/>
    <w:qFormat/>
    <w:rPr>
      <w:rFonts w:ascii="宋体" w:hAnsi="Courier New" w:eastAsia="KaiTi_GB2312" w:cs="Times New Roman"/>
      <w:sz w:val="28"/>
      <w:szCs w:val="20"/>
    </w:rPr>
  </w:style>
  <w:style w:type="paragraph" w:styleId="941">
    <w:name w:val="段"/>
    <w:next w:val="703"/>
    <w:link w:val="703"/>
    <w:qFormat/>
    <w:pPr>
      <w:ind w:firstLine="200"/>
      <w:jc w:val="both"/>
      <w:spacing w:line="360" w:lineRule="auto"/>
    </w:pPr>
    <w:rPr>
      <w:rFonts w:ascii="宋体" w:hAnsi="宋体" w:eastAsia="等线" w:cs="宋体"/>
      <w:sz w:val="24"/>
      <w:szCs w:val="22"/>
      <w:lang w:eastAsia="zh-CN"/>
    </w:rPr>
  </w:style>
  <w:style w:type="paragraph" w:styleId="942">
    <w:name w:val="Andy_正文"/>
    <w:basedOn w:val="703"/>
    <w:next w:val="942"/>
    <w:link w:val="703"/>
    <w:qFormat/>
    <w:pPr>
      <w:ind w:firstLine="480"/>
      <w:spacing w:line="360" w:lineRule="auto"/>
    </w:pPr>
    <w:rPr>
      <w:rFonts w:ascii="Calibri" w:hAnsi="Calibri" w:cs="Times New Roman"/>
      <w:sz w:val="24"/>
    </w:rPr>
  </w:style>
  <w:style w:type="character" w:styleId="943">
    <w:name w:val="NormalCharacter1"/>
    <w:next w:val="943"/>
    <w:link w:val="703"/>
    <w:semiHidden/>
    <w:qFormat/>
  </w:style>
  <w:style w:type="character" w:styleId="944" w:default="1">
    <w:name w:val="Default Paragraph Font"/>
    <w:uiPriority w:val="1"/>
    <w:semiHidden/>
    <w:unhideWhenUsed/>
  </w:style>
  <w:style w:type="numbering" w:styleId="945" w:default="1">
    <w:name w:val="No List"/>
    <w:uiPriority w:val="99"/>
    <w:semiHidden/>
    <w:unhideWhenUsed/>
  </w:style>
  <w:style w:type="table" w:styleId="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 TargetMode="External"/><Relationship Id="rId12"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赵晓燕</cp:lastModifiedBy>
  <cp:revision>14</cp:revision>
  <dcterms:created xsi:type="dcterms:W3CDTF">2021-11-13T08:24:00Z</dcterms:created>
  <dcterms:modified xsi:type="dcterms:W3CDTF">2026-05-20T01:46:10Z</dcterms:modified>
</cp:coreProperties>
</file>