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84"/>
          <w:szCs w:val="84"/>
          <w:highlight w:val="none"/>
          <w14:textFill>
            <w14:solidFill>
              <w14:schemeClr w14:val="tx1"/>
            </w14:solidFill>
          </w14:textFill>
        </w:rPr>
      </w:pPr>
      <w:r>
        <w:rPr>
          <w:rFonts w:hint="eastAsia" w:ascii="宋体" w:hAnsi="宋体" w:eastAsia="宋体" w:cs="宋体"/>
          <w:color w:val="000000" w:themeColor="text1"/>
          <w:sz w:val="84"/>
          <w:szCs w:val="84"/>
          <w:highlight w:val="none"/>
          <w14:textFill>
            <w14:solidFill>
              <w14:schemeClr w14:val="tx1"/>
            </w14:solidFill>
          </w14:textFill>
        </w:rPr>
        <w:t xml:space="preserve">苏州市政府采购</w:t>
      </w:r>
      <w:r/>
    </w:p>
    <w:p>
      <w:pPr>
        <w:jc w:val="cente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84"/>
          <w:szCs w:val="84"/>
          <w:highlight w:val="none"/>
          <w14:textFill>
            <w14:solidFill>
              <w14:schemeClr w14:val="tx1"/>
            </w14:solidFill>
          </w14:textFill>
        </w:rPr>
        <w:t xml:space="preserve">招  标  文  件</w:t>
      </w:r>
      <w:r/>
    </w:p>
    <w:p>
      <w:pPr>
        <w:pStyle w:val="936"/>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36"/>
        <w:spacing w:line="360" w:lineRule="auto"/>
        <w:shd w:val="clear" w:color="auto"/>
        <w:tabs>
          <w:tab w:val="left" w:pos="8111" w:leader="none"/>
        </w:tabs>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ab/>
      </w:r>
      <w:r/>
    </w:p>
    <w:p>
      <w:pPr>
        <w:jc w:val="cente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438275" cy="14382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17"/>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17" o:title=""/>
              </v:shape>
            </w:pict>
          </mc:Fallback>
        </mc:AlternateContent>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640"/>
        <w:jc w:val="both"/>
        <w:spacing w:line="360" w:lineRule="auto"/>
        <w:shd w:val="clear" w:color="auto"/>
        <w:rPr>
          <w:rFonts w:hint="eastAsia" w:ascii="宋体" w:hAnsi="宋体" w:eastAsia="宋体" w:cs="宋体"/>
          <w:bCs/>
          <w:color w:val="000000" w:themeColor="text1"/>
          <w:sz w:val="32"/>
          <w:highlight w:val="none"/>
          <w:lang w:eastAsia="zh-CN"/>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t xml:space="preserve">项目编号：</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JSZC-320500-SZZJ-G2026-0014</w:t>
      </w:r>
      <w:r/>
    </w:p>
    <w:p>
      <w:pPr>
        <w:ind w:firstLine="640"/>
        <w:jc w:val="both"/>
        <w:spacing w:line="360" w:lineRule="auto"/>
        <w:shd w:val="clear" w:color="auto"/>
        <w:tabs>
          <w:tab w:val="left" w:pos="1744" w:leader="none"/>
        </w:tabs>
        <w:rPr>
          <w:rFonts w:hint="eastAsia" w:ascii="宋体" w:hAnsi="宋体" w:eastAsia="宋体" w:cs="宋体"/>
          <w:bCs/>
          <w:color w:val="000000" w:themeColor="text1"/>
          <w:sz w:val="32"/>
          <w:highlight w:val="none"/>
          <w:lang w:eastAsia="zh-CN"/>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t xml:space="preserve">采 购 人：</w:t>
      </w:r>
      <w:r>
        <w:rPr>
          <w:rFonts w:hint="eastAsia" w:ascii="宋体" w:hAnsi="宋体" w:eastAsia="宋体" w:cs="宋体"/>
          <w:bCs/>
          <w:color w:val="000000" w:themeColor="text1"/>
          <w:sz w:val="32"/>
          <w:highlight w:val="none"/>
          <w:lang w:eastAsia="zh-CN"/>
          <w14:textFill>
            <w14:solidFill>
              <w14:schemeClr w14:val="tx1"/>
            </w14:solidFill>
          </w14:textFill>
        </w:rPr>
        <w:t xml:space="preserve">苏州市教育考试院</w:t>
      </w:r>
      <w:r/>
    </w:p>
    <w:p>
      <w:pPr>
        <w:ind w:firstLine="640"/>
        <w:jc w:val="both"/>
        <w:spacing w:line="360" w:lineRule="auto"/>
        <w:shd w:val="clear" w:color="auto"/>
        <w:rPr>
          <w:rFonts w:hint="eastAsia" w:ascii="宋体" w:hAnsi="宋体" w:eastAsia="宋体" w:cs="宋体"/>
          <w:bCs/>
          <w:color w:val="000000" w:themeColor="text1"/>
          <w:sz w:val="32"/>
          <w:highlight w:val="none"/>
          <w:lang w:eastAsia="zh-CN"/>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t xml:space="preserve">项目名称：</w:t>
      </w:r>
      <w:r>
        <w:rPr>
          <w:rFonts w:hint="eastAsia" w:ascii="宋体" w:hAnsi="宋体" w:eastAsia="宋体" w:cs="宋体"/>
          <w:bCs/>
          <w:color w:val="000000" w:themeColor="text1"/>
          <w:sz w:val="32"/>
          <w:highlight w:val="none"/>
          <w:lang w:eastAsia="zh-CN"/>
          <w14:textFill>
            <w14:solidFill>
              <w14:schemeClr w14:val="tx1"/>
            </w14:solidFill>
          </w14:textFill>
        </w:rPr>
        <w:t xml:space="preserve">苏州市教育考试院考试安全设备租赁及配套技术服务</w:t>
      </w:r>
      <w:r/>
    </w:p>
    <w:p>
      <w:pPr>
        <w:ind w:firstLine="640"/>
        <w:jc w:val="left"/>
        <w:spacing w:line="360" w:lineRule="auto"/>
        <w:shd w:val="clear" w:color="auto"/>
        <w:rPr>
          <w:rFonts w:hint="eastAsia" w:ascii="宋体" w:hAnsi="宋体" w:eastAsia="宋体" w:cs="宋体"/>
          <w:bCs/>
          <w:color w:val="000000" w:themeColor="text1"/>
          <w:sz w:val="32"/>
          <w:highlight w:val="none"/>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t xml:space="preserve">项目类别：</w:t>
      </w:r>
      <w:r>
        <w:rPr>
          <w:rFonts w:hint="eastAsia" w:ascii="宋体" w:hAnsi="宋体" w:eastAsia="宋体" w:cs="宋体"/>
          <w:bCs/>
          <w:color w:val="000000" w:themeColor="text1"/>
          <w:sz w:val="32"/>
          <w:highlight w:val="none"/>
          <w:lang w:val="en-US" w:eastAsia="zh-CN"/>
          <w14:textFill>
            <w14:solidFill>
              <w14:schemeClr w14:val="tx1"/>
            </w14:solidFill>
          </w14:textFill>
        </w:rPr>
        <w:t xml:space="preserve">服务</w:t>
      </w:r>
      <w:r>
        <w:rPr>
          <w:rFonts w:hint="eastAsia" w:ascii="宋体" w:hAnsi="宋体" w:eastAsia="宋体" w:cs="宋体"/>
          <w:bCs/>
          <w:color w:val="000000" w:themeColor="text1"/>
          <w:sz w:val="32"/>
          <w:highlight w:val="none"/>
          <w14:textFill>
            <w14:solidFill>
              <w14:schemeClr w14:val="tx1"/>
            </w14:solidFill>
          </w14:textFill>
        </w:rPr>
        <w:t xml:space="preserve">类</w:t>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36"/>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shd w:val="clear" w:color="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苏州正杰招投标咨询服务有限公司</w:t>
      </w:r>
      <w:r/>
    </w:p>
    <w:p>
      <w:pPr>
        <w:jc w:val="center"/>
        <w:spacing w:line="360" w:lineRule="auto"/>
        <w:shd w:val="clear" w:color="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二○二</w:t>
      </w:r>
      <w:r>
        <w:rPr>
          <w:rFonts w:hint="eastAsia" w:ascii="宋体" w:hAnsi="宋体" w:eastAsia="宋体" w:cs="宋体"/>
          <w:color w:val="000000" w:themeColor="text1"/>
          <w:sz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highlight w:val="none"/>
          <w14:textFill>
            <w14:solidFill>
              <w14:schemeClr w14:val="tx1"/>
            </w14:solidFill>
          </w14:textFill>
        </w:rPr>
        <w:t xml:space="preserve">年</w:t>
      </w:r>
      <w:r>
        <w:rPr>
          <w:rFonts w:hint="eastAsia" w:ascii="宋体" w:hAnsi="宋体" w:eastAsia="宋体" w:cs="宋体"/>
          <w:color w:val="000000" w:themeColor="text1"/>
          <w:sz w:val="32"/>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32"/>
          <w:highlight w:val="none"/>
          <w14:textFill>
            <w14:solidFill>
              <w14:schemeClr w14:val="tx1"/>
            </w14:solidFill>
          </w14:textFill>
        </w:rPr>
        <w:t xml:space="preserve">月</w:t>
      </w:r>
      <w:r/>
    </w:p>
    <w:p>
      <w:pPr>
        <w:pStyle w:val="928"/>
        <w:ind w:firstLine="0"/>
        <w:jc w:val="center"/>
        <w:spacing w:line="360" w:lineRule="auto"/>
        <w:shd w:val="clear" w:color="auto"/>
        <w:rPr>
          <w:rFonts w:hint="eastAsia" w:ascii="宋体" w:hAnsi="宋体" w:eastAsia="宋体" w:cs="宋体"/>
          <w:color w:val="000000" w:themeColor="text1"/>
          <w:sz w:val="52"/>
          <w:highlight w:val="none"/>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hint="eastAsia" w:ascii="宋体" w:hAnsi="宋体" w:eastAsia="宋体" w:cs="宋体"/>
          <w:color w:val="000000" w:themeColor="text1"/>
          <w:sz w:val="52"/>
          <w:highlight w:val="none"/>
          <w14:textFill>
            <w14:solidFill>
              <w14:schemeClr w14:val="tx1"/>
            </w14:solidFill>
          </w14:textFill>
        </w:rPr>
      </w:r>
      <w:r/>
    </w:p>
    <w:p>
      <w:pPr>
        <w:pStyle w:val="928"/>
        <w:ind w:firstLine="0"/>
        <w:jc w:val="center"/>
        <w:spacing w:line="360" w:lineRule="auto"/>
        <w:shd w:val="clear" w:color="auto"/>
        <w:rPr>
          <w:rFonts w:hint="eastAsia" w:ascii="宋体" w:hAnsi="宋体" w:eastAsia="宋体" w:cs="宋体"/>
          <w:color w:val="000000" w:themeColor="text1"/>
          <w:sz w:val="52"/>
          <w:highlight w:val="none"/>
          <w14:textFill>
            <w14:solidFill>
              <w14:schemeClr w14:val="tx1"/>
            </w14:solidFill>
          </w14:textFill>
        </w:rPr>
      </w:pPr>
      <w:r>
        <w:rPr>
          <w:rFonts w:hint="eastAsia" w:ascii="宋体" w:hAnsi="宋体" w:eastAsia="宋体" w:cs="宋体"/>
          <w:color w:val="000000" w:themeColor="text1"/>
          <w:sz w:val="52"/>
          <w:highlight w:val="none"/>
          <w14:textFill>
            <w14:solidFill>
              <w14:schemeClr w14:val="tx1"/>
            </w14:solidFill>
          </w14:textFill>
        </w:rPr>
      </w:r>
      <w:r/>
    </w:p>
    <w:p>
      <w:pPr>
        <w:pStyle w:val="928"/>
        <w:ind w:firstLine="0"/>
        <w:jc w:val="center"/>
        <w:spacing w:line="360" w:lineRule="auto"/>
        <w:shd w:val="clear" w:color="auto"/>
        <w:rPr>
          <w:rFonts w:hint="eastAsia" w:ascii="宋体" w:hAnsi="宋体" w:eastAsia="宋体" w:cs="宋体"/>
          <w:color w:val="000000" w:themeColor="text1"/>
          <w:sz w:val="52"/>
          <w:highlight w:val="none"/>
          <w14:textFill>
            <w14:solidFill>
              <w14:schemeClr w14:val="tx1"/>
            </w14:solidFill>
          </w14:textFill>
        </w:rPr>
      </w:pPr>
      <w:r>
        <w:rPr>
          <w:rFonts w:hint="eastAsia" w:ascii="宋体" w:hAnsi="宋体" w:eastAsia="宋体" w:cs="宋体"/>
          <w:color w:val="000000" w:themeColor="text1"/>
          <w:sz w:val="52"/>
          <w:highlight w:val="none"/>
          <w14:textFill>
            <w14:solidFill>
              <w14:schemeClr w14:val="tx1"/>
            </w14:solidFill>
          </w14:textFill>
        </w:rPr>
        <w:t xml:space="preserve">目录</w:t>
      </w:r>
      <w:r/>
    </w:p>
    <w:p>
      <w:pPr>
        <w:pStyle w:val="928"/>
        <w:ind w:firstLine="0"/>
        <w:jc w:val="center"/>
        <w:spacing w:line="360" w:lineRule="auto"/>
        <w:shd w:val="clear" w:color="auto"/>
        <w:rPr>
          <w:rFonts w:hint="eastAsia" w:ascii="宋体" w:hAnsi="宋体" w:eastAsia="宋体" w:cs="宋体"/>
          <w:color w:val="000000" w:themeColor="text1"/>
          <w:sz w:val="30"/>
          <w:highlight w:val="none"/>
          <w14:textFill>
            <w14:solidFill>
              <w14:schemeClr w14:val="tx1"/>
            </w14:solidFill>
          </w14:textFill>
        </w:rPr>
      </w:pPr>
      <w:r>
        <w:rPr>
          <w:rFonts w:hint="eastAsia" w:ascii="宋体" w:hAnsi="宋体" w:eastAsia="宋体" w:cs="宋体"/>
          <w:color w:val="000000" w:themeColor="text1"/>
          <w:sz w:val="30"/>
          <w:highlight w:val="none"/>
          <w14:textFill>
            <w14:solidFill>
              <w14:schemeClr w14:val="tx1"/>
            </w14:solidFill>
          </w14:textFill>
        </w:rPr>
      </w:r>
      <w:r/>
    </w:p>
    <w:p>
      <w:pPr>
        <w:pStyle w:val="928"/>
        <w:ind w:firstLine="0"/>
        <w:jc w:val="center"/>
        <w:spacing w:line="360" w:lineRule="auto"/>
        <w:shd w:val="clear" w:color="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第一章</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 投标邀请函</w:t>
      </w:r>
      <w:r>
        <w:rPr>
          <w:rFonts w:hint="eastAsia" w:ascii="宋体" w:hAnsi="宋体" w:eastAsia="宋体" w:cs="宋体"/>
          <w:color w:val="000000" w:themeColor="text1"/>
          <w:sz w:val="30"/>
          <w:szCs w:val="30"/>
          <w:highlight w:val="none"/>
          <w14:textFill>
            <w14:solidFill>
              <w14:schemeClr w14:val="tx1"/>
            </w14:solidFill>
          </w14:textFill>
        </w:rPr>
        <w:t xml:space="preserve">........................................</w:t>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第二章 投标人须知........................................</w:t>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第三章 投标文件格式......................................</w:t>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第四章 </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采购需求</w:t>
      </w:r>
      <w:r>
        <w:rPr>
          <w:rFonts w:hint="eastAsia" w:ascii="宋体" w:hAnsi="宋体" w:eastAsia="宋体" w:cs="宋体"/>
          <w:color w:val="000000" w:themeColor="text1"/>
          <w:sz w:val="30"/>
          <w:szCs w:val="30"/>
          <w:highlight w:val="none"/>
          <w14:textFill>
            <w14:solidFill>
              <w14:schemeClr w14:val="tx1"/>
            </w14:solidFill>
          </w14:textFill>
        </w:rPr>
        <w:t xml:space="preserve">..........................................</w:t>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第五章 合同</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主要</w:t>
      </w:r>
      <w:r>
        <w:rPr>
          <w:rFonts w:hint="eastAsia" w:ascii="宋体" w:hAnsi="宋体" w:eastAsia="宋体" w:cs="宋体"/>
          <w:color w:val="000000" w:themeColor="text1"/>
          <w:sz w:val="30"/>
          <w:szCs w:val="30"/>
          <w:highlight w:val="none"/>
          <w14:textFill>
            <w14:solidFill>
              <w14:schemeClr w14:val="tx1"/>
            </w14:solidFill>
          </w14:textFill>
        </w:rPr>
        <w:t xml:space="preserve">条款......................................</w:t>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第六章 </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评分方法和</w:t>
      </w:r>
      <w:r>
        <w:rPr>
          <w:rFonts w:hint="eastAsia" w:ascii="宋体" w:hAnsi="宋体" w:eastAsia="宋体" w:cs="宋体"/>
          <w:color w:val="000000" w:themeColor="text1"/>
          <w:sz w:val="30"/>
          <w:szCs w:val="30"/>
          <w:highlight w:val="none"/>
          <w14:textFill>
            <w14:solidFill>
              <w14:schemeClr w14:val="tx1"/>
            </w14:solidFill>
          </w14:textFill>
        </w:rPr>
        <w:t xml:space="preserve">评分标准................................</w:t>
      </w:r>
      <w:r/>
    </w:p>
    <w:p>
      <w:pPr>
        <w:pStyle w:val="928"/>
        <w:ind w:firstLine="0"/>
        <w:jc w:val="center"/>
        <w:spacing w:line="360" w:lineRule="auto"/>
        <w:shd w:val="clear" w:color="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360" w:lineRule="auto"/>
        <w:shd w:val="clear" w:color="auto"/>
        <w:widowControl/>
        <w:rPr>
          <w:rFonts w:hint="eastAsia" w:ascii="宋体" w:hAnsi="宋体" w:eastAsia="宋体" w:cs="宋体"/>
          <w:color w:val="000000" w:themeColor="text1"/>
          <w:sz w:val="30"/>
          <w:szCs w:val="30"/>
          <w:highlight w:val="none"/>
          <w14:textFill>
            <w14:solidFill>
              <w14:schemeClr w14:val="tx1"/>
            </w14:solidFill>
          </w14:textFill>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360" w:lineRule="auto"/>
        <w:shd w:val="clear" w:color="auto"/>
        <w:widowControl/>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第一章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投标邀请函</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苏州正杰招投标咨询服务有限公司受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苏州市教育考试院</w:t>
      </w:r>
      <w:r>
        <w:rPr>
          <w:rFonts w:hint="eastAsia" w:ascii="宋体" w:hAnsi="宋体" w:eastAsia="宋体" w:cs="宋体"/>
          <w:color w:val="000000" w:themeColor="text1"/>
          <w:sz w:val="24"/>
          <w:szCs w:val="24"/>
          <w:highlight w:val="none"/>
          <w14:textFill>
            <w14:solidFill>
              <w14:schemeClr w14:val="tx1"/>
            </w14:solidFill>
          </w14:textFill>
        </w:rPr>
        <w:t xml:space="preserve">的委托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就其所需的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苏州市教育考试院考试安全设备租赁及配套技术服务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进行公开招标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欢迎符合资格条件和具备履约能力的供应商单位前来参与。</w:t>
      </w:r>
      <w:r/>
    </w:p>
    <w:p>
      <w:pPr>
        <w:ind w:firstLine="482"/>
        <w:spacing w:line="360" w:lineRule="auto"/>
        <w:shd w:val="clear" w:color="auto"/>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一、项目基本情况</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JSZC-320500-SZZJ-G2026-0014</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苏州市教育考试院考试安全设备租赁及配套技术服务。</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预算金额：人民币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3550000.00</w:t>
      </w:r>
      <w:r>
        <w:rPr>
          <w:rFonts w:hint="eastAsia" w:ascii="宋体" w:hAnsi="宋体" w:eastAsia="宋体" w:cs="宋体"/>
          <w:color w:val="000000" w:themeColor="text1"/>
          <w:sz w:val="24"/>
          <w:szCs w:val="24"/>
          <w:highlight w:val="none"/>
          <w14:textFill>
            <w14:solidFill>
              <w14:schemeClr w14:val="tx1"/>
            </w14:solidFill>
          </w14:textFill>
        </w:rPr>
        <w:t xml:space="preserve">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最高限价：人民币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3550000.00</w:t>
      </w:r>
      <w:r>
        <w:rPr>
          <w:rFonts w:hint="eastAsia" w:ascii="宋体" w:hAnsi="宋体" w:eastAsia="宋体" w:cs="宋体"/>
          <w:color w:val="000000" w:themeColor="text1"/>
          <w:sz w:val="24"/>
          <w:szCs w:val="24"/>
          <w:highlight w:val="none"/>
          <w14:textFill>
            <w14:solidFill>
              <w14:schemeClr w14:val="tx1"/>
            </w14:solidFill>
          </w14:textFill>
        </w:rPr>
        <w:t xml:space="preserve">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p>
    <w:p>
      <w:pPr>
        <w:ind w:firstLine="48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1、标的的名称：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苏州市教育考试院考试安全设备租赁及配套技术服务。</w:t>
      </w:r>
      <w:r/>
    </w:p>
    <w:p>
      <w:pPr>
        <w:ind w:firstLine="48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2、数量：1项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简要技术需求或服务要求等：本项目计划在规定时限内，向苏州市范围内的考试活动提供人员入场安全检查、考试过程中的安全检查、试卷安全检查以及视频会议安全保障等全方位服务，对项目涉及的现有电子设备进行维保升级，按考试院要求配足必要设备，如智能安检门、监测终端等，并同时承担考生手机、平板等电子设备的保管任务。项目执行期间，设备技术参数须满足考试院提出的需求，并根据点位数，派遣一定数量技术人员驻点保障，确保设备的正常运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具体详见招标文件采购需求。</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自合同生效之日起壹年，按12个月计。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本项不接受联合体投标、不接受进口产品、不允许转包。</w:t>
      </w:r>
      <w:r/>
    </w:p>
    <w:p>
      <w:pPr>
        <w:ind w:firstLine="482"/>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二、申请人的资格要求：</w:t>
      </w:r>
      <w:r/>
    </w:p>
    <w:p>
      <w:pPr>
        <w:ind w:firstLine="48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1、合格供应商的一般条件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1.1具有独立承担民事责任的能力。</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1.2具有良好的商业信誉和健全的财务会计制度。</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1.3具有履行合同所必需的设备和专业技术能力。</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1.4有依法缴纳税收和社会保障资金的良好记录。</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1.5参加政府采购活动前三年内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在经营活动中没有重大违法记录。</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1.6法律、行政法规规定的其他条件。</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2、落实政府采购政策需满足的资格要求</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根据《政府采购促进中小企业发展管理办法》的相关规定，本项目专门面向中小企业，所属行业为</w:t>
      </w: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其他未列明行业</w:t>
      </w:r>
      <w:r>
        <w:rPr>
          <w:rFonts w:hint="eastAsia" w:ascii="宋体" w:hAnsi="宋体" w:eastAsia="宋体" w:cs="宋体"/>
          <w:b/>
          <w:bCs/>
          <w:color w:val="000000" w:themeColor="text1"/>
          <w:sz w:val="24"/>
          <w:szCs w:val="24"/>
          <w:highlight w:val="none"/>
          <w14:textFill>
            <w14:solidFill>
              <w14:schemeClr w14:val="tx1"/>
            </w14:solidFill>
          </w14:textFill>
        </w:rPr>
        <w:t xml:space="preserve">，供应商应为中小微企业、监狱企业、残疾人福利性单位。</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3、本项目的特定资格要求：</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shd w:val="clear" w:color="auto"/>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三、获取招标文件</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时间：自招标文件公告发布之日起5个工作日。</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地点：“苏采云”系统自行下载招标文件。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方式（网上报名）：</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（1）CA证书办理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（2）参与采购活动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28"/>
        <w:ind w:left="0"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（3）电子投标准备：</w:t>
      </w:r>
      <w:r/>
    </w:p>
    <w:p>
      <w:pPr>
        <w:pStyle w:val="928"/>
        <w:ind w:left="0"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28"/>
        <w:ind w:left="0"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在系统操作过程中如有疑问，请按以下方式联系：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注册咨询：13914088964；</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CA技术咨询服务电话：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400-608-6099</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电子签章技术咨询服务电话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025-83633811、025-83633812、15380932027、15371015030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苏州市及区县“苏采云”系统使用指导与咨询：联系电话：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13914088964、0512-69820854</w:t>
      </w:r>
      <w:r>
        <w:rPr>
          <w:rFonts w:hint="eastAsia" w:ascii="宋体" w:hAnsi="宋体" w:eastAsia="宋体" w:cs="宋体"/>
          <w:color w:val="000000" w:themeColor="text1"/>
          <w:sz w:val="24"/>
          <w:szCs w:val="24"/>
          <w:highlight w:val="none"/>
          <w14:textFill>
            <w14:solidFill>
              <w14:schemeClr w14:val="tx1"/>
            </w14:solidFill>
          </w14:textFill>
        </w:rPr>
        <w:t xml:space="preserve">；智能客服：登录苏采云系统后，联系系统右下方智能客服图标进行咨询。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售价：本项目免费下载电子采购文件。</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四、提交投标文件截止时间、开标时间和地点</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1、时间：202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u w:val="none"/>
          <w14:textFill>
            <w14:solidFill>
              <w14:schemeClr w14:val="tx1"/>
            </w14:solidFill>
          </w14:textFill>
        </w:rPr>
        <w:t xml:space="preserve">月20</w:t>
      </w:r>
      <w:r>
        <w:rPr>
          <w:rFonts w:hint="eastAsia" w:ascii="宋体" w:hAnsi="宋体" w:eastAsia="宋体" w:cs="宋体"/>
          <w:color w:val="000000" w:themeColor="text1"/>
          <w:sz w:val="24"/>
          <w:szCs w:val="24"/>
          <w:highlight w:val="none"/>
          <w:u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0分（北京时间）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2、地点：“苏采云”系统（网址：</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"http://jszfcg.jsczt.cn/）\“开标大厅\”。"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978"/>
          <w:rFonts w:hint="eastAsia" w:ascii="宋体" w:hAnsi="宋体" w:eastAsia="宋体" w:cs="宋体"/>
          <w:color w:val="000000" w:themeColor="text1"/>
          <w:sz w:val="24"/>
          <w:szCs w:val="24"/>
          <w:highlight w:val="none"/>
          <w14:textFill>
            <w14:solidFill>
              <w14:schemeClr w14:val="tx1"/>
            </w14:solidFill>
          </w14:textFill>
        </w:rPr>
        <w:t xml:space="preserve">http</w:t>
      </w:r>
      <w:r>
        <w:rPr>
          <w:rStyle w:val="978"/>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978"/>
          <w:rFonts w:hint="eastAsia" w:ascii="宋体" w:hAnsi="宋体" w:eastAsia="宋体" w:cs="宋体"/>
          <w:color w:val="000000" w:themeColor="text1"/>
          <w:sz w:val="24"/>
          <w:szCs w:val="24"/>
          <w:highlight w:val="none"/>
          <w14:textFill>
            <w14:solidFill>
              <w14:schemeClr w14:val="tx1"/>
            </w14:solidFill>
          </w14:textFill>
        </w:rPr>
        <w:t xml:space="preserve">//jszfcg.jsczt.cn/）。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3、方式：投标文件网上递交</w:t>
      </w:r>
      <w:bookmarkStart w:id="0" w:name="_Hlk90650305"/>
      <w:r/>
      <w:bookmarkEnd w:id="0"/>
      <w:r/>
      <w:bookmarkStart w:id="1" w:name="_Hlk90650417"/>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，不需要现场参加采购活动。</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线上参加开标（开启）会方式：供应商登录“苏采云”系统，点击“开标大厅”，选择对应项目，点击进入不见面开标系统。 </w:t>
      </w:r>
      <w:r/>
    </w:p>
    <w:p>
      <w:pPr>
        <w:ind w:firstLine="480"/>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本项目为不见面开标（开启）项目，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开启阶段供应商在【解密环节】必须使用 CA证书解密电子投标（响应）文件，如在“苏采云”系统规定的时间内未能成功解密的视为放弃参与本项目，投标无效。 </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请供应商确保电脑、系统及其他设备（视频输入输出设备等）无误，且开启直至项目结束始终保持系统在线状态。 </w:t>
      </w:r>
      <w:bookmarkEnd w:id="1"/>
      <w:r/>
      <w:r/>
    </w:p>
    <w:p>
      <w:pPr>
        <w:ind w:firstLine="482"/>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五、公告期限</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自本公告发布之日起5个工作日。</w:t>
      </w:r>
      <w:r/>
    </w:p>
    <w:p>
      <w:pPr>
        <w:numPr>
          <w:ilvl w:val="0"/>
          <w:numId w:val="0"/>
        </w:numPr>
        <w:ind w:firstLine="482"/>
        <w:spacing w:line="360" w:lineRule="auto"/>
        <w:shd w:val="clear" w:color="auto"/>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其他补充事宜</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1、采购项目需要落实的政府采购政策：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《政府采购促进中小企业发展管理办法》（财库〔2020〕46号）、《关于做好政府采购支持企业发展有关事项的通知》（苏财购〔2020〕52号）及《关于印发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苏州市政府采购促进中小企业发展实施意见&gt;的通知》（苏财购〔2022〕16号）的规定。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《关于政府采购支持监狱企业发展有关问题的通知》（财库〔2014〕68号）。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《关于促进残疾人就业政府采购政策的通知》（财库〔2017〕141号）。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开评标过程中如有问题采购代理机构工作人员会及时通过报名时在投标确认函模块留存的手机号与供应商联系。此号码在开标截止之前可修改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投标文件中</w:t>
      </w:r>
      <w:r>
        <w:rPr>
          <w:rFonts w:hint="eastAsia" w:ascii="宋体" w:hAnsi="宋体" w:eastAsia="宋体" w:cs="宋体"/>
          <w:color w:val="000000" w:themeColor="text1"/>
          <w:sz w:val="24"/>
          <w:szCs w:val="24"/>
          <w:highlight w:val="none"/>
          <w14:textFill>
            <w14:solidFill>
              <w14:schemeClr w14:val="tx1"/>
            </w14:solidFill>
          </w14:textFill>
        </w:rPr>
        <w:t xml:space="preserve">投标函保存的最新号码为准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请供应商确保该手机号开评标当日通讯畅通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否则导致的对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不利的后果由供应商自行承担。</w:t>
      </w:r>
      <w:r/>
    </w:p>
    <w:p>
      <w:pPr>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3、如不同供应商使用同一台电脑制作的电子响应文件的，双方“文件制作机器码”一致的，则其投标文件将被认定为无效响应。</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本项目获取招标文件截止日期之后仍可以下载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但截止日期之后下载的招标文件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视为非有效方式且不作为供应商权益受到损害的证明材料和依据。</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、政府采购监督电话：0512-68616651。</w:t>
      </w:r>
      <w:r/>
    </w:p>
    <w:p>
      <w:pPr>
        <w:ind w:firstLine="482"/>
        <w:spacing w:line="360" w:lineRule="auto"/>
        <w:shd w:val="clear" w:color="auto"/>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七、对本次招标提出询问</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请按以下方式联系</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1、采购人信息：</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名称：苏州市教育考试院。</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地址：江苏省苏州市劳动路359号。</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联系方式：电话0512-68278441。</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项目联系人：曹家祺。</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2、采购代理机构信息：</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名称：苏州正杰招投标咨询服务有限公司。</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地址：苏州市平泷路251号苏州城市生活广场B座1557室。</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联系方式：电话0512-62826523。</w:t>
      </w:r>
      <w:r/>
    </w:p>
    <w:p>
      <w:pPr>
        <w:ind w:firstLine="480"/>
        <w:spacing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徐杰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、沈鹰、</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陈晓梦</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、刘木兰。</w:t>
      </w:r>
      <w:r/>
    </w:p>
    <w:p>
      <w:pPr>
        <w:jc w:val="center"/>
        <w:spacing w:before="120"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spacing w:line="360" w:lineRule="auto"/>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第二章 投标人须知</w:t>
      </w:r>
      <w:r/>
    </w:p>
    <w:p>
      <w:pPr>
        <w:ind w:firstLine="426"/>
        <w:spacing w:line="360" w:lineRule="auto"/>
        <w:tabs>
          <w:tab w:val="left" w:pos="540"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1、总则</w:t>
      </w:r>
      <w:r/>
    </w:p>
    <w:p>
      <w:pPr>
        <w:ind w:firstLine="426"/>
        <w:spacing w:line="360" w:lineRule="auto"/>
        <w:tabs>
          <w:tab w:val="left" w:pos="540"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1.1投标人资格要求</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1.1.1详见第一章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投标邀请函</w:t>
      </w:r>
      <w:r>
        <w:rPr>
          <w:rFonts w:hint="eastAsia" w:ascii="宋体" w:hAnsi="宋体" w:eastAsia="宋体" w:cs="宋体"/>
          <w:color w:val="000000" w:themeColor="text1"/>
          <w:sz w:val="24"/>
          <w:szCs w:val="24"/>
          <w:highlight w:val="none"/>
          <w14:textFill>
            <w14:solidFill>
              <w14:schemeClr w14:val="tx1"/>
            </w14:solidFill>
          </w14:textFill>
        </w:rPr>
        <w:t xml:space="preserve">中“二、申请人的资格要求”。</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1.1.2投标人不得存在下列情形之一：</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（2）为采购项目提供整体设计、规范编制或者项目管理、监理、监测等服务的供应商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不得再参加该采购项目的其他采购活动；本项目的此类供应商是：无。</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（3）单位负责人为同一人或者存在直接控股、管理关系的不同供应商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不得参加同一合同项下的政府采购活动。</w:t>
      </w:r>
      <w:r/>
    </w:p>
    <w:p>
      <w:pPr>
        <w:numPr>
          <w:ilvl w:val="2"/>
          <w:numId w:val="0"/>
        </w:numPr>
        <w:ind w:left="0"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1.1.3联合体投标：</w:t>
      </w:r>
      <w:r>
        <w:rPr>
          <w:rFonts w:hint="eastAsia" w:ascii="宋体" w:hAnsi="宋体" w:eastAsia="宋体" w:cs="宋体"/>
          <w:b w:val="0"/>
          <w:bCs/>
          <w:color w:val="000000" w:themeColor="text1"/>
          <w:sz w:val="24"/>
          <w:szCs w:val="24"/>
          <w:highlight w:val="none"/>
          <w14:textFill>
            <w14:solidFill>
              <w14:schemeClr w14:val="tx1"/>
            </w14:solidFill>
          </w14:textFill>
        </w:rPr>
        <w:t xml:space="preserve">第一章投标邀请函规定接受联合体投标的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联合体除应符合上述资格要求外</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还应遵守以下规定：</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联合体各方应当向采购人提交联合体协议书</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载明联合体各方承担的工作和义务</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否则投标无效。</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本项目接受联合体投标</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但一个联合体最多接受两个单位进行联合投标。</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联合体中有同类资质的供应商按照联合体分工承担相同工作的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应当按照资质等级较低的供应商确定资质等级。</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14:textFill>
            <w14:solidFill>
              <w14:schemeClr w14:val="tx1"/>
            </w14:solidFill>
          </w14:textFill>
        </w:rPr>
        <w:t xml:space="preserve">联合体各方不得再单独参加或者与其他供应商另外组成联合体参加同一合同项下的政府采购活动</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否则各相关投标均无效。</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t xml:space="preserve">联合体各方应当共同与采购人签订采购合同</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就采购合同约定的事项对采购人承担连带责任。</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1.2 分包、转包</w:t>
      </w:r>
      <w:r/>
    </w:p>
    <w:p>
      <w:pPr>
        <w:ind w:left="525"/>
        <w:spacing w:line="360" w:lineRule="auto"/>
        <w:tabs>
          <w:tab w:val="left" w:pos="851" w:leader="none"/>
        </w:tabs>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本项目不允许分包或转包。</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1.3投标费用</w:t>
      </w:r>
      <w:r/>
    </w:p>
    <w:p>
      <w:pPr>
        <w:ind w:left="525"/>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（1）投标人应自行承担所有准备及参加投标的相关费用。</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1.4保密</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参与采购活动的各方应对招标文件和投标文件中的商业和技术等秘密保密，否则应承担相应的法律责任。</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1.5语言文字</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1.6计量单位</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除招标文件有特殊要求外，所有计量均采用中华人民共和国法定计量单位。</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1.7知识产权</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2、招标文件的说明</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2.1招标文件的获取见第一章</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投标邀请函</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2.2招标文件的询问</w:t>
      </w:r>
      <w:r/>
    </w:p>
    <w:p>
      <w:pPr>
        <w:ind w:firstLine="420"/>
        <w:spacing w:line="360" w:lineRule="auto"/>
        <w:tabs>
          <w:tab w:val="left" w:pos="540" w:leader="none"/>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供应商在收到招标文件后，若有问题需要询问，应于下载招标文件后，可通过投标邀请函中的联系方式及时提出，采购人或采购代理机构将予以解答。</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2.3招标文件的澄清或修改</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2.3.1采购人或采购代理机构无论出于自己的考虑，还是出于对投标人提问的澄清，均可对已发出的招标文件用补充通知（包括更正公告）的方式进行澄清或者修改，</w:t>
      </w:r>
      <w:r>
        <w:rPr>
          <w:rFonts w:hint="eastAsia" w:ascii="宋体" w:hAnsi="宋体" w:eastAsia="宋体" w:cs="宋体"/>
          <w:color w:val="000000" w:themeColor="text1"/>
          <w:sz w:val="24"/>
          <w:szCs w:val="24"/>
          <w:highlight w:val="none"/>
          <w14:textFill>
            <w14:solidFill>
              <w14:schemeClr w14:val="tx1"/>
            </w14:solidFill>
          </w14:textFill>
        </w:rPr>
        <w:t xml:space="preserve">并通过苏州市政府采购网对外进行发布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但不得改变采购标的和资格条件。澄清或者修改的内容作为招标文件的组成部分，对所有投标人具有约束力。</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2.3.2</w:t>
      </w:r>
      <w:r>
        <w:rPr>
          <w:rFonts w:hint="eastAsia" w:ascii="宋体" w:hAnsi="宋体" w:eastAsia="宋体" w:cs="宋体"/>
          <w:color w:val="000000" w:themeColor="text1"/>
          <w:sz w:val="24"/>
          <w:szCs w:val="24"/>
          <w:highlight w:val="none"/>
          <w14:textFill>
            <w14:solidFill>
              <w14:schemeClr w14:val="tx1"/>
            </w14:solidFill>
          </w14:textFill>
        </w:rPr>
        <w:t xml:space="preserve">为保证投标人有足够时间修正投标文件，或出于其他合理原因，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采购代理机构可依法顺延投标截止时间和开标时间。</w:t>
      </w:r>
      <w:r/>
    </w:p>
    <w:p>
      <w:pPr>
        <w:ind w:firstLine="484"/>
        <w:spacing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2.3.3</w:t>
      </w:r>
      <w:r>
        <w:rPr>
          <w:rFonts w:hint="eastAsia" w:ascii="宋体" w:hAnsi="宋体" w:eastAsia="宋体" w:cs="宋体"/>
          <w:color w:val="000000" w:themeColor="text1"/>
          <w:sz w:val="24"/>
          <w:szCs w:val="24"/>
          <w:highlight w:val="none"/>
          <w14:textFill>
            <w14:solidFill>
              <w14:schemeClr w14:val="tx1"/>
            </w14:solidFill>
          </w14:textFill>
        </w:rPr>
        <w:t xml:space="preserve">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2.3.4</w:t>
      </w:r>
      <w:r>
        <w:rPr>
          <w:rFonts w:hint="eastAsia" w:ascii="宋体" w:hAnsi="宋体" w:eastAsia="宋体" w:cs="宋体"/>
          <w:color w:val="000000" w:themeColor="text1"/>
          <w:sz w:val="24"/>
          <w:szCs w:val="24"/>
          <w:highlight w:val="none"/>
          <w14:textFill>
            <w14:solidFill>
              <w14:schemeClr w14:val="tx1"/>
            </w14:solidFill>
          </w14:textFill>
        </w:rPr>
        <w:t xml:space="preserve">招标文件的澄清、修改、补充等内容均以苏州市政府采购网上发布的内容为准。</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3、投标文件的说明</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投标人应详细阅读招标文件的全部内容，不按招标文件的要求提供的投标文件和资料，其风险由投标人自行承担，并根据有关条款规定，可能导致投标无效。</w:t>
      </w:r>
      <w:r/>
    </w:p>
    <w:p>
      <w:pPr>
        <w:ind w:left="525"/>
        <w:spacing w:line="360" w:lineRule="auto"/>
        <w:tabs>
          <w:tab w:val="left" w:pos="851"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保证金：无</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文件的组成</w:t>
      </w:r>
      <w:r/>
    </w:p>
    <w:p>
      <w:pPr>
        <w:ind w:left="525"/>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3.2.1封面；</w:t>
      </w:r>
      <w:r/>
    </w:p>
    <w:p>
      <w:pPr>
        <w:ind w:left="525"/>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3.2.2开标一览表（格式见第三章）；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3.2.3公开</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分项报价表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（如有，格式见第三章）；</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3.2.4资格审查投标文件：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的资格要求</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（2）具有良好的商业信誉和健全的财务会计制度的材料：包括但不限于法人提供2024年度或2025年度经审计的财务报告或基本开户银行在本年度内出具的资信证明复印件；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（3）具有履行合同所必需的设备和专业技术能力的证明材料复印件或承诺；</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其他有关资格证明的文件（若有）。</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3.2.5符合性审查投标文件：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3.2.5.1投标函（格式见第三章）；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3.2.5.2</w:t>
      </w:r>
      <w:r>
        <w:rPr>
          <w:rFonts w:hint="eastAsia" w:ascii="宋体" w:hAnsi="宋体" w:eastAsia="宋体" w:cs="宋体"/>
          <w:color w:val="000000" w:themeColor="text1"/>
          <w:sz w:val="24"/>
          <w:szCs w:val="24"/>
          <w:highlight w:val="none"/>
          <w14:textFill>
            <w14:solidFill>
              <w14:schemeClr w14:val="tx1"/>
            </w14:solidFill>
          </w14:textFill>
        </w:rPr>
        <w:t xml:space="preserve">关于资格文件的声明函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3.2.5.3法定代表人身份证复印件；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3.2.5.4法定代表人授权委托书及授权委托人身份证复印件（如有授权，格式见第三章）；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3.2.5.5未被“信用中国”及“中国政府采购网”列入失信被执行人、重大税收违法案件当事人名单、政府采购严重失信行为记录名单的查询记录页面截图；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3.2.5.7其他有关符合性证明的文件（若有）。</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3.2.6综合评审投标文件（见</w:t>
      </w:r>
      <w:r>
        <w:rPr>
          <w:rFonts w:hint="eastAsia" w:ascii="宋体" w:hAnsi="宋体" w:eastAsia="宋体" w:cs="宋体"/>
          <w:b/>
          <w:bCs/>
          <w:color w:val="000000" w:themeColor="text1"/>
          <w:sz w:val="24"/>
          <w:szCs w:val="24"/>
          <w:highlight w:val="none"/>
          <w14:textFill>
            <w14:solidFill>
              <w14:schemeClr w14:val="tx1"/>
            </w14:solidFill>
          </w14:textFill>
        </w:rPr>
        <w:t xml:space="preserve">第六章</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3.2.7与本次采购相关的其他证明材料。</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以上3.2.2-3.2.3项为供应商报价的依据，投标供应商必须提供并加盖电子公章，</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否则，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文件将被认定为未实质性响应。</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以上3.2.4.1项为资格审查提供的资料，是作为对供应商资格审查、质疑身份认定的依据，响应供应商必须提供并加盖电子公章，否则，投标文件将被认定为不符合资格审查要求。</w:t>
      </w:r>
      <w:r/>
    </w:p>
    <w:p>
      <w:pPr>
        <w:ind w:firstLine="482"/>
        <w:spacing w:line="360" w:lineRule="auto"/>
        <w:shd w:val="clear" w:color="auto"/>
        <w:tabs>
          <w:tab w:val="left" w:pos="0"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以上3.2.5.1-3.2.5.4为符合性审查必须提供的资料，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供应商必须提供并加盖</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电子公章</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，否则，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将被认定为未实质性响应。</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制作电子投标文件时需与投标文件制作软件目录一一对应，将相关资料上传至相应模块。</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供应商应保证上传的</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文件完整、清晰可辨认，若因上传资料过小或模糊不清等无法辨认的都视为该资料未提供。</w:t>
      </w:r>
      <w:r/>
    </w:p>
    <w:p>
      <w:pPr>
        <w:ind w:firstLine="472"/>
        <w:spacing w:line="360" w:lineRule="auto"/>
        <w:tabs>
          <w:tab w:val="left" w:pos="540" w:leader="none"/>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如供应商</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文件中某些条款不响应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b/>
          <w:bCs/>
          <w:color w:val="000000" w:themeColor="text1"/>
          <w:sz w:val="24"/>
          <w:szCs w:val="24"/>
          <w:highlight w:val="none"/>
          <w14:textFill>
            <w14:solidFill>
              <w14:schemeClr w14:val="tx1"/>
            </w14:solidFill>
          </w14:textFill>
        </w:rPr>
        <w:t xml:space="preserve">提出的全部服务内容与要求</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须在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文件中逐条列出</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未列出的视同响应。</w:t>
      </w:r>
      <w:r/>
    </w:p>
    <w:p>
      <w:pPr>
        <w:ind w:firstLine="482"/>
        <w:spacing w:line="360" w:lineRule="auto"/>
        <w:tabs>
          <w:tab w:val="left" w:pos="142" w:leader="none"/>
          <w:tab w:val="left" w:pos="60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如不同供应商使用同一台电脑制作的电子</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文件的，双方“文件制作机器码”一致的，则其</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文件将被认定为无效响应。</w:t>
      </w:r>
      <w:r/>
    </w:p>
    <w:p>
      <w:pPr>
        <w:ind w:left="525"/>
        <w:spacing w:line="360" w:lineRule="auto"/>
        <w:tabs>
          <w:tab w:val="left" w:pos="142" w:leader="none"/>
          <w:tab w:val="left" w:pos="6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投标报价</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3.3.1投标报价应包括完成本招标项目全部内容的一切费用，除非合同条款中另有规定，投标人所报价格在合同实施期间不因市场变化因素而变动。</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3.3.2如果招标文件要求分标段投标的，则投标人可以根据自身经营许可范围，选择投标其中部分或者全部标段，但各标段应分别计算填写单价和总价。</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3.3.3投标人应对招标文件内所要采购的全部内容进行报价，只对其中部分内容报价的，投标无效。</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3.3.4投标报价超过招标文件中规定的预算金额或者最高限价的，或者各标的物的单价超过该项预算单价的（针对招标文件标明预算单价的项目），其投标无效。</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3.2.5一项投标内容只允许一个报价，任何有选择性投标报价的，其投标无效。</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3.3.6投标文件报价中的单价和总价全部采用人民币表示，除非另有规定。</w:t>
      </w:r>
      <w:r/>
    </w:p>
    <w:p>
      <w:pPr>
        <w:ind w:left="525"/>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3.4电子投标文件的编制与提交</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Hlk154589874"/>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3.4.1投标文件编制要求：本项目为网上招投标项目，请供应商插入CA 证书登录“苏采云”系统下载客户端（参与项目页面可下载客户端及客户端使用说明），在客户端编制电子投标文件并进行CA加密。操作步骤详见“苏采云”系统页面提示和《操作手册》。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3.4.3投标文件未按照招标文件要求加盖CA电子公章的，响应无效。</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3.5投标文件的开启（解密）</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3.5.1线上参加（观看）开标（开启）会方式：登录苏采云系统，点击“开标大厅”，选择对应项目。</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否则导致的对供应商不利的后果由供应商自行承担。</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3.5.3供应商在苏采云系统规定的时间内未成功解密电子投标文件的，投标无效。</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3.5.4</w:t>
      </w:r>
      <w:bookmarkEnd w:id="2"/>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3.5.5 CA技术咨询服务电话：400-608-6099；</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苏州市及区县“苏采云”系统使用指导与咨询：联系电话：0512-69820854、18261002950；QQ：3048755361、1315179389、895706745；智能客服：登录苏采云系统后，联系系统右下方智能客服图标进行咨询。</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响应文件的修改和撤回</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pStyle w:val="101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.1供应商在提交投标文件截止时间前，可以对所递交的投标文件进行补充、修改或者撤回，具体操作方法见《操作手册》。提交投标文件截止时间后供应商不得撤回投标文件。</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4、开标和评标</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4.1开标</w:t>
      </w:r>
      <w:r/>
    </w:p>
    <w:p>
      <w:pPr>
        <w:pStyle w:val="1001"/>
        <w:ind w:lef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开标由采购代理机构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在线</w:t>
      </w:r>
      <w:r>
        <w:rPr>
          <w:rFonts w:hint="eastAsia" w:ascii="宋体" w:hAnsi="宋体" w:eastAsia="宋体" w:cs="宋体"/>
          <w:color w:val="000000" w:themeColor="text1"/>
          <w:sz w:val="24"/>
          <w:szCs w:val="24"/>
          <w:highlight w:val="none"/>
          <w14:textFill>
            <w14:solidFill>
              <w14:schemeClr w14:val="tx1"/>
            </w14:solidFill>
          </w14:textFill>
        </w:rPr>
        <w:t xml:space="preserve">主持，邀请投标人</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在线</w:t>
      </w:r>
      <w:r>
        <w:rPr>
          <w:rFonts w:hint="eastAsia" w:ascii="宋体" w:hAnsi="宋体" w:eastAsia="宋体" w:cs="宋体"/>
          <w:color w:val="000000" w:themeColor="text1"/>
          <w:sz w:val="24"/>
          <w:szCs w:val="24"/>
          <w:highlight w:val="none"/>
          <w14:textFill>
            <w14:solidFill>
              <w14:schemeClr w14:val="tx1"/>
            </w14:solidFill>
          </w14:textFill>
        </w:rPr>
        <w:t xml:space="preserve">参加。投标人应当按照《苏采云系统供应商操作手册》规定，</w:t>
      </w:r>
      <w:r>
        <w:rPr>
          <w:rFonts w:hint="eastAsia" w:ascii="宋体" w:hAnsi="宋体" w:eastAsia="宋体" w:cs="宋体"/>
          <w:b/>
          <w:color w:val="000000" w:themeColor="text1"/>
          <w:sz w:val="24"/>
          <w:szCs w:val="24"/>
          <w:highlight w:val="none"/>
          <w14:textFill>
            <w14:solidFill>
              <w14:schemeClr w14:val="tx1"/>
            </w14:solidFill>
          </w14:textFill>
        </w:rPr>
        <w:t xml:space="preserve">参加开标活动和在“苏采云”系统规定的时间内对投标文件进行解密</w:t>
      </w:r>
      <w:r>
        <w:rPr>
          <w:rFonts w:hint="eastAsia" w:ascii="宋体" w:hAnsi="宋体" w:eastAsia="宋体" w:cs="宋体"/>
          <w:color w:val="000000" w:themeColor="text1"/>
          <w:sz w:val="24"/>
          <w:szCs w:val="24"/>
          <w:highlight w:val="none"/>
          <w14:textFill>
            <w14:solidFill>
              <w14:schemeClr w14:val="tx1"/>
            </w14:solidFill>
          </w14:textFill>
        </w:rPr>
        <w:t xml:space="preserve">。评标委员会成员不得参加开标活动。</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4.1.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开标时，由采购代理机构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通过“苏采云”系统在线</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宣布投标人名称、投标价格和招标文件规定的需要宣布的其他内容。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投标人在不见面开标系统中确认投标价格，如</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投标人未</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在线</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参加开标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或未在规定时间内确认价格</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的，视同认可开标结果。</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4.2</w:t>
      </w:r>
      <w:r>
        <w:rPr>
          <w:rFonts w:hint="eastAsia" w:ascii="宋体" w:hAnsi="宋体" w:eastAsia="宋体" w:cs="宋体"/>
          <w:b/>
          <w:color w:val="000000" w:themeColor="text1"/>
          <w:sz w:val="24"/>
          <w:szCs w:val="24"/>
          <w:highlight w:val="none"/>
          <w14:textFill>
            <w14:solidFill>
              <w14:schemeClr w14:val="tx1"/>
            </w14:solidFill>
          </w14:textFill>
        </w:rPr>
        <w:t xml:space="preserve">资格审查</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4.2.1</w:t>
      </w:r>
      <w:r>
        <w:rPr>
          <w:rFonts w:hint="eastAsia" w:ascii="宋体" w:hAnsi="宋体" w:eastAsia="宋体" w:cs="宋体"/>
          <w:color w:val="000000" w:themeColor="text1"/>
          <w:sz w:val="24"/>
          <w:szCs w:val="24"/>
          <w:highlight w:val="none"/>
          <w14:textFill>
            <w14:solidFill>
              <w14:schemeClr w14:val="tx1"/>
            </w14:solidFill>
          </w14:textFill>
        </w:rPr>
        <w:t xml:space="preserve">公开招标采购项目开标结束后，采购人应当依法对投标人的资格进行审查，未通过资格审查的视为无效投标。</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4.2.2.1查询时间：投标文件提交截止时间。</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4.2.2.2查询渠道：通过“信用中国”及“中国政府采购网” 上的信用信息查询供应商的信用记录。 </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信用记录属于应依法拒绝供应商参加政府采购的失信信息，存在此类失信信息的投标人的投标无效。</w:t>
      </w:r>
      <w:r/>
    </w:p>
    <w:p>
      <w:pPr>
        <w:ind w:firstLine="482"/>
        <w:spacing w:line="360" w:lineRule="auto"/>
        <w:tabs>
          <w:tab w:val="left" w:pos="142" w:leader="none"/>
          <w:tab w:val="left" w:pos="60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4.3评标委员会</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与供应商的法定代表人或者负责人有夫妻、直系血亲、三代以内旁系血亲或者近姻亲关系；</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与供应商有其他可能影响政府采购活动公平、公正进行的关系。</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4.3.4评标委员会成员应当按照客观、公正、审慎的原则，根据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规定的评审程序、评审方法和评审标准进行独立评审。</w:t>
      </w:r>
      <w:r/>
    </w:p>
    <w:p>
      <w:pPr>
        <w:ind w:firstLine="482"/>
        <w:spacing w:line="360" w:lineRule="auto"/>
        <w:tabs>
          <w:tab w:val="left" w:pos="142" w:leader="none"/>
          <w:tab w:val="left" w:pos="60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4.4评标</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4.4.1符合性审查</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4.4.2投标文件的比较和评价</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4.4.2.2本项目采用综合评分法，即指投标文件满足招标文件全部实质性要求，且按照评审因素的量化指标评审得分最高的投标人为中标候选人的评标方法。评标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评分</w:t>
      </w:r>
      <w:r>
        <w:rPr>
          <w:rFonts w:hint="eastAsia" w:ascii="宋体" w:hAnsi="宋体" w:eastAsia="宋体" w:cs="宋体"/>
          <w:color w:val="000000" w:themeColor="text1"/>
          <w:sz w:val="24"/>
          <w:szCs w:val="24"/>
          <w:highlight w:val="none"/>
          <w14:textFill>
            <w14:solidFill>
              <w14:schemeClr w14:val="tx1"/>
            </w14:solidFill>
          </w14:textFill>
        </w:rPr>
        <w:t xml:space="preserve">标准见第六章。</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4.4.2.3价格修正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（二）大写金额和小写金额不一致的，以大写金额为准；</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（四）总价金额与按单价汇总金额不一致的，以单价金额计算结果为准。</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ind w:left="5" w:firstLine="518"/>
        <w:spacing w:line="360" w:lineRule="auto"/>
        <w:tabs>
          <w:tab w:val="left" w:pos="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4.4.2.4</w:t>
      </w:r>
      <w:r>
        <w:rPr>
          <w:rFonts w:ascii="宋体" w:hAnsi="宋体" w:eastAsia="宋体" w:cs="宋体"/>
          <w:color w:val="000000" w:themeColor="text1"/>
          <w:sz w:val="24"/>
          <w:szCs w:val="24"/>
          <w:highlight w:val="none"/>
          <w14:textFill>
            <w14:solidFill>
              <w14:schemeClr w14:val="tx1"/>
            </w14:solidFill>
          </w14:textFill>
        </w:rPr>
        <w:t xml:space="preserve">评审过程中出现下列情形之一的，评审委员会应当启动异常低价投标（响应）审查程序：</w:t>
      </w:r>
      <w:r/>
    </w:p>
    <w:p>
      <w:pPr>
        <w:ind w:left="5" w:firstLine="518"/>
        <w:spacing w:line="360" w:lineRule="auto"/>
        <w:tabs>
          <w:tab w:val="left" w:pos="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①投标(响应)报价低于全部通过符合性审查供应商投标(响应)报价平均值50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的，即投标(响应)报价＜全部通过符合性审查供应商投标(响应)报价平均值×50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w:t>
      </w:r>
      <w:r/>
    </w:p>
    <w:p>
      <w:pPr>
        <w:ind w:left="5" w:firstLine="518"/>
        <w:spacing w:line="360" w:lineRule="auto"/>
        <w:tabs>
          <w:tab w:val="left" w:pos="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②投标(响应)报价低于通过符合性审查的次低报价供应商投标(响应)报价50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的，即投标(响应)报价＜通过符合性审查的次低报价供应商投标(响应)报价×50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 </w:t>
      </w:r>
      <w:r/>
    </w:p>
    <w:p>
      <w:pPr>
        <w:ind w:left="5" w:firstLine="518"/>
        <w:spacing w:line="360" w:lineRule="auto"/>
        <w:tabs>
          <w:tab w:val="left" w:pos="0"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投标(响应)报价低于采购项目最高限价45％的，即投标(响应)报价＜采购项目最高限价×45％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5" w:firstLine="518"/>
        <w:spacing w:line="360" w:lineRule="auto"/>
        <w:tabs>
          <w:tab w:val="left" w:pos="0"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④评审委员会基于专业判断，认为供应商报价过低，有可能影响产品质量或者不能诚信履约的其他情形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spacing w:line="360" w:lineRule="auto"/>
        <w:tabs>
          <w:tab w:val="left" w:pos="142" w:leader="none"/>
          <w:tab w:val="left" w:pos="600" w:leader="none"/>
        </w:tabs>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4.4.2.5启动异常低价投标审查后，</w:t>
      </w:r>
      <w:bookmarkStart w:id="3" w:name="OLE_LINK1"/>
      <w:r/>
      <w:bookmarkStart w:id="4" w:name="OLE_LINK2"/>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评标委员会</w:t>
      </w:r>
      <w:bookmarkEnd w:id="3"/>
      <w:r/>
      <w:bookmarkEnd w:id="4"/>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5" w:name="OLE_LINK10"/>
      <w:r/>
      <w:bookmarkStart w:id="6" w:name="OLE_LINK9"/>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bookmarkEnd w:id="5"/>
      <w:r/>
      <w:bookmarkEnd w:id="6"/>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包括但不限于原材料成本、人工成本、制造费用等，给予相关供应商的合理时间一般不少于30分钟。其中，属于4.4.2.4第③项情形，供应商已随投标文件一并提交相关书面说明及必要的证明材料的，在评审现场可不再重复提交。</w:t>
      </w:r>
      <w:r/>
    </w:p>
    <w:p>
      <w:pPr>
        <w:ind w:firstLine="480"/>
        <w:spacing w:line="360" w:lineRule="auto"/>
        <w:tabs>
          <w:tab w:val="left" w:pos="142" w:leader="none"/>
          <w:tab w:val="left" w:pos="600" w:leader="none"/>
        </w:tabs>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4.4.2.6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4.4.2.7异常低价投标（响应）审查的启动原因、审查意见和审查结果应当在评审报告中记录，并随供应商提供的相关书面说明及证明材料等一并归档。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4.4.3投标的澄清</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本项目采用线上澄清。</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线上澄清答复的方式：需要供应商进行澄清、说明和更正的，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小组将通过苏采云系统向供应商发布“澄清要求函”，接到“澄清要求函”的供应商应当按照要求在苏采云系统中提交“澄清响应函”并加盖CA电子公章。澄清、说明和更正的内容作为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投标（响应）</w:t>
      </w:r>
      <w:r>
        <w:rPr>
          <w:rFonts w:hint="eastAsia" w:ascii="宋体" w:hAnsi="宋体" w:eastAsia="宋体" w:cs="宋体"/>
          <w:color w:val="000000" w:themeColor="text1"/>
          <w:sz w:val="24"/>
          <w:szCs w:val="24"/>
          <w:highlight w:val="none"/>
          <w14:textFill>
            <w14:solidFill>
              <w14:schemeClr w14:val="tx1"/>
            </w14:solidFill>
          </w14:textFill>
        </w:rPr>
        <w:t xml:space="preserve">文件的补充部分，具体操作方式见《操作手册》。未加盖CA电子公章的澄清无效。</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接到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小组澄清、说明和更正要求的供应商如未按规定做出澄清、说明和更正，其风险由供应商自行承担。</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5、废标</w:t>
      </w:r>
      <w:r/>
    </w:p>
    <w:p>
      <w:pPr>
        <w:ind w:firstLine="482"/>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5.1出现下列情形之一的，应予废标：</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（二）出现影响采购公正的违法、违规行为的；</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（三）投标人的报价均超过了采购预算，采购人不能支付的；</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（四）因重大变故，采购任务取消的。</w:t>
      </w:r>
      <w:r/>
    </w:p>
    <w:p>
      <w:pPr>
        <w:ind w:firstLine="482"/>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5.2废标后，采购人应当将废标理由通知所有投标人。</w:t>
      </w:r>
      <w:r/>
    </w:p>
    <w:p>
      <w:pPr>
        <w:ind w:firstLine="482"/>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中标</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本项目评标方法</w:t>
      </w:r>
      <w:r>
        <w:rPr>
          <w:rFonts w:hint="eastAsia" w:ascii="宋体" w:hAnsi="宋体" w:eastAsia="宋体" w:cs="宋体"/>
          <w:color w:val="000000" w:themeColor="text1"/>
          <w:sz w:val="24"/>
          <w:szCs w:val="24"/>
          <w:highlight w:val="none"/>
          <w14:textFill>
            <w14:solidFill>
              <w14:schemeClr w14:val="tx1"/>
            </w14:solidFill>
          </w14:textFill>
        </w:rPr>
        <w:t xml:space="preserve">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6.2评标结果按评审后得分由高到低顺序排列。得分相同的，按投标报价由低到高顺序排列。得分且投标报价相同的，则由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评标委员会</w:t>
      </w:r>
      <w:r>
        <w:rPr>
          <w:rFonts w:hint="eastAsia" w:ascii="宋体" w:hAnsi="宋体" w:eastAsia="宋体" w:cs="宋体"/>
          <w:color w:val="000000" w:themeColor="text1"/>
          <w:sz w:val="24"/>
          <w:szCs w:val="24"/>
          <w:highlight w:val="none"/>
          <w14:textFill>
            <w14:solidFill>
              <w14:schemeClr w14:val="tx1"/>
            </w14:solidFill>
          </w14:textFill>
        </w:rPr>
        <w:t xml:space="preserve">组织抽签确定中标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候选人顺序</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24"/>
          <w:highlight w:val="none"/>
          <w14:textFill>
            <w14:solidFill>
              <w14:schemeClr w14:val="tx1"/>
            </w14:solidFill>
          </w14:textFill>
        </w:rPr>
        <w:t xml:space="preserve">采购人或采购代理机构根据相关规定发布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公告，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公告发出的同时应当向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供应商发出《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通知书》</w:t>
      </w:r>
      <w:bookmarkStart w:id="7" w:name="_Hlk132385599"/>
      <w:r/>
      <w:bookmarkStart w:id="8" w:name="_Hlk132389804"/>
      <w:r/>
      <w:bookmarkStart w:id="9" w:name="_Hlk132385577"/>
      <w:r>
        <w:rPr>
          <w:rFonts w:hint="eastAsia" w:ascii="宋体" w:hAnsi="宋体" w:eastAsia="宋体" w:cs="宋体"/>
          <w:color w:val="000000" w:themeColor="text1"/>
          <w:sz w:val="24"/>
          <w:szCs w:val="24"/>
          <w:highlight w:val="none"/>
          <w14:textFill>
            <w14:solidFill>
              <w14:schemeClr w14:val="tx1"/>
            </w14:solidFill>
          </w14:textFill>
        </w:rPr>
        <w:t xml:space="preserve">。请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供应商在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结果公告届满之日起30日内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使用CA数字证书登录苏采云系统及时下载成交通知书。因系统存储空间有限，自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结果公告届满之日起30日后，苏采云系统不再保证提供下载成交通知书服务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因未及时下载而造成的不利后果由成交供应商自行承担）；</w:t>
      </w:r>
      <w:bookmarkEnd w:id="7"/>
      <w:r/>
      <w:bookmarkEnd w:id="8"/>
      <w:r/>
      <w:bookmarkEnd w:id="9"/>
      <w:r>
        <w:rPr>
          <w:rFonts w:hint="eastAsia" w:ascii="宋体" w:hAnsi="宋体" w:eastAsia="宋体" w:cs="宋体"/>
          <w:color w:val="000000" w:themeColor="text1"/>
          <w:sz w:val="24"/>
          <w:szCs w:val="24"/>
          <w:highlight w:val="none"/>
          <w14:textFill>
            <w14:solidFill>
              <w14:schemeClr w14:val="tx1"/>
            </w14:solidFill>
          </w14:textFill>
        </w:rPr>
        <w:t xml:space="preserve">对未通过资格性审查的供应商，应当告知其未通过的原因；未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供应商须在成交公告发出之日起2个工作日内向采购代理机构另行提供用以接收《未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6.6中标通知书发出后，采购人不得违法改变中标结果，中标单位无正当理由不得放弃中标。</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7、履约保证金</w:t>
      </w:r>
      <w:r/>
    </w:p>
    <w:p>
      <w:pPr>
        <w:pStyle w:val="101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见第五章合同文本履约保证金条款。</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8、合同的签订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8.1采购人应当自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通知书发出之日起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日内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（最迟30日内</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按照招标文件及投标文件规定与中标单位签订书面合同。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8.2</w:t>
      </w:r>
      <w:r>
        <w:rPr>
          <w:rFonts w:hint="eastAsia" w:ascii="宋体" w:hAnsi="宋体" w:eastAsia="宋体" w:cs="宋体"/>
          <w:color w:val="000000" w:themeColor="text1"/>
          <w:sz w:val="24"/>
          <w:szCs w:val="24"/>
          <w:highlight w:val="none"/>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8.3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8.5中标供应商无正当理由不得放弃中标。</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9、质疑</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9.1质疑及答复遵守《政府采购质疑和投诉办法》（中华人民共和国财政部令第94号）规定。</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9.4</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对招标</w:t>
      </w:r>
      <w:r>
        <w:rPr>
          <w:rFonts w:hint="eastAsia" w:ascii="宋体" w:hAnsi="宋体" w:eastAsia="宋体" w:cs="宋体"/>
          <w:b w:val="0"/>
          <w:bCs/>
          <w:color w:val="000000" w:themeColor="text1"/>
          <w:sz w:val="24"/>
          <w:szCs w:val="24"/>
          <w:highlight w:val="none"/>
          <w14:textFill>
            <w14:solidFill>
              <w14:schemeClr w14:val="tx1"/>
            </w14:solidFill>
          </w14:textFill>
        </w:rPr>
        <w:t xml:space="preserve">文件内容质疑时，</w:t>
      </w:r>
      <w:r>
        <w:rPr>
          <w:rFonts w:hint="eastAsia" w:ascii="宋体" w:hAnsi="宋体" w:eastAsia="宋体" w:cs="宋体"/>
          <w:b/>
          <w:bCs w:val="0"/>
          <w:color w:val="000000" w:themeColor="text1"/>
          <w:sz w:val="24"/>
          <w:szCs w:val="24"/>
          <w:highlight w:val="none"/>
          <w14:textFill>
            <w14:solidFill>
              <w14:schemeClr w14:val="tx1"/>
            </w14:solidFill>
          </w14:textFill>
        </w:rPr>
        <w:t xml:space="preserve">需提供在苏采云系统中下载本项目</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
          <w:bCs w:val="0"/>
          <w:color w:val="000000" w:themeColor="text1"/>
          <w:sz w:val="24"/>
          <w:szCs w:val="24"/>
          <w:highlight w:val="none"/>
          <w14:textFill>
            <w14:solidFill>
              <w14:schemeClr w14:val="tx1"/>
            </w14:solidFill>
          </w14:textFill>
        </w:rPr>
        <w:t xml:space="preserve">文件的《投标供应商确认函》，未提供的视为未依照采购公告要求获取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b/>
          <w:bCs w:val="0"/>
          <w:color w:val="000000" w:themeColor="text1"/>
          <w:sz w:val="24"/>
          <w:szCs w:val="24"/>
          <w:highlight w:val="none"/>
          <w14:textFill>
            <w14:solidFill>
              <w14:schemeClr w14:val="tx1"/>
            </w14:solidFill>
          </w14:textFill>
        </w:rPr>
        <w:t xml:space="preserve">的供应商，不具备对该政府采购项目提出质疑的法定权利。</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接收质疑函的方式为书面形式（当场送达或邮寄方式）</w:t>
      </w:r>
      <w:r>
        <w:rPr>
          <w:rFonts w:hint="eastAsia" w:ascii="宋体" w:hAnsi="宋体" w:eastAsia="宋体" w:cs="宋体"/>
          <w:bCs/>
          <w:color w:val="000000" w:themeColor="text1"/>
          <w:sz w:val="24"/>
          <w:szCs w:val="24"/>
          <w:highlight w:val="none"/>
          <w14:textFill>
            <w14:solidFill>
              <w14:schemeClr w14:val="tx1"/>
            </w14:solidFill>
          </w14:textFill>
        </w:rPr>
        <w:t xml:space="preserve">向采购人、采购代理机构提出质疑，联系人、联系电话和通讯地址等信息以</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szCs w:val="24"/>
          <w:highlight w:val="none"/>
          <w14:textFill>
            <w14:solidFill>
              <w14:schemeClr w14:val="tx1"/>
            </w14:solidFill>
          </w14:textFill>
        </w:rPr>
        <w:t xml:space="preserve">公告中</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对本次招标提出询问</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请按以下方式联系</w:t>
      </w:r>
      <w:r>
        <w:rPr>
          <w:rFonts w:hint="eastAsia" w:ascii="宋体" w:hAnsi="宋体" w:eastAsia="宋体" w:cs="宋体"/>
          <w:bCs/>
          <w:color w:val="000000" w:themeColor="text1"/>
          <w:sz w:val="24"/>
          <w:szCs w:val="24"/>
          <w:highlight w:val="none"/>
          <w14:textFill>
            <w14:solidFill>
              <w14:schemeClr w14:val="tx1"/>
            </w14:solidFill>
          </w14:textFill>
        </w:rPr>
        <w:t xml:space="preserve">为准</w:t>
      </w:r>
      <w:r>
        <w:rPr>
          <w:rFonts w:hint="eastAsia" w:ascii="宋体" w:hAnsi="宋体" w:eastAsia="宋体" w:cs="宋体"/>
          <w:color w:val="000000" w:themeColor="text1"/>
          <w:sz w:val="24"/>
          <w:szCs w:val="24"/>
          <w:highlight w:val="none"/>
          <w14:textFill>
            <w14:solidFill>
              <w14:schemeClr w14:val="tx1"/>
            </w14:solidFill>
          </w14:textFill>
        </w:rPr>
        <w:t xml:space="preserve">。供应商质疑函范本格式请参照“苏州市政府采购”网站——“下载中心”——“</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政府采购供应商质疑函范本</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2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10、</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color w:val="000000" w:themeColor="text1"/>
          <w:sz w:val="24"/>
          <w:szCs w:val="24"/>
          <w:highlight w:val="none"/>
          <w14:textFill>
            <w14:solidFill>
              <w14:schemeClr w14:val="tx1"/>
            </w14:solidFill>
          </w14:textFill>
        </w:rPr>
        <w:t xml:space="preserve">文件的有效期</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文件的有效期自提交</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文件的截止之日起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九十</w:t>
      </w:r>
      <w:r>
        <w:rPr>
          <w:rFonts w:hint="eastAsia" w:ascii="宋体" w:hAnsi="宋体" w:eastAsia="宋体" w:cs="宋体"/>
          <w:bCs/>
          <w:color w:val="000000" w:themeColor="text1"/>
          <w:sz w:val="24"/>
          <w:szCs w:val="24"/>
          <w:highlight w:val="none"/>
          <w14:textFill>
            <w14:solidFill>
              <w14:schemeClr w14:val="tx1"/>
            </w14:solidFill>
          </w14:textFill>
        </w:rPr>
        <w:t xml:space="preserve">天，</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文件应保持有效。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文件的有效期不明确或短于上述规定期限的，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文件无效。</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10.2在特殊情况下，采购人可与供应商协商延长响应文件的有效期，这种要求和答复都应以书面形式进行。</w:t>
      </w:r>
      <w:r/>
    </w:p>
    <w:p>
      <w:pPr>
        <w:ind w:firstLine="520"/>
        <w:spacing w:line="360" w:lineRule="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、代理服务费</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由中标单位承担。</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.1代理服务费以采购预算金额为基数依据</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按如下规定的标准和差额定率累进法进行计算收取：</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预算金额100万元以下部分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费率为该部分预算金额的1.5％；</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预算金额100万元（含）－500万元部分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费率为该部分预算金额的1.1％；</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预算金额500万元（含）－1000万元部分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费率为该部分预算金额的0.8％；</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预算金额1000万元（含）－5000万元部分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费率为该部分预算金额的0.5％；</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预算金额5000万元以上部分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费率为该部分预算金额的0.25％。</w:t>
      </w:r>
      <w:r/>
    </w:p>
    <w:p>
      <w:pPr>
        <w:ind w:firstLine="518"/>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.2本项目代理服务费（人民币）：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43050.00元。</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.3代理服务费由中标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在领取中标通知书时一次性付清并含在其投标报价中。</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.4中标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如果未按上述规定缴纳中标服务费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采购代理机构将保留诉讼的权利。</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.5采购代理机构服务费账号如下：</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收款单位：苏州正杰招投标咨询服务有限公司。</w:t>
      </w:r>
      <w:r>
        <w:rPr>
          <w:rFonts w:hint="eastAsia" w:ascii="宋体" w:hAnsi="宋体" w:eastAsia="宋体" w:cs="宋体"/>
          <w:bCs/>
          <w:color w:val="000000" w:themeColor="text1"/>
          <w:sz w:val="24"/>
          <w:szCs w:val="24"/>
          <w:highlight w:val="none"/>
          <w14:textFill>
            <w14:solidFill>
              <w14:schemeClr w14:val="tx1"/>
            </w14:solidFill>
          </w14:textFill>
        </w:rPr>
        <w:tab/>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银行账号：89190154740002582。</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开户银行：上海浦东发展银行苏州姑苏支行。</w:t>
      </w:r>
      <w:r/>
    </w:p>
    <w:p>
      <w:pPr>
        <w:ind w:firstLine="5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、其他事项</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.1未尽事宜按《中华人民共和国政府采购法》及其他有关法律法规文件的规定执行。</w:t>
      </w:r>
      <w:r/>
    </w:p>
    <w:p>
      <w:pPr>
        <w:pStyle w:val="928"/>
        <w:ind w:firstLine="502"/>
        <w:jc w:val="both"/>
        <w:spacing w:line="360" w:lineRule="auto"/>
        <w:shd w:val="clear" w:color="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br w:type="page" w:clear="all"/>
      </w:r>
      <w:r/>
    </w:p>
    <w:p>
      <w:pPr>
        <w:pStyle w:val="928"/>
        <w:ind w:firstLine="482"/>
        <w:jc w:val="center"/>
        <w:spacing w:line="360" w:lineRule="auto"/>
        <w:shd w:val="clear" w:color="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第三章 投标文件格式</w:t>
      </w:r>
      <w:r/>
    </w:p>
    <w:p>
      <w:pPr>
        <w:pStyle w:val="1002"/>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1、投标函</w:t>
      </w:r>
      <w:r/>
    </w:p>
    <w:p>
      <w:pPr>
        <w:pStyle w:val="1002"/>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苏州正杰招投标咨询服务有限公司：</w:t>
      </w:r>
      <w:r/>
    </w:p>
    <w:p>
      <w:pPr>
        <w:pStyle w:val="1002"/>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我们收到贵公司</w:t>
      </w:r>
      <w:r>
        <w:rPr>
          <w:rFonts w:hint="eastAsia" w:ascii="宋体" w:hAnsi="宋体" w:eastAsia="宋体" w:cs="宋体"/>
          <w:color w:val="000000" w:themeColor="text1"/>
          <w:szCs w:val="24"/>
          <w:highlight w:val="none"/>
          <w14:textFill>
            <w14:solidFill>
              <w14:schemeClr w14:val="tx1"/>
            </w14:solidFill>
          </w14:textFill>
        </w:rPr>
        <w:t xml:space="preserve">________</w:t>
      </w:r>
      <w:r>
        <w:rPr>
          <w:rFonts w:hint="eastAsia" w:ascii="宋体" w:hAnsi="宋体" w:eastAsia="宋体" w:cs="宋体"/>
          <w:color w:val="000000" w:themeColor="text1"/>
          <w:sz w:val="24"/>
          <w:szCs w:val="24"/>
          <w:highlight w:val="none"/>
          <w14:textFill>
            <w14:solidFill>
              <w14:schemeClr w14:val="tx1"/>
            </w14:solidFill>
          </w14:textFill>
        </w:rPr>
        <w:t xml:space="preserve">号招标文件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经仔细阅读和研究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我们决定参加采购活动。</w:t>
      </w:r>
      <w:r/>
    </w:p>
    <w:p>
      <w:pPr>
        <w:pStyle w:val="1002"/>
        <w:numPr>
          <w:ilvl w:val="0"/>
          <w:numId w:val="0"/>
        </w:num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我们愿意按照招标文件的一切要求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提供完成该项目的全部内容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我们的投标报价包括完成所有采购内容以及本项目所需的劳务支出、保险、配套费用、税费及服务相关等所发生的全部费用以及企业利润、税金和政策性文件规定及合同包含的所有风险、责任等各项应有费用。</w:t>
      </w:r>
      <w:r/>
    </w:p>
    <w:p>
      <w:pPr>
        <w:pStyle w:val="1002"/>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2、如果我们的投标被接受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我们将严格履行招标文件中规定的每一项要求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严格履行合同的责任和义务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保证按期、按质履行合同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完成合同内容所规定的全部工作。</w:t>
      </w:r>
      <w:r/>
    </w:p>
    <w:p>
      <w:pPr>
        <w:pStyle w:val="1002"/>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3、我们同意按招标文件规定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本投标书的有效期限自提交投标文件的截止之日起</w:t>
      </w:r>
      <w:r>
        <w:rPr>
          <w:rFonts w:hint="eastAsia" w:ascii="宋体" w:hAnsi="宋体" w:eastAsia="宋体" w:cs="宋体"/>
          <w:color w:val="000000" w:themeColor="text1"/>
          <w:szCs w:val="24"/>
          <w:highlight w:val="none"/>
          <w14:textFill>
            <w14:solidFill>
              <w14:schemeClr w14:val="tx1"/>
            </w14:solidFill>
          </w14:textFill>
        </w:rPr>
        <w:t xml:space="preserve">___</w:t>
      </w:r>
      <w:r>
        <w:rPr>
          <w:rFonts w:hint="eastAsia" w:ascii="宋体" w:hAnsi="宋体" w:eastAsia="宋体" w:cs="宋体"/>
          <w:color w:val="000000" w:themeColor="text1"/>
          <w:sz w:val="24"/>
          <w:szCs w:val="24"/>
          <w:highlight w:val="none"/>
          <w14:textFill>
            <w14:solidFill>
              <w14:schemeClr w14:val="tx1"/>
            </w14:solidFill>
          </w14:textFill>
        </w:rPr>
        <w:t xml:space="preserve">天。如果我们在开标后规定的投标有效期内撤回投标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我们愿承担由此造成的一切后果。</w:t>
      </w:r>
      <w:r/>
    </w:p>
    <w:p>
      <w:pPr>
        <w:pStyle w:val="1002"/>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4、我们愿意提供招标文件中要求的所有资料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也同意向贵方提供贵方可能另外要求的与其投标有关的任何证据或资料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并保证所提供的资料全部是真实的、有效的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若有虚假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我们愿承担由此造成的一切后果。</w:t>
      </w:r>
      <w:r/>
    </w:p>
    <w:p>
      <w:pPr>
        <w:pStyle w:val="1002"/>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5、我们认为你们有权决定中标单位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还认为你们有权接受或拒绝投标人。</w:t>
      </w:r>
      <w:r/>
    </w:p>
    <w:p>
      <w:pPr>
        <w:pStyle w:val="1002"/>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6、我们愿意遵守招标公告及招标文件中所列的收费标准。</w:t>
      </w:r>
      <w:r/>
    </w:p>
    <w:p>
      <w:pPr>
        <w:pStyle w:val="1002"/>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7、我们承诺本项投标文件在开标后的全过程中保持有效。我们同意中标后若不履行投标文件的内容要求和各项承诺及义务的即被视为违约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我们愿承担由此造成的一切后果。</w:t>
      </w:r>
      <w:r/>
    </w:p>
    <w:p>
      <w:pPr>
        <w:pStyle w:val="1002"/>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8、如果我们中标，我们愿意在签订合同时按招标文件规定支付中标服务费。</w:t>
      </w:r>
      <w:r/>
    </w:p>
    <w:p>
      <w:pPr>
        <w:pStyle w:val="1002"/>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、与本次招标有关的通讯地址：</w:t>
      </w:r>
      <w:r/>
    </w:p>
    <w:p>
      <w:pPr>
        <w:pStyle w:val="1002"/>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单位名称：                                 联系人员：</w:t>
      </w:r>
      <w:r/>
    </w:p>
    <w:p>
      <w:pPr>
        <w:pStyle w:val="1002"/>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单位地址：                                 邮政编码：</w:t>
      </w:r>
      <w:r/>
    </w:p>
    <w:p>
      <w:pPr>
        <w:pStyle w:val="1002"/>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联系电话：                                 传真号码：</w:t>
      </w:r>
      <w:r/>
    </w:p>
    <w:p>
      <w:pPr>
        <w:pStyle w:val="928"/>
        <w:ind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（单位盖章）</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                       </w:t>
      </w:r>
      <w:r/>
    </w:p>
    <w:p>
      <w:pPr>
        <w:pStyle w:val="928"/>
        <w:ind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法定代表人或代理人</w:t>
      </w:r>
      <w:r>
        <w:rPr>
          <w:rFonts w:hint="eastAsia" w:ascii="宋体" w:hAnsi="宋体" w:eastAsia="宋体" w:cs="宋体"/>
          <w:color w:val="000000" w:themeColor="text1"/>
          <w:sz w:val="24"/>
          <w:szCs w:val="24"/>
          <w:highlight w:val="none"/>
          <w14:textFill>
            <w14:solidFill>
              <w14:schemeClr w14:val="tx1"/>
            </w14:solidFill>
          </w14:textFill>
        </w:rPr>
        <w:t xml:space="preserve">（签字或盖章）</w:t>
      </w:r>
      <w:r>
        <w:rPr>
          <w:rFonts w:hint="eastAsia" w:ascii="宋体" w:hAnsi="宋体" w:eastAsia="宋体" w:cs="宋体"/>
          <w:color w:val="000000" w:themeColor="text1"/>
          <w:szCs w:val="24"/>
          <w:highlight w:val="none"/>
          <w14:textFill>
            <w14:solidFill>
              <w14:schemeClr w14:val="tx1"/>
            </w14:solidFill>
          </w14:textFill>
        </w:rPr>
        <w:t xml:space="preserve">：</w:t>
      </w:r>
      <w:r/>
    </w:p>
    <w:p>
      <w:pPr>
        <w:pStyle w:val="928"/>
        <w:ind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日期：     年     月     日</w:t>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spacing w:line="360" w:lineRule="auto"/>
        <w:shd w:val="clear" w:color="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法定代表人授权委托书</w:t>
      </w:r>
      <w:r/>
    </w:p>
    <w:p>
      <w:pPr>
        <w:pStyle w:val="928"/>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本授权委托书声明：我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（姓名）系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（单位名称）的法定代表人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现授权委托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（单位名称）</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（姓名）为我公司代理人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并以本公司的名义在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编号）采购项目的开标、评标和合同签订过程中所签署的一切文件和处理与这有关的一切事务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我公司均予以承认。</w:t>
      </w:r>
      <w:r/>
    </w:p>
    <w:p>
      <w:pPr>
        <w:pStyle w:val="928"/>
        <w:ind w:firstLine="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代理人在授权委托书有效期内签署的所有文件不因授权委托的撤销而失效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除非有撤销授权委托的书面通知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本授权委托书有效期自投标文件提交开始至合同履行完毕止。</w:t>
      </w:r>
      <w:r/>
    </w:p>
    <w:p>
      <w:pPr>
        <w:pStyle w:val="928"/>
        <w:ind w:firstLine="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代理人无转委托权。特此委托。</w:t>
      </w:r>
      <w:r/>
    </w:p>
    <w:p>
      <w:pPr>
        <w:pStyle w:val="100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00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投标人（单位盖章）：</w:t>
      </w:r>
      <w:r/>
    </w:p>
    <w:p>
      <w:pPr>
        <w:pStyle w:val="928"/>
        <w:ind w:firstLine="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法定代表人：（签字或盖章）</w:t>
      </w:r>
      <w:r/>
    </w:p>
    <w:p>
      <w:pPr>
        <w:pStyle w:val="928"/>
        <w:ind w:firstLine="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代理人：（签字或盖章）</w:t>
      </w:r>
      <w:r/>
    </w:p>
    <w:p>
      <w:pPr>
        <w:pStyle w:val="100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28"/>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928"/>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注：本授权委托书仅限于法人性质投标人投标</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投标文件中必须提供法定代表人和代理人身份证复印件。非法人性质投标人投标</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授权委托书格式自拟</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但必须同时提供受托双方身份证复印件。</w:t>
      </w:r>
      <w:r/>
    </w:p>
    <w:p>
      <w:pPr>
        <w:pStyle w:val="963"/>
        <w:ind w:firstLine="480"/>
        <w:jc w:val="both"/>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firstLine="0"/>
        <w:jc w:val="center"/>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1"/>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w:t>
      </w:r>
      <w:r>
        <w:rPr>
          <w:rFonts w:hint="eastAsia" w:ascii="宋体" w:hAnsi="宋体" w:eastAsia="宋体" w:cs="宋体"/>
          <w:bCs/>
          <w:color w:val="000000" w:themeColor="text1"/>
          <w:szCs w:val="24"/>
          <w:highlight w:val="none"/>
          <w14:textFill>
            <w14:solidFill>
              <w14:schemeClr w14:val="tx1"/>
            </w14:solidFill>
          </w14:textFill>
        </w:rPr>
        <w:t xml:space="preserve">、关于资格文件的声明函</w:t>
      </w:r>
      <w:r/>
    </w:p>
    <w:p>
      <w:pPr>
        <w:pStyle w:val="1002"/>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苏州正杰招投标咨询服务有限公司：</w:t>
      </w:r>
      <w:r/>
    </w:p>
    <w:p>
      <w:pPr>
        <w:pStyle w:val="100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本公司愿就由贵公司组织实施的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编号为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号的招标活动进行投标。本公司所提交的投标文件中所有关于投标资格的文件、证明和陈述均是真实的、准确的和有效的。若与事实情况不符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本公司愿意承担由此而产生的一切后果。</w:t>
      </w:r>
      <w:r/>
    </w:p>
    <w:p>
      <w:pPr>
        <w:pStyle w:val="1002"/>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02"/>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02"/>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法定代表人或代理人</w:t>
      </w:r>
      <w:r>
        <w:rPr>
          <w:rFonts w:hint="eastAsia" w:ascii="宋体" w:hAnsi="宋体" w:eastAsia="宋体" w:cs="宋体"/>
          <w:color w:val="000000" w:themeColor="text1"/>
          <w:sz w:val="24"/>
          <w:szCs w:val="24"/>
          <w:highlight w:val="none"/>
          <w14:textFill>
            <w14:solidFill>
              <w14:schemeClr w14:val="tx1"/>
            </w14:solidFill>
          </w14:textFill>
        </w:rPr>
        <w:t xml:space="preserve">（签字或盖章）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02"/>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1016"/>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1016"/>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1016"/>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1016"/>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4、开标一览表</w:t>
      </w:r>
      <w:r/>
    </w:p>
    <w:tbl>
      <w:tblPr>
        <w:tblStyle w:val="92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061"/>
        <w:gridCol w:w="2293"/>
        <w:gridCol w:w="1801"/>
        <w:gridCol w:w="1331"/>
      </w:tblGrid>
      <w:tr>
        <w:trPr>
          <w:jc w:val="center"/>
          <w:trHeight w:val="567"/>
        </w:trPr>
        <w:tc>
          <w:tcPr>
            <w:tcW w:w="1152" w:type="dxa"/>
            <w:vAlign w:val="center"/>
            <w:textDirection w:val="lrTb"/>
            <w:noWrap w:val="false"/>
          </w:tcPr>
          <w:p>
            <w:pPr>
              <w:pStyle w:val="941"/>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3061" w:type="dxa"/>
            <w:vAlign w:val="center"/>
            <w:textDirection w:val="lrTb"/>
            <w:noWrap w:val="false"/>
          </w:tcPr>
          <w:p>
            <w:pPr>
              <w:pStyle w:val="941"/>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2293" w:type="dxa"/>
            <w:vAlign w:val="center"/>
            <w:textDirection w:val="lrTb"/>
            <w:noWrap w:val="false"/>
          </w:tcPr>
          <w:p>
            <w:pPr>
              <w:pStyle w:val="941"/>
              <w:jc w:val="cente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投标总价（元）</w:t>
            </w:r>
            <w:r/>
          </w:p>
        </w:tc>
        <w:tc>
          <w:tcPr>
            <w:tcW w:w="1801" w:type="dxa"/>
            <w:vAlign w:val="center"/>
            <w:textDirection w:val="lrTb"/>
            <w:noWrap w:val="false"/>
          </w:tcPr>
          <w:p>
            <w:pPr>
              <w:pStyle w:val="941"/>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合同履行期限</w:t>
            </w:r>
            <w:r/>
          </w:p>
        </w:tc>
        <w:tc>
          <w:tcPr>
            <w:tcW w:w="1331" w:type="dxa"/>
            <w:vAlign w:val="center"/>
            <w:textDirection w:val="lrTb"/>
            <w:noWrap w:val="false"/>
          </w:tcPr>
          <w:p>
            <w:pPr>
              <w:pStyle w:val="941"/>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备注</w:t>
            </w:r>
            <w:r/>
          </w:p>
        </w:tc>
      </w:tr>
      <w:tr>
        <w:trPr>
          <w:jc w:val="center"/>
          <w:trHeight w:val="567"/>
        </w:trPr>
        <w:tc>
          <w:tcPr>
            <w:tcW w:w="1152"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3061" w:type="dxa"/>
            <w:vAlign w:val="center"/>
            <w:textDirection w:val="lrTb"/>
            <w:noWrap w:val="false"/>
          </w:tcPr>
          <w:p>
            <w:pPr>
              <w:jc w:val="cente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r>
            <w:r/>
          </w:p>
        </w:tc>
        <w:tc>
          <w:tcPr>
            <w:tcW w:w="2293" w:type="dxa"/>
            <w:vAlign w:val="center"/>
            <w:textDirection w:val="lrTb"/>
            <w:noWrap w:val="false"/>
          </w:tcPr>
          <w:p>
            <w:pPr>
              <w:pStyle w:val="941"/>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01" w:type="dxa"/>
            <w:vAlign w:val="center"/>
            <w:textDirection w:val="lrTb"/>
            <w:noWrap w:val="false"/>
          </w:tcPr>
          <w:p>
            <w:pPr>
              <w:pStyle w:val="941"/>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31" w:type="dxa"/>
            <w:vAlign w:val="center"/>
            <w:textDirection w:val="lrTb"/>
            <w:noWrap w:val="false"/>
          </w:tcPr>
          <w:p>
            <w:pPr>
              <w:pStyle w:val="941"/>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941"/>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002"/>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02"/>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法定代表人或代理人</w:t>
      </w:r>
      <w:r>
        <w:rPr>
          <w:rFonts w:hint="eastAsia" w:ascii="宋体" w:hAnsi="宋体" w:eastAsia="宋体" w:cs="宋体"/>
          <w:color w:val="000000" w:themeColor="text1"/>
          <w:sz w:val="24"/>
          <w:szCs w:val="24"/>
          <w:highlight w:val="none"/>
          <w14:textFill>
            <w14:solidFill>
              <w14:schemeClr w14:val="tx1"/>
            </w14:solidFill>
          </w14:textFill>
        </w:rPr>
        <w:t xml:space="preserve">（签字或盖章）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02"/>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right="420" w:firstLine="0"/>
        <w:spacing w:line="360" w:lineRule="auto"/>
        <w:shd w:val="clear" w:color="auto"/>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0" w:name="_Toc142194269"/>
      <w:r>
        <w:rPr>
          <w:rFonts w:hint="eastAsia" w:ascii="宋体" w:hAnsi="宋体" w:eastAsia="宋体" w:cs="宋体"/>
          <w:color w:val="000000" w:themeColor="text1"/>
          <w:szCs w:val="24"/>
          <w:highlight w:val="none"/>
          <w14:textFill>
            <w14:solidFill>
              <w14:schemeClr w14:val="tx1"/>
            </w14:solidFill>
          </w14:textFill>
        </w:rPr>
        <w:br/>
      </w:r>
      <w:r>
        <w:rPr>
          <w:rFonts w:hint="eastAsia" w:ascii="宋体" w:hAnsi="宋体" w:eastAsia="宋体" w:cs="宋体"/>
          <w:b w:val="0"/>
          <w:bCs w:val="0"/>
          <w:color w:val="000000" w:themeColor="text1"/>
          <w:szCs w:val="24"/>
          <w:highlight w:val="none"/>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公开</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分项报价表</w:t>
      </w:r>
      <w:r/>
    </w:p>
    <w:tbl>
      <w:tblPr>
        <w:tblStyle w:val="927"/>
        <w:tblW w:w="9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986"/>
        <w:gridCol w:w="1241"/>
        <w:gridCol w:w="1255"/>
        <w:gridCol w:w="1023"/>
        <w:gridCol w:w="859"/>
        <w:gridCol w:w="941"/>
        <w:gridCol w:w="1091"/>
        <w:gridCol w:w="1165"/>
      </w:tblGrid>
      <w:tr>
        <w:trPr>
          <w:jc w:val="center"/>
          <w:trHeight w:val="567"/>
        </w:trPr>
        <w:tc>
          <w:tcPr>
            <w:tcW w:w="1093"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W w:w="986"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内容</w:t>
            </w:r>
            <w:r/>
          </w:p>
        </w:tc>
        <w:tc>
          <w:tcPr>
            <w:tcW w:w="1241" w:type="dxa"/>
            <w:vAlign w:val="center"/>
            <w:textDirection w:val="lrTb"/>
            <w:noWrap w:val="false"/>
          </w:tcPr>
          <w:p>
            <w:pPr>
              <w:jc w:val="center"/>
              <w:spacing w:line="360" w:lineRule="auto"/>
              <w:shd w:val="clear" w:color="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品牌型号</w:t>
            </w:r>
            <w:r/>
          </w:p>
        </w:tc>
        <w:tc>
          <w:tcPr>
            <w:tcW w:w="1255" w:type="dxa"/>
            <w:vAlign w:val="center"/>
            <w:textDirection w:val="lrTb"/>
            <w:noWrap w:val="false"/>
          </w:tcPr>
          <w:p>
            <w:pPr>
              <w:jc w:val="center"/>
              <w:spacing w:line="360" w:lineRule="auto"/>
              <w:shd w:val="clear" w:color="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参数要求</w:t>
            </w:r>
            <w:r/>
          </w:p>
        </w:tc>
        <w:tc>
          <w:tcPr>
            <w:tcW w:w="1023"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w:t>
            </w:r>
            <w:r/>
          </w:p>
        </w:tc>
        <w:tc>
          <w:tcPr>
            <w:tcW w:w="859"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数量</w:t>
            </w:r>
            <w:r/>
          </w:p>
        </w:tc>
        <w:tc>
          <w:tcPr>
            <w:tcW w:w="941"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单价</w:t>
            </w:r>
            <w:r/>
          </w:p>
        </w:tc>
        <w:tc>
          <w:tcPr>
            <w:tcW w:w="1091"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w:t>
            </w:r>
            <w:r/>
          </w:p>
        </w:tc>
        <w:tc>
          <w:tcPr>
            <w:tcW w:w="1165"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w:t>
            </w:r>
            <w:r/>
          </w:p>
        </w:tc>
      </w:tr>
      <w:tr>
        <w:trPr>
          <w:jc w:val="center"/>
          <w:trHeight w:val="567"/>
        </w:trPr>
        <w:tc>
          <w:tcPr>
            <w:tcW w:w="1093" w:type="dxa"/>
            <w:vAlign w:val="center"/>
            <w:textDirection w:val="lrTb"/>
            <w:noWrap w:val="false"/>
          </w:tcPr>
          <w:p>
            <w:pPr>
              <w:pStyle w:val="928"/>
              <w:ind w:right="21" w:firstLine="0"/>
              <w:jc w:val="center"/>
              <w:spacing w:line="360" w:lineRule="auto"/>
              <w:shd w:val="clear" w:color="auto" w:fil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986" w:type="dxa"/>
            <w:vAlign w:val="center"/>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41" w:type="dxa"/>
            <w:vAlign w:val="center"/>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55" w:type="dxa"/>
            <w:vAlign w:val="center"/>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23"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59"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41"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91"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165"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567"/>
        </w:trPr>
        <w:tc>
          <w:tcPr>
            <w:tcW w:w="1093" w:type="dxa"/>
            <w:vAlign w:val="center"/>
            <w:textDirection w:val="lrTb"/>
            <w:noWrap w:val="false"/>
          </w:tcPr>
          <w:p>
            <w:pPr>
              <w:pStyle w:val="928"/>
              <w:ind w:right="21" w:firstLine="0"/>
              <w:jc w:val="center"/>
              <w:spacing w:line="360" w:lineRule="auto"/>
              <w:shd w:val="clear" w:color="auto" w:fil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986" w:type="dxa"/>
            <w:vAlign w:val="center"/>
            <w:textDirection w:val="lrTb"/>
            <w:noWrap w:val="false"/>
          </w:tcPr>
          <w:p>
            <w:pPr>
              <w:spacing w:line="360" w:lineRule="auto"/>
              <w:rPr>
                <w:rStyle w:val="97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41" w:type="dxa"/>
            <w:vAlign w:val="center"/>
            <w:textDirection w:val="lrTb"/>
            <w:noWrap w:val="false"/>
          </w:tcPr>
          <w:p>
            <w:pPr>
              <w:spacing w:line="360" w:lineRule="auto"/>
              <w:rPr>
                <w:rStyle w:val="97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55" w:type="dxa"/>
            <w:vAlign w:val="center"/>
            <w:textDirection w:val="lrTb"/>
            <w:noWrap w:val="false"/>
          </w:tcPr>
          <w:p>
            <w:pPr>
              <w:spacing w:line="360" w:lineRule="auto"/>
              <w:rPr>
                <w:rStyle w:val="97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023"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59"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41"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91"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165"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567"/>
        </w:trPr>
        <w:tc>
          <w:tcPr>
            <w:tcW w:w="1093" w:type="dxa"/>
            <w:vAlign w:val="center"/>
            <w:textDirection w:val="lrTb"/>
            <w:noWrap w:val="false"/>
          </w:tcPr>
          <w:p>
            <w:pPr>
              <w:pStyle w:val="928"/>
              <w:ind w:right="21" w:firstLine="0"/>
              <w:jc w:val="center"/>
              <w:spacing w:line="360" w:lineRule="auto"/>
              <w:shd w:val="clear" w:color="auto" w:fil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986" w:type="dxa"/>
            <w:vAlign w:val="center"/>
            <w:textDirection w:val="lrTb"/>
            <w:noWrap w:val="false"/>
          </w:tcPr>
          <w:p>
            <w:pPr>
              <w:spacing w:line="360" w:lineRule="auto"/>
              <w:rPr>
                <w:rStyle w:val="97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41" w:type="dxa"/>
            <w:vAlign w:val="center"/>
            <w:textDirection w:val="lrTb"/>
            <w:noWrap w:val="false"/>
          </w:tcPr>
          <w:p>
            <w:pPr>
              <w:spacing w:line="360" w:lineRule="auto"/>
              <w:rPr>
                <w:rStyle w:val="97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55" w:type="dxa"/>
            <w:vAlign w:val="center"/>
            <w:textDirection w:val="lrTb"/>
            <w:noWrap w:val="false"/>
          </w:tcPr>
          <w:p>
            <w:pPr>
              <w:spacing w:line="360" w:lineRule="auto"/>
              <w:rPr>
                <w:rStyle w:val="97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023"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59"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41"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91"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165"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567"/>
        </w:trPr>
        <w:tc>
          <w:tcPr>
            <w:tcW w:w="1093" w:type="dxa"/>
            <w:vAlign w:val="center"/>
            <w:textDirection w:val="lrTb"/>
            <w:noWrap w:val="false"/>
          </w:tcPr>
          <w:p>
            <w:pPr>
              <w:pStyle w:val="928"/>
              <w:ind w:right="21" w:firstLine="0"/>
              <w:jc w:val="center"/>
              <w:spacing w:line="360" w:lineRule="auto"/>
              <w:shd w:val="clear" w:color="auto" w:fil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W w:w="986" w:type="dxa"/>
            <w:vAlign w:val="center"/>
            <w:textDirection w:val="lrTb"/>
            <w:noWrap w:val="false"/>
          </w:tcPr>
          <w:p>
            <w:pPr>
              <w:spacing w:line="360" w:lineRule="auto"/>
              <w:rPr>
                <w:rStyle w:val="97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41" w:type="dxa"/>
            <w:vAlign w:val="center"/>
            <w:textDirection w:val="lrTb"/>
            <w:noWrap w:val="false"/>
          </w:tcPr>
          <w:p>
            <w:pPr>
              <w:spacing w:line="360" w:lineRule="auto"/>
              <w:rPr>
                <w:rStyle w:val="97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255" w:type="dxa"/>
            <w:vAlign w:val="center"/>
            <w:textDirection w:val="lrTb"/>
            <w:noWrap w:val="false"/>
          </w:tcPr>
          <w:p>
            <w:pPr>
              <w:spacing w:line="360" w:lineRule="auto"/>
              <w:rPr>
                <w:rStyle w:val="971"/>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023"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59"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41"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91"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165"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567"/>
        </w:trPr>
        <w:tc>
          <w:tcPr>
            <w:tcW w:w="1093" w:type="dxa"/>
            <w:vAlign w:val="center"/>
            <w:textDirection w:val="lrTb"/>
            <w:noWrap w:val="false"/>
          </w:tcPr>
          <w:p>
            <w:pPr>
              <w:pStyle w:val="928"/>
              <w:ind w:right="-94" w:firstLine="0"/>
              <w:jc w:val="both"/>
              <w:spacing w:line="360" w:lineRule="auto"/>
              <w:shd w:val="clear" w:color="auto" w:fil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c>
          <w:tcPr>
            <w:tcW w:w="986" w:type="dxa"/>
            <w:vAlign w:val="center"/>
            <w:textDirection w:val="lrTb"/>
            <w:noWrap w:val="false"/>
          </w:tcPr>
          <w:p>
            <w:pPr>
              <w:pStyle w:val="928"/>
              <w:ind w:right="420" w:firstLine="0"/>
              <w:spacing w:line="360" w:lineRule="auto"/>
              <w:shd w:val="clear" w:color="auto" w:fil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41" w:type="dxa"/>
            <w:vAlign w:val="center"/>
            <w:textDirection w:val="lrTb"/>
            <w:noWrap w:val="false"/>
          </w:tcPr>
          <w:p>
            <w:pPr>
              <w:pStyle w:val="928"/>
              <w:ind w:right="420" w:firstLine="0"/>
              <w:spacing w:line="360" w:lineRule="auto"/>
              <w:shd w:val="clear" w:color="auto" w:fil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255" w:type="dxa"/>
            <w:vAlign w:val="center"/>
            <w:textDirection w:val="lrTb"/>
            <w:noWrap w:val="false"/>
          </w:tcPr>
          <w:p>
            <w:pPr>
              <w:pStyle w:val="928"/>
              <w:ind w:right="420" w:firstLine="0"/>
              <w:spacing w:line="360" w:lineRule="auto"/>
              <w:shd w:val="clear" w:color="auto" w:fill="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23"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59"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41"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91"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165"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567"/>
        </w:trPr>
        <w:tc>
          <w:tcPr>
            <w:gridSpan w:val="4"/>
            <w:tcW w:w="4575"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合计金额</w:t>
            </w:r>
            <w:r/>
          </w:p>
        </w:tc>
        <w:tc>
          <w:tcPr>
            <w:gridSpan w:val="5"/>
            <w:tcW w:w="5079" w:type="dxa"/>
            <w:vAlign w:val="center"/>
            <w:textDirection w:val="lrTb"/>
            <w:noWrap w:val="false"/>
          </w:tcPr>
          <w:p>
            <w:pPr>
              <w:pStyle w:val="928"/>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人民币（大写）</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圆（¥（小写）</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元）</w:t>
            </w:r>
            <w:r/>
          </w:p>
        </w:tc>
      </w:tr>
    </w:tbl>
    <w:p>
      <w:pPr>
        <w:pStyle w:val="928"/>
        <w:ind w:left="0"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8"/>
        <w:ind w:left="0"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注：</w:t>
      </w:r>
      <w:r/>
    </w:p>
    <w:p>
      <w:pPr>
        <w:pStyle w:val="928"/>
        <w:ind w:left="0" w:right="420"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各投标人应根据此表格式按项目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服务内容清单</w:t>
      </w:r>
      <w:r>
        <w:rPr>
          <w:rFonts w:hint="eastAsia" w:ascii="宋体" w:hAnsi="宋体" w:eastAsia="宋体" w:cs="宋体"/>
          <w:color w:val="000000" w:themeColor="text1"/>
          <w:sz w:val="24"/>
          <w:szCs w:val="24"/>
          <w:highlight w:val="none"/>
          <w14:textFill>
            <w14:solidFill>
              <w14:schemeClr w14:val="tx1"/>
            </w14:solidFill>
          </w14:textFill>
        </w:rPr>
        <w:t xml:space="preserve">分别填写详细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清单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表格内容不够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可自行添加。</w:t>
      </w:r>
      <w:r/>
    </w:p>
    <w:p>
      <w:pPr>
        <w:pStyle w:val="928"/>
        <w:numPr>
          <w:ilvl w:val="0"/>
          <w:numId w:val="0"/>
        </w:numPr>
        <w:ind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4"/>
          <w:highlight w:val="none"/>
          <w14:textFill>
            <w14:solidFill>
              <w14:schemeClr w14:val="tx1"/>
            </w14:solidFill>
          </w14:textFill>
        </w:rPr>
        <w:t xml:space="preserve">投标人须对全部采购内容进行报价。如未按照本表规定提供或本表中合计金额与“开标一览表”投标总价不一致的按无效投标报价的投标文件处理。</w:t>
      </w:r>
      <w:r/>
    </w:p>
    <w:p>
      <w:pPr>
        <w:pStyle w:val="928"/>
        <w:ind w:left="0"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1002"/>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02"/>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法定代表人或代理人</w:t>
      </w:r>
      <w:r>
        <w:rPr>
          <w:rFonts w:hint="eastAsia" w:ascii="宋体" w:hAnsi="宋体" w:eastAsia="宋体" w:cs="宋体"/>
          <w:color w:val="000000" w:themeColor="text1"/>
          <w:sz w:val="24"/>
          <w:szCs w:val="24"/>
          <w:highlight w:val="none"/>
          <w14:textFill>
            <w14:solidFill>
              <w14:schemeClr w14:val="tx1"/>
            </w14:solidFill>
          </w14:textFill>
        </w:rPr>
        <w:t xml:space="preserve">（签字或盖章）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02"/>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bookmarkEnd w:id="10"/>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p>
    <w:p>
      <w:pPr>
        <w:jc w:val="both"/>
        <w:spacing w:line="360" w:lineRule="auto"/>
        <w:rPr>
          <w:rFonts w:hint="eastAsia" w:ascii="宋体" w:hAnsi="宋体" w:eastAsia="宋体" w:cs="宋体"/>
          <w:b/>
          <w:color w:val="000000" w:themeColor="text1"/>
          <w:spacing w:val="6"/>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6、服务</w:t>
      </w:r>
      <w:r>
        <w:rPr>
          <w:rFonts w:hint="eastAsia" w:hAnsi="宋体" w:eastAsia="宋体" w:cs="宋体"/>
          <w:b w:val="0"/>
          <w:bCs w:val="0"/>
          <w:color w:val="000000" w:themeColor="text1"/>
          <w:sz w:val="24"/>
          <w:szCs w:val="24"/>
          <w:highlight w:val="none"/>
          <w:lang w:val="en-US" w:eastAsia="zh-CN"/>
          <w14:textFill>
            <w14:solidFill>
              <w14:schemeClr w14:val="tx1"/>
            </w14:solidFill>
          </w14:textFill>
        </w:rPr>
        <w:t xml:space="preserve">要求偏离表</w:t>
      </w:r>
      <w:r/>
    </w:p>
    <w:tbl>
      <w:tblPr>
        <w:tblStyle w:val="927"/>
        <w:tblW w:w="9638" w:type="dxa"/>
        <w:jc w:val="center"/>
        <w:tblLayout w:type="fixed"/>
        <w:tblCellMar>
          <w:left w:w="108" w:type="dxa"/>
          <w:top w:w="0" w:type="dxa"/>
          <w:right w:w="108" w:type="dxa"/>
          <w:bottom w:w="0" w:type="dxa"/>
        </w:tblCellMar>
        <w:tblLook w:val="04A0" w:firstRow="1" w:lastRow="0" w:firstColumn="1" w:lastColumn="0" w:noHBand="0" w:noVBand="1"/>
      </w:tblPr>
      <w:tblGrid>
        <w:gridCol w:w="793"/>
        <w:gridCol w:w="1766"/>
        <w:gridCol w:w="1766"/>
        <w:gridCol w:w="1766"/>
        <w:gridCol w:w="1724"/>
        <w:gridCol w:w="1823"/>
      </w:tblGrid>
      <w:tr>
        <w:trPr>
          <w:jc w:val="center"/>
          <w:trHeight w:val="567"/>
        </w:trPr>
        <w:tc>
          <w:tcPr>
            <w:tcBorders>
              <w:top w:val="single" w:color="000000" w:sz="4" w:space="0"/>
              <w:left w:val="single" w:color="000000" w:sz="4" w:space="0"/>
              <w:bottom w:val="single" w:color="000000" w:sz="6" w:space="0"/>
              <w:right w:val="single" w:color="000000" w:sz="6" w:space="0"/>
            </w:tcBorders>
            <w:tcW w:w="78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服务内容</w:t>
            </w:r>
            <w:r/>
          </w:p>
        </w:tc>
        <w:tc>
          <w:tcPr>
            <w:tcBorders>
              <w:top w:val="single" w:color="000000" w:sz="4"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招标要求</w:t>
            </w:r>
            <w:r/>
          </w:p>
        </w:tc>
        <w:tc>
          <w:tcPr>
            <w:tcBorders>
              <w:top w:val="single" w:color="000000" w:sz="4"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p>
        </w:tc>
        <w:tc>
          <w:tcPr>
            <w:tcBorders>
              <w:top w:val="single" w:color="000000" w:sz="4" w:space="0"/>
              <w:left w:val="none" w:color="000000" w:sz="4" w:space="0"/>
              <w:bottom w:val="single" w:color="000000" w:sz="6" w:space="0"/>
              <w:right w:val="single" w:color="000000" w:sz="6" w:space="0"/>
            </w:tcBorders>
            <w:tcW w:w="1703"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偏离/响应</w:t>
            </w:r>
            <w:r/>
          </w:p>
        </w:tc>
        <w:tc>
          <w:tcPr>
            <w:tcBorders>
              <w:top w:val="single" w:color="000000" w:sz="4" w:space="0"/>
              <w:left w:val="none" w:color="000000" w:sz="4" w:space="0"/>
              <w:bottom w:val="single" w:color="000000" w:sz="6" w:space="0"/>
              <w:right w:val="single" w:color="000000" w:sz="4" w:space="0"/>
            </w:tcBorders>
            <w:tcW w:w="1801"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tc>
      </w:tr>
      <w:tr>
        <w:trPr>
          <w:jc w:val="center"/>
          <w:trHeight w:val="567"/>
        </w:trPr>
        <w:tc>
          <w:tcPr>
            <w:tcBorders>
              <w:top w:val="single" w:color="000000" w:sz="6" w:space="0"/>
              <w:left w:val="single" w:color="000000" w:sz="4" w:space="0"/>
              <w:bottom w:val="single" w:color="000000" w:sz="6" w:space="0"/>
              <w:right w:val="single" w:color="000000" w:sz="6" w:space="0"/>
            </w:tcBorders>
            <w:tcW w:w="78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180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Borders>
              <w:top w:val="single" w:color="000000" w:sz="6" w:space="0"/>
              <w:left w:val="single" w:color="000000" w:sz="4" w:space="0"/>
              <w:bottom w:val="single" w:color="000000" w:sz="6" w:space="0"/>
              <w:right w:val="single" w:color="000000" w:sz="6" w:space="0"/>
            </w:tcBorders>
            <w:tcW w:w="78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180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Borders>
              <w:top w:val="single" w:color="000000" w:sz="6" w:space="0"/>
              <w:left w:val="single" w:color="000000" w:sz="4" w:space="0"/>
              <w:bottom w:val="single" w:color="000000" w:sz="6" w:space="0"/>
              <w:right w:val="single" w:color="000000" w:sz="6" w:space="0"/>
            </w:tcBorders>
            <w:tcW w:w="78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180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Borders>
              <w:top w:val="single" w:color="000000" w:sz="6" w:space="0"/>
              <w:left w:val="single" w:color="000000" w:sz="4" w:space="0"/>
              <w:bottom w:val="single" w:color="000000" w:sz="6" w:space="0"/>
              <w:right w:val="single" w:color="000000" w:sz="6" w:space="0"/>
            </w:tcBorders>
            <w:tcW w:w="78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180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Borders>
              <w:top w:val="single" w:color="000000" w:sz="6" w:space="0"/>
              <w:left w:val="single" w:color="000000" w:sz="4" w:space="0"/>
              <w:bottom w:val="single" w:color="000000" w:sz="6" w:space="0"/>
              <w:right w:val="single" w:color="000000" w:sz="6" w:space="0"/>
            </w:tcBorders>
            <w:tcW w:w="78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180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Borders>
              <w:top w:val="single" w:color="000000" w:sz="6" w:space="0"/>
              <w:left w:val="single" w:color="000000" w:sz="4" w:space="0"/>
              <w:bottom w:val="single" w:color="000000" w:sz="6" w:space="0"/>
              <w:right w:val="single" w:color="000000" w:sz="6" w:space="0"/>
            </w:tcBorders>
            <w:tcW w:w="78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180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Borders>
              <w:top w:val="single" w:color="000000" w:sz="6" w:space="0"/>
              <w:left w:val="single" w:color="000000" w:sz="4" w:space="0"/>
              <w:bottom w:val="single" w:color="000000" w:sz="6" w:space="0"/>
              <w:right w:val="single" w:color="000000" w:sz="6" w:space="0"/>
            </w:tcBorders>
            <w:tcW w:w="78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7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180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Borders>
              <w:top w:val="single" w:color="000000" w:sz="6" w:space="0"/>
              <w:left w:val="single" w:color="000000" w:sz="4" w:space="0"/>
              <w:bottom w:val="single" w:color="000000" w:sz="4" w:space="0"/>
              <w:right w:val="single" w:color="000000" w:sz="6" w:space="0"/>
            </w:tcBorders>
            <w:tcW w:w="78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4"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4"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4" w:space="0"/>
              <w:right w:val="single" w:color="000000" w:sz="6" w:space="0"/>
            </w:tcBorders>
            <w:tcW w:w="17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4" w:space="0"/>
              <w:right w:val="single" w:color="000000" w:sz="6" w:space="0"/>
            </w:tcBorders>
            <w:tcW w:w="170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none" w:color="000000" w:sz="4" w:space="0"/>
              <w:bottom w:val="single" w:color="000000" w:sz="4" w:space="0"/>
              <w:right w:val="single" w:color="000000" w:sz="4" w:space="0"/>
            </w:tcBorders>
            <w:tcW w:w="180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002"/>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02"/>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法定代表人或代理人</w:t>
      </w:r>
      <w:r>
        <w:rPr>
          <w:rFonts w:hint="eastAsia" w:ascii="宋体" w:hAnsi="宋体" w:eastAsia="宋体" w:cs="宋体"/>
          <w:color w:val="000000" w:themeColor="text1"/>
          <w:sz w:val="24"/>
          <w:szCs w:val="24"/>
          <w:highlight w:val="none"/>
          <w14:textFill>
            <w14:solidFill>
              <w14:schemeClr w14:val="tx1"/>
            </w14:solidFill>
          </w14:textFill>
        </w:rPr>
        <w:t xml:space="preserve">（签字或盖章）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02"/>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t xml:space="preserve"> </w:t>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r>
      <w:r/>
    </w:p>
    <w:p>
      <w:pPr>
        <w:spacing w:line="400" w:lineRule="exact"/>
        <w:rPr>
          <w:rFonts w:hint="eastAsia" w:ascii="宋体" w:hAnsi="宋体" w:eastAsia="楷体_GB2312"/>
          <w:b/>
          <w:color w:val="000000" w:themeColor="text1"/>
          <w:sz w:val="24"/>
          <w:highlight w:val="none"/>
          <w14:textFill>
            <w14:solidFill>
              <w14:schemeClr w14:val="tx1"/>
            </w14:solidFill>
          </w14:textFill>
        </w:rPr>
      </w:pPr>
      <w:r>
        <w:rPr>
          <w:rFonts w:hint="eastAsia" w:ascii="宋体" w:hAnsi="宋体" w:eastAsia="楷体_GB2312"/>
          <w:b/>
          <w:color w:val="000000" w:themeColor="text1"/>
          <w:sz w:val="24"/>
          <w:highlight w:val="none"/>
          <w14:textFill>
            <w14:solidFill>
              <w14:schemeClr w14:val="tx1"/>
            </w14:solidFill>
          </w14:textFill>
        </w:rPr>
      </w:r>
      <w:r/>
    </w:p>
    <w:p>
      <w:pPr>
        <w:jc w:val="center"/>
        <w:spacing w:line="400" w:lineRule="exact"/>
        <w:rPr>
          <w:rFonts w:hint="eastAsia" w:ascii="宋体" w:hAnsi="宋体" w:eastAsia="宋体" w:cs="宋体"/>
          <w:b/>
          <w:color w:val="000000" w:themeColor="text1"/>
          <w:spacing w:val="6"/>
          <w:sz w:val="24"/>
          <w:szCs w:val="24"/>
          <w:highlight w:val="none"/>
          <w14:textFill>
            <w14:solidFill>
              <w14:schemeClr w14:val="tx1"/>
            </w14:solidFill>
          </w14:textFill>
        </w:rPr>
      </w:pPr>
      <w:r>
        <w:rPr>
          <w:rFonts w:hint="eastAsia" w:ascii="宋体" w:hAnsi="宋体" w:eastAsia="宋体" w:cs="宋体"/>
          <w:b/>
          <w:color w:val="000000" w:themeColor="text1"/>
          <w:spacing w:val="6"/>
          <w:sz w:val="24"/>
          <w:szCs w:val="24"/>
          <w:highlight w:val="none"/>
          <w14:textFill>
            <w14:solidFill>
              <w14:schemeClr w14:val="tx1"/>
            </w14:solidFill>
          </w14:textFill>
        </w:rPr>
      </w:r>
      <w:r/>
    </w:p>
    <w:p>
      <w:pPr>
        <w:jc w:val="center"/>
        <w:spacing w:line="400" w:lineRule="exact"/>
        <w:rPr>
          <w:rFonts w:hint="eastAsia" w:ascii="宋体" w:hAnsi="宋体" w:eastAsia="宋体" w:cs="宋体"/>
          <w:b/>
          <w:color w:val="000000" w:themeColor="text1"/>
          <w:spacing w:val="6"/>
          <w:sz w:val="24"/>
          <w:szCs w:val="24"/>
          <w:highlight w:val="none"/>
          <w14:textFill>
            <w14:solidFill>
              <w14:schemeClr w14:val="tx1"/>
            </w14:solidFill>
          </w14:textFill>
        </w:rPr>
      </w:pPr>
      <w:r>
        <w:rPr>
          <w:rFonts w:hint="eastAsia" w:ascii="宋体" w:hAnsi="宋体" w:eastAsia="宋体" w:cs="宋体"/>
          <w:b/>
          <w:color w:val="000000" w:themeColor="text1"/>
          <w:spacing w:val="6"/>
          <w:sz w:val="24"/>
          <w:szCs w:val="24"/>
          <w:highlight w:val="none"/>
          <w14:textFill>
            <w14:solidFill>
              <w14:schemeClr w14:val="tx1"/>
            </w14:solidFill>
          </w14:textFill>
        </w:rPr>
      </w:r>
      <w:r/>
    </w:p>
    <w:p>
      <w:pPr>
        <w:jc w:val="both"/>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pacing w:val="6"/>
          <w:sz w:val="24"/>
          <w:szCs w:val="24"/>
          <w:highlight w:val="none"/>
          <w14:textFill>
            <w14:solidFill>
              <w14:schemeClr w14:val="tx1"/>
            </w14:solidFill>
          </w14:textFill>
        </w:rPr>
        <w:t xml:space="preserve">商务条款偏离表</w:t>
      </w:r>
      <w:r/>
    </w:p>
    <w:tbl>
      <w:tblPr>
        <w:tblStyle w:val="927"/>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905"/>
        <w:gridCol w:w="2433"/>
        <w:gridCol w:w="2404"/>
        <w:gridCol w:w="1362"/>
        <w:gridCol w:w="776"/>
      </w:tblGrid>
      <w:tr>
        <w:trPr>
          <w:jc w:val="center"/>
          <w:trHeight w:val="567"/>
        </w:trPr>
        <w:tc>
          <w:tcPr>
            <w:tcW w:w="75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招标文件条款号</w:t>
            </w:r>
            <w:r/>
          </w:p>
        </w:tc>
        <w:tc>
          <w:tcPr>
            <w:tcW w:w="243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招标文件的商务条款</w:t>
            </w:r>
            <w:r/>
          </w:p>
        </w:tc>
        <w:tc>
          <w:tcPr>
            <w:tcW w:w="240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投标文件的商务条款</w:t>
            </w:r>
            <w:r/>
          </w:p>
        </w:tc>
        <w:tc>
          <w:tcPr>
            <w:tcW w:w="136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偏离/响应</w:t>
            </w:r>
            <w:r/>
          </w:p>
        </w:tc>
        <w:tc>
          <w:tcPr>
            <w:tcW w:w="77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tc>
      </w:tr>
      <w:tr>
        <w:trPr>
          <w:jc w:val="center"/>
          <w:trHeight w:val="567"/>
        </w:trPr>
        <w:tc>
          <w:tcPr>
            <w:tcW w:w="758"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3"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04"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2"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76"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758"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3"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04"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2"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76"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758"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3"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04"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2"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76"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758"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3"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04"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2"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76"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758"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3"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04"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2"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76"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758"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3"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04"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2"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76"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758"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3"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04"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2"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76"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758"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3"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04"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2"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76"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758"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05"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33"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04"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2"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76" w:type="dxa"/>
            <w:vAlign w:val="center"/>
            <w:textDirection w:val="lrTb"/>
            <w:noWrap w:val="false"/>
          </w:tcPr>
          <w:p>
            <w:pPr>
              <w:ind w:left="1080" w:hanging="54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24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002"/>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02"/>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法定代表人或代理人</w:t>
      </w:r>
      <w:r>
        <w:rPr>
          <w:rFonts w:hint="eastAsia" w:ascii="宋体" w:hAnsi="宋体" w:eastAsia="宋体" w:cs="宋体"/>
          <w:color w:val="000000" w:themeColor="text1"/>
          <w:sz w:val="24"/>
          <w:szCs w:val="24"/>
          <w:highlight w:val="none"/>
          <w14:textFill>
            <w14:solidFill>
              <w14:schemeClr w14:val="tx1"/>
            </w14:solidFill>
          </w14:textFill>
        </w:rPr>
        <w:t xml:space="preserve">（签字或盖章）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02"/>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pStyle w:val="1002"/>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1002"/>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1002"/>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1002"/>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1002"/>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1002"/>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1002"/>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1002"/>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1002"/>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1002"/>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1002"/>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1002"/>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1002"/>
        <w:numPr>
          <w:ilvl w:val="0"/>
          <w:numId w:val="0"/>
        </w:numPr>
        <w:spacing w:line="360" w:lineRule="auto"/>
        <w:rPr>
          <w:rFonts w:hint="eastAsia"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r>
      <w:r/>
    </w:p>
    <w:p>
      <w:pPr>
        <w:pStyle w:val="1002"/>
        <w:numPr>
          <w:ilvl w:val="0"/>
          <w:numId w:val="0"/>
        </w:numPr>
        <w:spacing w:line="360" w:lineRule="auto"/>
        <w:rPr>
          <w:rFonts w:hint="eastAsia" w:ascii="宋体" w:hAnsi="宋体" w:eastAsia="宋体" w:cs="宋体"/>
          <w:b/>
          <w:color w:val="000000" w:themeColor="text1"/>
          <w:sz w:val="24"/>
          <w:szCs w:val="24"/>
          <w:highlight w:val="none"/>
          <w:lang w:val="zh-CN"/>
          <w14:textFill>
            <w14:solidFill>
              <w14:schemeClr w14:val="tx1"/>
            </w14:solidFill>
          </w14:textFill>
        </w:rPr>
      </w:pPr>
      <w:r>
        <w:rPr>
          <w:rFonts w:hint="eastAsia"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、中小企业声明函</w:t>
      </w:r>
      <w:r/>
    </w:p>
    <w:p>
      <w:pPr>
        <w:pStyle w:val="935"/>
        <w:ind w:left="0" w:right="130"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（联合体）</w:t>
      </w:r>
      <w:r>
        <w:rPr>
          <w:rFonts w:hint="eastAsia" w:ascii="宋体" w:hAnsi="宋体" w:eastAsia="宋体" w:cs="宋体"/>
          <w:color w:val="000000" w:themeColor="text1"/>
          <w:sz w:val="24"/>
          <w:szCs w:val="24"/>
          <w:highlight w:val="none"/>
          <w14:textFill>
            <w14:solidFill>
              <w14:schemeClr w14:val="tx1"/>
            </w14:solidFill>
          </w14:textFill>
        </w:rPr>
        <w:t xml:space="preserve">郑重声明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根据《政府采购促进中小企业发展管理办法》（财库﹝2020﹞46 号）的规定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本公司</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（联合体）</w:t>
      </w:r>
      <w:r>
        <w:rPr>
          <w:rFonts w:hint="eastAsia" w:ascii="宋体" w:hAnsi="宋体" w:eastAsia="宋体" w:cs="宋体"/>
          <w:color w:val="000000" w:themeColor="text1"/>
          <w:sz w:val="24"/>
          <w:szCs w:val="24"/>
          <w:highlight w:val="none"/>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（单位名称）  </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（项目名称）  </w:t>
      </w:r>
      <w:r>
        <w:rPr>
          <w:rFonts w:hint="eastAsia" w:ascii="宋体" w:hAnsi="宋体" w:eastAsia="宋体" w:cs="宋体"/>
          <w:color w:val="000000" w:themeColor="text1"/>
          <w:sz w:val="24"/>
          <w:szCs w:val="24"/>
          <w:highlight w:val="none"/>
          <w14:textFill>
            <w14:solidFill>
              <w14:schemeClr w14:val="tx1"/>
            </w14:solidFill>
          </w14:textFill>
        </w:rPr>
        <w:t xml:space="preserve">采购活动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（招标文件中明确的所属行业）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承接</w:t>
      </w:r>
      <w:r>
        <w:rPr>
          <w:rFonts w:hint="eastAsia" w:ascii="宋体" w:hAnsi="宋体" w:eastAsia="宋体" w:cs="宋体"/>
          <w:color w:val="000000" w:themeColor="text1"/>
          <w:sz w:val="24"/>
          <w:szCs w:val="24"/>
          <w:highlight w:val="none"/>
          <w14:textFill>
            <w14:solidFill>
              <w14:schemeClr w14:val="tx1"/>
            </w14:solidFill>
          </w14:textFill>
        </w:rPr>
        <w:t xml:space="preserve">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（招标文件中明确的所属行业）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；承</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接</w:t>
      </w:r>
      <w:r>
        <w:rPr>
          <w:rFonts w:hint="eastAsia" w:ascii="宋体" w:hAnsi="宋体" w:eastAsia="宋体" w:cs="宋体"/>
          <w:color w:val="000000" w:themeColor="text1"/>
          <w:sz w:val="24"/>
          <w:szCs w:val="24"/>
          <w:highlight w:val="none"/>
          <w14:textFill>
            <w14:solidFill>
              <w14:schemeClr w14:val="tx1"/>
            </w14:solidFill>
          </w14:textFill>
        </w:rPr>
        <w:t xml:space="preserve">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不属于大企业的分支机构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不存在控股股东为大企业的情形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也不存在与大企业的负责人为同一人的情形。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将依法承担相应责任。</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期：</w:t>
      </w:r>
      <w:r/>
    </w:p>
    <w:p>
      <w:pPr>
        <w:ind w:firstLine="482"/>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若供应商未在此函中对（中型企业、小型企业、微型企业）明确选择，视为非中小企业，不享受中小企业扶持政策；</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若供应商提供的“中小企业声明函”内容不实的，属于提供虚假材料谋取中标、成交，依照《中华人民共和国政府采购法》等国家有关规定追究相应责任。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keepLines w:val="0"/>
        <w:keepNext w:val="0"/>
        <w:pageBreakBefore w:val="0"/>
        <w:spacing w:line="440" w:lineRule="exact"/>
        <w:shd w:val="clear" w:color="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5、中标供应商为中小企业的，《中小企业声明函》将随中标结果同时公告。</w:t>
      </w:r>
      <w:r>
        <w:rPr>
          <w:rFonts w:hint="eastAsia" w:ascii="宋体" w:hAnsi="宋体" w:eastAsia="宋体" w:cs="宋体"/>
          <w:color w:val="000000" w:themeColor="text1"/>
          <w:sz w:val="24"/>
          <w:szCs w:val="24"/>
          <w:highlight w:val="none"/>
          <w:lang w:val="en-US" w:eastAsia="zh-CN"/>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附：中小企业划型标准规定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（一）农、林、牧、渔业。</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营业收入500万元及以上的为中型企业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营业收入50万元及以上的为小型企业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营业收入50万元以下的为微型企业。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（二）工业。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从业人员1000人以下或营业收入40000万元以下的为中小微型企业。其中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且营业收入2000万元及以上的为中型企业；从业人员20人及以上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且营业收入300万元及以上的为小型企业；从业人员20人以下或营业收入300万元以下的为微型企业。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（三）建筑业。</w:t>
      </w:r>
      <w:r>
        <w:rPr>
          <w:rFonts w:hint="eastAsia" w:ascii="宋体" w:hAnsi="宋体" w:eastAsia="宋体" w:cs="宋体"/>
          <w:color w:val="000000" w:themeColor="text1"/>
          <w:sz w:val="24"/>
          <w:szCs w:val="24"/>
          <w:highlight w:val="none"/>
          <w14:textFill>
            <w14:solidFill>
              <w14:schemeClr w14:val="tx1"/>
            </w14:solidFill>
          </w14:textFill>
        </w:rPr>
        <w:t xml:space="preserve">营业收入80000万元以下或资产总额80000万元以下的为中小微型企业。其中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营业收入6000万元及以上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且资产总额5000万元及以上的为中型企业；营业收入300万元及以上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且资产总额300万元及以上的为小型企业；营业收入300万元以下或资产总额300万元以下的为微型企业。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（四）批发业。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从业人员200人以下或营业收入40000万元以下的为中小微型企业。其中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从业人员20人及以上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且营业收入5000万元及以上的为中型企业；从业人员5人及以上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且营业收入1000万元及以上的为小型企业；从业人员5人以下或营业收入1000万元以下的为微型企业。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（五）零售业。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从业人员300人以下或营业收入20000万元以下的为中小微型企业。其中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从业人员50人及以上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且营业收入500万元及以上的为中型企业；从业人员10人及以上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且营业收入100万元及以上的为小型企业；从业人员10人以下或营业收入100万元以下的为微型企业。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（六）交通运输业。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且营业收入3000万元及以上的为中型企业；从业人员20人及以上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且营业收入200万元及以上的为小型企业；从业人员20人以下或营业收入200万元以下的为微型企业。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（七）仓储业。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从业人员200人以下或营业收入30000万元以下的为中小微型企业。其中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且营业收入1000万元及以上的为中型企业；从业人员20人及以上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且营业收入100万元及以上的为小型企业；从业人员20人以下或营业收入100万元以下的为微型企业。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（八）邮政业。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且营业收入2000万元及以上的为中型企业；从业人员20人及以上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且营业收入100万元及以上的为小型企业；从业人员20人以下或营业收入100万元以下的为微型企业。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（九）住宿业。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且营业收入2000万元及以上的为中型企业；从业人员10人及以上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且营业收入100万元及以上的为小型企业；从业人员10人以下或营业收入100万元以下的为微型企业。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（十）餐饮业。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且营业收入2000万元及以上的为中型企业；从业人员10人及以上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且营业收入100万元及以上的为小型企业；从业人员10人以下或营业收入100万元以下的为微型企业。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（十一）信息传输业。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从业人员2000人以下或营业收入100000万元以下的为中小微型企业。其中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且营业收入100万元及以上的为小型企业；从业人员10人以下或营业收入100万元以下的为微型企业。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且营业收入50万元及以上的为小型企业；从业人员10人以下或营业收入50万元以下的为微型企业。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（十三）房地产开发经营。</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营业收入200000万元以下或资产总额10000万元以下的为中小微型企业。其中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营业收入1000万元及以上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且资产总额5000万元及以上的为中型企业；营业收入100万元及以上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且资产总额2000万元及以上的为小型企业；营业收入100万元以下或资产总额2000万元以下的为微型企业。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（十四）物业管理。</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从业人员1000人以下或营业收入5000万元以下的为中小微型企业。其中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p>
    <w:p>
      <w:pPr>
        <w:ind w:left="0"/>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且营业收入1000万元及以上的为中型企业；从业人员100人及以上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且营业收入500万元及以上的为小型企业；从业人员100人以下或营业收入500万元以下的为微型企业。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（十五）租赁和商务服务业。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从业人员300人以下或资产总额120000万元以下的为中小微型企业。其中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且资产总额8000万元及以上的为中型企业；从业人员10人及以上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且资产总额100万元及以上的为小型企业；从业人员10人以下或资产总额100万元以下的为微型企业。</w:t>
      </w:r>
      <w:r/>
    </w:p>
    <w:p>
      <w:pPr>
        <w:ind w:left="0"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（十六）其他未列明行业。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从业人员100人及以上的为中型企业；从业人员10人及以上的为小型企业；从业人员10人以下的为微型企业。</w:t>
      </w:r>
      <w:r/>
    </w:p>
    <w:p>
      <w:pPr>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b/>
          <w:bCs/>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spacing w:line="360" w:lineRule="auto"/>
        <w:shd w:val="clear" w:color="auto"/>
        <w:rPr>
          <w:rFonts w:hint="eastAsia" w:ascii="宋体" w:hAnsi="宋体" w:eastAsia="宋体" w:cs="宋体"/>
          <w:b w:val="0"/>
          <w:bCs w:val="0"/>
          <w:color w:val="000000" w:themeColor="text1"/>
          <w:sz w:val="24"/>
          <w:szCs w:val="24"/>
          <w:highlight w:val="none"/>
          <w14:textFill>
            <w14:solidFill>
              <w14:schemeClr w14:val="tx1"/>
            </w14:solidFill>
          </w14:textFill>
        </w:rPr>
        <w:outlineLvl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、残疾人福利性单位声明函</w:t>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本单位郑重声明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根据《财政部  民政部  中国残疾人联合会关于促进残疾人就业政府采购政策的通知》（财库〔2017〕141号）的规定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本单位为符合条件的残疾人福利性单位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且本单位参加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项目采购活动提供本单位制造的货物（由本单位承担工程/提供服务）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或者提供其他残疾人福利性单位制造的货物（不包括使用非残疾人福利性单位注册商标的货物）。</w:t>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本单位对上述声明的真实性负责。如有虚假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将依法承担相应责任。</w:t>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2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（单位公章）：</w:t>
      </w:r>
      <w:r/>
    </w:p>
    <w:p>
      <w:pPr>
        <w:ind w:firstLine="42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0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jc w:val="center"/>
        <w:spacing w:line="360" w:lineRule="auto"/>
        <w:shd w:val="clear" w:color="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第四章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采购需求</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bookmarkStart w:id="11" w:name="_Toc13642116"/>
      <w:r>
        <w:rPr>
          <w:rFonts w:hint="eastAsia" w:ascii="宋体" w:hAnsi="宋体" w:eastAsia="宋体" w:cs="宋体"/>
          <w:color w:val="000000" w:themeColor="text1"/>
          <w:sz w:val="24"/>
          <w:szCs w:val="24"/>
          <w:highlight w:val="none"/>
          <w14:textFill>
            <w14:solidFill>
              <w14:schemeClr w14:val="tx1"/>
            </w14:solidFill>
          </w14:textFill>
        </w:rPr>
        <w:t xml:space="preserve">苏州正杰招投标咨询服务有限公司受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苏州市教育考试院</w:t>
      </w:r>
      <w:r>
        <w:rPr>
          <w:rFonts w:hint="eastAsia" w:ascii="宋体" w:hAnsi="宋体" w:eastAsia="宋体" w:cs="宋体"/>
          <w:color w:val="000000" w:themeColor="text1"/>
          <w:sz w:val="24"/>
          <w:szCs w:val="24"/>
          <w:highlight w:val="none"/>
          <w14:textFill>
            <w14:solidFill>
              <w14:schemeClr w14:val="tx1"/>
            </w14:solidFill>
          </w14:textFill>
        </w:rPr>
        <w:t xml:space="preserve">的委托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就其所需的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苏州市教育考试院考试安全设备租赁及配套技术服务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的采购进行公开招标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欢迎有资格的供应商前来参加投标。</w:t>
      </w:r>
      <w:r/>
    </w:p>
    <w:p>
      <w:pPr>
        <w:ind w:firstLine="480"/>
        <w:spacing w:line="360" w:lineRule="auto"/>
        <w:shd w:val="clear" w:color="auto"/>
        <w:rPr>
          <w:rFonts w:hint="eastAsia" w:ascii="宋体" w:hAnsi="宋体" w:eastAsia="宋体" w:cs="宋体"/>
          <w:b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bidi="ar-SA"/>
          <w14:textFill>
            <w14:solidFill>
              <w14:schemeClr w14:val="tx1"/>
            </w14:solidFill>
          </w14:textFill>
        </w:rPr>
        <w:t xml:space="preserve">一、项目编号：JSZC-320500-SZZJ-G2026-0014号。</w:t>
      </w:r>
      <w:r/>
    </w:p>
    <w:p>
      <w:pPr>
        <w:ind w:firstLine="48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w:t>
      </w:r>
      <w:bookmarkEnd w:id="11"/>
      <w:r/>
      <w:bookmarkStart w:id="12" w:name="_Toc13543213"/>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（一）项目背景及目标</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确保考试安全，是维护社会公平正义、保障教育体系公信力、促进人才选拔公正性的重要举措，亦是教育考试系统信息化建设的关键环节，更是各级政府积极推广的重点项目。</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内容涵盖：在规定时限内，向苏州市范围内的考试活动提供人员入场安全检查、考试过程中的安全检查、试卷安全检查以及视频会议安全保障等全方位服务，并同时承担考生手机、平板等电子设备的保管任务。</w:t>
      </w:r>
      <w:r/>
    </w:p>
    <w:p>
      <w:pPr>
        <w:ind w:firstLine="48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在项目执行阶段，设备性能指标必须达到考试院所提出的标准要求，依据考试院及各考点的具体需求，派遣相应数量的技术人员常驻现场，以确保考试安全保障服务的顺利实施。</w:t>
      </w:r>
      <w:r/>
    </w:p>
    <w:p>
      <w:pPr>
        <w:ind w:firstLine="482"/>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b/>
          <w:bCs/>
          <w:color w:val="000000" w:themeColor="text1"/>
          <w:sz w:val="24"/>
          <w:szCs w:val="24"/>
          <w:highlight w:val="none"/>
          <w14:textFill>
            <w14:solidFill>
              <w14:schemeClr w14:val="tx1"/>
            </w14:solidFill>
          </w14:textFill>
        </w:rPr>
        <w:t xml:space="preserve">内容清单</w:t>
      </w:r>
      <w:r/>
    </w:p>
    <w:tbl>
      <w:tblPr>
        <w:tblStyle w:val="927"/>
        <w:tblW w:w="9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7"/>
        <w:gridCol w:w="945"/>
        <w:gridCol w:w="5715"/>
        <w:gridCol w:w="795"/>
        <w:gridCol w:w="1526"/>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2964" w:type="pct"/>
            <w:vAlign w:val="center"/>
            <w:textDirection w:val="lrTb"/>
            <w:noWrap/>
          </w:tcPr>
          <w:p>
            <w:pPr>
              <w:jc w:val="center"/>
              <w:keepLines w:val="0"/>
              <w:keepNext w:val="0"/>
              <w:pageBreakBefore w:val="0"/>
              <w:widowControl/>
              <w:rPr>
                <w:rFonts w:hint="default" w:ascii="宋体" w:hAnsi="宋体" w:eastAsia="宋体" w:cs="宋体"/>
                <w:i w:val="0"/>
                <w:iCs w:val="0"/>
                <w:color w:val="000000" w:themeColor="text1"/>
                <w:sz w:val="22"/>
                <w:szCs w:val="22"/>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keepLines w:val="0"/>
              <w:keepNext w:val="0"/>
              <w:pageBreakBefore w:val="0"/>
              <w:widowControl/>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数量单位</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jc w:val="center"/>
              <w:keepLines w:val="0"/>
              <w:keepNext w:val="0"/>
              <w:pageBreakBefore w:val="0"/>
              <w:widowControl/>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备注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手机智能探测服务</w:t>
            </w:r>
            <w:r/>
          </w:p>
        </w:tc>
        <w:tc>
          <w:tcPr>
            <w:shd w:val="clear" w:color="auto" w:fill="auto"/>
            <w:tcBorders>
              <w:top w:val="single" w:color="000000" w:sz="4" w:space="0"/>
              <w:left w:val="single" w:color="000000" w:sz="4" w:space="0"/>
              <w:bottom w:val="single" w:color="000000" w:sz="4" w:space="0"/>
              <w:right w:val="single" w:color="000000" w:sz="4" w:space="0"/>
            </w:tcBorders>
            <w:tcW w:w="2964" w:type="pct"/>
            <w:vAlign w:val="center"/>
            <w:textDirection w:val="lrTb"/>
            <w:noWrap w:val="false"/>
          </w:tcPr>
          <w:p>
            <w:pPr>
              <w:numPr>
                <w:ilvl w:val="0"/>
                <w:numId w:val="0"/>
              </w:numPr>
              <w:jc w:val="both"/>
              <w:keepLines w:val="0"/>
              <w:keepNext w:val="0"/>
              <w:pageBreakBefore w:val="0"/>
              <w:widowControl/>
              <w:rPr>
                <w:rFonts w:hint="eastAsia" w:ascii="宋体" w:hAnsi="宋体" w:eastAsia="宋体" w:cs="宋体"/>
                <w:color w:val="000000" w:themeColor="text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1、应配备不少于2个≥24 寸液晶显示屏，可显示报警物品的种类、区位、通过人数、报警人数、报警抓拍照片、人脸核验结果等信息；当内置工控机因故障中断时，安检门本地违禁品探测功能应正常。</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应具备远程参数调整、远程诊断以及报警相关数据存储的功能。当远程控制因故中断时，金属门应能自动恢复本地控制；具有备用电源的金属门应能自动切换主备电，切换时不应影响正常工作，备用电池应能保证金属门正常工作至少4h以上。</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3、具有多种探测模式，能在电子产品探测模式、违禁品探测模式、电子产品和违禁品探测模式及全金属探测模式间进行切换。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4、电子产品探测功能，人员正常着装上的金属纽扣、皮带扣、钥匙、硬币、项链、打火机、圆规、发卡等日常金属通过时应不报警，误报率应小于等于5％；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电子产品探测功能，当携带或夹带手机、iPad、电话手表、电子手表、智能眼镜、对讲机、单独手机锂电池、笔记本电脑、录音笔、移动硬盘、数码照相机等电子产品通过探测门时，系统应有声光报警并有文字和图像提示，应能提示物品的藏匿位置。手机分别处于待机、关机、移除电池、移除SIM卡、手机用五层铜箔包裹等状态时对探测报警应无影响。当手机和刀具或金属罐体捆绑后一起通过手机智能探测门时，系统应对手机报警。总成功率应大于等于95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摄像机及人脸抓拍功能，应配有高清摄像头，摄像头分辨率可至少设置为1920*1080。能抓拍每个通过人员的照片，通过网络实时将人脸信息传送至中心平台管理系统，存储空间快满时，系统应自动清除陈旧数据，确保数据存储的容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7、支持黑白名单管理功能，当采集到的人脸信息与事先录入的黑白名单一致时，系统应能报警或放行，应有语音提示，并将信息上传至中心平台管理系统。</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8、▲探测性能应不受门体四周10cm 范围以外的大静止金属物体的影响；性能应不受地面0.1m以下的金属结构的影响。</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9、▲设备联动功能，系统报警时，应至少输出一路控制信号给闸机、门禁等外围设备，实现联动控制。故障保护功能，当内置工控机因故障中断时，手机智能探测门本地违禁品探测功能应正常。</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10、▲调节探测灵敏度，应能从低到高方便地调节灵敏度，灵敏度调节应≥200个级别，总区及分区灵敏度均应可调。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通行速度，在探测区域内，能对通行速度为0.2m/s～2.0m/s的应报警测试物正确响应并报警，试验100次，探测率应≥95％。具有抗相互干扰，以0.1m外沿间距并排安置多台手机智能探测门时，各手机智能探测门均能正常工作。稳定工作时间应≥96h，待机期间不应出现误报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12、需符合GB 15210-2018《通过式金属探测门通用技术规范》要求。</w:t>
            </w:r>
            <w:r/>
          </w:p>
          <w:p>
            <w:pPr>
              <w:numPr>
                <w:ilvl w:val="0"/>
                <w:numId w:val="0"/>
              </w:numPr>
              <w:jc w:val="both"/>
              <w:keepLines w:val="0"/>
              <w:keepNext w:val="0"/>
              <w:pageBreakBefore w:val="0"/>
              <w:widowControl/>
              <w:rPr>
                <w:rFonts w:hint="eastAsia" w:ascii="宋体" w:hAnsi="宋体" w:eastAsia="宋体" w:cs="宋体"/>
                <w:color w:val="000000" w:themeColor="text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13、每次考试每一个安检门需配备一名以上工作人员。</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numPr>
                <w:ilvl w:val="0"/>
                <w:numId w:val="0"/>
              </w:numPr>
              <w:jc w:val="center"/>
              <w:keepLines w:val="0"/>
              <w:keepNext w:val="0"/>
              <w:pageBreakBefore w:val="0"/>
              <w:widowControl/>
              <w:rPr>
                <w:rFonts w:hint="default"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410个</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numPr>
                <w:ilvl w:val="0"/>
                <w:numId w:val="0"/>
              </w:numPr>
              <w:jc w:val="center"/>
              <w:keepLines w:val="0"/>
              <w:keepNext w:val="0"/>
              <w:pageBreakBefore w:val="0"/>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2026年6月份约40个；2026年7月份约31个；2026年9月份约15个；2026年10月份约80个和61个；2026年12月份约90个；2027年1月份约23个；2027年4月份约70个。具体实际时间和数量以采购人要求为准。</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手机存储柜服务</w:t>
            </w:r>
            <w:r/>
          </w:p>
        </w:tc>
        <w:tc>
          <w:tcPr>
            <w:shd w:val="clear" w:color="auto" w:fill="auto"/>
            <w:tcBorders>
              <w:top w:val="single" w:color="000000" w:sz="4" w:space="0"/>
              <w:left w:val="single" w:color="000000" w:sz="4" w:space="0"/>
              <w:bottom w:val="single" w:color="000000" w:sz="4" w:space="0"/>
              <w:right w:val="single" w:color="000000" w:sz="4" w:space="0"/>
            </w:tcBorders>
            <w:tcW w:w="2964" w:type="pct"/>
            <w:vAlign w:val="center"/>
            <w:textDirection w:val="lrTb"/>
            <w:noWrap w:val="false"/>
          </w:tcPr>
          <w:p>
            <w:pPr>
              <w:numPr>
                <w:ilvl w:val="0"/>
                <w:numId w:val="3"/>
              </w:num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单门一对一锁头。</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2、每门锁头配备2把钥匙。</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3、需提供考试中视频监控服务。</w:t>
            </w:r>
            <w:r/>
          </w:p>
          <w:p>
            <w:pPr>
              <w:numPr>
                <w:ilvl w:val="0"/>
                <w:numId w:val="0"/>
              </w:numPr>
              <w:jc w:val="both"/>
              <w:keepLines w:val="0"/>
              <w:keepNext w:val="0"/>
              <w:pageBreakBefore w:val="0"/>
              <w:widowControl/>
              <w:rPr>
                <w:rFonts w:hint="eastAsia" w:ascii="宋体" w:hAnsi="宋体" w:eastAsia="宋体" w:cs="宋体"/>
                <w:color w:val="000000" w:themeColor="text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4、按比例增加能存放平板电脑和笔记本电脑的存储柜，所有手机、平板存储柜下端要做好稳固措施，避免大风或人为推倒。</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numPr>
                <w:ilvl w:val="0"/>
                <w:numId w:val="0"/>
              </w:numPr>
              <w:jc w:val="center"/>
              <w:keepLines w:val="0"/>
              <w:keepNext w:val="0"/>
              <w:pageBreakBefore w:val="0"/>
              <w:widowControl/>
              <w:rPr>
                <w:rFonts w:hint="default"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652个</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numPr>
                <w:ilvl w:val="0"/>
                <w:numId w:val="0"/>
              </w:numPr>
              <w:jc w:val="center"/>
              <w:keepLines w:val="0"/>
              <w:keepNext w:val="0"/>
              <w:pageBreakBefore w:val="0"/>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2026年6月份约70个；2026年7月份约62个；2026年9月份约30个；2026年10月份约160个和122个；2026年12月份约180个；2027年1月份约46个；2027年4月份约142个。具体实际时间和数量以采购人要求为准。</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pageBreakBefore w:val="0"/>
              <w:spacing w:line="288" w:lineRule="auto"/>
              <w:widowControl w:val="off"/>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default" w:ascii="宋体" w:hAnsi="宋体" w:eastAsia="宋体" w:cs="宋体"/>
                <w:color w:val="000000" w:themeColor="text1"/>
                <w:sz w:val="22"/>
                <w:szCs w:val="22"/>
                <w:highlight w:val="none"/>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288" w:lineRule="auto"/>
              <w:widowControl w:val="off"/>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智慧检测管理系统</w:t>
            </w:r>
            <w:r/>
          </w:p>
        </w:tc>
        <w:tc>
          <w:tcPr>
            <w:shd w:val="clear" w:color="auto" w:fill="auto"/>
            <w:tcBorders>
              <w:top w:val="single" w:color="000000" w:sz="4" w:space="0"/>
              <w:left w:val="single" w:color="000000" w:sz="4" w:space="0"/>
              <w:bottom w:val="single" w:color="000000" w:sz="4" w:space="0"/>
              <w:right w:val="single" w:color="000000" w:sz="4" w:space="0"/>
            </w:tcBorders>
            <w:tcW w:w="2964" w:type="pct"/>
            <w:vAlign w:val="center"/>
            <w:textDirection w:val="lrTb"/>
            <w:noWrap w:val="false"/>
          </w:tcPr>
          <w:p>
            <w:pPr>
              <w:jc w:val="both"/>
              <w:keepLines w:val="0"/>
              <w:keepNext w:val="0"/>
              <w:pageBreakBefore w:val="0"/>
              <w:spacing w:line="28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1、业务数据统计；</w:t>
            </w:r>
            <w:r/>
          </w:p>
          <w:p>
            <w:pPr>
              <w:jc w:val="both"/>
              <w:keepLines w:val="0"/>
              <w:keepNext w:val="0"/>
              <w:pageBreakBefore w:val="0"/>
              <w:spacing w:line="28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2、提供检测管理系统；</w:t>
            </w:r>
            <w:r/>
          </w:p>
          <w:p>
            <w:pPr>
              <w:jc w:val="both"/>
              <w:keepLines w:val="0"/>
              <w:keepNext w:val="0"/>
              <w:pageBreakBefore w:val="0"/>
              <w:spacing w:line="28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3、需提供专用检测终端，</w:t>
            </w:r>
            <w:r>
              <w:rPr>
                <w:rFonts w:hint="eastAsia" w:ascii="宋体" w:hAnsi="宋体" w:eastAsia="宋体" w:cs="宋体"/>
                <w:color w:val="000000" w:themeColor="text1"/>
                <w:sz w:val="22"/>
                <w:szCs w:val="22"/>
                <w:highlight w:val="none"/>
                <w14:textFill>
                  <w14:solidFill>
                    <w14:schemeClr w14:val="tx1"/>
                  </w14:solidFill>
                </w14:textFill>
              </w:rPr>
              <w:t xml:space="preserve">检测终端是兼具硬件基础架构与专用软件系统的一体化智能设备，核心功能为依托内置</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存储</w:t>
            </w:r>
            <w:r>
              <w:rPr>
                <w:rFonts w:hint="eastAsia" w:ascii="宋体" w:hAnsi="宋体" w:eastAsia="宋体" w:cs="宋体"/>
                <w:color w:val="000000" w:themeColor="text1"/>
                <w:sz w:val="22"/>
                <w:szCs w:val="22"/>
                <w:highlight w:val="none"/>
                <w14:textFill>
                  <w14:solidFill>
                    <w14:schemeClr w14:val="tx1"/>
                  </w14:solidFill>
                </w14:textFill>
              </w:rPr>
              <w:t xml:space="preserve">、数据处理模块及专属应用程序，完成特定场景下的信息采集、实时分析、结果输出等全流程任务，</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部分终端要达到搭建本地Deepseek的性能要求。</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2026年需要管理点位数约</w:t>
            </w:r>
            <w:r>
              <w:rPr>
                <w:rFonts w:hint="eastAsia" w:ascii="宋体" w:hAnsi="宋体" w:eastAsia="宋体" w:cs="宋体"/>
                <w:color w:val="000000" w:themeColor="text1"/>
                <w:sz w:val="22"/>
                <w:szCs w:val="22"/>
                <w:highlight w:val="none"/>
                <w:shd w:val="clear" w:color="auto"/>
                <w:lang w:val="en-US" w:eastAsia="zh-CN"/>
                <w14:textFill>
                  <w14:solidFill>
                    <w14:schemeClr w14:val="tx1"/>
                  </w14:solidFill>
                </w14:textFill>
              </w:rPr>
              <w:t xml:space="preserve">35个</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。具体实际时间和数量以采购人要求为准。</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指挥中心UPS电源保障服务</w:t>
            </w:r>
            <w:r/>
          </w:p>
        </w:tc>
        <w:tc>
          <w:tcPr>
            <w:shd w:val="clear" w:color="auto" w:fill="auto"/>
            <w:tcBorders>
              <w:top w:val="single" w:color="000000" w:sz="4" w:space="0"/>
              <w:left w:val="single" w:color="000000" w:sz="4" w:space="0"/>
              <w:bottom w:val="single" w:color="000000" w:sz="4" w:space="0"/>
              <w:right w:val="single" w:color="000000" w:sz="4" w:space="0"/>
            </w:tcBorders>
            <w:tcW w:w="2964" w:type="pct"/>
            <w:vAlign w:val="center"/>
            <w:textDirection w:val="lrTb"/>
            <w:noWrap/>
          </w:tcPr>
          <w:p>
            <w:pPr>
              <w:numPr>
                <w:ilvl w:val="0"/>
                <w:numId w:val="4"/>
              </w:num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需符合GB/T 7260-2023《不间断电源系统（UPS）》要求；</w:t>
            </w:r>
            <w:r/>
          </w:p>
          <w:p>
            <w:pPr>
              <w:numPr>
                <w:ilvl w:val="0"/>
                <w:numId w:val="0"/>
              </w:num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2、日常巡检、维护及故障处理（每年至少2次现场巡检，含充放电测试）；</w:t>
            </w:r>
            <w:r/>
          </w:p>
          <w:p>
            <w:pPr>
              <w:numPr>
                <w:ilvl w:val="0"/>
                <w:numId w:val="0"/>
              </w:numPr>
              <w:jc w:val="both"/>
              <w:keepLines w:val="0"/>
              <w:keepNext w:val="0"/>
              <w:pageBreakBefore w:val="0"/>
              <w:widowControl/>
              <w:rPr>
                <w:rFonts w:hint="eastAsia" w:ascii="宋体" w:hAnsi="宋体" w:eastAsia="宋体" w:cs="宋体"/>
                <w:color w:val="000000" w:themeColor="text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3、应急发电服务（如停电超时或机房紧急需求）。</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numPr>
                <w:ilvl w:val="0"/>
                <w:numId w:val="0"/>
              </w:numPr>
              <w:jc w:val="center"/>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numPr>
                <w:ilvl w:val="0"/>
                <w:numId w:val="0"/>
              </w:numPr>
              <w:jc w:val="center"/>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保密室行为分析检测服务</w:t>
            </w:r>
            <w:r/>
          </w:p>
        </w:tc>
        <w:tc>
          <w:tcPr>
            <w:shd w:val="clear" w:color="auto" w:fill="auto"/>
            <w:tcBorders>
              <w:top w:val="single" w:color="000000" w:sz="4" w:space="0"/>
              <w:left w:val="single" w:color="000000" w:sz="4" w:space="0"/>
              <w:bottom w:val="single" w:color="000000" w:sz="4" w:space="0"/>
              <w:right w:val="single" w:color="000000" w:sz="4" w:space="0"/>
            </w:tcBorders>
            <w:tcW w:w="2964" w:type="pct"/>
            <w:vAlign w:val="center"/>
            <w:textDirection w:val="lrTb"/>
            <w:noWrap w:val="false"/>
          </w:tcPr>
          <w:p>
            <w:p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1、符合《国家教育考试网上巡查系统视频标准技术规范（2017版）》相关技术规范；</w:t>
            </w:r>
            <w:r/>
          </w:p>
          <w:p>
            <w:p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2、采用国产CPU芯片；</w:t>
            </w:r>
            <w:r/>
          </w:p>
          <w:p>
            <w:p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3、支持MPEG4、H.264、H.264H、H.264M、H.264B、H.265、MJPEG多种视频格式；</w:t>
            </w:r>
            <w:r/>
          </w:p>
          <w:p>
            <w:p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4、支持G.722、G.711A、G.726、G.711U、MPEG2-L2、AAC多种音频格式；</w:t>
            </w:r>
            <w:r/>
          </w:p>
          <w:p>
            <w:p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5、支持SIP网关向上级的主动注册与多级注册的管理，支持NAT穿越控制；</w:t>
            </w:r>
            <w:r/>
          </w:p>
          <w:p>
            <w:p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6、用户和权限管理，设定管辖范围内用户、组、角色的权限。用户管理可包括用户注册、用户查询、用户增加删除、用户访问权限管理、用户锁定和解锁、用户分组管理、用户访问记录查看功能；</w:t>
            </w:r>
            <w:r/>
          </w:p>
          <w:p>
            <w:p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7、系统管理员，可添加、删除、修改组、用户、设备；可对远程用户设定视频浏览权限、前端设备控制权限和历史数据的删除、复制、浏览等操作权限；</w:t>
            </w:r>
            <w:r/>
          </w:p>
          <w:p>
            <w:p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8、支持用户的接入认证以及安全锁定；用户、设备在线信息统计，设备数据同步到上级机构；</w:t>
            </w:r>
            <w:r/>
          </w:p>
          <w:p>
            <w:p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9、支持日志管理查询，系统日志、告警日志、操作日志的搜索查看；</w:t>
            </w:r>
            <w:r/>
          </w:p>
          <w:p>
            <w:p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10、支持设备主动注册到管理平台进行设备管理的功能；</w:t>
            </w:r>
            <w:r/>
          </w:p>
          <w:p>
            <w:p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11、能实现系统核心数据库的备份；</w:t>
            </w:r>
            <w:r/>
          </w:p>
          <w:p>
            <w:p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12、智能分析并发能力：支持≥60路视频流的行为智能分析；</w:t>
            </w:r>
            <w:r/>
          </w:p>
          <w:p>
            <w:p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13、支持告警等级配置：支持自定义每个行为的告警等级，包括一级告警、二级告警、三级告警；支持为每个告警等级配置不同的预警方式，包括人工审核、预警提示；</w:t>
            </w:r>
            <w:r/>
          </w:p>
          <w:p>
            <w:p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14、视频审核：实现对AI自动识别的告警事件的人工复核；复核支持初审和复审；支持分场次、类型、审核状态、考场名称、告警等级筛选告警事件；</w:t>
            </w:r>
            <w:r/>
          </w:p>
          <w:p>
            <w:pPr>
              <w:jc w:val="both"/>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15、支持数据导出，并可根据实际需求选择导出的数据包含图片、包含视频，满足多样化的报表需求。</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pageBreakBefore w:val="0"/>
              <w:widowControl/>
              <w:rPr>
                <w:rFonts w:hint="default" w:ascii="宋体" w:hAnsi="宋体" w:eastAsia="宋体" w:cs="宋体"/>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保密室安防、网上巡查保障服务</w:t>
            </w:r>
            <w:r/>
          </w:p>
        </w:tc>
        <w:tc>
          <w:tcPr>
            <w:shd w:val="clear" w:color="auto" w:fill="auto"/>
            <w:tcBorders>
              <w:top w:val="single" w:color="000000" w:sz="4" w:space="0"/>
              <w:left w:val="single" w:color="000000" w:sz="4" w:space="0"/>
              <w:bottom w:val="single" w:color="000000" w:sz="4" w:space="0"/>
              <w:right w:val="single" w:color="000000" w:sz="4" w:space="0"/>
            </w:tcBorders>
            <w:tcW w:w="2964" w:type="pct"/>
            <w:vAlign w:val="center"/>
            <w:textDirection w:val="lrTb"/>
            <w:noWrap w:val="false"/>
          </w:tcPr>
          <w:p>
            <w:pPr>
              <w:jc w:val="both"/>
              <w:keepLines w:val="0"/>
              <w:keepNext w:val="0"/>
              <w:pageBreakBefore w:val="0"/>
              <w:widowControl/>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符合《国家教育考试网上巡查系统视频标准技术规范（2017版）》；</w:t>
            </w:r>
            <w:r/>
          </w:p>
          <w:p>
            <w:pPr>
              <w:jc w:val="both"/>
              <w:keepLines w:val="0"/>
              <w:keepNext w:val="0"/>
              <w:pageBreakBefore w:val="0"/>
              <w:widowControl/>
              <w:rPr>
                <w:rFonts w:hint="default"/>
                <w:color w:val="000000" w:themeColor="text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2、做好保密室人脸识别设备的维保。</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pageBreakBefore w:val="0"/>
              <w:widowControl/>
              <w:rPr>
                <w:rFonts w:hint="eastAsia" w:ascii="宋体" w:hAnsi="宋体" w:eastAsia="宋体" w:cs="宋体"/>
                <w:color w:val="000000" w:themeColor="text1"/>
                <w:sz w:val="22"/>
                <w:szCs w:val="22"/>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试卷流转移动监控服务</w:t>
            </w:r>
            <w:r/>
          </w:p>
        </w:tc>
        <w:tc>
          <w:tcPr>
            <w:shd w:val="clear" w:color="auto" w:fill="auto"/>
            <w:tcBorders>
              <w:top w:val="single" w:color="000000" w:sz="4" w:space="0"/>
              <w:left w:val="single" w:color="000000" w:sz="4" w:space="0"/>
              <w:bottom w:val="single" w:color="000000" w:sz="4" w:space="0"/>
              <w:right w:val="single" w:color="000000" w:sz="4" w:space="0"/>
            </w:tcBorders>
            <w:tcW w:w="2964" w:type="pct"/>
            <w:vAlign w:val="center"/>
            <w:textDirection w:val="lrTb"/>
            <w:noWrap w:val="false"/>
          </w:tcPr>
          <w:p>
            <w:pPr>
              <w:numPr>
                <w:ilvl w:val="0"/>
                <w:numId w:val="0"/>
              </w:numPr>
              <w:jc w:val="both"/>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符合《国家教育考试网上巡查系统视频标准技术规范（2017版）》；</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2、采用高性能200万像素，1/2.8英寸CMOS图像传感器，低照度效果好，图像清晰度高；</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最大可输出≥200万(1920×1080)@25fps；</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3、支持H.265编码，压缩比高，实现超低码流传输；</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4、内置高效红外补光灯，最大红外监控距离20米；</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5、支持北斗模块，能获取经纬度数据；定位信息可叠加在图像上；</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6、设备内置陀螺仪，当出现侧翻、碰撞、急转等情况时可输出报警并上传；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7、设备支持非法登陆、无硬盘、硬盘出错、温度过高、硬盘空间不足、电瓶电量不足、侧翻、撞车、急转弯、急加速、急减速、超速、低速等检测报警功能；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8、车载智能：支持后智能，支持疲劳（闭眼、打哈欠）、分神（低头、抬头、左顾右盼）、打电话、佩戴墨镜、抽烟、未系安全带、未检测到驾驶员、镜头遮挡、驾驶员 身份异常、换人驾驶报警；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9、支持报警事件：无SD卡；SD卡空间不足；SD卡出错；网络断开；IP冲突；非法访问；动态检测；视频 遮挡；绊线入侵；区域入侵；音频异常侦测；电压检测；外部报警；安全异常；</w:t>
            </w:r>
            <w:r/>
          </w:p>
          <w:p>
            <w:pPr>
              <w:numPr>
                <w:ilvl w:val="0"/>
                <w:numId w:val="0"/>
              </w:numPr>
              <w:jc w:val="both"/>
              <w:keepLines w:val="0"/>
              <w:keepNext w:val="0"/>
              <w:pageBreakBefore w:val="0"/>
              <w:widowControl/>
              <w:rPr>
                <w:rFonts w:hint="eastAsia" w:ascii="宋体" w:hAnsi="宋体" w:eastAsia="宋体" w:cs="宋体"/>
                <w:color w:val="000000" w:themeColor="text1"/>
                <w:highlight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10、提供与省级平台无缝对接承诺。</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numPr>
                <w:ilvl w:val="0"/>
                <w:numId w:val="0"/>
              </w:numPr>
              <w:jc w:val="center"/>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numPr>
                <w:ilvl w:val="0"/>
                <w:numId w:val="0"/>
              </w:numPr>
              <w:jc w:val="center"/>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视频会议平台安全保障服务</w:t>
            </w:r>
            <w:r/>
          </w:p>
        </w:tc>
        <w:tc>
          <w:tcPr>
            <w:shd w:val="clear" w:color="auto" w:fill="auto"/>
            <w:tcBorders>
              <w:top w:val="single" w:color="000000" w:sz="4" w:space="0"/>
              <w:left w:val="single" w:color="000000" w:sz="4" w:space="0"/>
              <w:bottom w:val="single" w:color="000000" w:sz="4" w:space="0"/>
              <w:right w:val="single" w:color="000000" w:sz="4" w:space="0"/>
            </w:tcBorders>
            <w:tcW w:w="2964" w:type="pct"/>
            <w:vAlign w:val="center"/>
            <w:textDirection w:val="lrTb"/>
            <w:noWrap w:val="false"/>
          </w:tcPr>
          <w:p>
            <w:pPr>
              <w:jc w:val="both"/>
              <w:keepLines w:val="0"/>
              <w:keepNext w:val="0"/>
              <w:pageBreakBefore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1、采用Linux操作系统、硬件机架式设计，提供物理软硬件统一交付或适用于云平台纯软件交付模式交付，支持7×24小时无故障连续运行；</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2、支持B/S架构，采用先进的H5技术（非 Flash 开发技术），提供Web浏览器远程登录管理；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3、采用主流Docker和Kubernetes（K8s）容器应用技术，实现多功能组件模块化设计，提供更灵活、简易和便捷的虚拟化云部署；</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4、▲采用包含会议管理、MCU、注册和呼叫控制管理、防火墙穿越、会议录制/点播、直播推流、互动白板交互及移动软件接入等多功能服务模块，具备一机实现全面视频通讯应用覆盖；</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5、支持添加MCU服务模块实现系统媒体资源的扩容，同时MCU模块组成的MCU资源池具备实现媒体资源扩展、负载分担及会议故障自愈能力；</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6、系统原生支持主流的AVC全编全解编码设计机制，非网关等转换方式，本次配置10为10路1080P并发接入；</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7、▲原生支持主流的AVC全编全解编码设计机制下，单机最高支持400路高清终端并发接入；</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原生支持全编全解编码设计机制(非通过媒体转换网关和非媒体转发机制）对会议中的视频终端实现全适配处理能力,不同视频终端以多种视频协议、视频格式、分辨率、帧率和码率参与同一会议,每个软件和硬件视频终端均可独立自由选择不同的分屏观看模式和分屏数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9、在全编全解编码设计机制下媒体资源动态分配，无需手动修改。1路4K 30 fps资源可用于2路1080P 60 fps或4路1080P 30 fps或8路720P 30 fps、或16路标清。同时，资源动态分配能力下，不会影响系统在会议中呈现的最大支持的分屏数量；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10、在不占用MCU视频资源授权许可的基础上，系统额外支持与高清视频资源授权许可数量同等比例的纯音频资源接入授权许可；</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11、支持防火墙穿越服务模块及媒体流代理接入服务，无需授权许可、穿越流量许可和穿越并发许可等限制；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12、支持 ITU H.323、IETF SIP协议同时入会，会议速率在64Kbps-8Mbps之间动态可调；</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13、支持ITU-T H.261、H.263、H.263+、H.264、H.264HighProfile、H.265视频编解码协议；</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14、支持ITU-T G.711 A/µ、G.722、G.728、G.729A、G.722.1、G.722.1C、G.719等高清宽带音频编解码协议；</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15、支持音频编解码算法的高清宽带频率为20KHz，最大支持48K采样率；</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16、支持4K 30fps、1080P 60fps、1080P 30fps、720P 60fps、720P 30fps，并向下兼容 4CIF、CIF、360P、180P等图像格式；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17、▲支持最大实现双路4K全动态双流视频能力，主流和辅流均实现4K 30fps，且向下兼容；</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18、支持添加多个MCU服务模块组建成资源池，实现召开多方视频会议、会议自动级联。级联后可以通过会议控制管理界面直接对各级MCU所连接的终端用户进行操作控制，如查看终端信息、广播会场、视频监看；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19、支持当召开会议的MCU出现网络问题或者断电情况时，资源池内的备份MCU在5 秒钟内自动接管会议，无需管理员操作；</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20、支持在60％网络丢包的环境下，音频清晰连贯，视频图像清晰流畅，无花屏、无马赛克；支持在80％网络丢包的环境下，音频清晰连贯、无卡顿；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21、支持立即会议、预约会议、固定虚拟会议室、个人虚拟会议室等多种会议类型；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22、支持向软件、硬件终端首页推送最近时间段的受邀会议提示信息，显示会议当前状态、会议主题名称、会议时间周期以及会议室房间号码；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23、支持平台整体录入视频终端唯一标识后，自动向视频终端推送预配置数据信息，视频终端无需专业、复杂系统配置，开机、联网即刻使用；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24、支持自动≥64分屏，系统将入会后的软件、硬件终端画面自动分配在分屏窗口中，无需人工干预；</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25、支持根据参会终端会场数量的增加，系统自动实现分屏数量和布局模式的变化，无需人工手动指定操作，最大可支持自动呈现64分屏；也可手动指定参会终端会场在特定分屏窗口呈现；</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26、支持多分屏轮询，每个分屏画面都可以指定轮询列表，轮询列表可提前预定义，且自定义分屏轮询时间间隔；</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27、支持会议管理员对会议全局控制功能，实现一键会议模式(主会场&amp;讨论)切换、全部静音/解除静音、设置字幕通知、会议延时、锁定会议、 录制控制、广播轮询、自定义会议点名、设置点名/轮询列表、添加/呼叫终端、自动重邀、结束会议等；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支持会控中指定终端/用户一键控制操作，实现设定主会场、一键查看会场、一键广播会场、一键点名、一键静音/取消静音、一键闭音、一键开启/屏蔽视频、一键旁听、预览会场信息、设置双流发送权限、一键挂断、一键删除会场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29、支持高清4K 30fps录制，录制生成可播放文件，支持开启录制、暂停 录制、停止录制；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30、支持≥85组会议同步录制，视频会议录制结束5秒内，直接生产MP4视频录制文件；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31、支持Windows、Mac、iOS、Android、Android TV的软件客户端下载使用，且下载无授权限制，提供不少于100路移动软件接入并发能力；</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32、▲支持对所有和指定系统服务组件一键底层抓包功能，抓包文件直接生成可读pcap文件，便于对系统进行问题排查分析；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33、支持会议数据表统计，可对会议概况，会议模式，会议规模，终端类型，呼叫方式，资源使用情况进行图形化统计，并支持数据导出。</w:t>
            </w:r>
            <w:r/>
          </w:p>
        </w:tc>
        <w:tc>
          <w:tcPr>
            <w:shd w:val="clear" w:color="auto" w:fill="auto"/>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r>
            <w:r/>
          </w:p>
        </w:tc>
      </w:tr>
    </w:tbl>
    <w:p>
      <w:pPr>
        <w:ind w:firstLine="482"/>
        <w:jc w:val="left"/>
        <w:keepLines w:val="0"/>
        <w:keepNext w:val="0"/>
        <w:pageBreakBefore w:val="0"/>
        <w:spacing w:line="360" w:lineRule="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注：投标单位须在投标文件中提供具体服务产品的品牌型号，如服务提供过程中产品更换，新提供服务产品参数应不低于原产品，需提供承诺函，否则视为非实质性响应招标文件要求，投标文件无效。</w:t>
      </w:r>
      <w:r/>
    </w:p>
    <w:p>
      <w:pPr>
        <w:ind w:firstLine="482"/>
        <w:jc w:val="left"/>
        <w:keepLines w:val="0"/>
        <w:keepNext w:val="0"/>
        <w:pageBreakBefore w:val="0"/>
        <w:spacing w:line="360" w:lineRule="auto"/>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highlight w:val="none"/>
          <w14:textFill>
            <w14:solidFill>
              <w14:schemeClr w14:val="tx1"/>
            </w14:solidFill>
          </w14:textFill>
        </w:rPr>
        <w:t xml:space="preserve">项目实施及其他要求</w:t>
      </w:r>
      <w:r/>
    </w:p>
    <w:p>
      <w:pPr>
        <w:ind w:firstLine="482"/>
        <w:jc w:val="left"/>
        <w:keepLines w:val="0"/>
        <w:keepNext w:val="0"/>
        <w:pageBreakBefore w:val="0"/>
        <w:spacing w:line="360" w:lineRule="auto"/>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项目实施要求</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本项目技术复杂、涉及面较大，为能保证在规定时间内完成项目建设，要求投标人针对本项目配备实施团队：项目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负责人</w:t>
      </w:r>
      <w:r>
        <w:rPr>
          <w:rFonts w:hint="eastAsia" w:ascii="宋体" w:hAnsi="宋体" w:eastAsia="宋体" w:cs="宋体"/>
          <w:color w:val="000000" w:themeColor="text1"/>
          <w:sz w:val="24"/>
          <w:highlight w:val="none"/>
          <w14:textFill>
            <w14:solidFill>
              <w14:schemeClr w14:val="tx1"/>
            </w14:solidFill>
          </w14:textFill>
        </w:rPr>
        <w:t xml:space="preserve">1人、项目技术负责</w:t>
      </w:r>
      <w:r>
        <w:rPr>
          <w:rFonts w:hint="eastAsia" w:ascii="宋体" w:hAnsi="宋体" w:eastAsia="宋体" w:cs="宋体"/>
          <w:color w:val="000000" w:themeColor="text1"/>
          <w:sz w:val="24"/>
          <w:highlight w:val="none"/>
          <w:lang w:val="en-US"/>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人</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除项目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负责人</w:t>
      </w:r>
      <w:r>
        <w:rPr>
          <w:rFonts w:hint="eastAsia" w:ascii="宋体" w:hAnsi="宋体" w:eastAsia="宋体" w:cs="宋体"/>
          <w:color w:val="000000" w:themeColor="text1"/>
          <w:sz w:val="24"/>
          <w:highlight w:val="none"/>
          <w14:textFill>
            <w14:solidFill>
              <w14:schemeClr w14:val="tx1"/>
            </w14:solidFill>
          </w14:textFill>
        </w:rPr>
        <w:t xml:space="preserve">和项目技术负责人外其他团队实施人员不少于</w:t>
      </w:r>
      <w:r>
        <w:rPr>
          <w:rFonts w:hint="eastAsia" w:ascii="宋体" w:hAnsi="宋体" w:eastAsia="宋体" w:cs="宋体"/>
          <w:color w:val="000000" w:themeColor="text1"/>
          <w:sz w:val="24"/>
          <w:highlight w:val="none"/>
          <w:lang w:val="en-US"/>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人，需具备相应专业技术能力，能够顺利开展项目实施工作。</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投标文件中的项目组主要成员名单，在中标后不经采购人允许不得随意更换。</w:t>
      </w:r>
      <w:r/>
    </w:p>
    <w:p>
      <w:pPr>
        <w:ind w:firstLine="482"/>
        <w:jc w:val="left"/>
        <w:keepLines w:val="0"/>
        <w:keepNext w:val="0"/>
        <w:pageBreakBefore w:val="0"/>
        <w:spacing w:line="360" w:lineRule="auto"/>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2</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培训要求</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（1）要求对项目软硬件及外设的使用者进行系统使用操作培训。</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（2）无法确定培训对象，或集中培训有困难的，可通过系统在线帮助等形式为用户提供在线的快速入门引导和系统操作指导。</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（3）中标人需选派具有一定资质和实践经验，且受过专门训练的专业技术人员负责技术培训工作。</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（4）培训涉及的费用投标人须在投标报价时考虑其中。</w:t>
      </w:r>
      <w:r/>
    </w:p>
    <w:p>
      <w:pPr>
        <w:ind w:firstLine="482"/>
        <w:jc w:val="left"/>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售后服务要求</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投标人对出现故障在</w:t>
      </w:r>
      <w:r>
        <w:rPr>
          <w:rFonts w:hint="eastAsia" w:ascii="宋体" w:hAnsi="宋体" w:eastAsia="宋体" w:cs="宋体"/>
          <w:color w:val="000000" w:themeColor="text1"/>
          <w:sz w:val="24"/>
          <w:highlight w:val="none"/>
          <w:lang w:val="en-US"/>
          <w14:textFill>
            <w14:solidFill>
              <w14:schemeClr w14:val="tx1"/>
            </w14:solidFill>
          </w14:textFill>
        </w:rPr>
        <w:t xml:space="preserve">0.5</w:t>
      </w:r>
      <w:r>
        <w:rPr>
          <w:rFonts w:hint="eastAsia" w:ascii="宋体" w:hAnsi="宋体" w:eastAsia="宋体" w:cs="宋体"/>
          <w:color w:val="000000" w:themeColor="text1"/>
          <w:sz w:val="24"/>
          <w:highlight w:val="none"/>
          <w14:textFill>
            <w14:solidFill>
              <w14:schemeClr w14:val="tx1"/>
            </w14:solidFill>
          </w14:textFill>
        </w:rPr>
        <w:t xml:space="preserve">小时内响应，</w:t>
      </w:r>
      <w:r>
        <w:rPr>
          <w:rFonts w:hint="eastAsia" w:ascii="宋体" w:hAnsi="宋体" w:eastAsia="宋体" w:cs="宋体"/>
          <w:color w:val="000000" w:themeColor="text1"/>
          <w:sz w:val="24"/>
          <w:highlight w:val="none"/>
          <w:lang w:val="en-US"/>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小时以内到现场，</w:t>
      </w:r>
      <w:r>
        <w:rPr>
          <w:rFonts w:hint="eastAsia" w:ascii="宋体" w:hAnsi="宋体" w:eastAsia="宋体" w:cs="宋体"/>
          <w:color w:val="000000" w:themeColor="text1"/>
          <w:sz w:val="24"/>
          <w:highlight w:val="none"/>
          <w:lang w:val="en-US"/>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小时以内提出问题解决方案并采取相应措施保障用户正常使用。投标人严格遵守服务合约，项目完成以后，如采购人有需要中标人配合的服务，中标人应予以配合。</w:t>
      </w:r>
      <w:r/>
    </w:p>
    <w:p>
      <w:pPr>
        <w:ind w:firstLine="482"/>
        <w:jc w:val="left"/>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4、考核要求（苏州市教育考试院考试安全服务考核办法）</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（1）采购人对服务内容进行监督。</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（2）对服务内容进行检查，并将检查结果以书面形式记录。</w:t>
      </w:r>
      <w:r/>
    </w:p>
    <w:p>
      <w:pPr>
        <w:ind w:firstLine="48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（3）考核打分作为对中标人考核的主要依据，并与中标人服务费挂钩，具体见考核办法</w:t>
      </w:r>
      <w:r>
        <w:rPr>
          <w:rFonts w:hint="eastAsia" w:ascii="宋体" w:hAnsi="宋体" w:eastAsia="宋体" w:cs="宋体"/>
          <w:b/>
          <w:bCs/>
          <w:color w:val="000000" w:themeColor="text1"/>
          <w:sz w:val="24"/>
          <w:highlight w:val="none"/>
          <w14:textFill>
            <w14:solidFill>
              <w14:schemeClr w14:val="tx1"/>
            </w14:solidFill>
          </w14:textFill>
        </w:rPr>
        <w:t xml:space="preserve">考核办法</w:t>
      </w:r>
      <w:r/>
    </w:p>
    <w:tbl>
      <w:tblPr>
        <w:tblStyle w:val="927"/>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746"/>
        <w:gridCol w:w="6855"/>
      </w:tblGrid>
      <w:tr>
        <w:trPr>
          <w:jc w:val="center"/>
          <w:trHeight w:val="567"/>
        </w:trPr>
        <w:tc>
          <w:tcPr>
            <w:gridSpan w:val="2"/>
            <w:tcW w:w="2783" w:type="dxa"/>
            <w:vAlign w:val="center"/>
            <w:textDirection w:val="lrTb"/>
            <w:noWrap w:val="false"/>
          </w:tcPr>
          <w:p>
            <w:pPr>
              <w:ind w:firstLine="482"/>
              <w:jc w:val="center"/>
              <w:keepLines w:val="0"/>
              <w:keepNext w:val="0"/>
              <w:pageBreakBefore w:val="0"/>
              <w:spacing w:line="24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考核项目</w:t>
            </w:r>
            <w:r/>
          </w:p>
        </w:tc>
        <w:tc>
          <w:tcPr>
            <w:tcW w:w="6855" w:type="dxa"/>
            <w:vAlign w:val="center"/>
            <w:textDirection w:val="lrTb"/>
            <w:noWrap w:val="false"/>
          </w:tcPr>
          <w:p>
            <w:pPr>
              <w:ind w:firstLine="482"/>
              <w:jc w:val="center"/>
              <w:keepLines w:val="0"/>
              <w:keepNext w:val="0"/>
              <w:pageBreakBefore w:val="0"/>
              <w:spacing w:line="24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考核标准</w:t>
            </w:r>
            <w:r/>
          </w:p>
        </w:tc>
      </w:tr>
      <w:tr>
        <w:trPr>
          <w:jc w:val="center"/>
          <w:trHeight w:val="567"/>
        </w:trPr>
        <w:tc>
          <w:tcPr>
            <w:tcW w:w="1037"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服务过程考核</w:t>
            </w:r>
            <w:r/>
          </w:p>
        </w:tc>
        <w:tc>
          <w:tcPr>
            <w:tcW w:w="17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考试期间人员到位情况</w:t>
            </w:r>
            <w:r/>
          </w:p>
        </w:tc>
        <w:tc>
          <w:tcPr>
            <w:tcW w:w="6855" w:type="dxa"/>
            <w:vAlign w:val="center"/>
            <w:textDirection w:val="lrTb"/>
            <w:noWrap w:val="false"/>
          </w:tcPr>
          <w:p>
            <w:pPr>
              <w:pStyle w:val="986"/>
              <w:ind w:firstLine="480"/>
              <w:jc w:val="both"/>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乙方每次考试期间，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各考点需按（二）项目参数及服务要求配备专业技术人员保障</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24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人员不到位，对该次考试服务评为不合格。</w:t>
            </w:r>
            <w:r/>
          </w:p>
        </w:tc>
      </w:tr>
      <w:tr>
        <w:trPr>
          <w:jc w:val="center"/>
          <w:trHeight w:val="567"/>
        </w:trPr>
        <w:tc>
          <w:tcPr>
            <w:tcW w:w="1037" w:type="dxa"/>
            <w:vAlign w:val="center"/>
            <w:vMerge w:val="continue"/>
            <w:textDirection w:val="lrTb"/>
            <w:noWrap w:val="false"/>
          </w:tcPr>
          <w:p>
            <w:pPr>
              <w:ind w:firstLine="482"/>
              <w:jc w:val="center"/>
              <w:keepLines w:val="0"/>
              <w:keepNext w:val="0"/>
              <w:pageBreakBefore w:val="0"/>
              <w:spacing w:line="24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tc>
        <w:tc>
          <w:tcPr>
            <w:tcW w:w="17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设备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调试</w:t>
            </w:r>
            <w:r>
              <w:rPr>
                <w:rFonts w:hint="eastAsia" w:ascii="宋体" w:hAnsi="宋体" w:eastAsia="宋体" w:cs="宋体"/>
                <w:color w:val="000000" w:themeColor="text1"/>
                <w:sz w:val="24"/>
                <w:highlight w:val="none"/>
                <w14:textFill>
                  <w14:solidFill>
                    <w14:schemeClr w14:val="tx1"/>
                  </w14:solidFill>
                </w14:textFill>
              </w:rPr>
              <w:t xml:space="preserve">情况</w:t>
            </w:r>
            <w:r/>
          </w:p>
        </w:tc>
        <w:tc>
          <w:tcPr>
            <w:tcW w:w="6855" w:type="dxa"/>
            <w:vAlign w:val="center"/>
            <w:textDirection w:val="lrTb"/>
            <w:noWrap w:val="false"/>
          </w:tcPr>
          <w:p>
            <w:pPr>
              <w:ind w:left="-2" w:firstLine="480"/>
              <w:jc w:val="both"/>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考前设备未检查配置到位，或是考试期间技术人员人为造成设备无法使用，对该次考试服务评为不合格</w:t>
            </w:r>
            <w:r>
              <w:rPr>
                <w:rFonts w:hint="eastAsia" w:ascii="宋体" w:hAnsi="宋体" w:eastAsia="宋体" w:cs="宋体"/>
                <w:color w:val="000000" w:themeColor="text1"/>
                <w:sz w:val="24"/>
                <w:highlight w:val="none"/>
                <w14:textFill>
                  <w14:solidFill>
                    <w14:schemeClr w14:val="tx1"/>
                  </w14:solidFill>
                </w14:textFill>
              </w:rPr>
              <w:t xml:space="preserve">。</w:t>
            </w:r>
            <w:r/>
          </w:p>
        </w:tc>
      </w:tr>
      <w:tr>
        <w:trPr>
          <w:jc w:val="center"/>
          <w:trHeight w:val="567"/>
        </w:trPr>
        <w:tc>
          <w:tcPr>
            <w:tcW w:w="1037" w:type="dxa"/>
            <w:vAlign w:val="center"/>
            <w:vMerge w:val="continue"/>
            <w:textDirection w:val="lrTb"/>
            <w:noWrap w:val="false"/>
          </w:tcPr>
          <w:p>
            <w:pPr>
              <w:ind w:firstLine="480"/>
              <w:jc w:val="center"/>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746" w:type="dxa"/>
            <w:vAlign w:val="center"/>
            <w:textDirection w:val="lrTb"/>
            <w:noWrap w:val="false"/>
          </w:tcPr>
          <w:p>
            <w:pPr>
              <w:pStyle w:val="986"/>
              <w:ind w:left="0"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录像下载上报情况</w:t>
            </w:r>
            <w:r/>
          </w:p>
        </w:tc>
        <w:tc>
          <w:tcPr>
            <w:tcW w:w="6855" w:type="dxa"/>
            <w:vAlign w:val="center"/>
            <w:textDirection w:val="lrTb"/>
            <w:noWrap w:val="false"/>
          </w:tcPr>
          <w:p>
            <w:pPr>
              <w:pStyle w:val="986"/>
              <w:ind w:firstLine="480"/>
              <w:jc w:val="both"/>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考后保密室录像未及时下载并上交给市教育考试院，对该次考试服务评为不合格</w:t>
            </w:r>
            <w:r>
              <w:rPr>
                <w:rFonts w:hint="eastAsia" w:ascii="宋体" w:hAnsi="宋体" w:eastAsia="宋体" w:cs="宋体"/>
                <w:color w:val="000000" w:themeColor="text1"/>
                <w:sz w:val="24"/>
                <w:highlight w:val="none"/>
                <w14:textFill>
                  <w14:solidFill>
                    <w14:schemeClr w14:val="tx1"/>
                  </w14:solidFill>
                </w14:textFill>
              </w:rPr>
              <w:t xml:space="preserve">。</w:t>
            </w:r>
            <w:r/>
          </w:p>
        </w:tc>
      </w:tr>
      <w:tr>
        <w:trPr>
          <w:jc w:val="center"/>
          <w:trHeight w:val="567"/>
        </w:trPr>
        <w:tc>
          <w:tcPr>
            <w:gridSpan w:val="2"/>
            <w:tcW w:w="2783" w:type="dxa"/>
            <w:vAlign w:val="center"/>
            <w:textDirection w:val="lrTb"/>
            <w:noWrap w:val="false"/>
          </w:tcPr>
          <w:p>
            <w:pPr>
              <w:ind w:firstLine="482"/>
              <w:jc w:val="center"/>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备注</w:t>
            </w:r>
            <w:r/>
          </w:p>
        </w:tc>
        <w:tc>
          <w:tcPr>
            <w:tcW w:w="6855" w:type="dxa"/>
            <w:vAlign w:val="center"/>
            <w:textDirection w:val="lrTb"/>
            <w:noWrap w:val="false"/>
          </w:tcPr>
          <w:p>
            <w:pPr>
              <w:numPr>
                <w:ilvl w:val="0"/>
                <w:numId w:val="0"/>
              </w:numPr>
              <w:jc w:val="both"/>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1.每次</w:t>
            </w:r>
            <w:r>
              <w:rPr>
                <w:rFonts w:hint="eastAsia" w:ascii="宋体" w:hAnsi="宋体" w:eastAsia="宋体" w:cs="宋体"/>
                <w:color w:val="000000" w:themeColor="text1"/>
                <w:sz w:val="24"/>
                <w:highlight w:val="none"/>
                <w14:textFill>
                  <w14:solidFill>
                    <w14:schemeClr w14:val="tx1"/>
                  </w14:solidFill>
                </w14:textFill>
              </w:rPr>
              <w:t xml:space="preserve">考试结束后，由苏州市教育考试院汇总</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服务考核结果</w:t>
            </w:r>
            <w:r>
              <w:rPr>
                <w:rFonts w:hint="eastAsia" w:ascii="宋体" w:hAnsi="宋体" w:eastAsia="宋体" w:cs="宋体"/>
                <w:color w:val="000000" w:themeColor="text1"/>
                <w:sz w:val="24"/>
                <w:highlight w:val="none"/>
                <w14:textFill>
                  <w14:solidFill>
                    <w14:schemeClr w14:val="tx1"/>
                  </w14:solidFill>
                </w14:textFill>
              </w:rPr>
              <w:t xml:space="preserve">。</w:t>
            </w:r>
            <w:r/>
          </w:p>
          <w:p>
            <w:pPr>
              <w:numPr>
                <w:ilvl w:val="0"/>
                <w:numId w:val="0"/>
              </w:numPr>
              <w:jc w:val="both"/>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根据服务结果，</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上次付款至当次付款期间，考核结果有不合格的，扣除尾款费用的20％。</w:t>
            </w:r>
            <w:r/>
          </w:p>
        </w:tc>
      </w:tr>
    </w:tbl>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、综合要求：</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在其投标文件中对于招标文件已提供以及未提供的货物或服务情况均须进行完整的阐述和说明，否则其投标文件将有被拒绝的可能。</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应保证</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对所提供货物</w:t>
      </w: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服务等知识产权方面的一切产权关系负全部责任</w:t>
      </w:r>
      <w:r>
        <w:rPr>
          <w:rFonts w:hint="eastAsia" w:ascii="宋体" w:hAnsi="宋体" w:eastAsia="宋体" w:cs="宋体"/>
          <w:color w:val="000000" w:themeColor="text1"/>
          <w:sz w:val="24"/>
          <w:szCs w:val="24"/>
          <w:highlight w:val="none"/>
          <w14:textFill>
            <w14:solidFill>
              <w14:schemeClr w14:val="tx1"/>
            </w14:solidFill>
          </w14:textFill>
        </w:rPr>
        <w:t xml:space="preserve">，不会产生因第三方提出侵犯其专利权、商标权或其它知识产权而引起的法律和经济纠纷，如因专利权、商标权或其它知识产权而引起法律和经济纠纷，由供应商承担所有相关责任。</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、项目地点：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采购人指定地点（苏州大市范围内）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、凡涉及招标文件的补充说明和修改，均以苏州市政府采购网上公示信息为准。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shd w:val="clear" w:color="auto"/>
        <w:tabs>
          <w:tab w:val="left" w:pos="709"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r>
      <w:r/>
    </w:p>
    <w:p>
      <w:pPr>
        <w:jc w:val="center"/>
        <w:spacing w:line="360" w:lineRule="auto"/>
        <w:shd w:val="clear" w:color="auto"/>
        <w:tabs>
          <w:tab w:val="left" w:pos="709" w:leader="none"/>
        </w:tabs>
        <w:rPr>
          <w:rFonts w:hint="eastAsia" w:ascii="宋体" w:hAnsi="宋体" w:eastAsia="宋体" w:cs="宋体"/>
          <w:b/>
          <w:bCs w:val="0"/>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bCs w:val="0"/>
          <w:color w:val="000000" w:themeColor="text1"/>
          <w:sz w:val="24"/>
          <w:szCs w:val="24"/>
          <w:highlight w:val="none"/>
          <w14:textFill>
            <w14:solidFill>
              <w14:schemeClr w14:val="tx1"/>
            </w14:solidFill>
          </w14:textFill>
        </w:rPr>
      </w:r>
      <w:r/>
    </w:p>
    <w:p>
      <w:pPr>
        <w:jc w:val="center"/>
        <w:spacing w:line="360" w:lineRule="auto"/>
        <w:shd w:val="clear" w:color="auto"/>
        <w:tabs>
          <w:tab w:val="left" w:pos="709"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第五章 合同主要条款</w:t>
      </w:r>
      <w:bookmarkEnd w:id="12"/>
      <w:r/>
      <w:r/>
    </w:p>
    <w:p>
      <w:p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项目名称：</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苏州市教育考试院考试安全设备租赁及配套技术服务</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项目</w:t>
      </w:r>
      <w:r/>
    </w:p>
    <w:p>
      <w:p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项目编号：</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JSZC-320500-SZZJ-G2026-0014</w:t>
      </w:r>
      <w:r/>
    </w:p>
    <w:p>
      <w:p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r>
      <w:r/>
    </w:p>
    <w:p>
      <w:p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甲方（项目采购人）：</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联系人： </w:t>
      </w:r>
      <w:r>
        <w:rPr>
          <w:rFonts w:hint="eastAsia" w:ascii="宋体" w:hAnsi="宋体" w:eastAsia="宋体" w:cs="宋体"/>
          <w:bCs/>
          <w:color w:val="000000" w:themeColor="text1"/>
          <w:sz w:val="24"/>
          <w:szCs w:val="24"/>
          <w:highlight w:val="none"/>
          <w14:textFill>
            <w14:solidFill>
              <w14:schemeClr w14:val="tx1"/>
            </w14:solidFill>
          </w14:textFill>
        </w:rPr>
        <w:tab/>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单位地址： </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乙方（</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中标单位</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联系人： </w:t>
      </w:r>
      <w:r>
        <w:rPr>
          <w:rFonts w:hint="eastAsia" w:ascii="宋体" w:hAnsi="宋体" w:eastAsia="宋体" w:cs="宋体"/>
          <w:bCs/>
          <w:color w:val="000000" w:themeColor="text1"/>
          <w:sz w:val="24"/>
          <w:szCs w:val="24"/>
          <w:highlight w:val="none"/>
          <w14:textFill>
            <w14:solidFill>
              <w14:schemeClr w14:val="tx1"/>
            </w14:solidFill>
          </w14:textFill>
        </w:rPr>
        <w:tab/>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单位地址： </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甲方所需</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苏州市教育考试院考试安全设备租赁及配套技术服务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经</w:t>
      </w:r>
      <w:r>
        <w:rPr>
          <w:rFonts w:hint="eastAsia" w:ascii="宋体" w:hAnsi="宋体" w:eastAsia="宋体" w:cs="宋体"/>
          <w:color w:val="000000" w:themeColor="text1"/>
          <w:sz w:val="24"/>
          <w:szCs w:val="24"/>
          <w:highlight w:val="none"/>
          <w:u w:val="single"/>
          <w14:textFill>
            <w14:solidFill>
              <w14:schemeClr w14:val="tx1"/>
            </w14:solidFill>
          </w14:textFill>
        </w:rPr>
        <w:t xml:space="preserve">苏州正杰招投标咨询服务有限公司</w:t>
      </w:r>
      <w:r>
        <w:rPr>
          <w:rFonts w:hint="eastAsia" w:ascii="宋体" w:hAnsi="宋体" w:eastAsia="宋体" w:cs="宋体"/>
          <w:color w:val="000000" w:themeColor="text1"/>
          <w:sz w:val="24"/>
          <w:szCs w:val="24"/>
          <w:highlight w:val="none"/>
          <w14:textFill>
            <w14:solidFill>
              <w14:schemeClr w14:val="tx1"/>
            </w14:solidFill>
          </w14:textFill>
        </w:rPr>
        <w:t xml:space="preserve">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4"/>
          <w:szCs w:val="24"/>
          <w:highlight w:val="none"/>
          <w14:textFill>
            <w14:solidFill>
              <w14:schemeClr w14:val="tx1"/>
            </w14:solidFill>
          </w14:textFill>
        </w:rPr>
        <w:t xml:space="preserve">方式进行采购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并依法确定乙方为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根据《中华人民共和国民法典》和《中华人民共和国政府采购法》等有关法律法规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为明确甲方和乙方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过程中的权利、义务和经济责任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双方遵循平等、自愿、公平和诚实信用原则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经友好协商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同意按照下面的条款和条件订立本合同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以资共同遵守。</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一、合同文件</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以下文件是构成本合同不可分割的部分：</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szCs w:val="24"/>
          <w:highlight w:val="none"/>
          <w14:textFill>
            <w14:solidFill>
              <w14:schemeClr w14:val="tx1"/>
            </w14:solidFill>
          </w14:textFill>
        </w:rPr>
        <w:t xml:space="preserve">文件；</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乙方投标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（三）合同条款；</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Cs/>
          <w:color w:val="000000" w:themeColor="text1"/>
          <w:sz w:val="24"/>
          <w:szCs w:val="24"/>
          <w:highlight w:val="none"/>
          <w14:textFill>
            <w14:solidFill>
              <w14:schemeClr w14:val="tx1"/>
            </w14:solidFill>
          </w14:textFill>
        </w:rPr>
        <w:t xml:space="preserve">做出的有关澄清、说明或者补正文件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（五）确定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Cs/>
          <w:color w:val="000000" w:themeColor="text1"/>
          <w:sz w:val="24"/>
          <w:szCs w:val="24"/>
          <w:highlight w:val="none"/>
          <w14:textFill>
            <w14:solidFill>
              <w14:schemeClr w14:val="tx1"/>
            </w14:solidFill>
          </w14:textFill>
        </w:rPr>
        <w:t xml:space="preserve">的文件（包括但不限于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bCs/>
          <w:color w:val="000000" w:themeColor="text1"/>
          <w:sz w:val="24"/>
          <w:szCs w:val="24"/>
          <w:highlight w:val="none"/>
          <w14:textFill>
            <w14:solidFill>
              <w14:schemeClr w14:val="tx1"/>
            </w14:solidFill>
          </w14:textFill>
        </w:rPr>
        <w:t xml:space="preserve">通知书等）；</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（六）本合同附件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二、服务内容</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本合同项下乙方所提供的服务内容为：详见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szCs w:val="24"/>
          <w:highlight w:val="none"/>
          <w14:textFill>
            <w14:solidFill>
              <w14:schemeClr w14:val="tx1"/>
            </w14:solidFill>
          </w14:textFill>
        </w:rPr>
        <w:t xml:space="preserve">文件中的采购需求。</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三、合同金额：</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合同总金额为</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人民币          元，大写：        。</w:t>
      </w:r>
      <w:r/>
    </w:p>
    <w:p>
      <w:pPr>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合同金额包括完成所有采购内容以及本项目所需的劳务支出、保险、配套费用、税费及服务相关等所发生的全部费用以及</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
          <w:bCs w:val="0"/>
          <w:color w:val="000000" w:themeColor="text1"/>
          <w:sz w:val="24"/>
          <w:szCs w:val="24"/>
          <w:highlight w:val="none"/>
          <w14:textFill>
            <w14:solidFill>
              <w14:schemeClr w14:val="tx1"/>
            </w14:solidFill>
          </w14:textFill>
        </w:rPr>
        <w:t xml:space="preserve">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四、付款约定</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1、甲方根据乙方在本合同中所提供银行开户信息转账支付。</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乙方开户名称：</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开户银行：</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银行账号：</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乙方银行账户如需变更</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应至少于付款期限届满前10个工作日书面通知甲方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否则产生的一切责任、因变更引起的额外费用由乙方承担。</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2、付款步骤</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合同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签署</w:t>
      </w:r>
      <w:r>
        <w:rPr>
          <w:rFonts w:hint="eastAsia" w:ascii="宋体" w:hAnsi="宋体" w:eastAsia="宋体" w:cs="宋体"/>
          <w:bCs/>
          <w:color w:val="000000" w:themeColor="text1"/>
          <w:sz w:val="24"/>
          <w:szCs w:val="24"/>
          <w:highlight w:val="none"/>
          <w14:textFill>
            <w14:solidFill>
              <w14:schemeClr w14:val="tx1"/>
            </w14:solidFill>
          </w14:textFill>
        </w:rPr>
        <w:t xml:space="preserve">生效后，甲方在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乙方开具发票后</w:t>
      </w:r>
      <w:r>
        <w:rPr>
          <w:rFonts w:hint="eastAsia" w:ascii="宋体" w:hAnsi="宋体" w:eastAsia="宋体" w:cs="宋体"/>
          <w:bCs/>
          <w:color w:val="000000" w:themeColor="text1"/>
          <w:sz w:val="24"/>
          <w:szCs w:val="24"/>
          <w:highlight w:val="none"/>
          <w14:textFill>
            <w14:solidFill>
              <w14:schemeClr w14:val="tx1"/>
            </w14:solidFill>
          </w14:textFill>
        </w:rPr>
        <w:t xml:space="preserve">七个工作日内向乙方支付</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bCs/>
          <w:color w:val="000000" w:themeColor="text1"/>
          <w:sz w:val="24"/>
          <w:szCs w:val="24"/>
          <w:highlight w:val="none"/>
          <w14:textFill>
            <w14:solidFill>
              <w14:schemeClr w14:val="tx1"/>
            </w14:solidFill>
          </w14:textFill>
        </w:rPr>
        <w:t xml:space="preserve">金额的30％作为预付款，</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合同签署当年9月份，乙方开具发票后，支付中标金额的20％，合同签署当年12月，乙方开具发票后，支付中标金额的30％</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合同签署第二年5月，支付尾款（扣除每次考核扣款）。</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注：甲方每次付款前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乙方均应当向甲方开具等额、合法的发票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否则甲方有权延迟付款且无须承担任何责任。</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五、服务履行地点、期限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1、服务履行地点：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指定地点（苏州大市范围内）</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2、服务期限：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自合同生效之日起壹年，按12个月计。</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六、服务要求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无条件响应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在该项目上的时间安排。</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七、验收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1、验收要求参照《江苏省政府采购履约验收管理办法》相关要求执行。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2、验收标准：本合同政府采购招标文件中项目招标书的各项标准和要求。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3、任一项验收不合格的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乙方应负责在甲方限定的期限内完成整改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因整改而导致的费用和损失由乙方自行承担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若导致项目逾期的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乙方承担逾期违约责任。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4、甲方所有验收意见将以书面形式做出并加盖甲方公章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因此除非甲方书面明示通过验收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否则任何其他行为均不代表甲方已验收合格。</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八、服务质量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1、乙方应保证提供给甲方的服务完全符合本项目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szCs w:val="24"/>
          <w:highlight w:val="none"/>
          <w14:textFill>
            <w14:solidFill>
              <w14:schemeClr w14:val="tx1"/>
            </w14:solidFill>
          </w14:textFill>
        </w:rPr>
        <w:t xml:space="preserve">文件规定的服务标准。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2、乙方应保证提供的服务应符合中华人民共和国相关标准及相应的技术规范、本次采购相关文件中的全部相关要求及相关标准及相应的技术规范中之较高者。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3、乙方保证提供的服务符合中华人民共和国国家及行业的安全质量标准、环保标准中之较高者。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4、乙方保证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乙方依据本合同提供的服务及相关的软件和技术资料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乙方均已得到有关知识产权的权利人的合法授权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如发生涉及到专利权、著作权、商标权等争议</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乙方负责处理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并承担由此引起的全部法律及经济责任。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5、乙方应保证甲方在中国境内使用服务或服务的任何一部分时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免受第三方提出的侵犯其知识产权的诉讼。如甲方因本合同项下服务成果的知识产权原因而受到第三方的索赔请求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乙方应负责处理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并承担甲方因此发生的全部费用及损失。</w:t>
      </w:r>
      <w:r/>
    </w:p>
    <w:p>
      <w:pPr>
        <w:ind w:firstLine="482"/>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九、履约保证金</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无。</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合同一方不履行合同义务或者履行合同义务不符合约定的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应当承担继续履行、采取补救措施或者赔偿损失等违约责任。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1、甲方违约责任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 在合同生效后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甲方无故要求终止服务的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应向乙方偿付合同总价款的5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作为违约金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违约金不足以补偿损失的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乙方有权要求甲方补足。</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 甲方逾期付款的应按照逾期付款金额的每天万分之四支付逾期付款违约金。</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 甲方违反合同约定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拒绝接受乙方交付的合格服务的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应当承担乙方由此造成的损失。</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2、乙方违约责任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 乙方不能服务（逾期超过24小时视为不能服务）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或服务不合格从而影响甲方按期正常使用的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甲方有权解除合同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乙方向甲方赔偿合同总价款5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的违约金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违约金不足以补偿损失的甲方有权要求乙方补足。</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 乙方逾期提供服务的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应在服务前与甲方和招标代理协商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甲方仍需求的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乙方应立即提供服务并应按照逾期服务部分贷款的每天万分之四支付逾期服务违约金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同时承担甲方因此遭致的损失费用。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3、如果出现政府采购监管部门在处理投诉事项期间</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通知甲方暂停采购活动的情形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或者询问或质疑事项可能影响最终成交结果的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导致甲方中止履行合同的情形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均不视为甲方违约。</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十一、合同的解除和转让</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1、甲方和乙方协商一致</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可以解除合同。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2、有下列情形之一</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合同一方可以解除合同：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（1）因不可抗力致使不能实现合同目的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未受不可抗力影响的一方有权解除合同；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（2）招标文件约定的解除合同的情形。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3、政府采购合同继续履行将损害国家利益和社会公共利益</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甲方有权变更、中止或者终止、解除合同。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4、乙方提交的投标材料虚假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或者乙方故意隐瞒足以导致不能中标的事实被发现的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甲方可以单方解除本合同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由此造成甲方的损失由乙方承担赔偿（包括但不限于诉讼费、合理律师费等）。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5、本合同不得以任何形式转让</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否则视为乙方违约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甲方可以单方解除本合同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由此造成甲方的损失由乙方承担赔偿（包括但不限于诉讼费、合理律师费等）。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6、本合同未经甲方书面同意不得分包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否则视为乙方违约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甲方可以单方解除本合同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由此造成甲方的损失由乙方承担赔偿（包括但不限于诉讼费、合理律师费等）。</w:t>
      </w:r>
      <w:r/>
    </w:p>
    <w:p>
      <w:pPr>
        <w:pStyle w:val="986"/>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7、有权解除合同的一方</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应当在违约事实或不可抗力发生之后三十天内书面通知对方以主张解除合同</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合同在书面通知到达对方时解除。</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十二、不可抗力</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1、不可抗力指下列事件：战争、动乱、瘟疫、严重火灾、洪水、地震、风暴或其他自然灾害</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以及本合同各方不可预见、不可防止并不能避免或克服的一切其他因素及事件。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2、任何一方因不可抗力不能履行本合同规定的全部或部分义务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该方应尽快通知另一方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3、发生不可抗力事件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应当及时通知对方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以减轻可能给对方造成的损失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并应当在不可抗力发生之日起15日内提供权威部门出具的认定不可抗力的证明。</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4、合同各方应根据不可抗力对本合同履行的影响程度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协商确定是否终止本合同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或是继续履行本合同。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5、本合同在执行过程中如遇政府征用土地或其他甲方不能预见的情形发生致使本合同无法履行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应视为不可抗力事件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甲方免责。本合同终止后甲方应支付乙方实际履行时间（天数）的服务款项（单价不予调整）。</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十三、保密条款</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1、任何一方对其获知的本合同及附件中其他各方的商业秘密和国家秘密等非公开信息负有保密义务。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2、在下列情形下：当国家机关调查、审查、审计时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以及其他符合法律规定的情形下</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无须事先征求乙方同意而可以披露关于采购过程、合同文本、签署情况的资料、乙方的名称及地址、采购内容的有关信息以及补充条款等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但应当在合理的必要范围内。对任何已经公布过的内容或与之内容相同的资料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以及乙方已经泄露或公开的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无须再承担保密责任。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3、此外的其他情形下</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除非法律、法规另有规定或得到本合同之其他各方的书面许可</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任何一方不得向第三人泄露前款规定的商业秘密和国家秘密等非公开信息。保密期限自任何一方获知该商业秘密和国家秘密等非公开信息之日起至本条规定的秘密成为公开信息之日止。</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十四、联系方式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1、合同双方发出与本合同有关的通知或回复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应以专人送递、传真或特快专递方式发出；如果以专人送递或特快专递发送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以送达至对方的住所地或通讯联络地为送达；如果以传真方式发送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发件人在收到传真报告后视为送达；如果采用电话或电子邮件的方式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则应在发送后由对方以书面方式予以确认。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2、合同双方发出的与本合同有关的通知或回复均应发至本合同首部载明的通讯地址</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一方变更通讯地址</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应自变更之日起3个工作日内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将变更后的地址通知对方。变更方不履行通知义务的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应对此造成的一切后果承担法律责任。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3、上述发出通知、回复的费用由发出一方承担。</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bookmarkStart w:id="13" w:name="_Toc30329"/>
      <w:r/>
      <w:bookmarkStart w:id="14" w:name="_Toc26807"/>
      <w:r/>
      <w:bookmarkStart w:id="15" w:name="_Toc51257766"/>
      <w:r/>
      <w:bookmarkStart w:id="16" w:name="_Toc32454"/>
      <w:r/>
      <w:bookmarkStart w:id="17" w:name="_Toc9497"/>
      <w:r/>
      <w:bookmarkStart w:id="18" w:name="_Toc18683"/>
      <w:r>
        <w:rPr>
          <w:rFonts w:hint="eastAsia" w:ascii="宋体" w:hAnsi="宋体" w:eastAsia="宋体" w:cs="宋体"/>
          <w:b/>
          <w:color w:val="000000" w:themeColor="text1"/>
          <w:sz w:val="24"/>
          <w:szCs w:val="24"/>
          <w:highlight w:val="none"/>
          <w14:textFill>
            <w14:solidFill>
              <w14:schemeClr w14:val="tx1"/>
            </w14:solidFill>
          </w14:textFill>
        </w:rPr>
        <w:t xml:space="preserve">十五、争议的解决</w:t>
      </w:r>
      <w:bookmarkEnd w:id="13"/>
      <w:r/>
      <w:bookmarkEnd w:id="14"/>
      <w:r/>
      <w:bookmarkEnd w:id="15"/>
      <w:r/>
      <w:bookmarkEnd w:id="16"/>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与本合同有关的一切争议</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双方应通过友好协商解决。如果经协商不能达成协议</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可以向甲方所在地有管辖权的人民法院起诉。</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十六、合同生效及其他</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1、本合同经甲乙双方签</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字盖</w:t>
      </w:r>
      <w:r>
        <w:rPr>
          <w:rFonts w:hint="eastAsia" w:ascii="宋体" w:hAnsi="宋体" w:eastAsia="宋体" w:cs="宋体"/>
          <w:bCs/>
          <w:color w:val="000000" w:themeColor="text1"/>
          <w:sz w:val="24"/>
          <w:szCs w:val="24"/>
          <w:highlight w:val="none"/>
          <w14:textFill>
            <w14:solidFill>
              <w14:schemeClr w14:val="tx1"/>
            </w14:solidFill>
          </w14:textFill>
        </w:rPr>
        <w:t xml:space="preserve">章之日起生效。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2、本合同系指本文件及其附件中的所有部分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bCs/>
          <w:color w:val="000000" w:themeColor="text1"/>
          <w:sz w:val="24"/>
          <w:szCs w:val="24"/>
          <w:highlight w:val="none"/>
          <w14:textFill>
            <w14:solidFill>
              <w14:schemeClr w14:val="tx1"/>
            </w14:solidFill>
          </w14:textFill>
        </w:rPr>
        <w:t xml:space="preserve">通知书、</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在招标过程中的澄清和承诺等为本合同不可缺少的组成部分。本合同履行过程中发生相关修改内容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须符合《中华人民共和国政府采购法》和相关法律法规规定；补充协议作为本合同不可分割的一部分。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3、本合同壹式肆份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甲乙双方各执壹份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采购代理机构贰份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具有同等法律效力。</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4、本合同应按照中华人民共和国的现行法律进行解释。</w:t>
      </w:r>
      <w:r/>
    </w:p>
    <w:p>
      <w:pPr>
        <w:pStyle w:val="935"/>
        <w:ind w:left="0" w:firstLine="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甲    方：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乙    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名称(公章)：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名称(公章)：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法定代表人/负责人：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法定代表人/负责人：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或授权代理人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或授权代理人：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（签字）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（签字）</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签订日期：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签订日期：</w:t>
      </w:r>
      <w:r/>
    </w:p>
    <w:p>
      <w:pPr>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p>
    <w:p>
      <w:pPr>
        <w:jc w:val="center"/>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第六章 </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评分方法和</w:t>
      </w:r>
      <w:r>
        <w:rPr>
          <w:rFonts w:hint="eastAsia" w:ascii="宋体" w:hAnsi="宋体" w:eastAsia="宋体" w:cs="宋体"/>
          <w:b/>
          <w:bCs w:val="0"/>
          <w:color w:val="000000" w:themeColor="text1"/>
          <w:sz w:val="24"/>
          <w:szCs w:val="24"/>
          <w:highlight w:val="none"/>
          <w14:textFill>
            <w14:solidFill>
              <w14:schemeClr w14:val="tx1"/>
            </w14:solidFill>
          </w14:textFill>
        </w:rPr>
        <w:t xml:space="preserve">评分标准</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一、评</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分方法</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2、评标委员会各成员审查每份投标文件是否实质响应了招标文件的要求，非实质性响应的投标文件将被拒绝，也不进行评审。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评委评审得分和投标报价得分相加为投标人的评标总得分。如出现评标总得分最高的投标人有两个或两个以上的，以投标报价较低者优先作为中标候选人；如果投标报价也相同的，则由评标委员会组织以抽签方式确定。</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二、评分标准：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总分值为100分，评审因素及各比重如下：价格分值占总分值的比重为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0％（权重），技术及其他分值占总分值的比重为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0％（权重）。</w:t>
      </w:r>
      <w:r/>
    </w:p>
    <w:p>
      <w:pPr>
        <w:numPr>
          <w:ilvl w:val="0"/>
          <w:numId w:val="0"/>
        </w:numPr>
        <w:ind w:left="-20" w:firstLine="482"/>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eastAsia="宋体" w:cs="宋体"/>
          <w:b/>
          <w:color w:val="000000" w:themeColor="text1"/>
          <w:sz w:val="24"/>
          <w:szCs w:val="24"/>
          <w:highlight w:val="none"/>
          <w14:textFill>
            <w14:solidFill>
              <w14:schemeClr w14:val="tx1"/>
            </w14:solidFill>
          </w14:textFill>
        </w:rPr>
        <w:t xml:space="preserve">价格分值</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：10分</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第一步：投标报价不高于采购预算及最高限价的为有效报价，超出此范围的投标报价为无效报价，其投标文件不予评审，也不得标。</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第二步：以满足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文件实质性要求且投标价格最低的投标有效报价为评标基准价，其价格分为满分，即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0分。其他有效投标报价得分统一按照下列公式计算：（计算结果均四舍五入保留两位小数）</w:t>
      </w:r>
      <w:r/>
    </w:p>
    <w:p>
      <w:pPr>
        <w:ind w:firstLine="42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投标报价得分＝（基准报价/投标报价）×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0％×100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（二）技术</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方案（70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项目需求和重点难点分析：</w:t>
      </w:r>
      <w:r>
        <w:rPr>
          <w:rFonts w:hint="eastAsia" w:ascii="宋体" w:hAnsi="宋体" w:eastAsia="宋体" w:cs="宋体"/>
          <w:color w:val="000000" w:themeColor="text1"/>
          <w:sz w:val="24"/>
          <w:szCs w:val="24"/>
          <w:highlight w:val="none"/>
          <w14:textFill>
            <w14:solidFill>
              <w14:schemeClr w14:val="tx1"/>
            </w14:solidFill>
          </w14:textFill>
        </w:rPr>
        <w:t xml:space="preserve">需求理解透彻、重点难点部分把握准确、理解分析到位的得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分；需求理解较清晰，重点难点部分把握基本准确、理解分析较清晰的得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分；需求理解不足，重点难点部分把握不够准确、理解分析简单笼统的得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项目管理方案：</w:t>
      </w:r>
      <w:r>
        <w:rPr>
          <w:rFonts w:hint="eastAsia" w:ascii="宋体" w:hAnsi="宋体" w:eastAsia="宋体" w:cs="宋体"/>
          <w:color w:val="000000" w:themeColor="text1"/>
          <w:sz w:val="24"/>
          <w:szCs w:val="24"/>
          <w:highlight w:val="none"/>
          <w14:textFill>
            <w14:solidFill>
              <w14:schemeClr w14:val="tx1"/>
            </w14:solidFill>
          </w14:textFill>
        </w:rPr>
        <w:t xml:space="preserve">组织机构设置全备、各项制度健全、责任分工明确、工作协调措施得当的得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分；组织机构设置较全、各项制度较全、责任分工较明确、工作协调措施较得当的得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分；组织机构设置不全、各项制度不足，责任分工不明、工作协调措施不当的得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项目进度控制方案：</w:t>
      </w:r>
      <w:r>
        <w:rPr>
          <w:rFonts w:hint="eastAsia" w:ascii="宋体" w:hAnsi="宋体" w:eastAsia="宋体" w:cs="宋体"/>
          <w:color w:val="000000" w:themeColor="text1"/>
          <w:sz w:val="24"/>
          <w:szCs w:val="24"/>
          <w:highlight w:val="none"/>
          <w14:textFill>
            <w14:solidFill>
              <w14:schemeClr w14:val="tx1"/>
            </w14:solidFill>
          </w14:textFill>
        </w:rPr>
        <w:t xml:space="preserve">方案详细完整、进度控制科学性合理性强、进度保障措施有力的得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分；方案较为完整、进度控制科学性合理性一般、进度保障措施一般的得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分；方案简单笼统、进度控制科学性合理性弱、进度保障措施不足的得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项目安装、调试、维保的实施方案：</w:t>
      </w:r>
      <w:r>
        <w:rPr>
          <w:rFonts w:hint="eastAsia" w:ascii="宋体" w:hAnsi="宋体" w:eastAsia="宋体" w:cs="宋体"/>
          <w:color w:val="000000" w:themeColor="text1"/>
          <w:sz w:val="24"/>
          <w:szCs w:val="24"/>
          <w:highlight w:val="none"/>
          <w14:textFill>
            <w14:solidFill>
              <w14:schemeClr w14:val="tx1"/>
            </w14:solidFill>
          </w14:textFill>
        </w:rPr>
        <w:t xml:space="preserve">方案详细完整、措施针对性可行性强、实施流程标准规范的得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分；方案较为完整、措施针对性可行性一般、实施流程基本规范的得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分；方案简单笼统、措施针对性可行性弱、实施流程规范性不足的得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项目质量保障、安全保障和突发事件应急处理措施：</w:t>
      </w:r>
      <w:r>
        <w:rPr>
          <w:rFonts w:hint="eastAsia" w:ascii="宋体" w:hAnsi="宋体" w:eastAsia="宋体" w:cs="宋体"/>
          <w:color w:val="000000" w:themeColor="text1"/>
          <w:sz w:val="24"/>
          <w:szCs w:val="24"/>
          <w:highlight w:val="none"/>
          <w14:textFill>
            <w14:solidFill>
              <w14:schemeClr w14:val="tx1"/>
            </w14:solidFill>
          </w14:textFill>
        </w:rPr>
        <w:t xml:space="preserve">方案详细完整、措施针对性可行性强、保障有力的的得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分；方案较为完整、措施针对性可行性一般、保障一般的得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分；方案简单笼统、措施针对性可行性弱、保障不足的得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分；未提供方案的不得分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6、服务要求：</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针对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文件中列出的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要求，提供响应产品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性能指标</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对照表（格式自拟，供应商须并对照采购要求逐条列出，在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文件中对应列出全部响应产品的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性能</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项，并注明“无偏离”或“负偏离”，不得遗漏）。响应产品全部满足或高于采购要求的视为无偏离，得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其中：标注“</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”性能指标若出现负偏离每项扣2分；其他一般性能指标若出现负偏离每项扣1分。</w:t>
      </w:r>
      <w:bookmarkStart w:id="19" w:name="_GoBack"/>
      <w:r/>
      <w:bookmarkEnd w:id="19"/>
      <w:r/>
      <w:r/>
    </w:p>
    <w:p>
      <w:pPr>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服务使用</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产品要求中的“▲”标项须提供由法定计量检定机构出具的检验（检测）报告，且检验（检测）依据须为最新国家标准，同时上述检验（检测）报告所示检验（检测）结果达到或优于所列的内容及要求的视为无偏离，否则视为负偏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须在其投标文件中提供上述可清晰辨识的检验（检测）报告复印件。</w:t>
      </w:r>
      <w:r/>
    </w:p>
    <w:p>
      <w:pPr>
        <w:ind w:firstLine="480"/>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商务要求（20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对供应商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产品制造商的综合评价（</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8分</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）供应商具备在有效期内的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CMMI等级证书，每有一张得3分，最高得6分，不提供不得分。</w:t>
      </w:r>
      <w:r/>
    </w:p>
    <w:p>
      <w:pPr>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）供应商具备在有效期内的：质量管理体系认证证书的得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分；信息安全管理体系认证证书得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分；本项最高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（上述认证范围须与本项目相关，且证书须在中国国家认证认可监督管理委员会官网可查并在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文件中提供查询页面完整截图，否则不得分）</w:t>
      </w:r>
      <w:r/>
    </w:p>
    <w:p>
      <w:pPr>
        <w:ind w:firstLine="48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人力资源配置（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9分</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w:t>
      </w:r>
      <w:r/>
    </w:p>
    <w:p>
      <w:pPr>
        <w:ind w:firstLine="480"/>
        <w:jc w:val="both"/>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项目负责人（1人）具备：电子工程专业工程师职称，最高3分。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提供证书原件扫描件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及投标</w:t>
      </w:r>
      <w:r>
        <w:rPr>
          <w:rFonts w:hint="eastAsia" w:ascii="宋体" w:hAnsi="宋体" w:eastAsia="宋体" w:cs="宋体"/>
          <w:b/>
          <w:bCs/>
          <w:color w:val="000000" w:themeColor="text1"/>
          <w:sz w:val="24"/>
          <w:szCs w:val="24"/>
          <w:highlight w:val="none"/>
          <w14:textFill>
            <w14:solidFill>
              <w14:schemeClr w14:val="tx1"/>
            </w14:solidFill>
          </w14:textFill>
        </w:rPr>
        <w:t xml:space="preserve">单位为其缴纳的最近期社保证明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资料提供不全或无法证明的该项不得分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jc w:val="both"/>
        <w:spacing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技术负责人（2人，项目负责人除外）具备：信息系统项目管理师、网络安全类证书，每有1个得2分，最高4分。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提供证书原件扫描件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及投标</w:t>
      </w:r>
      <w:r>
        <w:rPr>
          <w:rFonts w:hint="eastAsia" w:ascii="宋体" w:hAnsi="宋体" w:eastAsia="宋体" w:cs="宋体"/>
          <w:b/>
          <w:bCs/>
          <w:color w:val="000000" w:themeColor="text1"/>
          <w:sz w:val="24"/>
          <w:szCs w:val="24"/>
          <w:highlight w:val="none"/>
          <w14:textFill>
            <w14:solidFill>
              <w14:schemeClr w14:val="tx1"/>
            </w14:solidFill>
          </w14:textFill>
        </w:rPr>
        <w:t xml:space="preserve">单位为其缴纳的最近期社保证明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资料提供不全或无法证明的该项不得分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jc w:val="both"/>
        <w:spacing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团队成员（不少于2人，项目负责人、技术负责人除外）具备：系统集成项目管理工程师、软件测试工程师，每有1个得1分，最高2分。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提供证书原件扫描件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及投标</w:t>
      </w:r>
      <w:r>
        <w:rPr>
          <w:rFonts w:hint="eastAsia" w:ascii="宋体" w:hAnsi="宋体" w:eastAsia="宋体" w:cs="宋体"/>
          <w:b/>
          <w:bCs/>
          <w:color w:val="000000" w:themeColor="text1"/>
          <w:sz w:val="24"/>
          <w:szCs w:val="24"/>
          <w:highlight w:val="none"/>
          <w14:textFill>
            <w14:solidFill>
              <w14:schemeClr w14:val="tx1"/>
            </w14:solidFill>
          </w14:textFill>
        </w:rPr>
        <w:t xml:space="preserve">单位为其缴纳的最近期社保证明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资料提供不全或无法证明的该项不得分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2"/>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类似项目业绩（</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3分</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w:t>
      </w:r>
      <w:r/>
    </w:p>
    <w:p>
      <w:pPr>
        <w:ind w:firstLine="480"/>
        <w:spacing w:line="360" w:lineRule="auto"/>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提供自20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年至今（以合同签订日期为准），由供应商独立承担的类似服务类项目业绩合同，每份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分。</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（提供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业绩完整</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合同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证明材料扫描件并加盖公章</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w:t>
      </w:r>
      <w:r/>
    </w:p>
    <w:p>
      <w:pPr>
        <w:ind w:firstLine="48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jc w:val="left"/>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评标说明：</w:t>
      </w:r>
      <w:r/>
    </w:p>
    <w:p>
      <w:pPr>
        <w:ind w:firstLine="480"/>
        <w:jc w:val="left"/>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、其他评标未尽事宜由评标委员会根据有关规定讨论决定。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2"/>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三、政府采购政策：</w:t>
      </w:r>
      <w:r/>
    </w:p>
    <w:p>
      <w:pPr>
        <w:ind w:firstLine="480"/>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针对中小型企业的评审：</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（1）本项目专门面向中小企业采购。</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（2）依据《政府采购促进中小企业发展管理办法》规定享受扶持政策获得政府采购合同的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小微企业不得将合同分包给大中型企业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中型企业不得将合同分包给大型企业。</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（3）本项目采购标的对应的中小企业划型标准规定所属行业为：</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其他未列明行业</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Style w:val="1041"/>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注：在货物采购项目中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供应商提供的货物既有中小企业制造货物</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也有大型企业制造货物的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不享受《政府采购促进中小企业发展管理办法》规定的中小企业扶持政策。若供应商提供的《中小企业声明函》为虚假声明则视同提供虚假材料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按政府采购相关规定处理并报请政府监管部门给予行政处罚。</w:t>
      </w:r>
      <w:r/>
    </w:p>
    <w:p>
      <w:pPr>
        <w:ind w:firstLine="48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未按</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本项目采购标的对应的中小企业划型标准规定所属行业</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承诺的</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《中小企业声明函》</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为无效</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《中小企业声明函》</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、针对监狱企业的评审：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根据财政部、司法部《关于政府采购支持监狱企业发展有关问题的通知》（财库〔2014〕68号）的规定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对属于监狱企业的供应商给予评审：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符合《关于政府采购支持监狱企业发展有关问题的通知》（财库〔2014〕68号）条件的监狱企业参加政府采购活动时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、针对残疾人福利性单位的评审：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根据财政部、民政部、中国残疾人联合会《关于促进残疾人就业政府采购政策的通知》（财库〔2017〕141号）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对属于残疾人福利性单位的供应商给予评审：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根据供应商提供的《残疾人福利性单位声明函》。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（1）供应商对上述声明的真实性负责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若供应商提供的《残疾人福利性单位声明函》与事实不符的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依照《政府采购法》第七十七条第一款的规定追究法律责任。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（2）供应商为残疾人福利性单位的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采购代理机构将随中标结果同时公告其《残疾人福利性单位声明函》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接受社会监督。</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、上述针对中小型企业、监狱企业和残疾人福利性单位的评审政策不重复享受。</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jc w:val="righ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全文完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alibri">
    <w:panose1 w:val="020F0502020204030204"/>
  </w:font>
  <w:font w:name="Courier New">
    <w:panose1 w:val="02070309020205020404"/>
  </w:font>
  <w:font w:name="Symbol">
    <w:panose1 w:val="05050102010706020507"/>
  </w:font>
  <w:font w:name="方正仿宋简体">
    <w:panose1 w:val="020B0503020202020204"/>
  </w:font>
  <w:font w:name="Tahom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1"/>
      </w:rPr>
      <w:framePr w:wrap="around" w:vAnchor="text" w:hAnchor="margin" w:xAlign="right" w:y="1"/>
    </w:pPr>
    <w:r>
      <w:fldChar w:fldCharType="begin"/>
    </w:r>
    <w:r>
      <w:rPr>
        <w:rStyle w:val="971"/>
      </w:rPr>
      <w:instrText xml:space="preserve">PAGE  </w:instrText>
    </w:r>
    <w:r>
      <w:fldChar w:fldCharType="end"/>
    </w:r>
    <w:r/>
  </w:p>
  <w:p>
    <w:pPr>
      <w:pStyle w:val="94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right="360" w:firstLine="342"/>
    </w:pPr>
    <w:r>
      <w:rPr>
        <w:rFonts w:hint="eastAsia"/>
      </w:rPr>
      <w:t xml:space="preserve">苏州正杰招投标咨询服务有限公司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47"/>
                          </w:pPr>
                          <w:r>
                            <w:fldChar w:fldCharType="begin"/>
                          </w:r>
                          <w:r>
                            <w:instrText xml:space="preserve"> PAGE  \* MERGEFORMAT </w:instrText>
                          </w:r>
                          <w:r>
                            <w:fldChar w:fldCharType="separate"/>
                          </w:r>
                          <w:r>
                            <w:t xml:space="preserve">63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7"/>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right="360"/>
      <w:rPr>
        <w:rFonts w:hint="eastAsia" w:ascii="宋体" w:hAnsi="宋体" w:eastAsia="宋体" w:cs="宋体"/>
      </w:rPr>
    </w:pPr>
    <w:r>
      <w:rPr>
        <w:rFonts w:hint="eastAsia" w:ascii="宋体" w:hAnsi="宋体" w:eastAsia="宋体" w:cs="宋体"/>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v:textbox>
            </v:shape>
          </w:pict>
        </mc:Fallback>
      </mc:AlternateContent>
    </w:r>
    <w:r>
      <w:rPr>
        <w:rFonts w:hint="eastAsia" w:ascii="宋体" w:hAnsi="宋体" w:eastAsia="宋体" w:cs="宋体"/>
      </w:rPr>
      <w:t xml:space="preserve">苏州正杰招投标咨询服务有限公司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rPr>
        <w:rFonts w:hint="eastAsia" w:ascii="宋体" w:hAnsi="宋体" w:eastAsia="宋体" w:cs="宋体"/>
        <w:sz w:val="21"/>
        <w:szCs w:val="21"/>
        <w:lang w:eastAsia="zh-CN"/>
      </w:rPr>
    </w:pPr>
    <w:r>
      <w:rPr>
        <w:rFonts w:hint="eastAsia" w:ascii="宋体" w:hAnsi="宋体" w:eastAsia="宋体" w:cs="宋体"/>
        <w:sz w:val="21"/>
        <w:szCs w:val="21"/>
      </w:rPr>
      <w:t xml:space="preserve">政府采购招标文件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项目编号</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JSZC-320500-SZZJ-G2026-0014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21"/>
      <w:isLgl w:val="false"/>
      <w:suff w:val="tab"/>
      <w:lvlText w:val="%1.%2.%3.%4.%5"/>
      <w:lvlJc w:val="left"/>
      <w:pPr>
        <w:ind w:left="1008" w:hanging="1008"/>
        <w:tabs>
          <w:tab w:val="left" w:pos="1008" w:leader="none"/>
        </w:tabs>
      </w:pPr>
    </w:lvl>
    <w:lvl w:ilvl="5">
      <w:start w:val="1"/>
      <w:numFmt w:val="decimal"/>
      <w:pStyle w:val="922"/>
      <w:isLgl w:val="false"/>
      <w:suff w:val="tab"/>
      <w:lvlText w:val="%1.%2.%3.%4.%5.%6"/>
      <w:lvlJc w:val="left"/>
      <w:pPr>
        <w:ind w:left="1152" w:hanging="1152"/>
        <w:tabs>
          <w:tab w:val="left" w:pos="1152" w:leader="none"/>
        </w:tabs>
      </w:pPr>
    </w:lvl>
    <w:lvl w:ilvl="6">
      <w:start w:val="1"/>
      <w:numFmt w:val="decimal"/>
      <w:pStyle w:val="923"/>
      <w:isLgl w:val="false"/>
      <w:suff w:val="tab"/>
      <w:lvlText w:val="%1.%2.%3.%4.%5.%6.%7"/>
      <w:lvlJc w:val="left"/>
      <w:pPr>
        <w:ind w:left="1296" w:hanging="1296"/>
        <w:tabs>
          <w:tab w:val="left" w:pos="1296" w:leader="none"/>
        </w:tabs>
      </w:pPr>
    </w:lvl>
    <w:lvl w:ilvl="7">
      <w:start w:val="1"/>
      <w:numFmt w:val="decimal"/>
      <w:pStyle w:val="924"/>
      <w:isLgl w:val="false"/>
      <w:suff w:val="tab"/>
      <w:lvlText w:val="%1.%2.%3.%4.%5.%6.%7.%8"/>
      <w:lvlJc w:val="left"/>
      <w:pPr>
        <w:ind w:left="1440" w:hanging="1440"/>
        <w:tabs>
          <w:tab w:val="left" w:pos="1440" w:leader="none"/>
        </w:tabs>
      </w:pPr>
    </w:lvl>
    <w:lvl w:ilvl="8">
      <w:start w:val="1"/>
      <w:numFmt w:val="decimal"/>
      <w:pStyle w:val="925"/>
      <w:isLgl w:val="false"/>
      <w:suff w:val="tab"/>
      <w:lvlText w:val="%1.%2.%3.%4.%5.%6.%7.%8.%9"/>
      <w:lvlJc w:val="left"/>
      <w:pPr>
        <w:ind w:left="1584" w:hanging="1584"/>
        <w:tabs>
          <w:tab w:val="left" w:pos="1584" w:leader="none"/>
        </w:tabs>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Heading 1 Char"/>
    <w:basedOn w:val="926"/>
    <w:link w:val="917"/>
    <w:uiPriority w:val="9"/>
    <w:rPr>
      <w:rFonts w:ascii="Arial" w:hAnsi="Arial" w:eastAsia="Arial" w:cs="Arial"/>
      <w:sz w:val="40"/>
      <w:szCs w:val="40"/>
    </w:rPr>
  </w:style>
  <w:style w:type="character" w:styleId="766">
    <w:name w:val="Heading 2 Char"/>
    <w:basedOn w:val="926"/>
    <w:link w:val="918"/>
    <w:uiPriority w:val="9"/>
    <w:rPr>
      <w:rFonts w:ascii="Arial" w:hAnsi="Arial" w:eastAsia="Arial" w:cs="Arial"/>
      <w:sz w:val="34"/>
    </w:rPr>
  </w:style>
  <w:style w:type="character" w:styleId="767">
    <w:name w:val="Heading 3 Char"/>
    <w:basedOn w:val="926"/>
    <w:link w:val="919"/>
    <w:uiPriority w:val="9"/>
    <w:rPr>
      <w:rFonts w:ascii="Arial" w:hAnsi="Arial" w:eastAsia="Arial" w:cs="Arial"/>
      <w:sz w:val="30"/>
      <w:szCs w:val="30"/>
    </w:rPr>
  </w:style>
  <w:style w:type="character" w:styleId="768">
    <w:name w:val="Heading 4 Char"/>
    <w:basedOn w:val="926"/>
    <w:link w:val="920"/>
    <w:uiPriority w:val="9"/>
    <w:rPr>
      <w:rFonts w:ascii="Arial" w:hAnsi="Arial" w:eastAsia="Arial" w:cs="Arial"/>
      <w:b/>
      <w:bCs/>
      <w:sz w:val="26"/>
      <w:szCs w:val="26"/>
    </w:rPr>
  </w:style>
  <w:style w:type="character" w:styleId="769">
    <w:name w:val="Heading 5 Char"/>
    <w:basedOn w:val="926"/>
    <w:link w:val="921"/>
    <w:uiPriority w:val="9"/>
    <w:rPr>
      <w:rFonts w:ascii="Arial" w:hAnsi="Arial" w:eastAsia="Arial" w:cs="Arial"/>
      <w:b/>
      <w:bCs/>
      <w:sz w:val="24"/>
      <w:szCs w:val="24"/>
    </w:rPr>
  </w:style>
  <w:style w:type="character" w:styleId="770">
    <w:name w:val="Heading 6 Char"/>
    <w:basedOn w:val="926"/>
    <w:link w:val="922"/>
    <w:uiPriority w:val="9"/>
    <w:rPr>
      <w:rFonts w:ascii="Arial" w:hAnsi="Arial" w:eastAsia="Arial" w:cs="Arial"/>
      <w:b/>
      <w:bCs/>
      <w:sz w:val="22"/>
      <w:szCs w:val="22"/>
    </w:rPr>
  </w:style>
  <w:style w:type="character" w:styleId="771">
    <w:name w:val="Heading 7 Char"/>
    <w:basedOn w:val="926"/>
    <w:link w:val="923"/>
    <w:uiPriority w:val="9"/>
    <w:rPr>
      <w:rFonts w:ascii="Arial" w:hAnsi="Arial" w:eastAsia="Arial" w:cs="Arial"/>
      <w:b/>
      <w:bCs/>
      <w:i/>
      <w:iCs/>
      <w:sz w:val="22"/>
      <w:szCs w:val="22"/>
    </w:rPr>
  </w:style>
  <w:style w:type="character" w:styleId="772">
    <w:name w:val="Heading 8 Char"/>
    <w:basedOn w:val="926"/>
    <w:link w:val="924"/>
    <w:uiPriority w:val="9"/>
    <w:rPr>
      <w:rFonts w:ascii="Arial" w:hAnsi="Arial" w:eastAsia="Arial" w:cs="Arial"/>
      <w:i/>
      <w:iCs/>
      <w:sz w:val="22"/>
      <w:szCs w:val="22"/>
    </w:rPr>
  </w:style>
  <w:style w:type="character" w:styleId="773">
    <w:name w:val="Heading 9 Char"/>
    <w:basedOn w:val="926"/>
    <w:link w:val="925"/>
    <w:uiPriority w:val="9"/>
    <w:rPr>
      <w:rFonts w:ascii="Arial" w:hAnsi="Arial" w:eastAsia="Arial" w:cs="Arial"/>
      <w:i/>
      <w:iCs/>
      <w:sz w:val="21"/>
      <w:szCs w:val="21"/>
    </w:rPr>
  </w:style>
  <w:style w:type="paragraph" w:styleId="774">
    <w:name w:val="No Spacing"/>
    <w:uiPriority w:val="1"/>
    <w:qFormat/>
    <w:pPr>
      <w:spacing w:before="0" w:after="0" w:line="240" w:lineRule="auto"/>
    </w:pPr>
  </w:style>
  <w:style w:type="character" w:styleId="775">
    <w:name w:val="Title Char"/>
    <w:basedOn w:val="926"/>
    <w:link w:val="965"/>
    <w:uiPriority w:val="10"/>
    <w:rPr>
      <w:sz w:val="48"/>
      <w:szCs w:val="48"/>
    </w:rPr>
  </w:style>
  <w:style w:type="paragraph" w:styleId="776">
    <w:name w:val="Subtitle"/>
    <w:basedOn w:val="916"/>
    <w:next w:val="916"/>
    <w:link w:val="777"/>
    <w:uiPriority w:val="11"/>
    <w:qFormat/>
    <w:pPr>
      <w:spacing w:before="200" w:after="200"/>
    </w:pPr>
    <w:rPr>
      <w:sz w:val="24"/>
      <w:szCs w:val="24"/>
    </w:rPr>
  </w:style>
  <w:style w:type="character" w:styleId="777">
    <w:name w:val="Subtitle Char"/>
    <w:basedOn w:val="926"/>
    <w:link w:val="776"/>
    <w:uiPriority w:val="11"/>
    <w:rPr>
      <w:sz w:val="24"/>
      <w:szCs w:val="24"/>
    </w:rPr>
  </w:style>
  <w:style w:type="paragraph" w:styleId="778">
    <w:name w:val="Quote"/>
    <w:basedOn w:val="916"/>
    <w:next w:val="916"/>
    <w:link w:val="779"/>
    <w:uiPriority w:val="29"/>
    <w:qFormat/>
    <w:pPr>
      <w:ind w:left="720" w:right="720"/>
    </w:pPr>
    <w:rPr>
      <w:i/>
    </w:rPr>
  </w:style>
  <w:style w:type="character" w:styleId="779">
    <w:name w:val="Quote Char"/>
    <w:link w:val="778"/>
    <w:uiPriority w:val="29"/>
    <w:rPr>
      <w:i/>
    </w:rPr>
  </w:style>
  <w:style w:type="paragraph" w:styleId="780">
    <w:name w:val="Intense Quote"/>
    <w:basedOn w:val="916"/>
    <w:next w:val="916"/>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character" w:styleId="782">
    <w:name w:val="Header Char"/>
    <w:basedOn w:val="926"/>
    <w:link w:val="949"/>
    <w:uiPriority w:val="99"/>
  </w:style>
  <w:style w:type="character" w:styleId="783">
    <w:name w:val="Footer Char"/>
    <w:basedOn w:val="926"/>
    <w:link w:val="947"/>
    <w:uiPriority w:val="99"/>
  </w:style>
  <w:style w:type="paragraph" w:styleId="784">
    <w:name w:val="Caption"/>
    <w:basedOn w:val="916"/>
    <w:next w:val="916"/>
    <w:uiPriority w:val="35"/>
    <w:semiHidden/>
    <w:unhideWhenUsed/>
    <w:qFormat/>
    <w:pPr>
      <w:spacing w:line="276" w:lineRule="auto"/>
    </w:pPr>
    <w:rPr>
      <w:b/>
      <w:bCs/>
      <w:color w:val="4f81bd" w:themeColor="accent1"/>
      <w:sz w:val="18"/>
      <w:szCs w:val="18"/>
    </w:rPr>
  </w:style>
  <w:style w:type="character" w:styleId="785">
    <w:name w:val="Caption Char"/>
    <w:basedOn w:val="784"/>
    <w:link w:val="947"/>
    <w:uiPriority w:val="99"/>
  </w:style>
  <w:style w:type="table" w:styleId="786">
    <w:name w:val="Table Grid Light"/>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22">
    <w:name w:val="Grid Table 5 Dark - Accent 2"/>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3">
    <w:name w:val="Grid Table 5 Dark - Accent 3"/>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4">
    <w:name w:val="Grid Table 5 Dark- Accent 4"/>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5">
    <w:name w:val="Grid Table 5 Dark - Accent 5"/>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26">
    <w:name w:val="Grid Table 5 Dark - Accent 6"/>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7">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4">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2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2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2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2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2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2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7">
    <w:name w:val="List Table 3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8">
    <w:name w:val="List Table 3 - Accent 3"/>
    <w:basedOn w:val="9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9">
    <w:name w:val="List Table 3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0">
    <w:name w:val="List Table 3 - Accent 5"/>
    <w:basedOn w:val="9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61">
    <w:name w:val="List Table 3 - Accent 6"/>
    <w:basedOn w:val="9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2">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4">
    <w:name w:val="List Table 4 - Accent 2"/>
    <w:basedOn w:val="9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5">
    <w:name w:val="List Table 4 - Accent 3"/>
    <w:basedOn w:val="9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6">
    <w:name w:val="List Table 4 - Accent 4"/>
    <w:basedOn w:val="9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7">
    <w:name w:val="List Table 4 - Accent 5"/>
    <w:basedOn w:val="9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68">
    <w:name w:val="List Table 4 - Accent 6"/>
    <w:basedOn w:val="9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9">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78">
    <w:name w:val="List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9">
    <w:name w:val="List Table 6 Colorful - Accent 3"/>
    <w:basedOn w:val="9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0">
    <w:name w:val="List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1">
    <w:name w:val="List Table 6 Colorful - Accent 5"/>
    <w:basedOn w:val="9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82">
    <w:name w:val="List Table 6 Colorful - Accent 6"/>
    <w:basedOn w:val="9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3">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85">
    <w:name w:val="List Table 7 Colorful - Accent 2"/>
    <w:basedOn w:val="9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6">
    <w:name w:val="List Table 7 Colorful - Accent 3"/>
    <w:basedOn w:val="9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7">
    <w:name w:val="List Table 7 Colorful - Accent 4"/>
    <w:basedOn w:val="9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8">
    <w:name w:val="List Table 7 Colorful - Accent 5"/>
    <w:basedOn w:val="9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89">
    <w:name w:val="List Table 7 Colorful - Accent 6"/>
    <w:basedOn w:val="9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0">
    <w:name w:val="Lined - Accent"/>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2">
    <w:name w:val="Lined - Accent 2"/>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Lined - Accent 3"/>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Lined - Accent 4"/>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Lined - Accent 5"/>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6">
    <w:name w:val="Lined - Accent 6"/>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amp; Lined - Accent"/>
    <w:basedOn w:val="9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9">
    <w:name w:val="Bordered &amp; Lined - Accent 2"/>
    <w:basedOn w:val="9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0">
    <w:name w:val="Bordered &amp; Lined - Accent 3"/>
    <w:basedOn w:val="9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1">
    <w:name w:val="Bordered &amp; Lined - Accent 4"/>
    <w:basedOn w:val="9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2">
    <w:name w:val="Bordered &amp; Lined - Accent 5"/>
    <w:basedOn w:val="9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3">
    <w:name w:val="Bordered &amp; Lined - Accent 6"/>
    <w:basedOn w:val="9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4">
    <w:name w:val="Bordered"/>
    <w:basedOn w:val="9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Footnote Text Char"/>
    <w:link w:val="954"/>
    <w:uiPriority w:val="99"/>
    <w:rPr>
      <w:sz w:val="18"/>
    </w:rPr>
  </w:style>
  <w:style w:type="paragraph" w:styleId="912">
    <w:name w:val="endnote text"/>
    <w:basedOn w:val="91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basedOn w:val="926"/>
    <w:uiPriority w:val="99"/>
    <w:semiHidden/>
    <w:unhideWhenUsed/>
    <w:rPr>
      <w:vertAlign w:val="superscript"/>
    </w:rPr>
  </w:style>
  <w:style w:type="paragraph" w:styleId="915">
    <w:name w:val="TOC Heading"/>
    <w:uiPriority w:val="39"/>
    <w:unhideWhenUsed/>
  </w:style>
  <w:style w:type="paragraph" w:styleId="916"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17">
    <w:name w:val="Heading 1"/>
    <w:basedOn w:val="916"/>
    <w:next w:val="916"/>
    <w:link w:val="1050"/>
    <w:uiPriority w:val="0"/>
    <w:qFormat/>
    <w:pPr>
      <w:keepLines/>
      <w:keepNext/>
      <w:spacing w:before="340" w:after="330" w:line="578" w:lineRule="auto"/>
      <w:outlineLvl w:val="0"/>
    </w:pPr>
    <w:rPr>
      <w:b/>
      <w:sz w:val="44"/>
    </w:rPr>
  </w:style>
  <w:style w:type="paragraph" w:styleId="918">
    <w:name w:val="Heading 2"/>
    <w:basedOn w:val="916"/>
    <w:next w:val="916"/>
    <w:uiPriority w:val="0"/>
    <w:qFormat/>
    <w:pPr>
      <w:jc w:val="left"/>
      <w:keepLines/>
      <w:keepNext/>
      <w:outlineLvl w:val="1"/>
    </w:pPr>
    <w:rPr>
      <w:rFonts w:ascii="宋体" w:hAnsi="宋体"/>
      <w:b/>
    </w:rPr>
  </w:style>
  <w:style w:type="paragraph" w:styleId="919">
    <w:name w:val="Heading 3"/>
    <w:basedOn w:val="916"/>
    <w:next w:val="916"/>
    <w:uiPriority w:val="0"/>
    <w:qFormat/>
    <w:pPr>
      <w:jc w:val="left"/>
      <w:keepLines/>
      <w:keepNext/>
      <w:outlineLvl w:val="2"/>
    </w:pPr>
    <w:rPr>
      <w:b/>
    </w:rPr>
  </w:style>
  <w:style w:type="paragraph" w:styleId="920">
    <w:name w:val="Heading 4"/>
    <w:basedOn w:val="916"/>
    <w:next w:val="916"/>
    <w:uiPriority w:val="9"/>
    <w:qFormat/>
    <w:pPr>
      <w:keepLines/>
      <w:keepNext/>
      <w:spacing w:before="280" w:after="290" w:line="376" w:lineRule="auto"/>
      <w:outlineLvl w:val="3"/>
    </w:pPr>
    <w:rPr>
      <w:rFonts w:ascii="Cambria" w:hAnsi="Cambria"/>
      <w:bCs/>
      <w:szCs w:val="28"/>
    </w:rPr>
  </w:style>
  <w:style w:type="paragraph" w:styleId="921">
    <w:name w:val="Heading 5"/>
    <w:basedOn w:val="916"/>
    <w:next w:val="928"/>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22">
    <w:name w:val="Heading 6"/>
    <w:basedOn w:val="916"/>
    <w:next w:val="916"/>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23">
    <w:name w:val="Heading 7"/>
    <w:basedOn w:val="916"/>
    <w:next w:val="928"/>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24">
    <w:name w:val="Heading 8"/>
    <w:basedOn w:val="916"/>
    <w:next w:val="928"/>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25">
    <w:name w:val="Heading 9"/>
    <w:basedOn w:val="916"/>
    <w:next w:val="928"/>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26" w:default="1">
    <w:name w:val="Default Paragraph Font"/>
    <w:uiPriority w:val="1"/>
    <w:semiHidden/>
    <w:unhideWhenUsed/>
    <w:qFormat/>
  </w:style>
  <w:style w:type="table" w:styleId="927" w:default="1">
    <w:name w:val="Normal Table"/>
    <w:uiPriority w:val="99"/>
    <w:semiHidden/>
    <w:unhideWhenUsed/>
    <w:qFormat/>
    <w:tblPr>
      <w:tblCellMar>
        <w:left w:w="108" w:type="dxa"/>
        <w:top w:w="0" w:type="dxa"/>
        <w:right w:w="108" w:type="dxa"/>
        <w:bottom w:w="0" w:type="dxa"/>
      </w:tblCellMar>
    </w:tblPr>
  </w:style>
  <w:style w:type="paragraph" w:styleId="928">
    <w:name w:val="Normal Indent"/>
    <w:basedOn w:val="916"/>
    <w:next w:val="916"/>
    <w:link w:val="988"/>
    <w:uiPriority w:val="0"/>
    <w:qFormat/>
    <w:pPr>
      <w:ind w:firstLine="420"/>
      <w:jc w:val="left"/>
    </w:pPr>
    <w:rPr>
      <w:sz w:val="24"/>
    </w:rPr>
  </w:style>
  <w:style w:type="paragraph" w:styleId="929">
    <w:name w:val="toc 7"/>
    <w:basedOn w:val="916"/>
    <w:next w:val="916"/>
    <w:uiPriority w:val="0"/>
    <w:qFormat/>
    <w:pPr>
      <w:ind w:left="2520"/>
    </w:pPr>
  </w:style>
  <w:style w:type="paragraph" w:styleId="930">
    <w:name w:val="index 8"/>
    <w:basedOn w:val="916"/>
    <w:next w:val="916"/>
    <w:uiPriority w:val="0"/>
    <w:qFormat/>
    <w:pPr>
      <w:ind w:left="2940"/>
    </w:pPr>
  </w:style>
  <w:style w:type="paragraph" w:styleId="931">
    <w:name w:val="index 5"/>
    <w:basedOn w:val="916"/>
    <w:next w:val="916"/>
    <w:uiPriority w:val="0"/>
    <w:qFormat/>
    <w:pPr>
      <w:ind w:left="1680"/>
    </w:pPr>
  </w:style>
  <w:style w:type="paragraph" w:styleId="932">
    <w:name w:val="Document Map"/>
    <w:basedOn w:val="916"/>
    <w:uiPriority w:val="0"/>
    <w:qFormat/>
    <w:pPr>
      <w:shd w:val="clear" w:color="auto" w:fill="000080"/>
    </w:pPr>
  </w:style>
  <w:style w:type="paragraph" w:styleId="933">
    <w:name w:val="annotation text"/>
    <w:basedOn w:val="916"/>
    <w:link w:val="1040"/>
    <w:uiPriority w:val="0"/>
    <w:qFormat/>
    <w:pPr>
      <w:jc w:val="left"/>
    </w:pPr>
  </w:style>
  <w:style w:type="paragraph" w:styleId="934">
    <w:name w:val="index 6"/>
    <w:basedOn w:val="916"/>
    <w:next w:val="916"/>
    <w:uiPriority w:val="0"/>
    <w:qFormat/>
    <w:pPr>
      <w:ind w:left="2100"/>
    </w:pPr>
  </w:style>
  <w:style w:type="paragraph" w:styleId="935">
    <w:name w:val="Body Text"/>
    <w:basedOn w:val="916"/>
    <w:next w:val="916"/>
    <w:uiPriority w:val="0"/>
    <w:qFormat/>
    <w:pPr>
      <w:spacing w:line="400" w:lineRule="exact"/>
    </w:pPr>
    <w:rPr>
      <w:rFonts w:ascii="楷体_GB2312"/>
      <w:sz w:val="28"/>
    </w:rPr>
  </w:style>
  <w:style w:type="paragraph" w:styleId="936">
    <w:name w:val="Body Text Indent"/>
    <w:basedOn w:val="916"/>
    <w:next w:val="916"/>
    <w:uiPriority w:val="0"/>
    <w:qFormat/>
    <w:pPr>
      <w:ind w:left="570"/>
      <w:spacing w:line="520" w:lineRule="exact"/>
    </w:pPr>
    <w:rPr>
      <w:rFonts w:ascii="方正仿宋简体" w:hAnsi="创艺简仿宋" w:eastAsia="方正仿宋简体"/>
      <w:sz w:val="24"/>
    </w:rPr>
  </w:style>
  <w:style w:type="paragraph" w:styleId="937">
    <w:name w:val="List Continue"/>
    <w:basedOn w:val="916"/>
    <w:uiPriority w:val="99"/>
    <w:unhideWhenUsed/>
    <w:qFormat/>
    <w:pPr>
      <w:ind w:left="200"/>
      <w:spacing w:after="120"/>
    </w:pPr>
    <w:rPr>
      <w:rFonts w:ascii="宋体" w:hAnsi="宋体" w:cs="Symbol"/>
      <w:sz w:val="28"/>
    </w:rPr>
  </w:style>
  <w:style w:type="paragraph" w:styleId="938">
    <w:name w:val="index 4"/>
    <w:basedOn w:val="916"/>
    <w:next w:val="916"/>
    <w:uiPriority w:val="0"/>
    <w:qFormat/>
    <w:pPr>
      <w:ind w:left="1260"/>
    </w:pPr>
  </w:style>
  <w:style w:type="paragraph" w:styleId="939">
    <w:name w:val="toc 5"/>
    <w:basedOn w:val="916"/>
    <w:next w:val="916"/>
    <w:uiPriority w:val="0"/>
    <w:qFormat/>
    <w:pPr>
      <w:ind w:left="1680"/>
    </w:pPr>
  </w:style>
  <w:style w:type="paragraph" w:styleId="940">
    <w:name w:val="toc 3"/>
    <w:basedOn w:val="916"/>
    <w:next w:val="916"/>
    <w:uiPriority w:val="0"/>
    <w:qFormat/>
    <w:pPr>
      <w:ind w:left="840"/>
    </w:pPr>
  </w:style>
  <w:style w:type="paragraph" w:styleId="941">
    <w:name w:val="Plain Text"/>
    <w:basedOn w:val="916"/>
    <w:next w:val="928"/>
    <w:link w:val="992"/>
    <w:uiPriority w:val="0"/>
    <w:qFormat/>
    <w:rPr>
      <w:rFonts w:ascii="宋体" w:hAnsi="Courier New"/>
    </w:rPr>
  </w:style>
  <w:style w:type="paragraph" w:styleId="942">
    <w:name w:val="toc 8"/>
    <w:basedOn w:val="916"/>
    <w:next w:val="916"/>
    <w:uiPriority w:val="0"/>
    <w:qFormat/>
    <w:pPr>
      <w:ind w:left="2940"/>
    </w:pPr>
  </w:style>
  <w:style w:type="paragraph" w:styleId="943">
    <w:name w:val="index 3"/>
    <w:basedOn w:val="916"/>
    <w:next w:val="916"/>
    <w:uiPriority w:val="0"/>
    <w:qFormat/>
    <w:pPr>
      <w:ind w:left="840"/>
    </w:pPr>
  </w:style>
  <w:style w:type="paragraph" w:styleId="944">
    <w:name w:val="Date"/>
    <w:basedOn w:val="916"/>
    <w:next w:val="916"/>
    <w:link w:val="993"/>
    <w:uiPriority w:val="0"/>
    <w:qFormat/>
    <w:rPr>
      <w:rFonts w:ascii="宋体" w:hAnsi="宋体"/>
      <w:sz w:val="24"/>
    </w:rPr>
  </w:style>
  <w:style w:type="paragraph" w:styleId="945">
    <w:name w:val="Body Text Indent 2"/>
    <w:basedOn w:val="916"/>
    <w:uiPriority w:val="0"/>
    <w:qFormat/>
    <w:pPr>
      <w:ind w:firstLine="502"/>
      <w:spacing w:line="360" w:lineRule="auto"/>
      <w:tabs>
        <w:tab w:val="left" w:pos="0" w:leader="none"/>
      </w:tabs>
    </w:pPr>
    <w:rPr>
      <w:rFonts w:ascii="宋体" w:eastAsia="宋体"/>
      <w:b/>
      <w:bCs/>
      <w:sz w:val="24"/>
    </w:rPr>
  </w:style>
  <w:style w:type="paragraph" w:styleId="946">
    <w:name w:val="Balloon Text"/>
    <w:basedOn w:val="916"/>
    <w:uiPriority w:val="0"/>
    <w:qFormat/>
    <w:rPr>
      <w:sz w:val="18"/>
      <w:szCs w:val="18"/>
    </w:rPr>
  </w:style>
  <w:style w:type="paragraph" w:styleId="947">
    <w:name w:val="Footer"/>
    <w:basedOn w:val="916"/>
    <w:link w:val="1048"/>
    <w:uiPriority w:val="99"/>
    <w:qFormat/>
    <w:pPr>
      <w:jc w:val="left"/>
      <w:tabs>
        <w:tab w:val="center" w:pos="4153" w:leader="none"/>
        <w:tab w:val="right" w:pos="8306" w:leader="none"/>
      </w:tabs>
    </w:pPr>
    <w:rPr>
      <w:sz w:val="18"/>
    </w:rPr>
  </w:style>
  <w:style w:type="paragraph" w:styleId="948">
    <w:name w:val="envelope return"/>
    <w:basedOn w:val="916"/>
    <w:uiPriority w:val="0"/>
    <w:qFormat/>
    <w:rPr>
      <w:rFonts w:ascii="Arial" w:hAnsi="Arial"/>
    </w:rPr>
  </w:style>
  <w:style w:type="paragraph" w:styleId="949">
    <w:name w:val="Header"/>
    <w:basedOn w:val="916"/>
    <w:link w:val="1049"/>
    <w:uiPriority w:val="99"/>
    <w:qFormat/>
    <w:pPr>
      <w:jc w:val="center"/>
      <w:tabs>
        <w:tab w:val="center" w:pos="4153" w:leader="none"/>
        <w:tab w:val="right" w:pos="8306" w:leader="none"/>
      </w:tabs>
      <w:pBdr>
        <w:bottom w:val="single" w:color="auto" w:sz="6" w:space="1"/>
      </w:pBdr>
    </w:pPr>
    <w:rPr>
      <w:sz w:val="18"/>
    </w:rPr>
  </w:style>
  <w:style w:type="paragraph" w:styleId="950">
    <w:name w:val="toc 1"/>
    <w:basedOn w:val="916"/>
    <w:next w:val="916"/>
    <w:uiPriority w:val="0"/>
    <w:qFormat/>
    <w:pPr>
      <w:tabs>
        <w:tab w:val="right" w:pos="9026" w:leader="dot"/>
      </w:tabs>
    </w:pPr>
    <w:rPr>
      <w:rFonts w:ascii="宋体" w:hAnsi="宋体" w:eastAsia="宋体"/>
      <w:sz w:val="24"/>
    </w:rPr>
  </w:style>
  <w:style w:type="paragraph" w:styleId="951">
    <w:name w:val="toc 4"/>
    <w:basedOn w:val="916"/>
    <w:next w:val="916"/>
    <w:uiPriority w:val="0"/>
    <w:qFormat/>
    <w:pPr>
      <w:ind w:left="1260"/>
    </w:pPr>
  </w:style>
  <w:style w:type="paragraph" w:styleId="952">
    <w:name w:val="index heading"/>
    <w:basedOn w:val="916"/>
    <w:next w:val="953"/>
    <w:uiPriority w:val="0"/>
    <w:qFormat/>
  </w:style>
  <w:style w:type="paragraph" w:styleId="953">
    <w:name w:val="index 1"/>
    <w:basedOn w:val="916"/>
    <w:next w:val="916"/>
    <w:uiPriority w:val="0"/>
    <w:qFormat/>
  </w:style>
  <w:style w:type="paragraph" w:styleId="954">
    <w:name w:val="footnote text"/>
    <w:basedOn w:val="916"/>
    <w:uiPriority w:val="0"/>
    <w:qFormat/>
    <w:pPr>
      <w:jc w:val="left"/>
    </w:pPr>
    <w:rPr>
      <w:sz w:val="18"/>
    </w:rPr>
  </w:style>
  <w:style w:type="paragraph" w:styleId="955">
    <w:name w:val="toc 6"/>
    <w:basedOn w:val="916"/>
    <w:next w:val="916"/>
    <w:uiPriority w:val="0"/>
    <w:qFormat/>
    <w:pPr>
      <w:ind w:left="2100"/>
    </w:pPr>
  </w:style>
  <w:style w:type="paragraph" w:styleId="956">
    <w:name w:val="Body Text Indent 3"/>
    <w:basedOn w:val="916"/>
    <w:uiPriority w:val="0"/>
    <w:qFormat/>
    <w:pPr>
      <w:ind w:firstLine="617"/>
      <w:spacing w:line="360" w:lineRule="auto"/>
    </w:pPr>
    <w:rPr>
      <w:rFonts w:eastAsia="宋体"/>
      <w:sz w:val="24"/>
      <w:szCs w:val="24"/>
    </w:rPr>
  </w:style>
  <w:style w:type="paragraph" w:styleId="957">
    <w:name w:val="index 7"/>
    <w:basedOn w:val="916"/>
    <w:next w:val="916"/>
    <w:uiPriority w:val="0"/>
    <w:qFormat/>
    <w:pPr>
      <w:ind w:left="2520"/>
    </w:pPr>
  </w:style>
  <w:style w:type="paragraph" w:styleId="958">
    <w:name w:val="index 9"/>
    <w:basedOn w:val="916"/>
    <w:next w:val="916"/>
    <w:uiPriority w:val="0"/>
    <w:qFormat/>
    <w:pPr>
      <w:ind w:left="3360"/>
    </w:pPr>
  </w:style>
  <w:style w:type="paragraph" w:styleId="959">
    <w:name w:val="table of figures"/>
    <w:basedOn w:val="916"/>
    <w:next w:val="916"/>
    <w:uiPriority w:val="0"/>
    <w:qFormat/>
    <w:pPr>
      <w:ind w:left="420" w:hanging="420"/>
      <w:jc w:val="left"/>
    </w:pPr>
    <w:rPr>
      <w:smallCaps/>
      <w:sz w:val="24"/>
    </w:rPr>
  </w:style>
  <w:style w:type="paragraph" w:styleId="960">
    <w:name w:val="toc 2"/>
    <w:basedOn w:val="916"/>
    <w:next w:val="916"/>
    <w:uiPriority w:val="0"/>
    <w:qFormat/>
    <w:pPr>
      <w:ind w:left="420"/>
    </w:pPr>
  </w:style>
  <w:style w:type="paragraph" w:styleId="961">
    <w:name w:val="toc 9"/>
    <w:basedOn w:val="916"/>
    <w:next w:val="916"/>
    <w:uiPriority w:val="0"/>
    <w:qFormat/>
    <w:pPr>
      <w:ind w:left="3360"/>
    </w:pPr>
  </w:style>
  <w:style w:type="paragraph" w:styleId="962">
    <w:name w:val="HTML Preformatted"/>
    <w:basedOn w:val="9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63">
    <w:name w:val="Normal (Web)"/>
    <w:basedOn w:val="916"/>
    <w:uiPriority w:val="99"/>
    <w:qFormat/>
    <w:pPr>
      <w:jc w:val="left"/>
      <w:spacing w:before="100" w:beforeAutospacing="1" w:after="100" w:afterAutospacing="1"/>
      <w:widowControl/>
    </w:pPr>
    <w:rPr>
      <w:rFonts w:hint="eastAsia" w:ascii="宋体" w:hAnsi="宋体" w:eastAsia="宋体"/>
      <w:sz w:val="24"/>
      <w:szCs w:val="24"/>
    </w:rPr>
  </w:style>
  <w:style w:type="paragraph" w:styleId="964">
    <w:name w:val="index 2"/>
    <w:basedOn w:val="916"/>
    <w:next w:val="916"/>
    <w:uiPriority w:val="0"/>
    <w:qFormat/>
    <w:pPr>
      <w:ind w:left="420"/>
    </w:pPr>
  </w:style>
  <w:style w:type="paragraph" w:styleId="965">
    <w:name w:val="Title"/>
    <w:basedOn w:val="916"/>
    <w:next w:val="916"/>
    <w:link w:val="1051"/>
    <w:uiPriority w:val="10"/>
    <w:qFormat/>
    <w:pPr>
      <w:jc w:val="center"/>
    </w:pPr>
    <w:rPr>
      <w:rFonts w:ascii="黑体" w:hAnsi="黑体" w:eastAsia="黑体"/>
      <w:sz w:val="28"/>
      <w:szCs w:val="24"/>
    </w:rPr>
  </w:style>
  <w:style w:type="paragraph" w:styleId="966">
    <w:name w:val="annotation subject"/>
    <w:basedOn w:val="933"/>
    <w:next w:val="933"/>
    <w:uiPriority w:val="0"/>
    <w:qFormat/>
    <w:rPr>
      <w:bCs/>
    </w:rPr>
  </w:style>
  <w:style w:type="paragraph" w:styleId="967">
    <w:name w:val="Body Text First Indent"/>
    <w:basedOn w:val="935"/>
    <w:uiPriority w:val="0"/>
    <w:qFormat/>
    <w:pPr>
      <w:ind w:firstLine="420"/>
      <w:spacing w:after="120" w:line="240" w:lineRule="auto"/>
    </w:pPr>
    <w:rPr>
      <w:rFonts w:ascii="Times New Roman"/>
      <w:sz w:val="26"/>
    </w:rPr>
  </w:style>
  <w:style w:type="paragraph" w:styleId="968">
    <w:name w:val="Body Text First Indent 2"/>
    <w:basedOn w:val="936"/>
    <w:next w:val="916"/>
    <w:uiPriority w:val="99"/>
    <w:semiHidden/>
    <w:unhideWhenUsed/>
    <w:qFormat/>
    <w:pPr>
      <w:ind w:firstLine="420"/>
    </w:pPr>
  </w:style>
  <w:style w:type="table" w:styleId="969">
    <w:name w:val="Table Grid"/>
    <w:basedOn w:val="927"/>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0">
    <w:name w:val="Strong"/>
    <w:basedOn w:val="926"/>
    <w:uiPriority w:val="22"/>
    <w:qFormat/>
    <w:rPr>
      <w:b/>
      <w:bCs/>
    </w:rPr>
  </w:style>
  <w:style w:type="character" w:styleId="971">
    <w:name w:val="page number"/>
    <w:basedOn w:val="926"/>
    <w:uiPriority w:val="0"/>
    <w:qFormat/>
  </w:style>
  <w:style w:type="character" w:styleId="972">
    <w:name w:val="FollowedHyperlink"/>
    <w:basedOn w:val="926"/>
    <w:uiPriority w:val="99"/>
    <w:semiHidden/>
    <w:unhideWhenUsed/>
    <w:qFormat/>
    <w:rPr>
      <w:color w:val="333333"/>
      <w:u w:val="none"/>
    </w:rPr>
  </w:style>
  <w:style w:type="character" w:styleId="973">
    <w:name w:val="Emphasis"/>
    <w:basedOn w:val="926"/>
    <w:uiPriority w:val="20"/>
    <w:qFormat/>
  </w:style>
  <w:style w:type="character" w:styleId="974">
    <w:name w:val="HTML Definition"/>
    <w:basedOn w:val="926"/>
    <w:uiPriority w:val="99"/>
    <w:semiHidden/>
    <w:unhideWhenUsed/>
    <w:qFormat/>
  </w:style>
  <w:style w:type="character" w:styleId="975">
    <w:name w:val="HTML Typewriter"/>
    <w:basedOn w:val="926"/>
    <w:uiPriority w:val="99"/>
    <w:semiHidden/>
    <w:unhideWhenUsed/>
    <w:qFormat/>
    <w:rPr>
      <w:rFonts w:hint="default" w:ascii="monospace" w:hAnsi="monospace" w:eastAsia="monospace" w:cs="monospace"/>
      <w:sz w:val="20"/>
    </w:rPr>
  </w:style>
  <w:style w:type="character" w:styleId="976">
    <w:name w:val="HTML Acronym"/>
    <w:basedOn w:val="926"/>
    <w:uiPriority w:val="99"/>
    <w:semiHidden/>
    <w:unhideWhenUsed/>
    <w:qFormat/>
  </w:style>
  <w:style w:type="character" w:styleId="977">
    <w:name w:val="HTML Variable"/>
    <w:basedOn w:val="926"/>
    <w:uiPriority w:val="99"/>
    <w:semiHidden/>
    <w:unhideWhenUsed/>
    <w:qFormat/>
  </w:style>
  <w:style w:type="character" w:styleId="978">
    <w:name w:val="Hyperlink"/>
    <w:basedOn w:val="926"/>
    <w:uiPriority w:val="99"/>
    <w:unhideWhenUsed/>
    <w:qFormat/>
    <w:rPr>
      <w:color w:val="0000ff"/>
      <w:u w:val="none"/>
    </w:rPr>
  </w:style>
  <w:style w:type="character" w:styleId="979">
    <w:name w:val="HTML Code"/>
    <w:basedOn w:val="926"/>
    <w:uiPriority w:val="99"/>
    <w:semiHidden/>
    <w:unhideWhenUsed/>
    <w:qFormat/>
    <w:rPr>
      <w:rFonts w:hint="default" w:ascii="monospace" w:hAnsi="monospace" w:eastAsia="monospace" w:cs="monospace"/>
      <w:sz w:val="20"/>
    </w:rPr>
  </w:style>
  <w:style w:type="character" w:styleId="980">
    <w:name w:val="annotation reference"/>
    <w:uiPriority w:val="0"/>
    <w:qFormat/>
    <w:rPr>
      <w:sz w:val="21"/>
      <w:szCs w:val="21"/>
    </w:rPr>
  </w:style>
  <w:style w:type="character" w:styleId="981">
    <w:name w:val="HTML Cite"/>
    <w:basedOn w:val="926"/>
    <w:uiPriority w:val="99"/>
    <w:semiHidden/>
    <w:unhideWhenUsed/>
    <w:qFormat/>
  </w:style>
  <w:style w:type="character" w:styleId="982">
    <w:name w:val="footnote reference"/>
    <w:uiPriority w:val="0"/>
    <w:qFormat/>
    <w:rPr>
      <w:vertAlign w:val="superscript"/>
    </w:rPr>
  </w:style>
  <w:style w:type="character" w:styleId="983">
    <w:name w:val="HTML Keyboard"/>
    <w:basedOn w:val="926"/>
    <w:uiPriority w:val="99"/>
    <w:semiHidden/>
    <w:unhideWhenUsed/>
    <w:qFormat/>
    <w:rPr>
      <w:rFonts w:ascii="monospace" w:hAnsi="monospace" w:eastAsia="monospace" w:cs="monospace"/>
      <w:sz w:val="20"/>
    </w:rPr>
  </w:style>
  <w:style w:type="character" w:styleId="984">
    <w:name w:val="HTML Sample"/>
    <w:basedOn w:val="926"/>
    <w:uiPriority w:val="99"/>
    <w:semiHidden/>
    <w:unhideWhenUsed/>
    <w:qFormat/>
    <w:rPr>
      <w:rFonts w:hint="default" w:ascii="monospace" w:hAnsi="monospace" w:eastAsia="monospace" w:cs="monospace"/>
    </w:rPr>
  </w:style>
  <w:style w:type="paragraph" w:styleId="985" w:customStyle="1">
    <w:name w:val="正文1"/>
    <w:next w:val="916"/>
    <w:uiPriority w:val="0"/>
    <w:qFormat/>
    <w:pPr>
      <w:jc w:val="both"/>
      <w:spacing w:line="360" w:lineRule="atLeast"/>
      <w:widowControl w:val="off"/>
    </w:pPr>
    <w:rPr>
      <w:rFonts w:ascii="Times New Roman" w:hAnsi="Times New Roman" w:eastAsia="宋体" w:cs="Times New Roman"/>
      <w:lang w:val="en-US" w:eastAsia="zh-CN" w:bidi="ar-SA"/>
    </w:rPr>
  </w:style>
  <w:style w:type="paragraph" w:styleId="986" w:customStyle="1">
    <w:name w:val="段"/>
    <w:next w:val="916"/>
    <w:uiPriority w:val="99"/>
    <w:qFormat/>
    <w:pPr>
      <w:ind w:firstLine="200"/>
      <w:jc w:val="both"/>
      <w:spacing w:line="360" w:lineRule="auto"/>
    </w:pPr>
    <w:rPr>
      <w:rFonts w:ascii="宋体" w:hAnsi="Calibri" w:eastAsia="宋体" w:cs="Times New Roman"/>
      <w:sz w:val="24"/>
      <w:szCs w:val="22"/>
      <w:lang w:val="en-US" w:eastAsia="zh-CN" w:bidi="ar-SA"/>
    </w:rPr>
  </w:style>
  <w:style w:type="paragraph" w:styleId="987" w:customStyle="1">
    <w:name w:val="目录 51"/>
    <w:next w:val="916"/>
    <w:uiPriority w:val="0"/>
    <w:qFormat/>
    <w:pPr>
      <w:ind w:left="1275"/>
      <w:jc w:val="both"/>
    </w:pPr>
    <w:rPr>
      <w:rFonts w:ascii="Times New Roman" w:hAnsi="Times New Roman" w:eastAsia="宋体" w:cs="Times New Roman"/>
      <w:sz w:val="21"/>
      <w:lang w:val="en-US" w:eastAsia="zh-CN" w:bidi="ar-SA"/>
    </w:rPr>
  </w:style>
  <w:style w:type="character" w:styleId="988" w:customStyle="1">
    <w:name w:val="正文缩进 字符"/>
    <w:link w:val="928"/>
    <w:uiPriority w:val="0"/>
    <w:qFormat/>
    <w:rPr>
      <w:rFonts w:eastAsia="楷体_GB2312"/>
      <w:sz w:val="24"/>
      <w:lang w:val="en-US" w:eastAsia="zh-CN" w:bidi="ar-SA"/>
    </w:rPr>
  </w:style>
  <w:style w:type="character" w:styleId="989" w:customStyle="1">
    <w:name w:val="列出段落 Char"/>
    <w:link w:val="990"/>
    <w:uiPriority w:val="0"/>
    <w:qFormat/>
    <w:rPr>
      <w:rFonts w:eastAsia="楷体_GB2312"/>
      <w:sz w:val="26"/>
      <w:lang w:val="zh-CN" w:eastAsia="zh-CN" w:bidi="ar-SA"/>
    </w:rPr>
  </w:style>
  <w:style w:type="paragraph" w:styleId="990" w:customStyle="1">
    <w:name w:val="序号"/>
    <w:basedOn w:val="916"/>
    <w:next w:val="991"/>
    <w:link w:val="989"/>
    <w:uiPriority w:val="0"/>
    <w:qFormat/>
    <w:pPr>
      <w:ind w:firstLine="420"/>
    </w:pPr>
    <w:rPr>
      <w:lang w:val="zh-CN"/>
    </w:rPr>
  </w:style>
  <w:style w:type="paragraph" w:styleId="991" w:customStyle="1">
    <w:name w:val="列表段落1"/>
    <w:basedOn w:val="916"/>
    <w:uiPriority w:val="34"/>
    <w:qFormat/>
    <w:pPr>
      <w:ind w:firstLine="420"/>
    </w:pPr>
  </w:style>
  <w:style w:type="character" w:styleId="992" w:customStyle="1">
    <w:name w:val="纯文本 字符"/>
    <w:link w:val="941"/>
    <w:uiPriority w:val="0"/>
    <w:qFormat/>
    <w:rPr>
      <w:rFonts w:ascii="宋体" w:hAnsi="Courier New" w:eastAsia="楷体_GB2312"/>
      <w:sz w:val="26"/>
      <w:lang w:val="en-US" w:eastAsia="zh-CN" w:bidi="ar-SA"/>
    </w:rPr>
  </w:style>
  <w:style w:type="character" w:styleId="993" w:customStyle="1">
    <w:name w:val="日期 字符"/>
    <w:link w:val="944"/>
    <w:uiPriority w:val="0"/>
    <w:qFormat/>
    <w:rPr>
      <w:rFonts w:ascii="宋体" w:hAnsi="宋体" w:eastAsia="楷体_GB2312"/>
      <w:sz w:val="24"/>
      <w:lang w:val="en-US" w:eastAsia="zh-CN" w:bidi="ar-SA"/>
    </w:rPr>
  </w:style>
  <w:style w:type="character" w:styleId="994" w:customStyle="1">
    <w:name w:val="表格正文 字符"/>
    <w:link w:val="995"/>
    <w:uiPriority w:val="0"/>
    <w:qFormat/>
    <w:rPr>
      <w:rFonts w:ascii="宋体" w:hAnsi="宋体" w:eastAsia="楷体_GB2312"/>
      <w:sz w:val="26"/>
      <w:szCs w:val="24"/>
      <w:lang w:val="en-US" w:eastAsia="zh-CN" w:bidi="ar-SA"/>
    </w:rPr>
  </w:style>
  <w:style w:type="paragraph" w:styleId="995" w:customStyle="1">
    <w:name w:val="表格正文"/>
    <w:basedOn w:val="916"/>
    <w:next w:val="916"/>
    <w:link w:val="994"/>
    <w:uiPriority w:val="0"/>
    <w:qFormat/>
    <w:rPr>
      <w:rFonts w:ascii="宋体" w:hAnsi="宋体"/>
      <w:szCs w:val="24"/>
    </w:rPr>
  </w:style>
  <w:style w:type="character" w:styleId="996" w:customStyle="1">
    <w:name w:val="缩进正文 字符"/>
    <w:link w:val="997"/>
    <w:uiPriority w:val="0"/>
    <w:qFormat/>
    <w:rPr>
      <w:rFonts w:ascii="Calibri" w:hAnsi="Calibri" w:eastAsia="楷体_GB2312"/>
      <w:sz w:val="26"/>
      <w:szCs w:val="24"/>
      <w:lang w:val="en-US" w:eastAsia="zh-CN" w:bidi="ar-SA"/>
    </w:rPr>
  </w:style>
  <w:style w:type="paragraph" w:styleId="997" w:customStyle="1">
    <w:name w:val="缩进正文"/>
    <w:basedOn w:val="916"/>
    <w:link w:val="996"/>
    <w:uiPriority w:val="0"/>
    <w:qFormat/>
    <w:pPr>
      <w:ind w:firstLine="200"/>
    </w:pPr>
    <w:rPr>
      <w:rFonts w:ascii="Calibri" w:hAnsi="Calibri"/>
      <w:szCs w:val="24"/>
    </w:rPr>
  </w:style>
  <w:style w:type="paragraph" w:styleId="998" w:customStyle="1">
    <w:name w:val="Char Char Char"/>
    <w:basedOn w:val="916"/>
    <w:uiPriority w:val="0"/>
    <w:qFormat/>
    <w:pPr>
      <w:numPr>
        <w:ilvl w:val="0"/>
        <w:numId w:val="1"/>
      </w:numPr>
      <w:tabs>
        <w:tab w:val="clear" w:pos="432" w:leader="none"/>
        <w:tab w:val="left" w:pos="840" w:leader="none"/>
      </w:tabs>
    </w:pPr>
    <w:rPr>
      <w:rFonts w:eastAsia="宋体"/>
      <w:sz w:val="21"/>
      <w:szCs w:val="24"/>
    </w:rPr>
  </w:style>
  <w:style w:type="paragraph" w:styleId="999" w:customStyle="1">
    <w:name w:val="Char Char Char1 Char Char Char Char"/>
    <w:basedOn w:val="916"/>
    <w:uiPriority w:val="0"/>
    <w:qFormat/>
    <w:pPr>
      <w:jc w:val="left"/>
      <w:spacing w:after="160" w:line="240" w:lineRule="exact"/>
      <w:widowControl/>
    </w:pPr>
    <w:rPr>
      <w:rFonts w:eastAsia="宋体"/>
      <w:sz w:val="24"/>
      <w:szCs w:val="24"/>
    </w:rPr>
  </w:style>
  <w:style w:type="paragraph" w:styleId="1000" w:customStyle="1">
    <w:name w:val="正文 A"/>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001" w:customStyle="1">
    <w:name w:val="首行缩进"/>
    <w:basedOn w:val="916"/>
    <w:uiPriority w:val="0"/>
    <w:qFormat/>
    <w:pPr>
      <w:ind w:firstLine="480"/>
    </w:pPr>
    <w:rPr>
      <w:lang w:val="zh-CN"/>
    </w:rPr>
  </w:style>
  <w:style w:type="paragraph" w:styleId="1002" w:customStyle="1">
    <w:name w:val="纯文本1"/>
    <w:basedOn w:val="916"/>
    <w:uiPriority w:val="0"/>
    <w:qFormat/>
    <w:rPr>
      <w:rFonts w:ascii="宋体" w:hAnsi="Courier New"/>
    </w:rPr>
  </w:style>
  <w:style w:type="paragraph" w:styleId="1003" w:customStyle="1">
    <w:name w:val="_Style 1"/>
    <w:basedOn w:val="916"/>
    <w:uiPriority w:val="34"/>
    <w:qFormat/>
    <w:pPr>
      <w:ind w:firstLine="420"/>
      <w:spacing w:line="312" w:lineRule="auto"/>
    </w:pPr>
  </w:style>
  <w:style w:type="paragraph" w:styleId="1004" w:customStyle="1">
    <w:name w:val="_Style 12"/>
    <w:basedOn w:val="932"/>
    <w:uiPriority w:val="0"/>
    <w:qFormat/>
    <w:pPr>
      <w:spacing w:line="360" w:lineRule="auto"/>
    </w:pPr>
  </w:style>
  <w:style w:type="paragraph" w:styleId="1005" w:customStyle="1">
    <w:name w:val="列出段落1"/>
    <w:basedOn w:val="916"/>
    <w:uiPriority w:val="0"/>
    <w:qFormat/>
    <w:pPr>
      <w:ind w:firstLine="420"/>
    </w:pPr>
    <w:rPr>
      <w:rFonts w:ascii="Calibri" w:hAnsi="Calibri"/>
      <w:szCs w:val="21"/>
    </w:rPr>
  </w:style>
  <w:style w:type="paragraph" w:styleId="1006" w:customStyle="1">
    <w:name w:val="缩进正文-"/>
    <w:basedOn w:val="916"/>
    <w:uiPriority w:val="0"/>
    <w:qFormat/>
    <w:pPr>
      <w:ind w:firstLine="200"/>
      <w:spacing w:before="100" w:beforeAutospacing="1" w:line="360" w:lineRule="auto"/>
    </w:pPr>
    <w:rPr>
      <w:rFonts w:ascii="宋体" w:hAnsi="宋体" w:eastAsia="宋体"/>
      <w:color w:val="000000"/>
      <w:sz w:val="24"/>
      <w:szCs w:val="21"/>
    </w:rPr>
  </w:style>
  <w:style w:type="paragraph" w:styleId="1007" w:customStyle="1">
    <w:name w:val="*正文"/>
    <w:basedOn w:val="916"/>
    <w:uiPriority w:val="0"/>
    <w:qFormat/>
    <w:pPr>
      <w:ind w:firstLine="200"/>
      <w:spacing w:line="360" w:lineRule="auto"/>
      <w:widowControl/>
    </w:pPr>
    <w:rPr>
      <w:rFonts w:ascii="仿宋_GB2312" w:hAnsi="Calibri" w:eastAsia="仿宋_GB2312"/>
      <w:sz w:val="24"/>
      <w:szCs w:val="28"/>
    </w:rPr>
  </w:style>
  <w:style w:type="paragraph" w:styleId="1008" w:customStyle="1">
    <w:name w:val="纯文本11"/>
    <w:basedOn w:val="916"/>
    <w:uiPriority w:val="99"/>
    <w:qFormat/>
    <w:rPr>
      <w:rFonts w:ascii="宋体" w:hAnsi="Courier New"/>
    </w:rPr>
  </w:style>
  <w:style w:type="paragraph" w:styleId="1009" w:customStyle="1">
    <w:name w:val="Char Char Char1 Char"/>
    <w:basedOn w:val="916"/>
    <w:uiPriority w:val="0"/>
    <w:semiHidden/>
    <w:qFormat/>
    <w:pPr>
      <w:ind w:firstLine="200"/>
      <w:spacing w:line="360" w:lineRule="auto"/>
    </w:pPr>
    <w:rPr>
      <w:rFonts w:ascii="宋体" w:hAnsi="宋体" w:cs="宋体"/>
      <w:sz w:val="24"/>
    </w:rPr>
  </w:style>
  <w:style w:type="paragraph" w:styleId="1010" w:customStyle="1">
    <w:name w:val="Char Char1 Char Char Char Char"/>
    <w:basedOn w:val="932"/>
    <w:uiPriority w:val="0"/>
    <w:qFormat/>
    <w:pPr>
      <w:spacing w:line="360" w:lineRule="auto"/>
    </w:pPr>
    <w:rPr>
      <w:rFonts w:ascii="Tahoma" w:hAnsi="Tahoma" w:eastAsia="宋体"/>
      <w:sz w:val="24"/>
      <w:szCs w:val="24"/>
    </w:rPr>
  </w:style>
  <w:style w:type="paragraph" w:styleId="1011" w:customStyle="1">
    <w:name w:val="p0"/>
    <w:basedOn w:val="916"/>
    <w:uiPriority w:val="0"/>
    <w:qFormat/>
    <w:rPr>
      <w:rFonts w:hint="eastAsia"/>
    </w:rPr>
  </w:style>
  <w:style w:type="paragraph" w:styleId="1012">
    <w:name w:val="List Paragraph"/>
    <w:basedOn w:val="916"/>
    <w:uiPriority w:val="34"/>
    <w:qFormat/>
    <w:pPr>
      <w:ind w:firstLine="420"/>
    </w:pPr>
    <w:rPr>
      <w:rFonts w:ascii="宋体" w:hAnsi="宋体" w:eastAsia="宋体"/>
      <w:sz w:val="24"/>
      <w:szCs w:val="24"/>
    </w:rPr>
  </w:style>
  <w:style w:type="paragraph" w:styleId="1013" w:customStyle="1">
    <w:name w:val="Char"/>
    <w:basedOn w:val="916"/>
    <w:uiPriority w:val="0"/>
    <w:qFormat/>
    <w:rPr>
      <w:rFonts w:ascii="Tahoma" w:hAnsi="Tahoma" w:eastAsia="宋体"/>
      <w:sz w:val="24"/>
    </w:rPr>
  </w:style>
  <w:style w:type="paragraph" w:styleId="1014" w:customStyle="1">
    <w:name w:val="列出段落2"/>
    <w:basedOn w:val="916"/>
    <w:uiPriority w:val="34"/>
    <w:qFormat/>
    <w:pPr>
      <w:ind w:firstLine="420"/>
    </w:pPr>
  </w:style>
  <w:style w:type="paragraph" w:styleId="1015" w:customStyle="1">
    <w:name w:val="纯文本12"/>
    <w:basedOn w:val="916"/>
    <w:uiPriority w:val="0"/>
    <w:qFormat/>
    <w:rPr>
      <w:rFonts w:ascii="宋体" w:hAnsi="Courier New"/>
    </w:rPr>
  </w:style>
  <w:style w:type="paragraph" w:styleId="1016" w:customStyle="1">
    <w:name w:val="纯文本2"/>
    <w:basedOn w:val="916"/>
    <w:uiPriority w:val="0"/>
    <w:qFormat/>
    <w:rPr>
      <w:rFonts w:ascii="宋体" w:hAnsi="Courier New"/>
    </w:rPr>
  </w:style>
  <w:style w:type="paragraph" w:styleId="1017" w:customStyle="1">
    <w:name w:val="Char1"/>
    <w:basedOn w:val="916"/>
    <w:uiPriority w:val="0"/>
    <w:qFormat/>
    <w:rPr>
      <w:rFonts w:ascii="Tahoma" w:hAnsi="Tahoma" w:eastAsia="宋体"/>
      <w:sz w:val="24"/>
    </w:rPr>
  </w:style>
  <w:style w:type="paragraph" w:styleId="1018" w:customStyle="1">
    <w:name w:val="表格内容"/>
    <w:basedOn w:val="916"/>
    <w:uiPriority w:val="0"/>
    <w:qFormat/>
    <w:pPr>
      <w:jc w:val="left"/>
      <w:spacing w:before="100" w:beforeAutospacing="1" w:after="100" w:afterAutospacing="1" w:line="360" w:lineRule="auto"/>
    </w:pPr>
    <w:rPr>
      <w:rFonts w:ascii="宋体" w:hAnsi="宋体" w:eastAsia="宋体"/>
      <w:bCs/>
      <w:sz w:val="21"/>
      <w:szCs w:val="21"/>
    </w:rPr>
  </w:style>
  <w:style w:type="paragraph" w:styleId="1019" w:customStyle="1">
    <w:name w:val="纯文本3"/>
    <w:basedOn w:val="916"/>
    <w:uiPriority w:val="0"/>
    <w:qFormat/>
    <w:rPr>
      <w:rFonts w:ascii="宋体" w:hAnsi="Courier New"/>
      <w:sz w:val="28"/>
    </w:rPr>
  </w:style>
  <w:style w:type="paragraph" w:styleId="1020" w:customStyle="1">
    <w:name w:val="font7"/>
    <w:basedOn w:val="916"/>
    <w:uiPriority w:val="0"/>
    <w:qFormat/>
    <w:pPr>
      <w:jc w:val="left"/>
      <w:spacing w:before="100" w:beforeAutospacing="1" w:after="100" w:afterAutospacing="1"/>
      <w:widowControl/>
    </w:pPr>
    <w:rPr>
      <w:rFonts w:eastAsia="宋体"/>
      <w:sz w:val="20"/>
    </w:rPr>
  </w:style>
  <w:style w:type="paragraph" w:styleId="1021" w:customStyle="1">
    <w:name w:val="纯文本4"/>
    <w:basedOn w:val="916"/>
    <w:uiPriority w:val="0"/>
    <w:qFormat/>
    <w:rPr>
      <w:rFonts w:ascii="宋体" w:hAnsi="Courier New"/>
    </w:rPr>
  </w:style>
  <w:style w:type="paragraph" w:styleId="1022" w:customStyle="1">
    <w:name w:val="纯文本5"/>
    <w:basedOn w:val="916"/>
    <w:uiPriority w:val="0"/>
    <w:qFormat/>
    <w:rPr>
      <w:rFonts w:ascii="宋体" w:hAnsi="Courier New"/>
      <w:sz w:val="28"/>
    </w:rPr>
  </w:style>
  <w:style w:type="paragraph" w:styleId="1023"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24" w:customStyle="1">
    <w:name w:val="font171"/>
    <w:basedOn w:val="926"/>
    <w:uiPriority w:val="0"/>
    <w:qFormat/>
    <w:rPr>
      <w:rFonts w:hint="eastAsia" w:ascii="宋体" w:hAnsi="宋体" w:eastAsia="宋体" w:cs="宋体"/>
      <w:b/>
      <w:bCs/>
      <w:color w:val="000000"/>
      <w:sz w:val="36"/>
      <w:szCs w:val="36"/>
      <w:u w:val="none"/>
    </w:rPr>
  </w:style>
  <w:style w:type="character" w:styleId="1025" w:customStyle="1">
    <w:name w:val="font41"/>
    <w:basedOn w:val="926"/>
    <w:uiPriority w:val="0"/>
    <w:qFormat/>
    <w:rPr>
      <w:rFonts w:hint="default" w:ascii="Times New Roman" w:hAnsi="Times New Roman" w:cs="Times New Roman"/>
      <w:b/>
      <w:bCs/>
      <w:color w:val="000000"/>
      <w:sz w:val="36"/>
      <w:szCs w:val="36"/>
      <w:u w:val="none"/>
    </w:rPr>
  </w:style>
  <w:style w:type="character" w:styleId="1026" w:customStyle="1">
    <w:name w:val="font101"/>
    <w:basedOn w:val="926"/>
    <w:uiPriority w:val="0"/>
    <w:qFormat/>
    <w:rPr>
      <w:rFonts w:hint="eastAsia" w:ascii="宋体" w:hAnsi="宋体" w:eastAsia="宋体" w:cs="宋体"/>
      <w:b/>
      <w:bCs/>
      <w:color w:val="000000"/>
      <w:sz w:val="24"/>
      <w:szCs w:val="24"/>
      <w:u w:val="none"/>
    </w:rPr>
  </w:style>
  <w:style w:type="character" w:styleId="1027" w:customStyle="1">
    <w:name w:val="font91"/>
    <w:basedOn w:val="926"/>
    <w:uiPriority w:val="0"/>
    <w:qFormat/>
    <w:rPr>
      <w:rFonts w:hint="default" w:ascii="Times New Roman" w:hAnsi="Times New Roman" w:cs="Times New Roman"/>
      <w:b/>
      <w:bCs/>
      <w:color w:val="000000"/>
      <w:sz w:val="24"/>
      <w:szCs w:val="24"/>
      <w:u w:val="none"/>
    </w:rPr>
  </w:style>
  <w:style w:type="character" w:styleId="1028" w:customStyle="1">
    <w:name w:val="font121"/>
    <w:basedOn w:val="926"/>
    <w:uiPriority w:val="0"/>
    <w:qFormat/>
    <w:rPr>
      <w:rFonts w:hint="eastAsia" w:ascii="宋体" w:hAnsi="宋体" w:eastAsia="宋体" w:cs="宋体"/>
      <w:color w:val="000000"/>
      <w:sz w:val="24"/>
      <w:szCs w:val="24"/>
      <w:u w:val="none"/>
    </w:rPr>
  </w:style>
  <w:style w:type="character" w:styleId="1029" w:customStyle="1">
    <w:name w:val="font61"/>
    <w:basedOn w:val="926"/>
    <w:uiPriority w:val="0"/>
    <w:qFormat/>
    <w:rPr>
      <w:rFonts w:hint="default" w:ascii="Times New Roman" w:hAnsi="Times New Roman" w:cs="Times New Roman"/>
      <w:color w:val="000000"/>
      <w:sz w:val="24"/>
      <w:szCs w:val="24"/>
      <w:u w:val="none"/>
    </w:rPr>
  </w:style>
  <w:style w:type="character" w:styleId="1030" w:customStyle="1">
    <w:name w:val="font151"/>
    <w:basedOn w:val="926"/>
    <w:uiPriority w:val="0"/>
    <w:qFormat/>
    <w:rPr>
      <w:rFonts w:ascii="宋体" w:hAnsi="宋体" w:eastAsia="宋体" w:cs="宋体"/>
      <w:color w:val="000000"/>
      <w:sz w:val="24"/>
      <w:szCs w:val="24"/>
      <w:u w:val="none"/>
    </w:rPr>
  </w:style>
  <w:style w:type="paragraph" w:styleId="1031"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32" w:customStyle="1">
    <w:name w:val="msolistparagraph"/>
    <w:basedOn w:val="916"/>
    <w:uiPriority w:val="0"/>
    <w:qFormat/>
    <w:pPr>
      <w:ind w:firstLine="420"/>
    </w:pPr>
    <w:rPr>
      <w:szCs w:val="21"/>
    </w:rPr>
  </w:style>
  <w:style w:type="paragraph" w:styleId="1033" w:customStyle="1">
    <w:name w:val="Table Paragraph"/>
    <w:basedOn w:val="916"/>
    <w:uiPriority w:val="1"/>
    <w:qFormat/>
    <w:rPr>
      <w:rFonts w:ascii="宋体" w:hAnsi="宋体" w:cs="宋体"/>
      <w:lang w:val="zh-CN" w:bidi="zh-CN"/>
    </w:rPr>
  </w:style>
  <w:style w:type="character" w:styleId="1034" w:customStyle="1">
    <w:name w:val="font21"/>
    <w:basedOn w:val="926"/>
    <w:uiPriority w:val="0"/>
    <w:qFormat/>
    <w:rPr>
      <w:rFonts w:hint="eastAsia" w:ascii="仿宋" w:hAnsi="仿宋" w:eastAsia="仿宋" w:cs="仿宋"/>
      <w:color w:val="000000"/>
      <w:sz w:val="22"/>
      <w:szCs w:val="22"/>
      <w:u w:val="none"/>
    </w:rPr>
  </w:style>
  <w:style w:type="character" w:styleId="1035" w:customStyle="1">
    <w:name w:val="font71"/>
    <w:basedOn w:val="926"/>
    <w:uiPriority w:val="0"/>
    <w:qFormat/>
    <w:rPr>
      <w:rFonts w:hint="eastAsia" w:ascii="宋体" w:hAnsi="宋体" w:eastAsia="宋体" w:cs="宋体"/>
      <w:color w:val="000000"/>
      <w:sz w:val="22"/>
      <w:szCs w:val="22"/>
      <w:u w:val="none"/>
    </w:rPr>
  </w:style>
  <w:style w:type="character" w:styleId="1036" w:customStyle="1">
    <w:name w:val="font01"/>
    <w:basedOn w:val="926"/>
    <w:uiPriority w:val="0"/>
    <w:qFormat/>
    <w:rPr>
      <w:rFonts w:hint="eastAsia" w:ascii="宋体" w:hAnsi="宋体" w:eastAsia="宋体" w:cs="宋体"/>
      <w:color w:val="000000"/>
      <w:sz w:val="22"/>
      <w:szCs w:val="22"/>
      <w:u w:val="none"/>
    </w:rPr>
  </w:style>
  <w:style w:type="character" w:styleId="1037" w:customStyle="1">
    <w:name w:val="font11"/>
    <w:basedOn w:val="926"/>
    <w:uiPriority w:val="0"/>
    <w:qFormat/>
    <w:rPr>
      <w:rFonts w:hint="eastAsia" w:ascii="宋体" w:hAnsi="宋体" w:eastAsia="宋体" w:cs="宋体"/>
      <w:color w:val="ff0000"/>
      <w:sz w:val="22"/>
      <w:szCs w:val="22"/>
      <w:u w:val="none"/>
    </w:rPr>
  </w:style>
  <w:style w:type="character" w:styleId="1038" w:customStyle="1">
    <w:name w:val="font31"/>
    <w:basedOn w:val="926"/>
    <w:uiPriority w:val="0"/>
    <w:qFormat/>
    <w:rPr>
      <w:rFonts w:hint="eastAsia" w:ascii="宋体" w:hAnsi="宋体" w:eastAsia="宋体" w:cs="宋体"/>
      <w:color w:val="ff0000"/>
      <w:sz w:val="22"/>
      <w:szCs w:val="22"/>
      <w:u w:val="none"/>
    </w:rPr>
  </w:style>
  <w:style w:type="paragraph" w:styleId="1039" w:customStyle="1">
    <w:name w:val="p2"/>
    <w:basedOn w:val="916"/>
    <w:uiPriority w:val="0"/>
    <w:qFormat/>
    <w:pPr>
      <w:spacing w:before="100" w:beforeAutospacing="1" w:after="100" w:afterAutospacing="1"/>
    </w:pPr>
    <w:rPr>
      <w:rFonts w:ascii="宋体" w:hAnsi="宋体"/>
      <w:sz w:val="24"/>
      <w:szCs w:val="24"/>
    </w:rPr>
  </w:style>
  <w:style w:type="character" w:styleId="1040" w:customStyle="1">
    <w:name w:val="批注文字 字符"/>
    <w:link w:val="933"/>
    <w:uiPriority w:val="0"/>
    <w:qFormat/>
    <w:rPr>
      <w:rFonts w:eastAsia="楷体_GB2312"/>
      <w:sz w:val="26"/>
    </w:rPr>
  </w:style>
  <w:style w:type="character" w:styleId="1041" w:customStyle="1">
    <w:name w:val="NormalCharacter"/>
    <w:link w:val="1042"/>
    <w:uiPriority w:val="0"/>
    <w:qFormat/>
    <w:rPr>
      <w:sz w:val="20"/>
      <w:szCs w:val="20"/>
    </w:rPr>
  </w:style>
  <w:style w:type="paragraph" w:styleId="1042" w:customStyle="1">
    <w:name w:val="UserStyle_4"/>
    <w:basedOn w:val="916"/>
    <w:link w:val="1041"/>
    <w:uiPriority w:val="99"/>
    <w:qFormat/>
    <w:rPr>
      <w:sz w:val="20"/>
    </w:rPr>
  </w:style>
  <w:style w:type="character" w:styleId="1043" w:customStyle="1">
    <w:name w:val="hover"/>
    <w:basedOn w:val="926"/>
    <w:uiPriority w:val="0"/>
    <w:qFormat/>
    <w:rPr>
      <w:color w:val="2590eb"/>
    </w:rPr>
  </w:style>
  <w:style w:type="character" w:styleId="1044" w:customStyle="1">
    <w:name w:val="hover1"/>
    <w:basedOn w:val="926"/>
    <w:uiPriority w:val="0"/>
    <w:qFormat/>
  </w:style>
  <w:style w:type="character" w:styleId="1045" w:customStyle="1">
    <w:name w:val="hover2"/>
    <w:basedOn w:val="926"/>
    <w:uiPriority w:val="0"/>
    <w:qFormat/>
    <w:rPr>
      <w:color w:val="2590eb"/>
    </w:rPr>
  </w:style>
  <w:style w:type="character" w:styleId="1046" w:customStyle="1">
    <w:name w:val="15"/>
    <w:basedOn w:val="926"/>
    <w:uiPriority w:val="0"/>
    <w:qFormat/>
  </w:style>
  <w:style w:type="paragraph" w:styleId="1047" w:customStyle="1">
    <w:name w:val="p"/>
    <w:basedOn w:val="916"/>
    <w:uiPriority w:val="0"/>
    <w:qFormat/>
    <w:pPr>
      <w:jc w:val="left"/>
      <w:spacing w:before="100" w:beforeAutospacing="1" w:after="100" w:afterAutospacing="1"/>
      <w:widowControl/>
    </w:pPr>
    <w:rPr>
      <w:rFonts w:ascii="宋体" w:hAnsi="宋体" w:eastAsia="宋体" w:cs="宋体"/>
      <w:sz w:val="24"/>
      <w:szCs w:val="24"/>
    </w:rPr>
  </w:style>
  <w:style w:type="character" w:styleId="1048" w:customStyle="1">
    <w:name w:val="页脚 字符"/>
    <w:basedOn w:val="926"/>
    <w:link w:val="947"/>
    <w:uiPriority w:val="99"/>
    <w:qFormat/>
    <w:rPr>
      <w:rFonts w:eastAsia="楷体_GB2312"/>
      <w:sz w:val="18"/>
    </w:rPr>
  </w:style>
  <w:style w:type="character" w:styleId="1049" w:customStyle="1">
    <w:name w:val="页眉 字符"/>
    <w:basedOn w:val="926"/>
    <w:link w:val="949"/>
    <w:uiPriority w:val="99"/>
    <w:qFormat/>
    <w:rPr>
      <w:rFonts w:eastAsia="楷体_GB2312"/>
      <w:sz w:val="18"/>
    </w:rPr>
  </w:style>
  <w:style w:type="character" w:styleId="1050" w:customStyle="1">
    <w:name w:val="标题 1 字符"/>
    <w:link w:val="917"/>
    <w:uiPriority w:val="0"/>
    <w:qFormat/>
    <w:rPr>
      <w:rFonts w:eastAsia="楷体_GB2312"/>
      <w:b/>
      <w:sz w:val="44"/>
    </w:rPr>
  </w:style>
  <w:style w:type="character" w:styleId="1051" w:customStyle="1">
    <w:name w:val="标题 字符"/>
    <w:basedOn w:val="926"/>
    <w:link w:val="965"/>
    <w:uiPriority w:val="10"/>
    <w:qFormat/>
    <w:rPr>
      <w:rFonts w:ascii="黑体" w:hAnsi="黑体" w:eastAsia="黑体"/>
      <w:sz w:val="28"/>
      <w:szCs w:val="24"/>
    </w:rPr>
  </w:style>
  <w:style w:type="paragraph" w:styleId="1052" w:customStyle="1">
    <w:name w:val="UserStyle_780"/>
    <w:basedOn w:val="916"/>
    <w:uiPriority w:val="0"/>
    <w:qFormat/>
    <w:rPr>
      <w:rFonts w:ascii="宋体" w:hAnsi="Courier New"/>
      <w:sz w:val="28"/>
      <w:szCs w:val="24"/>
    </w:rPr>
  </w:style>
  <w:style w:type="paragraph" w:styleId="1053" w:customStyle="1">
    <w:name w:val="修订1"/>
    <w:hidden/>
    <w:uiPriority w:val="99"/>
    <w:semiHidden/>
    <w:qFormat/>
    <w:rPr>
      <w:rFonts w:ascii="Times New Roman" w:hAnsi="Times New Roman" w:eastAsia="楷体_GB2312" w:cs="Times New Roman"/>
      <w:sz w:val="26"/>
      <w:lang w:val="en-US" w:eastAsia="zh-CN" w:bidi="ar-SA"/>
    </w:rPr>
  </w:style>
  <w:style w:type="paragraph" w:styleId="1054" w:customStyle="1">
    <w:name w:val="修订2"/>
    <w:hidden/>
    <w:uiPriority w:val="99"/>
    <w:unhideWhenUsed/>
    <w:qFormat/>
    <w:rPr>
      <w:rFonts w:ascii="Times New Roman" w:hAnsi="Times New Roman" w:eastAsia="楷体_GB2312" w:cs="Times New Roman"/>
      <w:sz w:val="26"/>
      <w:lang w:val="en-US" w:eastAsia="zh-CN" w:bidi="ar-SA"/>
    </w:rPr>
  </w:style>
  <w:style w:type="character" w:styleId="1055" w:customStyle="1">
    <w:name w:val="font51"/>
    <w:basedOn w:val="926"/>
    <w:uiPriority w:val="0"/>
    <w:qFormat/>
    <w:rPr>
      <w:rFonts w:ascii="宋体" w:hAnsi="宋体" w:eastAsia="宋体" w:cs="宋体"/>
      <w:color w:val="000000"/>
      <w:sz w:val="14"/>
      <w:szCs w:val="14"/>
      <w:u w:val="none"/>
    </w:rPr>
  </w:style>
  <w:style w:type="character" w:styleId="1056" w:customStyle="1">
    <w:name w:val="font81"/>
    <w:basedOn w:val="926"/>
    <w:uiPriority w:val="0"/>
    <w:qFormat/>
    <w:rPr>
      <w:rFonts w:ascii="宋体" w:hAnsi="宋体" w:eastAsia="宋体" w:cs="宋体"/>
      <w:color w:val="000000"/>
      <w:sz w:val="18"/>
      <w:szCs w:val="18"/>
      <w:u w:val="none"/>
    </w:r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1C3A554-1112-4FD0-BC7E-588FAB29DD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dc:creator>
  <cp:lastModifiedBy>沈鹰</cp:lastModifiedBy>
  <cp:revision>5</cp:revision>
  <dcterms:created xsi:type="dcterms:W3CDTF">2023-12-11T10:15:00Z</dcterms:created>
  <dcterms:modified xsi:type="dcterms:W3CDTF">2026-04-28T07:23:28Z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A715874CDE364B4D868DF422C19B87E2_13</vt:lpwstr>
  </property>
  <property fmtid="{D5CDD505-2E9C-101B-9397-08002B2CF9AE}" pid="4" name="KSOTemplateDocerSaveRecord">
    <vt:lpwstr>eyJoZGlkIjoiZTg1ZjBiYjczODk3ZDAxZTcxNzhmZTc1ZjVmOWU3NDAiLCJ1c2VySWQiOiI0MTgxMDg2MzUifQ==</vt:lpwstr>
  </property>
</Properties>
</file>