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医院后勤综合管理服务</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lang w:eastAsia="zh-CN"/>
        </w:rPr>
        <w:t xml:space="preserve">2026年5月28日9点30分</w:t>
      </w:r>
      <w:r>
        <w:rPr>
          <w:rFonts w:hint="eastAsia" w:ascii="宋体" w:hAnsi="宋体"/>
          <w:color w:val="auto"/>
          <w:sz w:val="24"/>
          <w:szCs w:val="24"/>
          <w:highlight w:val="none"/>
        </w:rPr>
        <w:t xml:space="preserve">（北京时间）前递交电子投标文件。</w:t>
      </w:r>
      <w:r/>
    </w:p>
    <w:p>
      <w:pPr>
        <w:ind w:firstLine="48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0"/>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olor w:val="auto"/>
          <w:sz w:val="24"/>
          <w:szCs w:val="20"/>
          <w:highlight w:val="none"/>
          <w:lang w:eastAsia="zh-CN"/>
        </w:rPr>
        <w:t xml:space="preserve">JSZC-320500-SZWK-G2026-0106</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2、项目名称：医院后勤综合管理服务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3、采购内容、采购预算及最高限价：   </w:t>
      </w:r>
      <w:r/>
    </w:p>
    <w:tbl>
      <w:tblPr>
        <w:tblStyle w:val="685"/>
        <w:tblW w:w="86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2"/>
        <w:gridCol w:w="4876"/>
        <w:gridCol w:w="1364"/>
        <w:gridCol w:w="1331"/>
      </w:tblGrid>
      <w:tr>
        <w:trPr>
          <w:trHeight w:val="340"/>
        </w:trPr>
        <w:tc>
          <w:tcPr>
            <w:tcW w:w="1042"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采购包号</w:t>
            </w:r>
            <w:r/>
          </w:p>
        </w:tc>
        <w:tc>
          <w:tcPr>
            <w:tcW w:w="4876" w:type="dxa"/>
            <w:vAlign w:val="center"/>
            <w:textDirection w:val="lrTb"/>
            <w:noWrap w:val="false"/>
          </w:tcPr>
          <w:p>
            <w:pPr>
              <w:pStyle w:val="709"/>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采购内容</w:t>
            </w:r>
            <w:r/>
          </w:p>
        </w:tc>
        <w:tc>
          <w:tcPr>
            <w:tcW w:w="1364"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w:t>
            </w:r>
            <w:r/>
          </w:p>
          <w:p>
            <w:pPr>
              <w:pStyle w:val="709"/>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（万元）</w:t>
            </w:r>
            <w:r/>
          </w:p>
        </w:tc>
        <w:tc>
          <w:tcPr>
            <w:tcW w:w="1331"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最高限价</w:t>
            </w:r>
            <w:r/>
          </w:p>
          <w:p>
            <w:pPr>
              <w:pStyle w:val="709"/>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（万元）</w:t>
            </w:r>
            <w:r/>
          </w:p>
        </w:tc>
      </w:tr>
      <w:tr>
        <w:trPr>
          <w:trHeight w:val="359"/>
        </w:trPr>
        <w:tc>
          <w:tcPr>
            <w:tcW w:w="1042"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W w:w="4876" w:type="dxa"/>
            <w:vAlign w:val="center"/>
            <w:textDirection w:val="lrTb"/>
            <w:noWrap w:val="false"/>
          </w:tcPr>
          <w:p>
            <w:pPr>
              <w:pStyle w:val="709"/>
              <w:ind w:left="0"/>
              <w:jc w:val="left"/>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保安服务及车辆管理服务</w:t>
            </w:r>
            <w:r/>
          </w:p>
        </w:tc>
        <w:tc>
          <w:tcPr>
            <w:tcW w:w="1364" w:type="dxa"/>
            <w:vAlign w:val="center"/>
            <w:textDirection w:val="lrTb"/>
            <w:noWrap w:val="false"/>
          </w:tcPr>
          <w:p>
            <w:pPr>
              <w:pStyle w:val="709"/>
              <w:ind w:left="0"/>
              <w:jc w:val="center"/>
              <w:spacing w:after="0" w:line="320" w:lineRule="exact"/>
              <w:tabs>
                <w:tab w:val="left" w:pos="5100" w:leader="none"/>
              </w:tabs>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654.192</w:t>
            </w:r>
            <w:r/>
          </w:p>
        </w:tc>
        <w:tc>
          <w:tcPr>
            <w:tcW w:w="1331"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654.192</w:t>
            </w:r>
            <w:r/>
          </w:p>
        </w:tc>
      </w:tr>
      <w:tr>
        <w:trPr>
          <w:trHeight w:val="340"/>
        </w:trPr>
        <w:tc>
          <w:tcPr>
            <w:tcW w:w="1042"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4876" w:type="dxa"/>
            <w:vAlign w:val="center"/>
            <w:textDirection w:val="lrTb"/>
            <w:noWrap w:val="false"/>
          </w:tcPr>
          <w:p>
            <w:pPr>
              <w:pStyle w:val="709"/>
              <w:ind w:left="0"/>
              <w:jc w:val="left"/>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消防设备维保服务</w:t>
            </w:r>
            <w:r/>
          </w:p>
        </w:tc>
        <w:tc>
          <w:tcPr>
            <w:tcW w:w="1364" w:type="dxa"/>
            <w:vAlign w:val="center"/>
            <w:textDirection w:val="lrTb"/>
            <w:noWrap w:val="false"/>
          </w:tcPr>
          <w:p>
            <w:pPr>
              <w:pStyle w:val="709"/>
              <w:ind w:left="0"/>
              <w:jc w:val="center"/>
              <w:spacing w:after="0" w:line="320" w:lineRule="exact"/>
              <w:tabs>
                <w:tab w:val="left" w:pos="5100" w:leader="none"/>
              </w:tabs>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55.6</w:t>
            </w:r>
            <w:r/>
          </w:p>
        </w:tc>
        <w:tc>
          <w:tcPr>
            <w:tcW w:w="1331"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55.6</w:t>
            </w:r>
            <w:r/>
          </w:p>
        </w:tc>
      </w:tr>
      <w:tr>
        <w:trPr>
          <w:trHeight w:val="340"/>
        </w:trPr>
        <w:tc>
          <w:tcPr>
            <w:tcW w:w="1042"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4876" w:type="dxa"/>
            <w:vAlign w:val="center"/>
            <w:textDirection w:val="lrTb"/>
            <w:noWrap w:val="false"/>
          </w:tcPr>
          <w:p>
            <w:pPr>
              <w:pStyle w:val="709"/>
              <w:ind w:left="0"/>
              <w:jc w:val="left"/>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电梯维护与保养服务</w:t>
            </w:r>
            <w:r/>
          </w:p>
        </w:tc>
        <w:tc>
          <w:tcPr>
            <w:tcW w:w="1364" w:type="dxa"/>
            <w:vAlign w:val="center"/>
            <w:textDirection w:val="lrTb"/>
            <w:noWrap w:val="false"/>
          </w:tcPr>
          <w:p>
            <w:pPr>
              <w:pStyle w:val="709"/>
              <w:ind w:left="0"/>
              <w:jc w:val="center"/>
              <w:spacing w:after="0" w:line="320" w:lineRule="exact"/>
              <w:tabs>
                <w:tab w:val="left" w:pos="5100" w:leader="none"/>
              </w:tabs>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95.04</w:t>
            </w:r>
            <w:r/>
          </w:p>
        </w:tc>
        <w:tc>
          <w:tcPr>
            <w:tcW w:w="1331"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95.04</w:t>
            </w:r>
            <w:r/>
          </w:p>
        </w:tc>
      </w:tr>
      <w:tr>
        <w:trPr>
          <w:trHeight w:val="340"/>
        </w:trPr>
        <w:tc>
          <w:tcPr>
            <w:tcW w:w="1042"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W w:w="4876" w:type="dxa"/>
            <w:vAlign w:val="center"/>
            <w:textDirection w:val="lrTb"/>
            <w:noWrap w:val="false"/>
          </w:tcPr>
          <w:p>
            <w:pPr>
              <w:pStyle w:val="709"/>
              <w:ind w:left="0"/>
              <w:jc w:val="left"/>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医用被服洗涤及租赁服务</w:t>
            </w:r>
            <w:r/>
          </w:p>
        </w:tc>
        <w:tc>
          <w:tcPr>
            <w:tcW w:w="1364" w:type="dxa"/>
            <w:vAlign w:val="center"/>
            <w:textDirection w:val="lrTb"/>
            <w:noWrap w:val="false"/>
          </w:tcPr>
          <w:p>
            <w:pPr>
              <w:pStyle w:val="709"/>
              <w:ind w:left="0"/>
              <w:jc w:val="center"/>
              <w:spacing w:after="0" w:line="320" w:lineRule="exact"/>
              <w:tabs>
                <w:tab w:val="left" w:pos="5100" w:leader="none"/>
              </w:tabs>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180</w:t>
            </w:r>
            <w:r/>
          </w:p>
        </w:tc>
        <w:tc>
          <w:tcPr>
            <w:tcW w:w="1331"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180</w:t>
            </w:r>
            <w:r/>
          </w:p>
        </w:tc>
      </w:tr>
      <w:tr>
        <w:trPr>
          <w:trHeight w:val="340"/>
        </w:trPr>
        <w:tc>
          <w:tcPr>
            <w:tcW w:w="1042"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w:t>
            </w:r>
            <w:r/>
          </w:p>
        </w:tc>
        <w:tc>
          <w:tcPr>
            <w:tcW w:w="4876" w:type="dxa"/>
            <w:vAlign w:val="center"/>
            <w:textDirection w:val="lrTb"/>
            <w:noWrap w:val="false"/>
          </w:tcPr>
          <w:p>
            <w:pPr>
              <w:pStyle w:val="709"/>
              <w:ind w:left="0"/>
              <w:jc w:val="left"/>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医院东楼医疗环境清洁消杀、垃圾运送服务</w:t>
            </w:r>
            <w:r/>
          </w:p>
        </w:tc>
        <w:tc>
          <w:tcPr>
            <w:tcW w:w="1364" w:type="dxa"/>
            <w:vAlign w:val="center"/>
            <w:textDirection w:val="lrTb"/>
            <w:noWrap w:val="false"/>
          </w:tcPr>
          <w:p>
            <w:pPr>
              <w:pStyle w:val="709"/>
              <w:ind w:left="0"/>
              <w:jc w:val="center"/>
              <w:spacing w:after="0" w:line="320" w:lineRule="exact"/>
              <w:tabs>
                <w:tab w:val="left" w:pos="5100" w:leader="none"/>
              </w:tabs>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398</w:t>
            </w:r>
            <w:r/>
          </w:p>
        </w:tc>
        <w:tc>
          <w:tcPr>
            <w:tcW w:w="1331"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398</w:t>
            </w:r>
            <w:r/>
          </w:p>
        </w:tc>
      </w:tr>
      <w:tr>
        <w:trPr>
          <w:trHeight w:val="340"/>
        </w:trPr>
        <w:tc>
          <w:tcPr>
            <w:tcW w:w="1042"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6</w:t>
            </w:r>
            <w:r/>
          </w:p>
        </w:tc>
        <w:tc>
          <w:tcPr>
            <w:tcW w:w="4876" w:type="dxa"/>
            <w:vAlign w:val="center"/>
            <w:textDirection w:val="lrTb"/>
            <w:noWrap w:val="false"/>
          </w:tcPr>
          <w:p>
            <w:pPr>
              <w:pStyle w:val="709"/>
              <w:ind w:left="0"/>
              <w:jc w:val="left"/>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医院西楼医疗环境清洁消杀、垃圾运送服务</w:t>
            </w:r>
            <w:r/>
          </w:p>
        </w:tc>
        <w:tc>
          <w:tcPr>
            <w:tcW w:w="1364" w:type="dxa"/>
            <w:vAlign w:val="center"/>
            <w:textDirection w:val="lrTb"/>
            <w:noWrap w:val="false"/>
          </w:tcPr>
          <w:p>
            <w:pPr>
              <w:pStyle w:val="709"/>
              <w:ind w:left="0"/>
              <w:jc w:val="center"/>
              <w:spacing w:after="0" w:line="320" w:lineRule="exact"/>
              <w:tabs>
                <w:tab w:val="left" w:pos="5100" w:leader="none"/>
              </w:tabs>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884.2188</w:t>
            </w:r>
            <w:r/>
          </w:p>
        </w:tc>
        <w:tc>
          <w:tcPr>
            <w:tcW w:w="1331"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884.2188</w:t>
            </w:r>
            <w:r/>
          </w:p>
        </w:tc>
      </w:tr>
      <w:tr>
        <w:trPr>
          <w:trHeight w:val="340"/>
        </w:trPr>
        <w:tc>
          <w:tcPr>
            <w:tcW w:w="1042"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p>
        </w:tc>
        <w:tc>
          <w:tcPr>
            <w:tcW w:w="4876" w:type="dxa"/>
            <w:vAlign w:val="center"/>
            <w:textDirection w:val="lrTb"/>
            <w:noWrap w:val="false"/>
          </w:tcPr>
          <w:p>
            <w:pPr>
              <w:pStyle w:val="709"/>
              <w:ind w:left="0"/>
              <w:jc w:val="left"/>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变配电系统管理及维护服务</w:t>
            </w:r>
            <w:r/>
          </w:p>
        </w:tc>
        <w:tc>
          <w:tcPr>
            <w:tcW w:w="1364" w:type="dxa"/>
            <w:vAlign w:val="center"/>
            <w:textDirection w:val="lrTb"/>
            <w:noWrap w:val="false"/>
          </w:tcPr>
          <w:p>
            <w:pPr>
              <w:pStyle w:val="709"/>
              <w:ind w:left="0"/>
              <w:jc w:val="center"/>
              <w:spacing w:after="0" w:line="320" w:lineRule="exact"/>
              <w:tabs>
                <w:tab w:val="left" w:pos="5100" w:leader="none"/>
              </w:tabs>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85</w:t>
            </w:r>
            <w:r/>
          </w:p>
        </w:tc>
        <w:tc>
          <w:tcPr>
            <w:tcW w:w="1331"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85</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4、采购需求的简要说明：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1：苏州市中医医院（含外围）保安服务及车辆管理服务，主要包含但不限于院内车辆、道路交通管理；院内安保管理；入口安检、停车收费；反恐防暴、应急处突、防火防盗、日常护送及消防应急处置，医疗纠纷突发事件处置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采购包2：</w:t>
      </w:r>
      <w:r>
        <w:rPr>
          <w:rFonts w:hint="eastAsia" w:ascii="宋体" w:hAnsi="宋体" w:cs="宋体"/>
          <w:color w:val="auto"/>
          <w:sz w:val="24"/>
          <w:szCs w:val="24"/>
          <w:highlight w:val="none"/>
          <w:lang w:val="en-US" w:eastAsia="zh-CN"/>
        </w:rPr>
        <w:t xml:space="preserve">包括火</w:t>
      </w:r>
      <w:r>
        <w:rPr>
          <w:rFonts w:hint="eastAsia" w:ascii="宋体" w:hAnsi="宋体" w:cs="宋体"/>
          <w:color w:val="auto"/>
          <w:sz w:val="24"/>
          <w:szCs w:val="24"/>
          <w:highlight w:val="none"/>
        </w:rPr>
        <w:t xml:space="preserve">灾自动报警系统和可燃气体探测系统、自动喷淋（水炮）灭火系统、消火栓灭火系统、防火分隔系统，气体灭火系统以及防排烟系统、联动控制系统、门禁系统、消防电源监控、电气火灾报警系统、应急照明及疏散指示、细水雾系统、防火门系统、灭火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采购包3：</w:t>
      </w:r>
      <w:r>
        <w:rPr>
          <w:rFonts w:hint="eastAsia" w:ascii="宋体" w:hAnsi="宋体" w:cs="宋体"/>
          <w:color w:val="auto"/>
          <w:sz w:val="24"/>
          <w:szCs w:val="24"/>
          <w:highlight w:val="none"/>
          <w:lang w:val="en-US" w:eastAsia="zh-CN"/>
        </w:rPr>
        <w:t xml:space="preserve">包含</w:t>
      </w:r>
      <w:r>
        <w:rPr>
          <w:rFonts w:hint="eastAsia" w:ascii="宋体" w:hAnsi="宋体" w:cs="宋体"/>
          <w:color w:val="auto"/>
          <w:sz w:val="24"/>
          <w:szCs w:val="24"/>
          <w:highlight w:val="none"/>
        </w:rPr>
        <w:t xml:space="preserve">苏州市中医医院</w:t>
      </w:r>
      <w:r>
        <w:rPr>
          <w:rFonts w:hint="eastAsia" w:ascii="宋体" w:hAnsi="宋体" w:cs="宋体"/>
          <w:color w:val="auto"/>
          <w:sz w:val="24"/>
          <w:szCs w:val="24"/>
          <w:highlight w:val="none"/>
          <w:lang w:val="en-US" w:eastAsia="zh-CN"/>
        </w:rPr>
        <w:t xml:space="preserve">西楼、东楼、景德路、吴中西路的</w:t>
      </w:r>
      <w:r>
        <w:rPr>
          <w:rFonts w:hint="eastAsia" w:ascii="宋体" w:hAnsi="宋体" w:cs="宋体"/>
          <w:color w:val="auto"/>
          <w:sz w:val="24"/>
          <w:szCs w:val="24"/>
          <w:highlight w:val="none"/>
        </w:rPr>
        <w:t xml:space="preserve">电梯设备运行作业、维护保养、故障处理等维保服务以及每月提交月度工作分析报告等内容。</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采购包4：</w:t>
      </w:r>
      <w:r>
        <w:rPr>
          <w:rFonts w:hint="eastAsia" w:ascii="宋体" w:hAnsi="宋体" w:cs="宋体"/>
          <w:color w:val="auto"/>
          <w:sz w:val="24"/>
          <w:szCs w:val="24"/>
          <w:highlight w:val="none"/>
          <w:lang w:val="en-US" w:eastAsia="zh-CN"/>
        </w:rPr>
        <w:t xml:space="preserve">包含</w:t>
      </w:r>
      <w:r>
        <w:rPr>
          <w:rFonts w:hint="eastAsia" w:ascii="宋体" w:hAnsi="宋体" w:cs="宋体"/>
          <w:color w:val="auto"/>
          <w:sz w:val="24"/>
          <w:szCs w:val="24"/>
          <w:highlight w:val="none"/>
        </w:rPr>
        <w:t xml:space="preserve">苏州市中医医院全院医用被服的收送和洗涤、消毒服务；全院手术类医用被服务的收送和租赁、洗涤、消毒服务；全院医务人员工作服的收送和洗涤、消毒服务</w:t>
      </w:r>
      <w:r>
        <w:rPr>
          <w:rFonts w:hint="eastAsia" w:ascii="宋体" w:hAnsi="宋体" w:cs="宋体"/>
          <w:color w:val="auto"/>
          <w:sz w:val="24"/>
          <w:szCs w:val="24"/>
          <w:highlight w:val="none"/>
          <w:lang w:eastAsia="zh-CN"/>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采购包5：提供苏州市中医医院东楼后勤综合服务，包含清洁消毒、</w:t>
      </w:r>
      <w:r>
        <w:rPr>
          <w:rFonts w:hint="eastAsia" w:ascii="宋体" w:hAnsi="宋体" w:cs="宋体"/>
          <w:color w:val="auto"/>
          <w:sz w:val="24"/>
          <w:szCs w:val="24"/>
          <w:highlight w:val="none"/>
          <w:lang w:val="en-US" w:eastAsia="zh-CN"/>
        </w:rPr>
        <w:t xml:space="preserve">离世患者运送，</w:t>
      </w:r>
      <w:r>
        <w:rPr>
          <w:rFonts w:hint="eastAsia" w:ascii="宋体" w:hAnsi="宋体" w:cs="宋体"/>
          <w:color w:val="auto"/>
          <w:sz w:val="24"/>
          <w:szCs w:val="24"/>
          <w:highlight w:val="none"/>
        </w:rPr>
        <w:t xml:space="preserve">生活垃圾和医疗垃圾的清运等内容。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6：提供苏州市中医医院西楼后勤综合服务，全院运送服务（含景德路门诊部、制剂楼、彩香教学基地、彩香路海关门面房、市血站、市立医院南区、市疾控、区疾控、附一院、市五院等外送服务）、地面外环境的环境清洁消杀等服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采购包7：</w:t>
      </w:r>
      <w:r>
        <w:rPr>
          <w:rFonts w:hint="eastAsia" w:ascii="宋体" w:hAnsi="宋体" w:cs="宋体"/>
          <w:color w:val="auto"/>
          <w:sz w:val="24"/>
          <w:szCs w:val="24"/>
          <w:highlight w:val="none"/>
          <w:lang w:val="en-US" w:eastAsia="zh-CN"/>
        </w:rPr>
        <w:t xml:space="preserve">提供</w:t>
      </w:r>
      <w:r>
        <w:rPr>
          <w:rFonts w:hint="eastAsia" w:ascii="宋体" w:hAnsi="宋体" w:cs="宋体"/>
          <w:color w:val="auto"/>
          <w:sz w:val="24"/>
          <w:szCs w:val="24"/>
          <w:highlight w:val="none"/>
        </w:rPr>
        <w:t xml:space="preserve">医院一期（杨素路18号）10KV高压供电线路、变电所、输出母线、柴油发电机房的管理、数据分析、设备维护；医院二期（杨素路18号）变电所、输出母线、柴油发电机房的管理、数据分析、设备维护保养等服务。老医院制剂楼（西百花巷36-1号）区域内的电力维护及保养等服务。彩香教学基地（彩香一村四区45幢北）区域内的电力维护及保养等服务。吴中西路888号区域内的变电所管理，数据分析，电力设备维护及保养等服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（1）服务周期：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采购包1：壹年，自202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年6月1日至202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年5月31日。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采购包2：壹年，</w:t>
      </w:r>
      <w:r>
        <w:rPr>
          <w:rFonts w:hint="eastAsia" w:ascii="宋体" w:hAnsi="宋体" w:cs="宋体"/>
          <w:color w:val="auto"/>
          <w:sz w:val="24"/>
          <w:szCs w:val="24"/>
          <w:highlight w:val="none"/>
          <w:lang w:val="en-US" w:eastAsia="zh-CN"/>
        </w:rPr>
        <w:t xml:space="preserve">自</w:t>
      </w:r>
      <w:r>
        <w:rPr>
          <w:rFonts w:hint="eastAsia" w:ascii="宋体" w:hAnsi="宋体" w:cs="宋体"/>
          <w:color w:val="auto"/>
          <w:sz w:val="24"/>
          <w:szCs w:val="24"/>
          <w:highlight w:val="none"/>
        </w:rPr>
        <w:t xml:space="preserve">2026年6月16日至2027年6月15日。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采购包3：壹年，自202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年8月15日至202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年8月14日。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采购包4：壹年，自202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年6月1日至202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年5月31日。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采购包5：壹年，自2026年6月1日至2027年5月31日。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采购包6：壹年，自2026年6月1日至2027年5月31日。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采购包7：壹年，自2026年8月1日</w:t>
      </w:r>
      <w:r>
        <w:rPr>
          <w:rFonts w:hint="eastAsia" w:ascii="宋体" w:hAnsi="宋体" w:cs="宋体"/>
          <w:color w:val="auto"/>
          <w:sz w:val="24"/>
          <w:szCs w:val="24"/>
          <w:highlight w:val="none"/>
          <w:lang w:val="en-US" w:eastAsia="zh-CN"/>
        </w:rPr>
        <w:t xml:space="preserve">至</w:t>
      </w:r>
      <w:r>
        <w:rPr>
          <w:rFonts w:hint="eastAsia" w:ascii="宋体" w:hAnsi="宋体" w:cs="宋体"/>
          <w:color w:val="auto"/>
          <w:sz w:val="24"/>
          <w:szCs w:val="24"/>
          <w:highlight w:val="none"/>
        </w:rPr>
        <w:t xml:space="preserve">2027年7月31日。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服务地点：苏州市中医医院指定地点（含苏州市杨素路18号市中医医院本部、景德路330号市中医医院景德路门诊部、西百花巷36-1号市中医医院制剂楼、彩香一村4区45幢北市中医医院彩香教学基地、原海关无偿借用用房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（3）验收标准：采购方根据国家和行业标准及采购文件要求进行质量验收。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7、采购包3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采购包5、</w:t>
      </w:r>
      <w:r>
        <w:rPr>
          <w:rFonts w:hint="eastAsia" w:ascii="宋体" w:hAnsi="宋体" w:cs="宋体"/>
          <w:color w:val="auto"/>
          <w:sz w:val="24"/>
          <w:szCs w:val="24"/>
          <w:highlight w:val="none"/>
        </w:rPr>
        <w:t xml:space="preserve">采购包6非专门面向中小企业采购。其余采购包专门面向中小企业采购。本项目投标人所属行业：采购包1为</w:t>
      </w:r>
      <w:r>
        <w:rPr>
          <w:rFonts w:hint="eastAsia" w:ascii="宋体" w:hAnsi="宋体" w:cs="宋体"/>
          <w:color w:val="auto"/>
          <w:sz w:val="24"/>
          <w:szCs w:val="24"/>
          <w:highlight w:val="none"/>
          <w:u w:val="single"/>
        </w:rPr>
        <w:t xml:space="preserve">租赁和商务服务业</w:t>
      </w:r>
      <w:r>
        <w:rPr>
          <w:rFonts w:hint="eastAsia" w:ascii="宋体" w:hAnsi="宋体" w:cs="宋体"/>
          <w:color w:val="auto"/>
          <w:sz w:val="24"/>
          <w:szCs w:val="24"/>
          <w:highlight w:val="none"/>
        </w:rPr>
        <w:t xml:space="preserve">，采购包3为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，其余采购包为</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p>
      <w:pPr>
        <w:ind w:firstLine="48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2.落实政府采购政策需满足的资格要求：除采购包3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采购包5、</w:t>
      </w:r>
      <w:r>
        <w:rPr>
          <w:rFonts w:hint="eastAsia" w:ascii="宋体" w:hAnsi="宋体" w:cs="宋体"/>
          <w:color w:val="auto"/>
          <w:sz w:val="24"/>
          <w:szCs w:val="24"/>
          <w:highlight w:val="none"/>
        </w:rPr>
        <w:t xml:space="preserve">采购包6外，其余采购包专门面向中小企业采购</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采购包1：投标人具有</w:t>
      </w:r>
      <w:r>
        <w:rPr>
          <w:rFonts w:hint="eastAsia" w:ascii="宋体" w:hAnsi="宋体" w:cs="宋体"/>
          <w:color w:val="auto"/>
          <w:sz w:val="24"/>
          <w:szCs w:val="24"/>
          <w:highlight w:val="none"/>
          <w:lang w:val="en-US" w:eastAsia="zh-CN"/>
        </w:rPr>
        <w:t xml:space="preserve">公安部门颁发的</w:t>
      </w:r>
      <w:r>
        <w:rPr>
          <w:rFonts w:hint="eastAsia" w:ascii="宋体" w:hAnsi="宋体" w:cs="宋体"/>
          <w:color w:val="auto"/>
          <w:sz w:val="24"/>
          <w:szCs w:val="24"/>
          <w:highlight w:val="none"/>
        </w:rPr>
        <w:t xml:space="preserve">保安服务许可证。</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采购包2：具有消防设施维修保养相关资质或有效备案凭证。</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采购包3：投标人具有《中华人民共和国特种设备生产许可证》资质（曳引式客梯含修理）或《中华人民共和国特种设备安装改造维修许可证》；</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采购包7：投标人具备电力总承包三级及以上或输变电工程专业承包三级及以上资质且具有承装、修、试五级及以上电力设施许可资质</w:t>
      </w:r>
      <w:r>
        <w:rPr>
          <w:rFonts w:hint="eastAsia" w:ascii="宋体" w:hAnsi="宋体" w:cs="宋体"/>
          <w:color w:val="auto"/>
          <w:sz w:val="24"/>
          <w:szCs w:val="24"/>
          <w:highlight w:val="none"/>
          <w:lang w:eastAsia="zh-CN"/>
        </w:rPr>
        <w:t xml:space="preserve">；</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hint="eastAsia" w:ascii="宋体" w:hAnsi="宋体"/>
          <w:b/>
          <w:bCs/>
          <w:color w:val="auto"/>
          <w:sz w:val="24"/>
          <w:szCs w:val="20"/>
          <w:highlight w:val="none"/>
        </w:rPr>
      </w:pPr>
      <w:r>
        <w:rPr>
          <w:rFonts w:ascii="宋体" w:hAnsi="宋体"/>
          <w:b/>
          <w:bCs/>
          <w:color w:val="auto"/>
          <w:sz w:val="24"/>
          <w:szCs w:val="20"/>
          <w:highlight w:val="none"/>
        </w:rPr>
        <w:t xml:space="preserve">三、获取招标文件</w:t>
      </w:r>
      <w:r/>
    </w:p>
    <w:p>
      <w:pPr>
        <w:ind w:firstLine="480"/>
        <w:widowControl/>
        <w:rPr>
          <w:rFonts w:hint="eastAsia" w:ascii="宋体" w:hAnsi="宋体"/>
          <w:color w:val="auto"/>
          <w:sz w:val="24"/>
          <w:szCs w:val="20"/>
          <w:highlight w:val="none"/>
        </w:rPr>
      </w:pPr>
      <w:r>
        <w:rPr>
          <w:rFonts w:hint="eastAsia" w:ascii="宋体" w:hAnsi="宋体"/>
          <w:color w:val="auto"/>
          <w:sz w:val="24"/>
          <w:szCs w:val="20"/>
          <w:highlight w:val="none"/>
        </w:rPr>
        <w:t xml:space="preserve">1、获取</w:t>
      </w:r>
      <w:r>
        <w:rPr>
          <w:rFonts w:ascii="宋体" w:hAnsi="宋体"/>
          <w:color w:val="auto"/>
          <w:sz w:val="24"/>
          <w:szCs w:val="20"/>
          <w:highlight w:val="none"/>
        </w:rPr>
        <w:t xml:space="preserve">时间：</w:t>
      </w:r>
      <w:r>
        <w:rPr>
          <w:rFonts w:hint="eastAsia" w:ascii="宋体" w:hAnsi="宋体"/>
          <w:color w:val="auto"/>
          <w:sz w:val="24"/>
          <w:szCs w:val="20"/>
          <w:highlight w:val="none"/>
        </w:rPr>
        <w:t xml:space="preserve">自招标公告发布之日起5个工作日</w:t>
      </w:r>
      <w:r/>
    </w:p>
    <w:p>
      <w:pPr>
        <w:ind w:firstLine="480"/>
        <w:jc w:val="left"/>
        <w:widowControl/>
        <w:rPr>
          <w:rFonts w:hint="default" w:ascii="宋体" w:hAnsi="宋体" w:eastAsia="宋体"/>
          <w:color w:val="auto"/>
          <w:sz w:val="24"/>
          <w:szCs w:val="20"/>
          <w:highlight w:val="none"/>
        </w:rPr>
      </w:pPr>
      <w:r>
        <w:rPr>
          <w:rFonts w:hint="eastAsia" w:ascii="宋体" w:hAnsi="宋体"/>
          <w:color w:val="auto"/>
          <w:sz w:val="24"/>
          <w:szCs w:val="20"/>
          <w:highlight w:val="none"/>
          <w:lang w:val="en-US" w:eastAsia="zh-CN"/>
        </w:rPr>
        <w:t xml:space="preserve">2、地点：苏采云系统</w:t>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rPr>
        <w:t xml:space="preserve">、获取方式：</w:t>
      </w:r>
      <w:r>
        <w:rPr>
          <w:rFonts w:hint="eastAsia" w:ascii="宋体" w:hAnsi="宋体"/>
          <w:color w:val="auto"/>
          <w:sz w:val="24"/>
          <w:szCs w:val="20"/>
          <w:highlight w:val="none"/>
          <w:lang w:val="en-US" w:eastAsia="zh-CN"/>
        </w:rPr>
        <w:t xml:space="preserve">自行下载</w:t>
      </w:r>
      <w:r/>
    </w:p>
    <w:p>
      <w:pPr>
        <w:pStyle w:val="692"/>
        <w:ind w:firstLine="480"/>
        <w:spacing w:line="240" w:lineRule="auto"/>
        <w:rPr>
          <w:color w:val="auto"/>
          <w:highlight w:val="none"/>
        </w:rPr>
      </w:pPr>
      <w:r>
        <w:rPr>
          <w:rFonts w:hint="eastAsia"/>
          <w:color w:val="auto"/>
          <w:highlight w:val="none"/>
          <w:lang w:val="en-US" w:eastAsia="zh-CN"/>
        </w:rPr>
        <w:t xml:space="preserve">4</w:t>
      </w:r>
      <w:r>
        <w:rPr>
          <w:rFonts w:hint="eastAsia"/>
          <w:color w:val="auto"/>
          <w:highlight w:val="none"/>
        </w:rPr>
        <w:t xml:space="preserve">、售价：无</w:t>
      </w:r>
      <w:r/>
    </w:p>
    <w:p>
      <w:pPr>
        <w:pStyle w:val="692"/>
        <w:ind w:firstLine="480"/>
        <w:spacing w:line="240" w:lineRule="auto"/>
        <w:rPr>
          <w:rFonts w:hint="eastAsia"/>
          <w:b/>
          <w:bCs/>
          <w:color w:val="auto"/>
          <w:highlight w:val="none"/>
        </w:rPr>
      </w:pPr>
      <w:r>
        <w:rPr>
          <w:rFonts w:hint="eastAsia"/>
          <w:b/>
          <w:bCs/>
          <w:color w:val="auto"/>
          <w:highlight w:val="none"/>
        </w:rPr>
        <w:t xml:space="preserve">四、上传投标文件截止时间、开标时间和地点</w:t>
      </w:r>
      <w:r/>
    </w:p>
    <w:p>
      <w:pPr>
        <w:pStyle w:val="692"/>
        <w:ind w:firstLine="480"/>
        <w:spacing w:line="240" w:lineRule="auto"/>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color w:val="auto"/>
          <w:highlight w:val="none"/>
          <w:lang w:eastAsia="zh-CN"/>
        </w:rPr>
        <w:t xml:space="preserve">2026年5月28日9点30分</w:t>
      </w:r>
      <w:r/>
    </w:p>
    <w:p>
      <w:pPr>
        <w:pStyle w:val="692"/>
        <w:ind w:firstLine="480"/>
        <w:spacing w:line="240" w:lineRule="auto"/>
        <w:rPr>
          <w:color w:val="auto"/>
          <w:highlight w:val="none"/>
        </w:rPr>
      </w:pPr>
      <w:r>
        <w:rPr>
          <w:rFonts w:hint="eastAsia"/>
          <w:color w:val="auto"/>
          <w:highlight w:val="none"/>
        </w:rPr>
        <w:t xml:space="preserve">2、开标时间：</w:t>
      </w:r>
      <w:r>
        <w:rPr>
          <w:rFonts w:hint="eastAsia"/>
          <w:color w:val="auto"/>
          <w:highlight w:val="none"/>
          <w:lang w:eastAsia="zh-CN"/>
        </w:rPr>
        <w:t xml:space="preserve">2026年5月28日9点30分</w:t>
      </w:r>
      <w:r/>
    </w:p>
    <w:p>
      <w:pPr>
        <w:pStyle w:val="692"/>
        <w:ind w:firstLine="480"/>
        <w:spacing w:line="240" w:lineRule="auto"/>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692"/>
        <w:ind w:firstLine="480"/>
        <w:spacing w:line="240" w:lineRule="auto"/>
        <w:rPr>
          <w:b/>
          <w:bCs/>
          <w:color w:val="auto"/>
          <w:highlight w:val="none"/>
        </w:rPr>
      </w:pPr>
      <w:r>
        <w:rPr>
          <w:rFonts w:hint="eastAsia"/>
          <w:b/>
          <w:bCs/>
          <w:color w:val="auto"/>
          <w:highlight w:val="none"/>
        </w:rPr>
        <w:t xml:space="preserve">五、公告期限</w:t>
      </w:r>
      <w:r/>
    </w:p>
    <w:p>
      <w:pPr>
        <w:pStyle w:val="692"/>
        <w:ind w:firstLine="480"/>
        <w:spacing w:line="240" w:lineRule="auto"/>
        <w:rPr>
          <w:color w:val="auto"/>
          <w:highlight w:val="none"/>
        </w:rPr>
      </w:pPr>
      <w:r>
        <w:rPr>
          <w:rFonts w:hint="eastAsia"/>
          <w:color w:val="auto"/>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pStyle w:val="692"/>
        <w:ind w:firstLine="480"/>
        <w:spacing w:line="240" w:lineRule="auto"/>
        <w:rPr>
          <w:color w:val="auto"/>
          <w:highlight w:val="none"/>
        </w:rPr>
      </w:pPr>
      <w:r>
        <w:rPr>
          <w:rFonts w:hint="eastAsia"/>
          <w:color w:val="auto"/>
          <w:highlight w:val="none"/>
        </w:rPr>
        <w:t xml:space="preserve">七、对本次招标提出询问，请按以下方式联系。</w:t>
      </w:r>
      <w:r/>
    </w:p>
    <w:p>
      <w:pPr>
        <w:pStyle w:val="692"/>
        <w:ind w:firstLine="480"/>
        <w:spacing w:line="240" w:lineRule="auto"/>
        <w:rPr>
          <w:color w:val="auto"/>
          <w:highlight w:val="none"/>
        </w:rPr>
      </w:pPr>
      <w:r>
        <w:rPr>
          <w:rFonts w:hint="eastAsia"/>
          <w:color w:val="auto"/>
          <w:highlight w:val="none"/>
        </w:rPr>
        <w:t xml:space="preserve">1、采购人信息</w:t>
      </w:r>
      <w:r/>
    </w:p>
    <w:p>
      <w:pPr>
        <w:pStyle w:val="692"/>
        <w:ind w:firstLine="480"/>
        <w:spacing w:line="240" w:lineRule="auto"/>
        <w:rPr>
          <w:color w:val="auto"/>
          <w:highlight w:val="none"/>
        </w:rPr>
      </w:pPr>
      <w:r>
        <w:rPr>
          <w:rFonts w:hint="eastAsia"/>
          <w:color w:val="auto"/>
          <w:highlight w:val="none"/>
        </w:rPr>
        <w:t xml:space="preserve">名称：苏州市中医医院</w:t>
      </w:r>
      <w:r/>
    </w:p>
    <w:p>
      <w:pPr>
        <w:pStyle w:val="692"/>
        <w:ind w:firstLine="480"/>
        <w:spacing w:line="240" w:lineRule="auto"/>
        <w:rPr>
          <w:color w:val="auto"/>
          <w:highlight w:val="none"/>
        </w:rPr>
      </w:pPr>
      <w:r>
        <w:rPr>
          <w:rFonts w:hint="eastAsia"/>
          <w:color w:val="auto"/>
          <w:highlight w:val="none"/>
        </w:rPr>
        <w:t xml:space="preserve">地址：苏州市杨素路18号</w:t>
      </w:r>
      <w:r/>
    </w:p>
    <w:p>
      <w:pPr>
        <w:pStyle w:val="692"/>
        <w:ind w:firstLine="480"/>
        <w:spacing w:line="240" w:lineRule="auto"/>
        <w:rPr>
          <w:color w:val="auto"/>
          <w:highlight w:val="none"/>
        </w:rPr>
      </w:pPr>
      <w:r>
        <w:rPr>
          <w:rFonts w:hint="eastAsia"/>
          <w:color w:val="auto"/>
          <w:highlight w:val="none"/>
        </w:rPr>
        <w:t xml:space="preserve">联系人：徐洪</w:t>
      </w:r>
      <w:r/>
    </w:p>
    <w:p>
      <w:pPr>
        <w:pStyle w:val="692"/>
        <w:ind w:firstLine="480"/>
        <w:spacing w:line="240" w:lineRule="auto"/>
        <w:rPr>
          <w:rFonts w:hint="eastAsia" w:eastAsia="宋体"/>
          <w:color w:val="auto"/>
          <w:highlight w:val="none"/>
          <w:lang w:eastAsia="zh-CN"/>
        </w:rPr>
      </w:pPr>
      <w:r>
        <w:rPr>
          <w:rFonts w:hint="eastAsia"/>
          <w:color w:val="auto"/>
          <w:highlight w:val="none"/>
        </w:rPr>
        <w:t xml:space="preserve">联系电话：</w:t>
      </w:r>
      <w:r>
        <w:rPr>
          <w:rFonts w:hint="eastAsia"/>
          <w:color w:val="auto"/>
          <w:highlight w:val="none"/>
          <w:lang w:eastAsia="zh-CN"/>
        </w:rPr>
        <w:t xml:space="preserve">0512-67870690</w:t>
      </w:r>
      <w:r/>
    </w:p>
    <w:p>
      <w:pPr>
        <w:pStyle w:val="692"/>
        <w:ind w:firstLine="480"/>
        <w:spacing w:line="240" w:lineRule="auto"/>
        <w:rPr>
          <w:color w:val="auto"/>
          <w:highlight w:val="none"/>
        </w:rPr>
      </w:pPr>
      <w:r>
        <w:rPr>
          <w:rFonts w:hint="eastAsia"/>
          <w:color w:val="auto"/>
          <w:highlight w:val="none"/>
        </w:rPr>
        <w:t xml:space="preserve">2、采购代理机构信息</w:t>
      </w:r>
      <w:r/>
    </w:p>
    <w:p>
      <w:pPr>
        <w:pStyle w:val="692"/>
        <w:ind w:firstLine="480"/>
        <w:spacing w:line="240" w:lineRule="auto"/>
        <w:rPr>
          <w:color w:val="auto"/>
          <w:highlight w:val="none"/>
        </w:rPr>
      </w:pPr>
      <w:r>
        <w:rPr>
          <w:rFonts w:hint="eastAsia"/>
          <w:color w:val="auto"/>
          <w:highlight w:val="none"/>
        </w:rPr>
        <w:t xml:space="preserve">名称：苏州市卫康招投标咨询服务有限公司</w:t>
      </w:r>
      <w:r/>
    </w:p>
    <w:p>
      <w:pPr>
        <w:pStyle w:val="692"/>
        <w:ind w:firstLine="480"/>
        <w:spacing w:line="240" w:lineRule="auto"/>
        <w:rPr>
          <w:color w:val="auto"/>
          <w:highlight w:val="none"/>
        </w:rPr>
      </w:pPr>
      <w:r>
        <w:rPr>
          <w:rFonts w:hint="eastAsia"/>
          <w:color w:val="auto"/>
          <w:highlight w:val="none"/>
        </w:rPr>
        <w:t xml:space="preserve">地址：苏州市干将西路1296号1幢17层</w:t>
      </w:r>
      <w:r/>
    </w:p>
    <w:p>
      <w:pPr>
        <w:pStyle w:val="692"/>
        <w:ind w:firstLine="480"/>
        <w:spacing w:line="240" w:lineRule="auto"/>
        <w:rPr>
          <w:color w:val="auto"/>
          <w:highlight w:val="none"/>
        </w:rPr>
      </w:pPr>
      <w:r>
        <w:rPr>
          <w:rFonts w:hint="eastAsia"/>
          <w:color w:val="auto"/>
          <w:highlight w:val="none"/>
        </w:rPr>
        <w:t xml:space="preserve">前台联系方式：0512-69165625</w:t>
      </w:r>
      <w:r/>
    </w:p>
    <w:p>
      <w:pPr>
        <w:pStyle w:val="692"/>
        <w:ind w:firstLine="480"/>
        <w:spacing w:line="240" w:lineRule="auto"/>
        <w:rPr>
          <w:color w:val="auto"/>
          <w:highlight w:val="none"/>
        </w:rPr>
      </w:pPr>
      <w:r>
        <w:rPr>
          <w:rFonts w:hint="eastAsia"/>
          <w:color w:val="auto"/>
          <w:highlight w:val="none"/>
        </w:rPr>
        <w:t xml:space="preserve">3、项目联系方式</w:t>
      </w:r>
      <w:r/>
    </w:p>
    <w:p>
      <w:pPr>
        <w:pStyle w:val="692"/>
        <w:ind w:firstLine="480"/>
        <w:spacing w:line="240" w:lineRule="auto"/>
        <w:rPr>
          <w:rFonts w:hint="eastAsia" w:eastAsia="宋体"/>
          <w:color w:val="auto"/>
          <w:highlight w:val="none"/>
          <w:lang w:eastAsia="zh-CN"/>
        </w:rPr>
      </w:pPr>
      <w:r>
        <w:rPr>
          <w:rFonts w:hint="eastAsia"/>
          <w:color w:val="auto"/>
          <w:highlight w:val="none"/>
        </w:rPr>
        <w:t xml:space="preserve">项目联系人：陈璐佳、李晶晶</w:t>
      </w:r>
      <w:r/>
    </w:p>
    <w:p>
      <w:pPr>
        <w:pStyle w:val="692"/>
        <w:ind w:firstLine="480"/>
        <w:spacing w:line="240" w:lineRule="auto"/>
        <w:rPr>
          <w:color w:val="auto"/>
          <w:highlight w:val="none"/>
        </w:rPr>
      </w:pPr>
      <w:r>
        <w:rPr>
          <w:rFonts w:hint="eastAsia"/>
          <w:color w:val="auto"/>
          <w:highlight w:val="none"/>
        </w:rPr>
        <w:t xml:space="preserve">电话：0512-69165615</w:t>
      </w:r>
      <w:r/>
    </w:p>
    <w:p>
      <w:pPr>
        <w:pStyle w:val="692"/>
        <w:ind w:firstLine="480"/>
        <w:jc w:val="right"/>
        <w:spacing w:line="240" w:lineRule="auto"/>
        <w:rPr>
          <w:color w:val="auto"/>
          <w:highlight w:val="none"/>
        </w:rPr>
      </w:pPr>
      <w:r>
        <w:rPr>
          <w:rFonts w:hint="eastAsia"/>
          <w:color w:val="auto"/>
          <w:highlight w:val="none"/>
        </w:rPr>
        <w:t xml:space="preserve"> 苏州市卫康招投标咨询服务有限公司</w:t>
      </w:r>
      <w:r/>
    </w:p>
    <w:p>
      <w:pPr>
        <w:jc w:val="center"/>
        <w:rPr>
          <w:rFonts w:hint="eastAsia"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bookmarkStart w:id="1" w:name="_Hlk131152694"/>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lang w:val="en-US" w:eastAsia="zh-CN"/>
        </w:rPr>
        <w:t xml:space="preserve"> </w:t>
      </w: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spacing w:line="480" w:lineRule="auto"/>
        <w:rPr>
          <w:rFonts w:hint="eastAsia" w:ascii="宋体" w:hAnsi="宋体"/>
          <w:color w:val="auto"/>
          <w:sz w:val="30"/>
          <w:szCs w:val="30"/>
          <w:highlight w:val="none"/>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JSZC-320500-SZWK-G2026-0106</w:t>
      </w:r>
      <w:r>
        <w:rPr>
          <w:rFonts w:hint="eastAsia" w:ascii="宋体" w:hAnsi="宋体"/>
          <w:color w:val="auto"/>
          <w:sz w:val="30"/>
          <w:szCs w:val="30"/>
          <w:highlight w:val="none"/>
        </w:rPr>
        <w:t xml:space="preserve">号</w:t>
      </w:r>
      <w:r/>
    </w:p>
    <w:p>
      <w:pPr>
        <w:ind w:firstLine="1800"/>
        <w:spacing w:line="480" w:lineRule="auto"/>
        <w:rPr>
          <w:color w:val="auto"/>
          <w:sz w:val="30"/>
          <w:szCs w:val="30"/>
          <w:highlight w:val="none"/>
        </w:rPr>
      </w:pPr>
      <w:r>
        <w:rPr>
          <w:rFonts w:hint="eastAsia"/>
          <w:color w:val="auto"/>
          <w:sz w:val="30"/>
          <w:szCs w:val="30"/>
          <w:highlight w:val="none"/>
        </w:rPr>
        <w:t xml:space="preserve">采购项目：医院后勤综合管理服务</w:t>
      </w:r>
      <w:r/>
    </w:p>
    <w:p>
      <w:pPr>
        <w:ind w:firstLine="1800"/>
        <w:spacing w:line="480" w:lineRule="auto"/>
        <w:rPr>
          <w:rFonts w:hint="eastAsia"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苏州市中医医院</w:t>
      </w:r>
      <w:r/>
    </w:p>
    <w:p>
      <w:pPr>
        <w:ind w:right="-159"/>
        <w:spacing w:line="480" w:lineRule="auto"/>
        <w:rPr>
          <w:rFonts w:hint="eastAsia" w:ascii="宋体" w:hAnsi="宋体"/>
          <w:color w:val="auto"/>
          <w:sz w:val="30"/>
          <w:szCs w:val="24"/>
          <w:highlight w:val="none"/>
        </w:rPr>
      </w:pPr>
      <w:r>
        <w:rPr>
          <w:rFonts w:hint="eastAsia" w:ascii="宋体" w:hAnsi="宋体"/>
          <w:color w:val="auto"/>
          <w:sz w:val="30"/>
          <w:highlight w:val="none"/>
        </w:rPr>
        <w:t xml:space="preserve">                        </w:t>
      </w:r>
      <w:r/>
    </w:p>
    <w:p>
      <w:pPr>
        <w:ind w:firstLine="600"/>
        <w:rPr>
          <w:rFonts w:hint="eastAsia"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hint="eastAsia"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五</w:t>
      </w:r>
      <w:r>
        <w:rPr>
          <w:rFonts w:hint="eastAsia" w:ascii="宋体" w:hAnsi="宋体"/>
          <w:color w:val="auto"/>
          <w:sz w:val="30"/>
          <w:highlight w:val="none"/>
        </w:rPr>
        <w:t xml:space="preserve">月</w:t>
      </w:r>
      <w:r/>
    </w:p>
    <w:p>
      <w:pPr>
        <w:rPr>
          <w:color w:val="auto"/>
          <w:highlight w:val="none"/>
        </w:rPr>
      </w:pPr>
      <w:r>
        <w:rPr>
          <w:color w:val="auto"/>
          <w:highlight w:val="none"/>
        </w:rPr>
        <w:br w:type="page" w:clear="all"/>
      </w:r>
      <w:bookmarkEnd w:id="1"/>
      <w:r/>
      <w:r/>
    </w:p>
    <w:p>
      <w:pPr>
        <w:pStyle w:val="714"/>
        <w:jc w:val="center"/>
        <w:spacing w:line="360" w:lineRule="auto"/>
        <w:tabs>
          <w:tab w:val="right" w:pos="8302" w:leader="dot"/>
        </w:tabs>
        <w:rPr>
          <w:rFonts w:hint="eastAsia"/>
          <w:b/>
          <w:bCs/>
          <w:color w:val="auto"/>
          <w:spacing w:val="20"/>
          <w:sz w:val="30"/>
          <w:szCs w:val="20"/>
          <w:highlight w:val="none"/>
        </w:rPr>
      </w:pPr>
      <w:r/>
      <w:bookmarkStart w:id="2" w:name="_Hlk131152723"/>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685"/>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序号</w:t>
            </w:r>
            <w:r/>
          </w:p>
        </w:tc>
        <w:tc>
          <w:tcPr>
            <w:tcW w:w="1620" w:type="dxa"/>
            <w:vAlign w:val="center"/>
            <w:textDirection w:val="lrTb"/>
            <w:noWrap w:val="false"/>
          </w:tcPr>
          <w:p>
            <w:pPr>
              <w:jc w:val="center"/>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名称</w:t>
            </w:r>
            <w:r/>
          </w:p>
        </w:tc>
        <w:tc>
          <w:tcPr>
            <w:tcW w:w="6345" w:type="dxa"/>
            <w:vAlign w:val="center"/>
            <w:textDirection w:val="lrTb"/>
            <w:noWrap w:val="false"/>
          </w:tcPr>
          <w:p>
            <w:pPr>
              <w:jc w:val="center"/>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采购编号</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eastAsia="zh-CN"/>
              </w:rPr>
              <w:t xml:space="preserve">JSZC-320500-SZWK-G2026-0106</w:t>
            </w:r>
            <w:r>
              <w:rPr>
                <w:rFonts w:ascii="宋体" w:hAnsi="宋体"/>
                <w:color w:val="auto"/>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采购</w:t>
            </w:r>
            <w:r>
              <w:rPr>
                <w:rFonts w:hint="eastAsia" w:ascii="宋体" w:hAnsi="宋体"/>
                <w:color w:val="auto"/>
                <w:szCs w:val="21"/>
                <w:highlight w:val="none"/>
              </w:rPr>
              <w:t xml:space="preserve">货物名称</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ascii="宋体" w:hAnsi="宋体"/>
                <w:color w:val="auto"/>
                <w:szCs w:val="21"/>
                <w:highlight w:val="none"/>
              </w:rPr>
              <w:t xml:space="preserve">医院后勤综合管理服务</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采购人</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苏州市中医医院</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联系人：徐洪</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联系电话：0512-67870690</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采购代理机构</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ascii="宋体" w:hAnsi="宋体"/>
                <w:color w:val="auto"/>
                <w:szCs w:val="21"/>
                <w:highlight w:val="none"/>
                <w:lang w:val="zh-CN"/>
              </w:rPr>
              <w:t xml:space="preserve">苏州市卫康招投标咨询服务有限公司</w:t>
            </w:r>
            <w:r/>
          </w:p>
          <w:p>
            <w:pPr>
              <w:spacing w:line="400" w:lineRule="exact"/>
              <w:rPr>
                <w:rFonts w:hint="eastAsia" w:ascii="宋体" w:hAnsi="宋体"/>
                <w:color w:val="auto"/>
                <w:szCs w:val="21"/>
                <w:highlight w:val="none"/>
              </w:rPr>
            </w:pPr>
            <w:r>
              <w:rPr>
                <w:rFonts w:ascii="宋体" w:hAnsi="宋体"/>
                <w:color w:val="auto"/>
                <w:szCs w:val="21"/>
                <w:highlight w:val="none"/>
                <w:lang w:val="zh-CN"/>
              </w:rPr>
              <w:t xml:space="preserve">地</w:t>
            </w:r>
            <w:r>
              <w:rPr>
                <w:rFonts w:ascii="宋体" w:hAnsi="宋体"/>
                <w:color w:val="auto"/>
                <w:szCs w:val="21"/>
                <w:highlight w:val="none"/>
              </w:rPr>
              <w:t xml:space="preserve">  </w:t>
            </w:r>
            <w:r>
              <w:rPr>
                <w:rFonts w:ascii="宋体" w:hAnsi="宋体"/>
                <w:color w:val="auto"/>
                <w:szCs w:val="21"/>
                <w:highlight w:val="none"/>
                <w:lang w:val="zh-CN"/>
              </w:rPr>
              <w:t xml:space="preserve">址：苏州市干将西路1296号深业姑苏中心17层</w:t>
            </w:r>
            <w:r/>
          </w:p>
          <w:p>
            <w:pPr>
              <w:spacing w:line="400" w:lineRule="exact"/>
              <w:rPr>
                <w:rFonts w:hint="eastAsia" w:ascii="宋体" w:hAnsi="宋体"/>
                <w:color w:val="auto"/>
                <w:szCs w:val="21"/>
                <w:highlight w:val="none"/>
              </w:rPr>
            </w:pPr>
            <w:r>
              <w:rPr>
                <w:rFonts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hint="eastAsia" w:ascii="宋体" w:hAnsi="宋体"/>
                <w:color w:val="auto"/>
                <w:szCs w:val="21"/>
                <w:highlight w:val="none"/>
              </w:rPr>
            </w:pPr>
            <w:r>
              <w:rPr>
                <w:rFonts w:ascii="宋体" w:hAnsi="宋体"/>
                <w:color w:val="auto"/>
                <w:szCs w:val="21"/>
                <w:highlight w:val="none"/>
                <w:lang w:val="zh-CN"/>
              </w:rPr>
              <w:t xml:space="preserve">电话：</w:t>
            </w:r>
            <w:r>
              <w:rPr>
                <w:rFonts w:hint="eastAsia" w:ascii="宋体" w:hAnsi="宋体"/>
                <w:color w:val="auto"/>
                <w:szCs w:val="21"/>
                <w:highlight w:val="none"/>
              </w:rPr>
              <w:t xml:space="preserve">0512-6916561</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联系</w:t>
            </w:r>
            <w:r>
              <w:rPr>
                <w:rFonts w:ascii="宋体" w:hAnsi="宋体"/>
                <w:color w:val="auto"/>
                <w:szCs w:val="21"/>
                <w:highlight w:val="none"/>
                <w:lang w:val="zh-CN"/>
              </w:rPr>
              <w:t xml:space="preserve">人：</w:t>
            </w:r>
            <w:r>
              <w:rPr>
                <w:rFonts w:hint="eastAsia" w:ascii="宋体" w:hAnsi="宋体"/>
                <w:color w:val="auto"/>
                <w:szCs w:val="21"/>
                <w:highlight w:val="none"/>
                <w:lang w:val="zh-CN"/>
              </w:rPr>
              <w:t xml:space="preserve">陈璐佳、李晶晶</w:t>
            </w:r>
            <w:r/>
          </w:p>
          <w:p>
            <w:pPr>
              <w:spacing w:line="400" w:lineRule="exact"/>
              <w:rPr>
                <w:rFonts w:hint="eastAsia" w:ascii="宋体" w:hAnsi="宋体"/>
                <w:color w:val="auto"/>
                <w:szCs w:val="21"/>
                <w:highlight w:val="none"/>
              </w:rPr>
            </w:pPr>
            <w:r>
              <w:rPr>
                <w:rFonts w:ascii="宋体" w:hAnsi="宋体"/>
                <w:color w:val="auto"/>
                <w:szCs w:val="21"/>
                <w:highlight w:val="none"/>
                <w:lang w:val="zh-CN"/>
              </w:rPr>
              <w:t xml:space="preserve">传真</w:t>
            </w:r>
            <w:r>
              <w:rPr>
                <w:rFonts w:ascii="宋体" w:hAnsi="宋体"/>
                <w:color w:val="auto"/>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投标有效期</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90</w:t>
            </w:r>
            <w:r>
              <w:rPr>
                <w:rFonts w:ascii="宋体" w:hAnsi="宋体"/>
                <w:color w:val="auto"/>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投标保证金</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851"/>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网上报名截止时    间</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hint="eastAsia" w:ascii="宋体" w:hAnsi="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2026年5月28日9点30分</w:t>
            </w:r>
            <w:r/>
          </w:p>
        </w:tc>
      </w:tr>
      <w:tr>
        <w:trPr>
          <w:jc w:val="center"/>
          <w:trHeight w:val="44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2026年5月28日9点30分</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zh-CN"/>
              </w:rPr>
              <w:t xml:space="preserve">评标地点：</w:t>
            </w:r>
            <w:r>
              <w:rPr>
                <w:rFonts w:hint="eastAsia" w:ascii="宋体" w:hAnsi="宋体"/>
                <w:color w:val="auto"/>
                <w:szCs w:val="21"/>
                <w:highlight w:val="none"/>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中标服务费</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按苏财购告【</w:t>
            </w:r>
            <w:r>
              <w:rPr>
                <w:rFonts w:ascii="宋体" w:hAnsi="宋体"/>
                <w:color w:val="auto"/>
                <w:szCs w:val="21"/>
                <w:highlight w:val="none"/>
                <w:lang w:val="zh-CN"/>
              </w:rPr>
              <w:t xml:space="preserve">2016</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31</w:t>
            </w:r>
            <w:r>
              <w:rPr>
                <w:rFonts w:hint="eastAsia" w:ascii="宋体" w:hAnsi="宋体"/>
                <w:color w:val="auto"/>
                <w:szCs w:val="21"/>
                <w:highlight w:val="none"/>
                <w:lang w:val="zh-CN"/>
              </w:rPr>
              <w:t xml:space="preserve">号规定的收费标准收取，领取中标通知时中标人向采购代理机构一次性付清。中标服务费的收取按差额定率累进法计算。</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收费标准：</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预算金额的</w:t>
            </w:r>
            <w:r>
              <w:rPr>
                <w:rFonts w:ascii="宋体" w:hAnsi="宋体"/>
                <w:color w:val="auto"/>
                <w:szCs w:val="21"/>
                <w:highlight w:val="none"/>
                <w:lang w:val="zh-CN"/>
              </w:rPr>
              <w:t xml:space="preserve">100</w:t>
            </w:r>
            <w:r>
              <w:rPr>
                <w:rFonts w:hint="eastAsia" w:ascii="宋体" w:hAnsi="宋体"/>
                <w:color w:val="auto"/>
                <w:szCs w:val="21"/>
                <w:highlight w:val="none"/>
                <w:lang w:val="zh-CN"/>
              </w:rPr>
              <w:t xml:space="preserve">万（含）以下部分费率为</w:t>
            </w:r>
            <w:r>
              <w:rPr>
                <w:rFonts w:ascii="宋体" w:hAnsi="宋体"/>
                <w:color w:val="auto"/>
                <w:szCs w:val="21"/>
                <w:highlight w:val="none"/>
                <w:lang w:val="zh-CN"/>
              </w:rPr>
              <w:t xml:space="preserve">1.5%</w:t>
            </w:r>
            <w:r>
              <w:rPr>
                <w:rFonts w:hint="eastAsia" w:ascii="宋体" w:hAnsi="宋体"/>
                <w:color w:val="auto"/>
                <w:szCs w:val="21"/>
                <w:highlight w:val="none"/>
                <w:lang w:val="zh-CN"/>
              </w:rPr>
              <w:t xml:space="preserve">；</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预算金额的</w:t>
            </w:r>
            <w:r>
              <w:rPr>
                <w:rFonts w:ascii="宋体" w:hAnsi="宋体"/>
                <w:color w:val="auto"/>
                <w:szCs w:val="21"/>
                <w:highlight w:val="none"/>
                <w:lang w:val="zh-CN"/>
              </w:rPr>
              <w:t xml:space="preserve">100</w:t>
            </w:r>
            <w:r>
              <w:rPr>
                <w:rFonts w:hint="eastAsia" w:ascii="宋体" w:hAnsi="宋体"/>
                <w:color w:val="auto"/>
                <w:szCs w:val="21"/>
                <w:highlight w:val="none"/>
                <w:lang w:val="zh-CN"/>
              </w:rPr>
              <w:t xml:space="preserve">万</w:t>
            </w:r>
            <w:r>
              <w:rPr>
                <w:rFonts w:hint="eastAsia" w:ascii="宋体" w:hAnsi="宋体"/>
                <w:color w:val="auto"/>
                <w:szCs w:val="21"/>
                <w:highlight w:val="none"/>
              </w:rPr>
              <w:t xml:space="preserve">至500万</w:t>
            </w:r>
            <w:r>
              <w:rPr>
                <w:rFonts w:hint="eastAsia" w:ascii="宋体" w:hAnsi="宋体"/>
                <w:color w:val="auto"/>
                <w:szCs w:val="21"/>
                <w:highlight w:val="none"/>
                <w:lang w:val="zh-CN"/>
              </w:rPr>
              <w:t xml:space="preserve">（含）以下部分费率为</w:t>
            </w:r>
            <w:r>
              <w:rPr>
                <w:rFonts w:ascii="宋体" w:hAnsi="宋体"/>
                <w:color w:val="auto"/>
                <w:szCs w:val="21"/>
                <w:highlight w:val="none"/>
                <w:lang w:val="zh-CN"/>
              </w:rPr>
              <w:t xml:space="preserve">1.</w:t>
            </w:r>
            <w:r>
              <w:rPr>
                <w:rFonts w:hint="eastAsia" w:ascii="宋体" w:hAnsi="宋体"/>
                <w:color w:val="auto"/>
                <w:szCs w:val="21"/>
                <w:highlight w:val="none"/>
              </w:rPr>
              <w:t xml:space="preserve">1</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预算金额的</w:t>
            </w:r>
            <w:r>
              <w:rPr>
                <w:rFonts w:hint="eastAsia" w:ascii="宋体" w:hAnsi="宋体"/>
                <w:color w:val="auto"/>
                <w:szCs w:val="21"/>
                <w:highlight w:val="none"/>
              </w:rPr>
              <w:t xml:space="preserve">5</w:t>
            </w:r>
            <w:r>
              <w:rPr>
                <w:rFonts w:ascii="宋体" w:hAnsi="宋体"/>
                <w:color w:val="auto"/>
                <w:szCs w:val="21"/>
                <w:highlight w:val="none"/>
                <w:lang w:val="zh-CN"/>
              </w:rPr>
              <w:t xml:space="preserve">00</w:t>
            </w:r>
            <w:r>
              <w:rPr>
                <w:rFonts w:hint="eastAsia" w:ascii="宋体" w:hAnsi="宋体"/>
                <w:color w:val="auto"/>
                <w:szCs w:val="21"/>
                <w:highlight w:val="none"/>
                <w:lang w:val="zh-CN"/>
              </w:rPr>
              <w:t xml:space="preserve">万</w:t>
            </w:r>
            <w:r>
              <w:rPr>
                <w:rFonts w:hint="eastAsia" w:ascii="宋体" w:hAnsi="宋体"/>
                <w:color w:val="auto"/>
                <w:szCs w:val="21"/>
                <w:highlight w:val="none"/>
              </w:rPr>
              <w:t xml:space="preserve">至1000万</w:t>
            </w:r>
            <w:r>
              <w:rPr>
                <w:rFonts w:hint="eastAsia" w:ascii="宋体" w:hAnsi="宋体"/>
                <w:color w:val="auto"/>
                <w:szCs w:val="21"/>
                <w:highlight w:val="none"/>
                <w:lang w:val="zh-CN"/>
              </w:rPr>
              <w:t xml:space="preserve">（含）以下部分费率为</w:t>
            </w:r>
            <w:r>
              <w:rPr>
                <w:rFonts w:hint="eastAsia" w:ascii="宋体" w:hAnsi="宋体"/>
                <w:color w:val="auto"/>
                <w:szCs w:val="21"/>
                <w:highlight w:val="none"/>
              </w:rPr>
              <w:t xml:space="preserve">0.8</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服务费交纳账户：苏州市卫康招投标咨询服务有限公司</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账号：</w:t>
            </w:r>
            <w:r>
              <w:rPr>
                <w:rFonts w:ascii="宋体" w:hAnsi="宋体"/>
                <w:color w:val="auto"/>
                <w:szCs w:val="21"/>
                <w:highlight w:val="none"/>
              </w:rPr>
              <w:t xml:space="preserve">1102020209000295112</w:t>
            </w:r>
            <w:r/>
          </w:p>
          <w:p>
            <w:pPr>
              <w:spacing w:line="400" w:lineRule="exact"/>
              <w:rPr>
                <w:color w:val="auto"/>
                <w:szCs w:val="21"/>
                <w:highlight w:val="none"/>
              </w:rPr>
            </w:pPr>
            <w:r>
              <w:rPr>
                <w:rFonts w:hint="eastAsia"/>
                <w:color w:val="auto"/>
                <w:szCs w:val="21"/>
                <w:highlight w:val="none"/>
              </w:rPr>
              <w:t xml:space="preserve">开户银行：中国工商银行股份有限公司苏州道前支行</w:t>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导致废标因素</w:t>
            </w:r>
            <w:r/>
          </w:p>
        </w:tc>
        <w:tc>
          <w:tcPr>
            <w:tcW w:w="6345"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b/>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hint="eastAsia" w:ascii="宋体" w:hAnsi="宋体"/>
          <w:b/>
          <w:bCs/>
          <w:color w:val="auto"/>
          <w:spacing w:val="-14"/>
          <w:sz w:val="30"/>
          <w:highlight w:val="none"/>
        </w:rPr>
      </w:pPr>
      <w:r>
        <w:rPr>
          <w:rFonts w:ascii="宋体" w:hAnsi="宋体"/>
          <w:b/>
          <w:bCs/>
          <w:color w:val="auto"/>
          <w:spacing w:val="-14"/>
          <w:sz w:val="30"/>
          <w:highlight w:val="none"/>
        </w:rPr>
        <w:br w:type="page" w:clear="all"/>
      </w:r>
      <w:bookmarkEnd w:id="2"/>
      <w:r/>
      <w:bookmarkStart w:id="3" w:name="_Hlk131152744"/>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688"/>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714"/>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第一章  投标邀请函</w:t>
      </w:r>
      <w:r/>
    </w:p>
    <w:p>
      <w:pPr>
        <w:pStyle w:val="714"/>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第二章  投标人须知</w:t>
      </w:r>
      <w:r/>
    </w:p>
    <w:p>
      <w:pPr>
        <w:pStyle w:val="714"/>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第三章  电子投标文件格式</w:t>
      </w:r>
      <w:r/>
    </w:p>
    <w:p>
      <w:pPr>
        <w:pStyle w:val="714"/>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第四章  采购书</w:t>
      </w:r>
      <w:r/>
    </w:p>
    <w:p>
      <w:pPr>
        <w:pStyle w:val="714"/>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第五章  合同主要条款</w:t>
      </w:r>
      <w:r/>
    </w:p>
    <w:p>
      <w:pPr>
        <w:pStyle w:val="714"/>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第六章  评标办法及评分标准</w:t>
      </w:r>
      <w:bookmarkEnd w:id="3"/>
      <w:r/>
      <w:r/>
    </w:p>
    <w:p>
      <w:pPr>
        <w:pStyle w:val="714"/>
        <w:jc w:val="center"/>
        <w:spacing w:line="360" w:lineRule="auto"/>
        <w:tabs>
          <w:tab w:val="right" w:pos="8302" w:leader="dot"/>
        </w:tabs>
        <w:rPr>
          <w:rFonts w:hint="eastAsia"/>
          <w:b/>
          <w:bCs/>
          <w:color w:val="auto"/>
          <w:spacing w:val="20"/>
          <w:sz w:val="30"/>
          <w:szCs w:val="20"/>
          <w:highlight w:val="none"/>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rFonts w:hint="eastAsia"/>
          <w:b/>
          <w:bCs/>
          <w:color w:val="auto"/>
          <w:spacing w:val="20"/>
          <w:sz w:val="30"/>
          <w:szCs w:val="20"/>
          <w:highlight w:val="none"/>
        </w:rPr>
      </w:r>
      <w:r/>
    </w:p>
    <w:p>
      <w:pPr>
        <w:pStyle w:val="714"/>
        <w:jc w:val="center"/>
        <w:spacing w:before="0" w:beforeAutospacing="0" w:after="0" w:afterAutospacing="0" w:line="360" w:lineRule="auto"/>
        <w:tabs>
          <w:tab w:val="right" w:pos="8302" w:leader="dot"/>
        </w:tabs>
        <w:rPr>
          <w:rFonts w:hint="eastAsia"/>
          <w:color w:val="auto"/>
          <w:sz w:val="21"/>
          <w:szCs w:val="21"/>
          <w:highlight w:val="none"/>
        </w:rPr>
      </w:pPr>
      <w:r/>
      <w:bookmarkStart w:id="4" w:name="_Hlk131152764"/>
      <w:r>
        <w:rPr>
          <w:rFonts w:hint="eastAsia"/>
          <w:b/>
          <w:bCs/>
          <w:color w:val="auto"/>
          <w:sz w:val="32"/>
          <w:szCs w:val="20"/>
          <w:highlight w:val="none"/>
        </w:rPr>
        <w:t xml:space="preserve">第一章 投标邀请函</w:t>
      </w:r>
      <w:r/>
    </w:p>
    <w:p>
      <w:pPr>
        <w:ind w:firstLine="357"/>
        <w:spacing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苏州市卫康招投标咨询服务有限公司受苏州市中医医院委托，对其医院后勤综合管理服务进行国内公开招标采购，欢迎符合招标公告投标资格条件的各公司前来报名参加投标。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1、采购编号：JSZC-320500-SZWK-G2026-0106号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2、采购项目名称：医院后勤综合管理服务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3、采购内容及预算：</w:t>
      </w:r>
      <w:r/>
    </w:p>
    <w:tbl>
      <w:tblPr>
        <w:tblStyle w:val="685"/>
        <w:tblW w:w="86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2"/>
        <w:gridCol w:w="4876"/>
        <w:gridCol w:w="1364"/>
        <w:gridCol w:w="1331"/>
      </w:tblGrid>
      <w:tr>
        <w:trPr>
          <w:trHeight w:val="340"/>
        </w:trPr>
        <w:tc>
          <w:tcPr>
            <w:tcW w:w="1042"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采购包号</w:t>
            </w:r>
            <w:r/>
          </w:p>
        </w:tc>
        <w:tc>
          <w:tcPr>
            <w:tcW w:w="4876" w:type="dxa"/>
            <w:vAlign w:val="center"/>
            <w:textDirection w:val="lrTb"/>
            <w:noWrap w:val="false"/>
          </w:tcPr>
          <w:p>
            <w:pPr>
              <w:pStyle w:val="709"/>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采购内容</w:t>
            </w:r>
            <w:r/>
          </w:p>
        </w:tc>
        <w:tc>
          <w:tcPr>
            <w:tcW w:w="1364"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预算金额</w:t>
            </w:r>
            <w:r/>
          </w:p>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c>
          <w:tcPr>
            <w:tcW w:w="1331"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最高限价</w:t>
            </w:r>
            <w:r/>
          </w:p>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trHeight w:val="359"/>
        </w:trPr>
        <w:tc>
          <w:tcPr>
            <w:tcW w:w="1042"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p>
        </w:tc>
        <w:tc>
          <w:tcPr>
            <w:tcW w:w="4876" w:type="dxa"/>
            <w:vAlign w:val="center"/>
            <w:textDirection w:val="lrTb"/>
            <w:noWrap w:val="false"/>
          </w:tcPr>
          <w:p>
            <w:pPr>
              <w:pStyle w:val="709"/>
              <w:ind w:left="0"/>
              <w:jc w:val="left"/>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保安服务及车辆管理服务</w:t>
            </w:r>
            <w:r/>
          </w:p>
        </w:tc>
        <w:tc>
          <w:tcPr>
            <w:tcW w:w="1364"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654.192</w:t>
            </w:r>
            <w:r/>
          </w:p>
        </w:tc>
        <w:tc>
          <w:tcPr>
            <w:tcW w:w="1331"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654.192</w:t>
            </w:r>
            <w:r/>
          </w:p>
        </w:tc>
      </w:tr>
      <w:tr>
        <w:trPr>
          <w:trHeight w:val="340"/>
        </w:trPr>
        <w:tc>
          <w:tcPr>
            <w:tcW w:w="1042"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p>
        </w:tc>
        <w:tc>
          <w:tcPr>
            <w:tcW w:w="4876" w:type="dxa"/>
            <w:vAlign w:val="center"/>
            <w:textDirection w:val="lrTb"/>
            <w:noWrap w:val="false"/>
          </w:tcPr>
          <w:p>
            <w:pPr>
              <w:pStyle w:val="709"/>
              <w:ind w:left="0"/>
              <w:jc w:val="left"/>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消防设备维保服务</w:t>
            </w:r>
            <w:r/>
          </w:p>
        </w:tc>
        <w:tc>
          <w:tcPr>
            <w:tcW w:w="1364"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55.6</w:t>
            </w:r>
            <w:r/>
          </w:p>
        </w:tc>
        <w:tc>
          <w:tcPr>
            <w:tcW w:w="1331"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55.6</w:t>
            </w:r>
            <w:r/>
          </w:p>
        </w:tc>
      </w:tr>
      <w:tr>
        <w:trPr>
          <w:trHeight w:val="340"/>
        </w:trPr>
        <w:tc>
          <w:tcPr>
            <w:tcW w:w="1042"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W w:w="4876" w:type="dxa"/>
            <w:vAlign w:val="center"/>
            <w:textDirection w:val="lrTb"/>
            <w:noWrap w:val="false"/>
          </w:tcPr>
          <w:p>
            <w:pPr>
              <w:pStyle w:val="709"/>
              <w:ind w:left="0"/>
              <w:jc w:val="left"/>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电梯维护与保养服务</w:t>
            </w:r>
            <w:r/>
          </w:p>
        </w:tc>
        <w:tc>
          <w:tcPr>
            <w:tcW w:w="1364"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95.04</w:t>
            </w:r>
            <w:r/>
          </w:p>
        </w:tc>
        <w:tc>
          <w:tcPr>
            <w:tcW w:w="1331"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95.04</w:t>
            </w:r>
            <w:r/>
          </w:p>
        </w:tc>
      </w:tr>
      <w:tr>
        <w:trPr>
          <w:trHeight w:val="340"/>
        </w:trPr>
        <w:tc>
          <w:tcPr>
            <w:tcW w:w="1042"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p>
        </w:tc>
        <w:tc>
          <w:tcPr>
            <w:tcW w:w="4876" w:type="dxa"/>
            <w:vAlign w:val="center"/>
            <w:textDirection w:val="lrTb"/>
            <w:noWrap w:val="false"/>
          </w:tcPr>
          <w:p>
            <w:pPr>
              <w:pStyle w:val="709"/>
              <w:ind w:left="0"/>
              <w:jc w:val="left"/>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医用被服洗涤及租赁服务</w:t>
            </w:r>
            <w:r/>
          </w:p>
        </w:tc>
        <w:tc>
          <w:tcPr>
            <w:tcW w:w="1364"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180</w:t>
            </w:r>
            <w:r/>
          </w:p>
        </w:tc>
        <w:tc>
          <w:tcPr>
            <w:tcW w:w="1331"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180</w:t>
            </w:r>
            <w:r/>
          </w:p>
        </w:tc>
      </w:tr>
      <w:tr>
        <w:trPr>
          <w:trHeight w:val="340"/>
        </w:trPr>
        <w:tc>
          <w:tcPr>
            <w:tcW w:w="1042"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4876" w:type="dxa"/>
            <w:vAlign w:val="center"/>
            <w:textDirection w:val="lrTb"/>
            <w:noWrap w:val="false"/>
          </w:tcPr>
          <w:p>
            <w:pPr>
              <w:pStyle w:val="709"/>
              <w:ind w:left="0"/>
              <w:jc w:val="left"/>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医院东楼医疗环境清洁消杀、垃圾运送服务</w:t>
            </w:r>
            <w:r/>
          </w:p>
        </w:tc>
        <w:tc>
          <w:tcPr>
            <w:tcW w:w="1364"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398</w:t>
            </w:r>
            <w:r/>
          </w:p>
        </w:tc>
        <w:tc>
          <w:tcPr>
            <w:tcW w:w="1331"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398</w:t>
            </w:r>
            <w:r/>
          </w:p>
        </w:tc>
      </w:tr>
      <w:tr>
        <w:trPr>
          <w:trHeight w:val="340"/>
        </w:trPr>
        <w:tc>
          <w:tcPr>
            <w:tcW w:w="1042"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4876" w:type="dxa"/>
            <w:vAlign w:val="center"/>
            <w:textDirection w:val="lrTb"/>
            <w:noWrap w:val="false"/>
          </w:tcPr>
          <w:p>
            <w:pPr>
              <w:pStyle w:val="709"/>
              <w:ind w:left="0"/>
              <w:jc w:val="left"/>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医院西楼医疗环境清洁消杀、垃圾运送服务</w:t>
            </w:r>
            <w:r/>
          </w:p>
        </w:tc>
        <w:tc>
          <w:tcPr>
            <w:tcW w:w="1364"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884.2188</w:t>
            </w:r>
            <w:r/>
          </w:p>
        </w:tc>
        <w:tc>
          <w:tcPr>
            <w:tcW w:w="1331"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884.2188</w:t>
            </w:r>
            <w:r/>
          </w:p>
        </w:tc>
      </w:tr>
      <w:tr>
        <w:trPr>
          <w:trHeight w:val="340"/>
        </w:trPr>
        <w:tc>
          <w:tcPr>
            <w:tcW w:w="1042"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tcW w:w="4876" w:type="dxa"/>
            <w:vAlign w:val="center"/>
            <w:textDirection w:val="lrTb"/>
            <w:noWrap w:val="false"/>
          </w:tcPr>
          <w:p>
            <w:pPr>
              <w:pStyle w:val="709"/>
              <w:ind w:left="0"/>
              <w:jc w:val="left"/>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变配电系统管理及维护服务</w:t>
            </w:r>
            <w:r/>
          </w:p>
        </w:tc>
        <w:tc>
          <w:tcPr>
            <w:tcW w:w="1364"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85</w:t>
            </w:r>
            <w:r/>
          </w:p>
        </w:tc>
        <w:tc>
          <w:tcPr>
            <w:tcW w:w="1331" w:type="dxa"/>
            <w:vAlign w:val="center"/>
            <w:textDirection w:val="lrTb"/>
            <w:noWrap w:val="false"/>
          </w:tcPr>
          <w:p>
            <w:pPr>
              <w:pStyle w:val="709"/>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85</w:t>
            </w:r>
            <w:r/>
          </w:p>
        </w:tc>
      </w:tr>
    </w:tbl>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5、网上报名截止时间：自招标文件公告发布之日起5个工作日。</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2026年5月28日9点30分</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2026年5月28日9点30分</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9、采购项目联系人及联系方式：</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苏州市中医医院</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联系人：徐洪</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联系电话：</w:t>
      </w:r>
      <w:r>
        <w:rPr>
          <w:rFonts w:hint="eastAsia" w:ascii="宋体" w:hAnsi="宋体"/>
          <w:color w:val="auto"/>
          <w:szCs w:val="21"/>
          <w:highlight w:val="none"/>
          <w:lang w:eastAsia="zh-CN"/>
        </w:rPr>
        <w:t xml:space="preserve">0512-67870690</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（2）采购代理机构：苏州市卫康招投标咨询服务有限公司</w:t>
      </w:r>
      <w:r/>
    </w:p>
    <w:p>
      <w:pPr>
        <w:ind w:right="-159" w:firstLine="420"/>
        <w:spacing w:line="400" w:lineRule="exact"/>
        <w:rPr>
          <w:rFonts w:hint="eastAsia" w:ascii="宋体" w:hAnsi="宋体" w:eastAsia="宋体"/>
          <w:color w:val="auto"/>
          <w:szCs w:val="21"/>
          <w:highlight w:val="none"/>
        </w:rPr>
      </w:pPr>
      <w:r>
        <w:rPr>
          <w:rFonts w:ascii="宋体" w:hAnsi="宋体"/>
          <w:color w:val="auto"/>
          <w:szCs w:val="21"/>
          <w:highlight w:val="none"/>
        </w:rPr>
        <w:t xml:space="preserve">地址：苏州市干将西路1296号深业姑苏中心17层            邮编：21500</w:t>
      </w:r>
      <w:r>
        <w:rPr>
          <w:rFonts w:hint="eastAsia" w:ascii="宋体" w:hAnsi="宋体"/>
          <w:color w:val="auto"/>
          <w:szCs w:val="21"/>
          <w:highlight w:val="none"/>
          <w:lang w:val="en-US" w:eastAsia="zh-CN"/>
        </w:rPr>
        <w:t xml:space="preserve">0</w:t>
      </w:r>
      <w:r/>
    </w:p>
    <w:p>
      <w:pPr>
        <w:ind w:right="-159" w:firstLine="420"/>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联系人：</w:t>
      </w:r>
      <w:r>
        <w:rPr>
          <w:rFonts w:hint="eastAsia" w:ascii="宋体" w:hAnsi="宋体"/>
          <w:color w:val="auto"/>
          <w:szCs w:val="21"/>
          <w:highlight w:val="none"/>
        </w:rPr>
        <w:t xml:space="preserve">陈璐佳、李晶晶</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联系电话：0512-69165615，0512-65153553 （FAX）</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请贵单位</w:t>
      </w:r>
      <w:r>
        <w:rPr>
          <w:rFonts w:hint="eastAsia" w:ascii="宋体" w:hAnsi="宋体"/>
          <w:color w:val="auto"/>
          <w:szCs w:val="21"/>
          <w:highlight w:val="none"/>
        </w:rPr>
        <w:t xml:space="preserve">获取本次</w:t>
      </w:r>
      <w:r>
        <w:rPr>
          <w:rFonts w:ascii="宋体" w:hAnsi="宋体"/>
          <w:color w:val="auto"/>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olor w:val="auto"/>
          <w:szCs w:val="21"/>
          <w:highlight w:val="none"/>
        </w:rPr>
      </w:pPr>
      <w:r>
        <w:rPr>
          <w:rFonts w:ascii="宋体" w:hAnsi="宋体"/>
          <w:color w:val="auto"/>
          <w:szCs w:val="21"/>
          <w:highlight w:val="none"/>
        </w:rPr>
        <w:t xml:space="preserve">苏州市卫康招投标咨询服务有限公司</w:t>
      </w:r>
      <w:bookmarkEnd w:id="4"/>
      <w:r/>
      <w:r/>
    </w:p>
    <w:p>
      <w:pPr>
        <w:jc w:val="center"/>
        <w:rPr>
          <w:rFonts w:hint="eastAsia" w:ascii="宋体" w:hAnsi="宋体"/>
          <w:b/>
          <w:bCs/>
          <w:color w:val="auto"/>
          <w:sz w:val="32"/>
          <w:highlight w:val="none"/>
        </w:rPr>
      </w:pPr>
      <w:r>
        <w:rPr>
          <w:rFonts w:hint="eastAsia" w:ascii="宋体" w:hAnsi="宋体"/>
          <w:color w:val="auto"/>
          <w:szCs w:val="21"/>
          <w:highlight w:val="none"/>
        </w:rPr>
        <w:br w:type="page" w:clear="all"/>
      </w:r>
      <w:bookmarkStart w:id="5" w:name="_Hlk99527734"/>
      <w:r/>
      <w:bookmarkStart w:id="6" w:name="_Hlk131152796"/>
      <w:r>
        <w:rPr>
          <w:rFonts w:hint="eastAsia" w:ascii="宋体" w:hAnsi="宋体"/>
          <w:b/>
          <w:bCs/>
          <w:color w:val="auto"/>
          <w:sz w:val="32"/>
          <w:highlight w:val="none"/>
        </w:rPr>
        <w:t xml:space="preserve">第二章 投标人须知</w:t>
      </w:r>
      <w:r/>
    </w:p>
    <w:p>
      <w:pPr>
        <w:ind w:right="-159" w:firstLine="643"/>
        <w:jc w:val="center"/>
        <w:spacing w:line="4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二、投标人（供应商）</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3、供应商资格要求：</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3.1供应商应当具备下列一般条件：</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rPr>
        <w:t xml:space="preserve">3.1.1 具有独立承担民事责任的能力；</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3.1.2</w:t>
      </w:r>
      <w:r>
        <w:rPr>
          <w:rFonts w:hint="eastAsia" w:ascii="宋体" w:hAnsi="宋体"/>
          <w:color w:val="auto"/>
          <w:szCs w:val="21"/>
          <w:highlight w:val="none"/>
        </w:rPr>
        <w:t xml:space="preserve"> </w:t>
      </w:r>
      <w:r>
        <w:rPr>
          <w:rFonts w:ascii="宋体" w:hAnsi="宋体"/>
          <w:color w:val="auto"/>
          <w:szCs w:val="21"/>
          <w:highlight w:val="none"/>
        </w:rPr>
        <w:t xml:space="preserve">具有良好的商业信誉和健全的财务会计制度；</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3.1.3 具有履行合同所必需的设备和专业技术能力；</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3.1.4 有依法缴纳税收和社会保障资金的良好记录；</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rPr>
        <w:t xml:space="preserve">3.1.6 法律、行政法规规定的其他条件；</w:t>
      </w:r>
      <w:r/>
    </w:p>
    <w:p>
      <w:pPr>
        <w:ind w:firstLine="420"/>
        <w:spacing w:line="40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3.2本项目的特定资格要求：</w:t>
      </w:r>
      <w:r/>
    </w:p>
    <w:p>
      <w:pPr>
        <w:ind w:firstLine="420"/>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采购包1：投标人具有</w:t>
      </w:r>
      <w:r>
        <w:rPr>
          <w:rFonts w:hint="eastAsia" w:ascii="宋体" w:hAnsi="宋体"/>
          <w:color w:val="auto"/>
          <w:szCs w:val="21"/>
          <w:highlight w:val="none"/>
          <w:lang w:val="en-US" w:eastAsia="zh-CN"/>
        </w:rPr>
        <w:t xml:space="preserve">公安部门颁发的</w:t>
      </w:r>
      <w:r>
        <w:rPr>
          <w:rFonts w:hint="eastAsia" w:ascii="宋体" w:hAnsi="宋体"/>
          <w:color w:val="auto"/>
          <w:szCs w:val="21"/>
          <w:highlight w:val="none"/>
        </w:rPr>
        <w:t xml:space="preserve">保安服务许可证。</w:t>
      </w:r>
      <w:r/>
    </w:p>
    <w:p>
      <w:pPr>
        <w:ind w:firstLine="420"/>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采购包2：具有消防设施维修保养相关资质或有效备案凭证。</w:t>
      </w:r>
      <w:r/>
    </w:p>
    <w:p>
      <w:pPr>
        <w:ind w:firstLine="420"/>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采购包3：投标人具有《中华人民共和国特种设备生产许可证》资质（曳引式客梯含修理）或《中华人民共和国特种设备安装改造维修许可证》；</w:t>
      </w:r>
      <w:r/>
    </w:p>
    <w:p>
      <w:pPr>
        <w:ind w:firstLine="420"/>
        <w:spacing w:line="400" w:lineRule="exact"/>
        <w:rPr>
          <w:rFonts w:ascii="宋体" w:hAnsi="宋体"/>
          <w:color w:val="auto"/>
          <w:szCs w:val="21"/>
          <w:highlight w:val="none"/>
        </w:rPr>
        <w:outlineLvl w:val="0"/>
      </w:pPr>
      <w:r>
        <w:rPr>
          <w:rFonts w:hint="eastAsia" w:ascii="宋体" w:hAnsi="宋体"/>
          <w:color w:val="auto"/>
          <w:szCs w:val="21"/>
          <w:highlight w:val="none"/>
        </w:rPr>
        <w:t xml:space="preserve">采购包7：投标人具备电力总承包三级及以上或输变电工程专业承包三级及以上资质且具有承装、修、试五级及以上电力设施许可资质；</w:t>
      </w:r>
      <w:r/>
    </w:p>
    <w:p>
      <w:pPr>
        <w:ind w:firstLine="420"/>
        <w:spacing w:line="40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3.3 第一、第二、第四、第七采购包的中小企业或残疾人福利性单位或监狱企业的证明。</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hint="eastAsia"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10.7收件人：</w:t>
      </w:r>
      <w:r>
        <w:rPr>
          <w:rFonts w:hint="eastAsia" w:ascii="宋体" w:hAnsi="宋体"/>
          <w:color w:val="auto"/>
          <w:szCs w:val="21"/>
          <w:highlight w:val="none"/>
        </w:rPr>
        <w:t xml:space="preserve">祝丽林（前台）</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10.8联系电话：0512-69165625</w:t>
      </w:r>
      <w:r/>
    </w:p>
    <w:p>
      <w:pPr>
        <w:ind w:firstLine="422"/>
        <w:spacing w:line="360" w:lineRule="auto"/>
        <w:rPr>
          <w:rFonts w:hint="eastAsia" w:ascii="宋体" w:hAnsi="宋体"/>
          <w:b/>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（1）投标函、关于资格条件的声明函（格式见第三章）；</w:t>
      </w:r>
      <w:r/>
    </w:p>
    <w:p>
      <w:pPr>
        <w:ind w:right="-161" w:firstLine="420"/>
        <w:spacing w:line="400" w:lineRule="exact"/>
        <w:rPr>
          <w:color w:val="auto"/>
          <w:szCs w:val="21"/>
          <w:highlight w:val="none"/>
        </w:rPr>
      </w:pPr>
      <w:r>
        <w:rPr>
          <w:color w:val="auto"/>
          <w:szCs w:val="21"/>
          <w:highlight w:val="none"/>
        </w:rPr>
        <w:t xml:space="preserve">（2）投标单位情况表（格式见第三章）；</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firstLine="420"/>
        <w:spacing w:line="400" w:lineRule="exact"/>
        <w:rPr>
          <w:color w:val="auto"/>
          <w:szCs w:val="21"/>
          <w:highlight w:val="none"/>
        </w:rPr>
      </w:pPr>
      <w:r>
        <w:rPr>
          <w:rFonts w:hint="eastAsia"/>
          <w:color w:val="auto"/>
          <w:szCs w:val="21"/>
          <w:highlight w:val="none"/>
        </w:rPr>
        <w:t xml:space="preserve">3.6采购包1、采购包2、采购包3、采购包7提供特定资格要求证明材料。</w:t>
      </w:r>
      <w:r/>
    </w:p>
    <w:p>
      <w:pPr>
        <w:ind w:right="-161" w:firstLine="420"/>
        <w:spacing w:line="400" w:lineRule="exact"/>
        <w:rPr>
          <w:b/>
          <w:bCs/>
          <w:color w:val="auto"/>
          <w:szCs w:val="21"/>
          <w:highlight w:val="none"/>
        </w:rPr>
      </w:pPr>
      <w:r>
        <w:rPr>
          <w:rFonts w:hint="eastAsia"/>
          <w:b/>
          <w:bCs/>
          <w:color w:val="auto"/>
          <w:szCs w:val="21"/>
          <w:highlight w:val="none"/>
        </w:rPr>
        <w:t xml:space="preserve">13.4符合性审查响应文件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13.4.1投标报价分析表；</w:t>
      </w:r>
      <w:r/>
    </w:p>
    <w:p>
      <w:pPr>
        <w:ind w:right="-161" w:firstLine="420"/>
        <w:spacing w:line="400" w:lineRule="exact"/>
        <w:rPr>
          <w:color w:val="auto"/>
          <w:szCs w:val="21"/>
          <w:highlight w:val="none"/>
        </w:rPr>
      </w:pPr>
      <w:r>
        <w:rPr>
          <w:rFonts w:hint="eastAsia"/>
          <w:color w:val="auto"/>
          <w:szCs w:val="21"/>
          <w:highlight w:val="none"/>
        </w:rPr>
        <w:t xml:space="preserve">13.4.2商务条款偏离表；</w:t>
      </w:r>
      <w:r/>
    </w:p>
    <w:p>
      <w:pPr>
        <w:ind w:right="-161" w:firstLine="420"/>
        <w:spacing w:line="400" w:lineRule="exact"/>
        <w:rPr>
          <w:rFonts w:hint="eastAsia"/>
          <w:b/>
          <w:bCs/>
          <w:color w:val="auto"/>
          <w:szCs w:val="21"/>
          <w:highlight w:val="none"/>
        </w:rPr>
      </w:pPr>
      <w:r>
        <w:rPr>
          <w:rFonts w:hint="eastAsia"/>
          <w:b/>
          <w:bCs/>
          <w:color w:val="auto"/>
          <w:szCs w:val="21"/>
          <w:highlight w:val="none"/>
        </w:rPr>
        <w:t xml:space="preserve">13.5综合评审响应文件</w:t>
      </w:r>
      <w:r/>
    </w:p>
    <w:p>
      <w:pPr>
        <w:ind w:right="-161" w:firstLine="420"/>
        <w:spacing w:line="400" w:lineRule="exact"/>
        <w:rPr>
          <w:color w:val="auto"/>
          <w:szCs w:val="21"/>
          <w:highlight w:val="none"/>
        </w:rPr>
      </w:pPr>
      <w:r>
        <w:rPr>
          <w:rFonts w:hint="eastAsia"/>
          <w:color w:val="auto"/>
          <w:szCs w:val="21"/>
          <w:highlight w:val="none"/>
        </w:rPr>
        <w:t xml:space="preserve">13.</w:t>
      </w:r>
      <w:r>
        <w:rPr>
          <w:rFonts w:hint="eastAsia"/>
          <w:color w:val="auto"/>
          <w:szCs w:val="21"/>
          <w:highlight w:val="none"/>
          <w:lang w:val="en-US" w:eastAsia="zh-CN"/>
        </w:rPr>
        <w:t xml:space="preserve">5</w:t>
      </w:r>
      <w:r>
        <w:rPr>
          <w:rFonts w:hint="eastAsia"/>
          <w:color w:val="auto"/>
          <w:szCs w:val="21"/>
          <w:highlight w:val="none"/>
        </w:rPr>
        <w:t xml:space="preserve">.</w:t>
      </w:r>
      <w:r>
        <w:rPr>
          <w:rFonts w:hint="eastAsia"/>
          <w:color w:val="auto"/>
          <w:szCs w:val="21"/>
          <w:highlight w:val="none"/>
          <w:lang w:val="en-US" w:eastAsia="zh-CN"/>
        </w:rPr>
        <w:t xml:space="preserve">1</w:t>
      </w:r>
      <w:r>
        <w:rPr>
          <w:rFonts w:hint="eastAsia"/>
          <w:color w:val="auto"/>
          <w:szCs w:val="21"/>
          <w:highlight w:val="none"/>
        </w:rPr>
        <w:t xml:space="preserve">投标服务偏离对照表； </w:t>
      </w:r>
      <w:r/>
    </w:p>
    <w:p>
      <w:pPr>
        <w:ind w:right="-161" w:firstLine="420"/>
        <w:spacing w:line="400" w:lineRule="exact"/>
        <w:rPr>
          <w:rFonts w:hint="eastAsia"/>
          <w:color w:val="auto"/>
          <w:szCs w:val="21"/>
          <w:highlight w:val="none"/>
        </w:rPr>
      </w:pPr>
      <w:r>
        <w:rPr>
          <w:rFonts w:hint="eastAsia"/>
          <w:color w:val="auto"/>
          <w:szCs w:val="21"/>
          <w:highlight w:val="none"/>
        </w:rPr>
        <w:t xml:space="preserve">13.5.</w:t>
      </w:r>
      <w:r>
        <w:rPr>
          <w:rFonts w:hint="eastAsia"/>
          <w:color w:val="auto"/>
          <w:szCs w:val="21"/>
          <w:highlight w:val="none"/>
          <w:lang w:val="en-US" w:eastAsia="zh-CN"/>
        </w:rPr>
        <w:t xml:space="preserve">2</w:t>
      </w:r>
      <w:r>
        <w:rPr>
          <w:rFonts w:hint="eastAsia"/>
          <w:color w:val="auto"/>
          <w:szCs w:val="21"/>
          <w:highlight w:val="none"/>
        </w:rPr>
        <w:t xml:space="preserve">项目实施方案；</w:t>
      </w:r>
      <w:r/>
    </w:p>
    <w:p>
      <w:pPr>
        <w:ind w:right="-161" w:firstLine="420"/>
        <w:spacing w:line="400" w:lineRule="exact"/>
        <w:rPr>
          <w:color w:val="auto"/>
          <w:szCs w:val="21"/>
          <w:highlight w:val="none"/>
        </w:rPr>
      </w:pPr>
      <w:r>
        <w:rPr>
          <w:rFonts w:hint="eastAsia"/>
          <w:color w:val="auto"/>
          <w:szCs w:val="21"/>
          <w:highlight w:val="none"/>
        </w:rPr>
        <w:t xml:space="preserve">13.5.</w:t>
      </w:r>
      <w:r>
        <w:rPr>
          <w:rFonts w:hint="eastAsia"/>
          <w:color w:val="auto"/>
          <w:szCs w:val="21"/>
          <w:highlight w:val="none"/>
          <w:lang w:val="en-US" w:eastAsia="zh-CN"/>
        </w:rPr>
        <w:t xml:space="preserve">3</w:t>
      </w:r>
      <w:r>
        <w:rPr>
          <w:rFonts w:hint="eastAsia"/>
          <w:color w:val="auto"/>
          <w:szCs w:val="21"/>
          <w:highlight w:val="none"/>
        </w:rPr>
        <w:t xml:space="preserve">与本次采购相关和评分标准中要求提供的其他证明材料；</w:t>
      </w:r>
      <w:r/>
    </w:p>
    <w:p>
      <w:pPr>
        <w:ind w:right="-161" w:firstLine="420"/>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hint="eastAsia" w:ascii="宋体" w:hAnsi="宋体"/>
          <w:color w:val="auto"/>
          <w:szCs w:val="21"/>
          <w:highlight w:val="none"/>
        </w:rPr>
      </w:pPr>
      <w:r>
        <w:rPr>
          <w:rFonts w:hint="eastAsia"/>
          <w:color w:val="auto"/>
          <w:szCs w:val="21"/>
          <w:highlight w:val="none"/>
        </w:rPr>
        <w:t xml:space="preserve">采购包3、</w:t>
      </w:r>
      <w:r>
        <w:rPr>
          <w:rFonts w:hint="eastAsia"/>
          <w:color w:val="auto"/>
          <w:szCs w:val="21"/>
          <w:highlight w:val="none"/>
          <w:lang w:val="en-US" w:eastAsia="zh-CN"/>
        </w:rPr>
        <w:t xml:space="preserve">采购包5、</w:t>
      </w:r>
      <w:r>
        <w:rPr>
          <w:rFonts w:hint="eastAsia"/>
          <w:color w:val="auto"/>
          <w:szCs w:val="21"/>
          <w:highlight w:val="none"/>
        </w:rPr>
        <w:t xml:space="preserve">采购包6投标人如属于小型或微型企业，提供《中小企业声明函》或提供《残疾人福利性单位声明函》或提供由省级以上监狱管理局、戒毒管理局（含新疆生产建设兵团）出具的属于监狱企业的证明文件。</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ind w:firstLine="420"/>
        <w:spacing w:line="400" w:lineRule="exact"/>
        <w:rPr>
          <w:rFonts w:hint="eastAsia" w:ascii="宋体" w:hAnsi="宋体"/>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9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hint="eastAsia"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hint="eastAsia" w:ascii="宋体" w:hAnsi="宋体"/>
          <w:color w:val="auto"/>
          <w:szCs w:val="21"/>
          <w:highlight w:val="none"/>
        </w:rPr>
      </w:pPr>
      <w:r/>
      <w:bookmarkStart w:id="7"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7"/>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keepLines w:val="0"/>
        <w:keepNext w:val="0"/>
        <w:pageBreakBefore w:val="0"/>
        <w:spacing w:before="181" w:line="360" w:lineRule="auto"/>
        <w:widowControl w:val="off"/>
        <w:rPr>
          <w:rFonts w:hint="eastAsia" w:hAnsi="宋体"/>
          <w:b/>
          <w:color w:val="auto"/>
          <w:sz w:val="21"/>
          <w:szCs w:val="21"/>
          <w:highlight w:val="none"/>
          <w:lang w:val="zh-CN"/>
        </w:rPr>
      </w:pPr>
      <w:r>
        <w:rPr>
          <w:rFonts w:hint="eastAsia" w:hAnsi="宋体"/>
          <w:b/>
          <w:color w:val="auto"/>
          <w:sz w:val="21"/>
          <w:szCs w:val="21"/>
          <w:highlight w:val="none"/>
          <w:lang w:val="zh-CN"/>
        </w:rPr>
        <w:t xml:space="preserve">（一）出现下列情形之一的，评审委员会应当启动异常低价投标审查程序：</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3.投标（响应）报价低于采购项目最高限价45%的，即投标（响应）报价&lt;采购项目最高限价×45%；</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hAnsi="宋体"/>
          <w:b w:val="0"/>
          <w:bCs/>
          <w:color w:val="auto"/>
          <w:sz w:val="21"/>
          <w:szCs w:val="21"/>
          <w:highlight w:val="none"/>
          <w:lang w:val="zh-CN"/>
        </w:rPr>
      </w:pPr>
      <w:r>
        <w:rPr>
          <w:rFonts w:hint="eastAsia" w:hAnsi="宋体"/>
          <w:b w:val="0"/>
          <w:bCs/>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 w:val="0"/>
          <w:bCs/>
          <w:color w:val="auto"/>
          <w:sz w:val="21"/>
          <w:szCs w:val="21"/>
          <w:highlight w:val="none"/>
          <w:lang w:val="zh-CN"/>
        </w:rPr>
      </w:pPr>
      <w:r>
        <w:rPr>
          <w:rFonts w:hint="eastAsia" w:hAnsi="宋体"/>
          <w:b w:val="0"/>
          <w:bCs/>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向中标供应商发放《中标通知书》。</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5"/>
      <w:r/>
      <w:bookmarkEnd w:id="6"/>
      <w:r/>
    </w:p>
    <w:p>
      <w:pPr>
        <w:jc w:val="center"/>
        <w:rPr>
          <w:color w:val="auto"/>
          <w:highlight w:val="none"/>
        </w:rPr>
      </w:pPr>
      <w:r>
        <w:rPr>
          <w:color w:val="auto"/>
          <w:highlight w:val="none"/>
        </w:rPr>
      </w:r>
      <w:r/>
    </w:p>
    <w:p>
      <w:pPr>
        <w:jc w:val="center"/>
        <w:rPr>
          <w:rFonts w:hint="eastAsia" w:ascii="宋体" w:hAnsi="宋体"/>
          <w:b/>
          <w:bCs/>
          <w:color w:val="auto"/>
          <w:sz w:val="32"/>
          <w:highlight w:val="none"/>
        </w:rPr>
      </w:pPr>
      <w:r>
        <w:rPr>
          <w:rFonts w:hint="eastAsia" w:ascii="宋体" w:hAnsi="宋体"/>
          <w:b/>
          <w:bCs/>
          <w:color w:val="auto"/>
          <w:sz w:val="32"/>
          <w:highlight w:val="none"/>
        </w:rPr>
      </w:r>
      <w:r/>
    </w:p>
    <w:p>
      <w:pPr>
        <w:jc w:val="center"/>
        <w:rPr>
          <w:rFonts w:hint="eastAsia" w:ascii="宋体" w:hAnsi="宋体"/>
          <w:b/>
          <w:bCs/>
          <w:color w:val="auto"/>
          <w:sz w:val="32"/>
          <w:highlight w:val="none"/>
        </w:rPr>
      </w:pPr>
      <w:r>
        <w:rPr>
          <w:rFonts w:ascii="宋体" w:hAnsi="宋体"/>
          <w:b/>
          <w:bCs/>
          <w:color w:val="auto"/>
          <w:sz w:val="32"/>
          <w:highlight w:val="none"/>
        </w:rPr>
        <w:br w:type="page" w:clear="all"/>
      </w:r>
      <w:bookmarkStart w:id="8" w:name="_Hlk131152848"/>
      <w:r/>
      <w:bookmarkStart w:id="9" w:name="_Hlk99527780"/>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696"/>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5"/>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center"/>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677"/>
        <w:spacing w:line="420" w:lineRule="exact"/>
        <w:rPr>
          <w:rFonts w:hint="eastAsia" w:ascii="宋体" w:hAnsi="宋体"/>
          <w:color w:val="auto"/>
          <w:sz w:val="21"/>
          <w:szCs w:val="21"/>
          <w:highlight w:val="none"/>
        </w:rPr>
      </w:pPr>
      <w:r>
        <w:rPr>
          <w:rFonts w:hint="eastAsia" w:ascii="宋体" w:hAnsi="宋体"/>
          <w:b w:val="0"/>
          <w:bCs w:val="0"/>
          <w:color w:val="auto"/>
          <w:sz w:val="21"/>
          <w:szCs w:val="21"/>
          <w:highlight w:val="none"/>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696"/>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696"/>
        <w:spacing w:line="360" w:lineRule="exact"/>
        <w:rPr>
          <w:rFonts w:hAnsi="宋体"/>
          <w:bCs/>
          <w:color w:val="auto"/>
          <w:sz w:val="21"/>
          <w:szCs w:val="21"/>
          <w:highlight w:val="none"/>
        </w:rPr>
      </w:pPr>
      <w:r>
        <w:rPr>
          <w:rFonts w:hAnsi="宋体"/>
          <w:bCs/>
          <w:color w:val="auto"/>
          <w:sz w:val="21"/>
          <w:szCs w:val="21"/>
          <w:highlight w:val="none"/>
        </w:rPr>
      </w:r>
      <w:r/>
    </w:p>
    <w:p>
      <w:pPr>
        <w:pStyle w:val="696"/>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69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696"/>
        <w:ind w:firstLine="420"/>
        <w:spacing w:line="360" w:lineRule="exact"/>
        <w:rPr>
          <w:rFonts w:hint="eastAsia"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69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69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69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69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69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69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69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69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696"/>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人：______________________</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696"/>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696"/>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696"/>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hint="eastAsia"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hint="eastAsia" w:ascii="宋体" w:hAnsi="宋体"/>
          <w:b/>
          <w:bCs/>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jc w:val="center"/>
        <w:spacing w:line="400" w:lineRule="exact"/>
        <w:rPr>
          <w:rFonts w:hint="eastAsia" w:ascii="宋体" w:hAnsi="宋体"/>
          <w:color w:val="auto"/>
          <w:szCs w:val="21"/>
          <w:highlight w:val="none"/>
        </w:rPr>
      </w:pPr>
      <w:r>
        <w:rPr>
          <w:rFonts w:hint="eastAsia" w:hAnsi="宋体"/>
          <w:b/>
          <w:bCs/>
          <w:color w:val="auto"/>
          <w:sz w:val="36"/>
          <w:szCs w:val="36"/>
          <w:highlight w:val="none"/>
        </w:rPr>
        <w:t xml:space="preserve">开标一览表</w:t>
      </w:r>
      <w:r/>
    </w:p>
    <w:p>
      <w:pPr>
        <w:jc w:val="center"/>
        <w:spacing w:line="300" w:lineRule="auto"/>
        <w:rPr>
          <w:rFonts w:hint="eastAsia" w:ascii="宋体" w:hAnsi="宋体"/>
          <w:color w:val="auto"/>
          <w:spacing w:val="20"/>
          <w:szCs w:val="21"/>
          <w:highlight w:val="none"/>
        </w:rPr>
      </w:pPr>
      <w:r>
        <w:rPr>
          <w:rFonts w:hint="eastAsia" w:ascii="宋体" w:hAnsi="宋体"/>
          <w:color w:val="auto"/>
          <w:spacing w:val="20"/>
          <w:szCs w:val="21"/>
          <w:highlight w:val="none"/>
        </w:rPr>
        <w:t xml:space="preserve">（格式）</w:t>
      </w:r>
      <w:r/>
    </w:p>
    <w:p>
      <w:pPr>
        <w:jc w:val="center"/>
        <w:spacing w:line="300" w:lineRule="auto"/>
        <w:rPr>
          <w:rFonts w:hint="eastAsia" w:ascii="宋体" w:hAnsi="宋体"/>
          <w:color w:val="auto"/>
          <w:spacing w:val="20"/>
          <w:szCs w:val="21"/>
          <w:highlight w:val="none"/>
        </w:rPr>
      </w:pPr>
      <w:r>
        <w:rPr>
          <w:rFonts w:hint="eastAsia" w:ascii="宋体" w:hAnsi="宋体"/>
          <w:color w:val="auto"/>
          <w:spacing w:val="20"/>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JSZC-320500-SZWK-G2026-0106</w:t>
      </w:r>
      <w:r>
        <w:rPr>
          <w:rFonts w:hint="eastAsia" w:ascii="宋体" w:hAnsi="宋体"/>
          <w:color w:val="auto"/>
          <w:szCs w:val="21"/>
          <w:highlight w:val="none"/>
        </w:rPr>
        <w:t xml:space="preserve">号    </w:t>
      </w:r>
      <w:r/>
    </w:p>
    <w:tbl>
      <w:tblPr>
        <w:tblStyle w:val="6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vAlign w:val="top"/>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pStyle w:val="686"/>
        <w:rPr>
          <w:rFonts w:hint="eastAsia" w:ascii="宋体" w:hAnsi="宋体"/>
          <w:color w:val="auto"/>
          <w:szCs w:val="21"/>
          <w:highlight w:val="none"/>
        </w:rPr>
      </w:pPr>
      <w:r>
        <w:rPr>
          <w:rFonts w:hint="eastAsia" w:ascii="宋体" w:hAnsi="宋体"/>
          <w:color w:val="auto"/>
          <w:szCs w:val="21"/>
          <w:highlight w:val="none"/>
        </w:rPr>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hint="eastAsia" w:ascii="宋体" w:hAnsi="宋体"/>
          <w:b/>
          <w:bCs/>
          <w:color w:val="auto"/>
          <w:szCs w:val="21"/>
          <w:highlight w:val="none"/>
        </w:rPr>
      </w:pPr>
      <w:r>
        <w:rPr>
          <w:rFonts w:hint="eastAsia" w:ascii="宋体" w:hAnsi="宋体"/>
          <w:b/>
          <w:bCs/>
          <w:color w:val="auto"/>
          <w:szCs w:val="21"/>
          <w:highlight w:val="none"/>
        </w:rPr>
      </w:r>
      <w:r/>
    </w:p>
    <w:p>
      <w:pPr>
        <w:spacing w:line="400" w:lineRule="exact"/>
        <w:rPr>
          <w:color w:val="auto"/>
          <w:sz w:val="24"/>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rFonts w:hint="eastAsia"/>
          <w:b/>
          <w:bCs/>
          <w:color w:val="auto"/>
          <w:szCs w:val="21"/>
          <w:highlight w:val="none"/>
          <w:lang w:val="en-US" w:eastAsia="zh-CN"/>
        </w:rPr>
        <w:t xml:space="preserve">4</w:t>
      </w:r>
      <w:r>
        <w:rPr>
          <w:rFonts w:hint="eastAsia"/>
          <w:b/>
          <w:bCs/>
          <w:color w:val="auto"/>
          <w:szCs w:val="21"/>
          <w:highlight w:val="none"/>
        </w:rPr>
        <w:t xml:space="preserve">、</w:t>
      </w:r>
      <w:r>
        <w:rPr>
          <w:rFonts w:hint="eastAsia"/>
          <w:b/>
          <w:bCs/>
          <w:color w:val="auto"/>
          <w:szCs w:val="21"/>
          <w:highlight w:val="none"/>
          <w:lang w:val="zh-CN"/>
        </w:rPr>
        <w:t xml:space="preserve">投标报价分析表</w:t>
      </w:r>
      <w:r/>
    </w:p>
    <w:p>
      <w:pPr>
        <w:pStyle w:val="696"/>
        <w:jc w:val="center"/>
        <w:spacing w:line="400" w:lineRule="exact"/>
        <w:rPr>
          <w:rFonts w:ascii="黑体" w:hAnsi="Times New Roman" w:eastAsia="黑体"/>
          <w:b/>
          <w:bCs/>
          <w:color w:val="auto"/>
          <w:sz w:val="28"/>
          <w:szCs w:val="28"/>
          <w:highlight w:val="none"/>
        </w:rPr>
      </w:pPr>
      <w:r>
        <w:rPr>
          <w:rFonts w:hint="eastAsia" w:ascii="黑体" w:hAnsi="Times New Roman" w:eastAsia="黑体"/>
          <w:b/>
          <w:bCs/>
          <w:color w:val="auto"/>
          <w:sz w:val="28"/>
          <w:szCs w:val="28"/>
          <w:highlight w:val="none"/>
        </w:rPr>
        <w:t xml:space="preserve">采购包1 投标报价分析表</w:t>
      </w:r>
      <w:r/>
    </w:p>
    <w:p>
      <w:pPr>
        <w:spacing w:line="360" w:lineRule="auto"/>
        <w:rPr>
          <w:rFonts w:hint="eastAsia" w:ascii="Times New Roman" w:hAnsi="宋体"/>
          <w:color w:val="auto"/>
          <w:spacing w:val="20"/>
          <w:szCs w:val="21"/>
          <w:highlight w:val="none"/>
        </w:rPr>
      </w:pPr>
      <w:r>
        <w:rPr>
          <w:rFonts w:hint="eastAsia" w:hAnsi="宋体"/>
          <w:color w:val="auto"/>
          <w:spacing w:val="20"/>
          <w:szCs w:val="21"/>
          <w:highlight w:val="none"/>
        </w:rPr>
        <w:t xml:space="preserve">采购编号：</w:t>
      </w:r>
      <w:r/>
    </w:p>
    <w:tbl>
      <w:tblPr>
        <w:tblStyle w:val="685"/>
        <w:tblW w:w="91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270"/>
        <w:gridCol w:w="1557"/>
        <w:gridCol w:w="1276"/>
        <w:gridCol w:w="1701"/>
        <w:gridCol w:w="1134"/>
        <w:gridCol w:w="851"/>
        <w:gridCol w:w="708"/>
      </w:tblGrid>
      <w:tr>
        <w:trPr>
          <w:trHeight w:val="534"/>
        </w:trPr>
        <w:tc>
          <w:tcPr>
            <w:tcW w:w="683" w:type="dxa"/>
            <w:vAlign w:val="center"/>
            <w:textDirection w:val="lrTb"/>
            <w:noWrap w:val="false"/>
          </w:tcPr>
          <w:p>
            <w:pPr>
              <w:jc w:val="center"/>
              <w:spacing w:line="400" w:lineRule="exact"/>
              <w:rPr>
                <w:rFonts w:hAnsi="Times New Roman"/>
                <w:b/>
                <w:color w:val="auto"/>
                <w:szCs w:val="21"/>
                <w:highlight w:val="none"/>
              </w:rPr>
            </w:pPr>
            <w:r>
              <w:rPr>
                <w:rFonts w:hint="eastAsia"/>
                <w:b/>
                <w:color w:val="auto"/>
                <w:szCs w:val="21"/>
                <w:highlight w:val="none"/>
              </w:rPr>
              <w:t xml:space="preserve">序号</w:t>
            </w:r>
            <w:r/>
          </w:p>
        </w:tc>
        <w:tc>
          <w:tcPr>
            <w:tcW w:w="1270" w:type="dxa"/>
            <w:vAlign w:val="center"/>
            <w:textDirection w:val="lrTb"/>
            <w:noWrap w:val="false"/>
          </w:tcPr>
          <w:p>
            <w:pPr>
              <w:jc w:val="center"/>
              <w:spacing w:line="400" w:lineRule="exact"/>
              <w:rPr>
                <w:b/>
                <w:color w:val="auto"/>
                <w:szCs w:val="21"/>
                <w:highlight w:val="none"/>
              </w:rPr>
            </w:pPr>
            <w:r>
              <w:rPr>
                <w:rFonts w:hint="eastAsia"/>
                <w:b/>
                <w:color w:val="auto"/>
                <w:szCs w:val="21"/>
                <w:highlight w:val="none"/>
              </w:rPr>
              <w:t xml:space="preserve">条目</w:t>
            </w:r>
            <w:r/>
          </w:p>
        </w:tc>
        <w:tc>
          <w:tcPr>
            <w:tcW w:w="1557" w:type="dxa"/>
            <w:vAlign w:val="center"/>
            <w:textDirection w:val="lrTb"/>
            <w:noWrap w:val="false"/>
          </w:tcPr>
          <w:p>
            <w:pPr>
              <w:jc w:val="center"/>
              <w:spacing w:line="400" w:lineRule="exact"/>
              <w:rPr>
                <w:rFonts w:hint="eastAsia" w:ascii="宋体" w:hAnsi="宋体"/>
                <w:b/>
                <w:color w:val="auto"/>
                <w:sz w:val="24"/>
                <w:highlight w:val="none"/>
              </w:rPr>
            </w:pPr>
            <w:r>
              <w:rPr>
                <w:rFonts w:hint="eastAsia" w:ascii="宋体" w:hAnsi="宋体"/>
                <w:b/>
                <w:color w:val="auto"/>
                <w:highlight w:val="none"/>
              </w:rPr>
              <w:t xml:space="preserve">项目经理</w:t>
            </w:r>
            <w:r/>
          </w:p>
        </w:tc>
        <w:tc>
          <w:tcPr>
            <w:tcW w:w="1276" w:type="dxa"/>
            <w:vAlign w:val="center"/>
            <w:textDirection w:val="lrTb"/>
            <w:noWrap w:val="false"/>
          </w:tcPr>
          <w:p>
            <w:pPr>
              <w:jc w:val="center"/>
              <w:spacing w:line="400" w:lineRule="exact"/>
              <w:rPr>
                <w:rFonts w:hint="eastAsia" w:ascii="宋体" w:hAnsi="宋体"/>
                <w:b/>
                <w:color w:val="auto"/>
                <w:highlight w:val="none"/>
              </w:rPr>
            </w:pPr>
            <w:r>
              <w:rPr>
                <w:rFonts w:hint="eastAsia" w:ascii="宋体" w:hAnsi="宋体"/>
                <w:b/>
                <w:color w:val="auto"/>
                <w:highlight w:val="none"/>
              </w:rPr>
              <w:t xml:space="preserve">内勤</w:t>
            </w:r>
            <w:r/>
          </w:p>
        </w:tc>
        <w:tc>
          <w:tcPr>
            <w:tcW w:w="1701" w:type="dxa"/>
            <w:vAlign w:val="center"/>
            <w:textDirection w:val="lrTb"/>
            <w:noWrap w:val="false"/>
          </w:tcPr>
          <w:p>
            <w:pPr>
              <w:jc w:val="center"/>
              <w:spacing w:line="400" w:lineRule="exact"/>
              <w:rPr>
                <w:rFonts w:hint="eastAsia" w:ascii="宋体" w:hAnsi="宋体"/>
                <w:b/>
                <w:color w:val="auto"/>
                <w:highlight w:val="none"/>
              </w:rPr>
            </w:pPr>
            <w:r>
              <w:rPr>
                <w:rFonts w:hint="eastAsia" w:ascii="宋体" w:hAnsi="宋体"/>
                <w:b/>
                <w:bCs/>
                <w:color w:val="auto"/>
                <w:highlight w:val="none"/>
              </w:rPr>
              <w:t xml:space="preserve">秩序维护及车辆管理</w:t>
            </w:r>
            <w:r/>
          </w:p>
        </w:tc>
        <w:tc>
          <w:tcPr>
            <w:tcW w:w="1134" w:type="dxa"/>
            <w:vAlign w:val="center"/>
            <w:textDirection w:val="lrTb"/>
            <w:noWrap w:val="false"/>
          </w:tcPr>
          <w:p>
            <w:pPr>
              <w:jc w:val="center"/>
              <w:spacing w:line="400" w:lineRule="exact"/>
              <w:rPr>
                <w:rFonts w:ascii="Times New Roman" w:hAnsi="Times New Roman"/>
                <w:b/>
                <w:color w:val="auto"/>
                <w:szCs w:val="21"/>
                <w:highlight w:val="none"/>
              </w:rPr>
            </w:pPr>
            <w:r>
              <w:rPr>
                <w:b/>
                <w:color w:val="auto"/>
                <w:szCs w:val="21"/>
                <w:highlight w:val="none"/>
              </w:rPr>
              <w:t xml:space="preserve">…</w:t>
            </w:r>
            <w:r/>
          </w:p>
        </w:tc>
        <w:tc>
          <w:tcPr>
            <w:tcW w:w="851" w:type="dxa"/>
            <w:vAlign w:val="center"/>
            <w:textDirection w:val="lrTb"/>
            <w:noWrap w:val="false"/>
          </w:tcPr>
          <w:p>
            <w:pPr>
              <w:jc w:val="center"/>
              <w:spacing w:line="400" w:lineRule="exact"/>
              <w:rPr>
                <w:b/>
                <w:color w:val="auto"/>
                <w:szCs w:val="21"/>
                <w:highlight w:val="none"/>
              </w:rPr>
            </w:pPr>
            <w:r>
              <w:rPr>
                <w:b/>
                <w:color w:val="auto"/>
                <w:szCs w:val="21"/>
                <w:highlight w:val="none"/>
              </w:rPr>
              <w:t xml:space="preserve">…</w:t>
            </w:r>
            <w:r/>
          </w:p>
        </w:tc>
        <w:tc>
          <w:tcPr>
            <w:tcW w:w="708" w:type="dxa"/>
            <w:vAlign w:val="center"/>
            <w:textDirection w:val="lrTb"/>
            <w:noWrap w:val="false"/>
          </w:tcPr>
          <w:p>
            <w:pPr>
              <w:jc w:val="center"/>
              <w:spacing w:line="400" w:lineRule="exact"/>
              <w:rPr>
                <w:b/>
                <w:color w:val="auto"/>
                <w:szCs w:val="21"/>
                <w:highlight w:val="none"/>
              </w:rPr>
            </w:pPr>
            <w:r>
              <w:rPr>
                <w:rFonts w:hint="eastAsia"/>
                <w:b/>
                <w:color w:val="auto"/>
                <w:szCs w:val="21"/>
                <w:highlight w:val="none"/>
              </w:rPr>
              <w:t xml:space="preserve">备注</w:t>
            </w:r>
            <w:r/>
          </w:p>
        </w:tc>
      </w:tr>
      <w:tr>
        <w:trPr>
          <w:trHeight w:val="463"/>
        </w:trPr>
        <w:tc>
          <w:tcPr>
            <w:tcW w:w="683" w:type="dxa"/>
            <w:vAlign w:val="center"/>
            <w:textDirection w:val="lrTb"/>
            <w:noWrap w:val="false"/>
          </w:tcPr>
          <w:p>
            <w:pPr>
              <w:jc w:val="center"/>
              <w:spacing w:line="400" w:lineRule="exact"/>
              <w:rPr>
                <w:color w:val="auto"/>
                <w:szCs w:val="21"/>
                <w:highlight w:val="none"/>
              </w:rPr>
            </w:pPr>
            <w:r>
              <w:rPr>
                <w:color w:val="auto"/>
                <w:szCs w:val="21"/>
                <w:highlight w:val="none"/>
              </w:rPr>
              <w:t xml:space="preserve">1</w:t>
            </w:r>
            <w:r/>
          </w:p>
        </w:tc>
        <w:tc>
          <w:tcPr>
            <w:tcW w:w="127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基本工资</w:t>
            </w:r>
            <w:r/>
          </w:p>
        </w:tc>
        <w:tc>
          <w:tcPr>
            <w:tcW w:w="1557"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276"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70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134"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5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708"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360"/>
        </w:trPr>
        <w:tc>
          <w:tcPr>
            <w:tcW w:w="683" w:type="dxa"/>
            <w:vAlign w:val="center"/>
            <w:textDirection w:val="lrTb"/>
            <w:noWrap w:val="false"/>
          </w:tcPr>
          <w:p>
            <w:pPr>
              <w:jc w:val="center"/>
              <w:spacing w:line="400" w:lineRule="exact"/>
              <w:rPr>
                <w:color w:val="auto"/>
                <w:szCs w:val="21"/>
                <w:highlight w:val="none"/>
              </w:rPr>
            </w:pPr>
            <w:r>
              <w:rPr>
                <w:color w:val="auto"/>
                <w:szCs w:val="21"/>
                <w:highlight w:val="none"/>
              </w:rPr>
              <w:t xml:space="preserve">2</w:t>
            </w:r>
            <w:r/>
          </w:p>
        </w:tc>
        <w:tc>
          <w:tcPr>
            <w:tcW w:w="1270" w:type="dxa"/>
            <w:vAlign w:val="center"/>
            <w:textDirection w:val="lrTb"/>
            <w:noWrap w:val="false"/>
          </w:tcPr>
          <w:p>
            <w:pPr>
              <w:pStyle w:val="698"/>
              <w:ind w:left="0"/>
              <w:jc w:val="center"/>
              <w:spacing w:line="400" w:lineRule="exact"/>
              <w:rPr>
                <w:b w:val="0"/>
                <w:color w:val="auto"/>
                <w:szCs w:val="21"/>
                <w:highlight w:val="none"/>
              </w:rPr>
            </w:pPr>
            <w:r>
              <w:rPr>
                <w:rFonts w:hint="eastAsia"/>
                <w:b w:val="0"/>
                <w:color w:val="auto"/>
                <w:szCs w:val="21"/>
                <w:highlight w:val="none"/>
              </w:rPr>
              <w:t xml:space="preserve">安全生产</w:t>
            </w:r>
            <w:r/>
          </w:p>
        </w:tc>
        <w:tc>
          <w:tcPr>
            <w:tcW w:w="1557"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276"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70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134"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5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708"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360"/>
        </w:trPr>
        <w:tc>
          <w:tcPr>
            <w:tcW w:w="683" w:type="dxa"/>
            <w:vAlign w:val="center"/>
            <w:textDirection w:val="lrTb"/>
            <w:noWrap w:val="false"/>
          </w:tcPr>
          <w:p>
            <w:pPr>
              <w:jc w:val="center"/>
              <w:spacing w:line="400" w:lineRule="exact"/>
              <w:rPr>
                <w:color w:val="auto"/>
                <w:szCs w:val="21"/>
                <w:highlight w:val="none"/>
              </w:rPr>
            </w:pPr>
            <w:r>
              <w:rPr>
                <w:color w:val="auto"/>
                <w:szCs w:val="21"/>
                <w:highlight w:val="none"/>
              </w:rPr>
              <w:t xml:space="preserve">3</w:t>
            </w:r>
            <w:r/>
          </w:p>
        </w:tc>
        <w:tc>
          <w:tcPr>
            <w:tcW w:w="127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劳动保险</w:t>
            </w:r>
            <w:r/>
          </w:p>
        </w:tc>
        <w:tc>
          <w:tcPr>
            <w:tcW w:w="1557" w:type="dxa"/>
            <w:vAlign w:val="center"/>
            <w:textDirection w:val="lrTb"/>
            <w:noWrap w:val="false"/>
          </w:tcPr>
          <w:p>
            <w:pPr>
              <w:pStyle w:val="679"/>
              <w:jc w:val="center"/>
              <w:spacing w:before="0" w:after="0" w:line="400" w:lineRule="exact"/>
              <w:rPr>
                <w:color w:val="auto"/>
                <w:sz w:val="21"/>
                <w:szCs w:val="21"/>
                <w:highlight w:val="none"/>
              </w:rPr>
            </w:pPr>
            <w:r>
              <w:rPr>
                <w:color w:val="auto"/>
                <w:sz w:val="21"/>
                <w:szCs w:val="21"/>
                <w:highlight w:val="none"/>
              </w:rPr>
            </w:r>
            <w:r/>
          </w:p>
        </w:tc>
        <w:tc>
          <w:tcPr>
            <w:tcW w:w="1276"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70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134"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5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708"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360"/>
        </w:trPr>
        <w:tc>
          <w:tcPr>
            <w:tcW w:w="683" w:type="dxa"/>
            <w:vAlign w:val="center"/>
            <w:textDirection w:val="lrTb"/>
            <w:noWrap w:val="false"/>
          </w:tcPr>
          <w:p>
            <w:pPr>
              <w:jc w:val="center"/>
              <w:spacing w:line="400" w:lineRule="exact"/>
              <w:rPr>
                <w:color w:val="auto"/>
                <w:szCs w:val="21"/>
                <w:highlight w:val="none"/>
              </w:rPr>
            </w:pPr>
            <w:r>
              <w:rPr>
                <w:color w:val="auto"/>
                <w:szCs w:val="21"/>
                <w:highlight w:val="none"/>
              </w:rPr>
              <w:t xml:space="preserve">4</w:t>
            </w:r>
            <w:r/>
          </w:p>
        </w:tc>
        <w:tc>
          <w:tcPr>
            <w:tcW w:w="127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办公设备</w:t>
            </w:r>
            <w:r/>
          </w:p>
        </w:tc>
        <w:tc>
          <w:tcPr>
            <w:tcW w:w="1557"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276"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70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134"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5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708"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360"/>
        </w:trPr>
        <w:tc>
          <w:tcPr>
            <w:tcW w:w="683" w:type="dxa"/>
            <w:vAlign w:val="center"/>
            <w:textDirection w:val="lrTb"/>
            <w:noWrap w:val="false"/>
          </w:tcPr>
          <w:p>
            <w:pPr>
              <w:jc w:val="center"/>
              <w:spacing w:line="400" w:lineRule="exact"/>
              <w:rPr>
                <w:color w:val="auto"/>
                <w:szCs w:val="21"/>
                <w:highlight w:val="none"/>
              </w:rPr>
            </w:pPr>
            <w:r>
              <w:rPr>
                <w:color w:val="auto"/>
                <w:szCs w:val="21"/>
                <w:highlight w:val="none"/>
              </w:rPr>
              <w:t xml:space="preserve">5</w:t>
            </w:r>
            <w:r/>
          </w:p>
        </w:tc>
        <w:tc>
          <w:tcPr>
            <w:tcW w:w="127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服装</w:t>
            </w:r>
            <w:r/>
          </w:p>
        </w:tc>
        <w:tc>
          <w:tcPr>
            <w:tcW w:w="1557"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276"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70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134"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5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708"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360"/>
        </w:trPr>
        <w:tc>
          <w:tcPr>
            <w:tcW w:w="683" w:type="dxa"/>
            <w:vAlign w:val="center"/>
            <w:textDirection w:val="lrTb"/>
            <w:noWrap w:val="false"/>
          </w:tcPr>
          <w:p>
            <w:pPr>
              <w:jc w:val="center"/>
              <w:spacing w:line="400" w:lineRule="exact"/>
              <w:rPr>
                <w:color w:val="auto"/>
                <w:szCs w:val="21"/>
                <w:highlight w:val="none"/>
              </w:rPr>
            </w:pPr>
            <w:r>
              <w:rPr>
                <w:color w:val="auto"/>
                <w:szCs w:val="21"/>
                <w:highlight w:val="none"/>
              </w:rPr>
              <w:t xml:space="preserve">6</w:t>
            </w:r>
            <w:r/>
          </w:p>
        </w:tc>
        <w:tc>
          <w:tcPr>
            <w:tcW w:w="127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通讯器材</w:t>
            </w:r>
            <w:r/>
          </w:p>
        </w:tc>
        <w:tc>
          <w:tcPr>
            <w:tcW w:w="1557"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276"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70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134"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5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708"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360"/>
        </w:trPr>
        <w:tc>
          <w:tcPr>
            <w:tcW w:w="683" w:type="dxa"/>
            <w:vAlign w:val="center"/>
            <w:textDirection w:val="lrTb"/>
            <w:noWrap w:val="false"/>
          </w:tcPr>
          <w:p>
            <w:pPr>
              <w:jc w:val="center"/>
              <w:spacing w:line="400" w:lineRule="exact"/>
              <w:rPr>
                <w:color w:val="auto"/>
                <w:szCs w:val="21"/>
                <w:highlight w:val="none"/>
              </w:rPr>
            </w:pPr>
            <w:r>
              <w:rPr>
                <w:color w:val="auto"/>
                <w:szCs w:val="21"/>
                <w:highlight w:val="none"/>
              </w:rPr>
              <w:t xml:space="preserve">7</w:t>
            </w:r>
            <w:r/>
          </w:p>
        </w:tc>
        <w:tc>
          <w:tcPr>
            <w:tcW w:w="127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误餐</w:t>
            </w:r>
            <w:r/>
          </w:p>
        </w:tc>
        <w:tc>
          <w:tcPr>
            <w:tcW w:w="1557"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276"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70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134"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5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708"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360"/>
        </w:trPr>
        <w:tc>
          <w:tcPr>
            <w:tcW w:w="683" w:type="dxa"/>
            <w:vAlign w:val="center"/>
            <w:textDirection w:val="lrTb"/>
            <w:noWrap w:val="false"/>
          </w:tcPr>
          <w:p>
            <w:pPr>
              <w:jc w:val="center"/>
              <w:spacing w:line="400" w:lineRule="exact"/>
              <w:rPr>
                <w:color w:val="auto"/>
                <w:szCs w:val="21"/>
                <w:highlight w:val="none"/>
              </w:rPr>
            </w:pPr>
            <w:r>
              <w:rPr>
                <w:color w:val="auto"/>
                <w:szCs w:val="21"/>
                <w:highlight w:val="none"/>
              </w:rPr>
              <w:t xml:space="preserve">8</w:t>
            </w:r>
            <w:r/>
          </w:p>
        </w:tc>
        <w:tc>
          <w:tcPr>
            <w:tcW w:w="127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损耗</w:t>
            </w:r>
            <w:r/>
          </w:p>
        </w:tc>
        <w:tc>
          <w:tcPr>
            <w:tcW w:w="1557"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276"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70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134"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5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708"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360"/>
        </w:trPr>
        <w:tc>
          <w:tcPr>
            <w:tcW w:w="683" w:type="dxa"/>
            <w:vAlign w:val="center"/>
            <w:textDirection w:val="lrTb"/>
            <w:noWrap w:val="false"/>
          </w:tcPr>
          <w:p>
            <w:pPr>
              <w:jc w:val="center"/>
              <w:spacing w:line="400" w:lineRule="exact"/>
              <w:rPr>
                <w:color w:val="auto"/>
                <w:szCs w:val="21"/>
                <w:highlight w:val="none"/>
              </w:rPr>
            </w:pPr>
            <w:r>
              <w:rPr>
                <w:color w:val="auto"/>
                <w:szCs w:val="21"/>
                <w:highlight w:val="none"/>
              </w:rPr>
              <w:t xml:space="preserve">9</w:t>
            </w:r>
            <w:r/>
          </w:p>
        </w:tc>
        <w:tc>
          <w:tcPr>
            <w:tcW w:w="127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保险费</w:t>
            </w:r>
            <w:r/>
          </w:p>
        </w:tc>
        <w:tc>
          <w:tcPr>
            <w:tcW w:w="1557"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276" w:type="dxa"/>
            <w:vAlign w:val="center"/>
            <w:textDirection w:val="lrTb"/>
            <w:noWrap w:val="false"/>
          </w:tcPr>
          <w:p>
            <w:pPr>
              <w:pStyle w:val="698"/>
              <w:ind w:left="0"/>
              <w:jc w:val="center"/>
              <w:spacing w:line="400" w:lineRule="exact"/>
              <w:rPr>
                <w:color w:val="auto"/>
                <w:szCs w:val="21"/>
                <w:highlight w:val="none"/>
              </w:rPr>
            </w:pPr>
            <w:r>
              <w:rPr>
                <w:color w:val="auto"/>
                <w:szCs w:val="21"/>
                <w:highlight w:val="none"/>
              </w:rPr>
            </w:r>
            <w:r/>
          </w:p>
        </w:tc>
        <w:tc>
          <w:tcPr>
            <w:tcW w:w="1701" w:type="dxa"/>
            <w:vAlign w:val="center"/>
            <w:textDirection w:val="lrTb"/>
            <w:noWrap w:val="false"/>
          </w:tcPr>
          <w:p>
            <w:pPr>
              <w:pStyle w:val="698"/>
              <w:ind w:left="0"/>
              <w:jc w:val="center"/>
              <w:spacing w:line="400" w:lineRule="exact"/>
              <w:rPr>
                <w:color w:val="auto"/>
                <w:szCs w:val="21"/>
                <w:highlight w:val="none"/>
              </w:rPr>
            </w:pPr>
            <w:r>
              <w:rPr>
                <w:color w:val="auto"/>
                <w:szCs w:val="21"/>
                <w:highlight w:val="none"/>
              </w:rPr>
            </w:r>
            <w:r/>
          </w:p>
        </w:tc>
        <w:tc>
          <w:tcPr>
            <w:tcW w:w="1134" w:type="dxa"/>
            <w:vAlign w:val="center"/>
            <w:textDirection w:val="lrTb"/>
            <w:noWrap w:val="false"/>
          </w:tcPr>
          <w:p>
            <w:pPr>
              <w:pStyle w:val="698"/>
              <w:ind w:left="0"/>
              <w:jc w:val="center"/>
              <w:spacing w:line="400" w:lineRule="exact"/>
              <w:rPr>
                <w:color w:val="auto"/>
                <w:szCs w:val="21"/>
                <w:highlight w:val="none"/>
              </w:rPr>
            </w:pPr>
            <w:r>
              <w:rPr>
                <w:color w:val="auto"/>
                <w:szCs w:val="21"/>
                <w:highlight w:val="none"/>
              </w:rPr>
            </w:r>
            <w:r/>
          </w:p>
        </w:tc>
        <w:tc>
          <w:tcPr>
            <w:tcW w:w="851" w:type="dxa"/>
            <w:vAlign w:val="center"/>
            <w:textDirection w:val="lrTb"/>
            <w:noWrap w:val="false"/>
          </w:tcPr>
          <w:p>
            <w:pPr>
              <w:pStyle w:val="698"/>
              <w:ind w:left="0"/>
              <w:jc w:val="center"/>
              <w:spacing w:line="400" w:lineRule="exact"/>
              <w:rPr>
                <w:color w:val="auto"/>
                <w:szCs w:val="21"/>
                <w:highlight w:val="none"/>
              </w:rPr>
            </w:pPr>
            <w:r>
              <w:rPr>
                <w:color w:val="auto"/>
                <w:szCs w:val="21"/>
                <w:highlight w:val="none"/>
              </w:rPr>
            </w:r>
            <w:r/>
          </w:p>
        </w:tc>
        <w:tc>
          <w:tcPr>
            <w:tcW w:w="708" w:type="dxa"/>
            <w:vAlign w:val="center"/>
            <w:textDirection w:val="lrTb"/>
            <w:noWrap w:val="false"/>
          </w:tcPr>
          <w:p>
            <w:pPr>
              <w:pStyle w:val="698"/>
              <w:ind w:left="6000"/>
              <w:rPr>
                <w:color w:val="auto"/>
                <w:szCs w:val="21"/>
                <w:highlight w:val="none"/>
              </w:rPr>
            </w:pPr>
            <w:r>
              <w:rPr>
                <w:color w:val="auto"/>
                <w:szCs w:val="21"/>
                <w:highlight w:val="none"/>
              </w:rPr>
            </w:r>
            <w:r/>
          </w:p>
        </w:tc>
      </w:tr>
      <w:tr>
        <w:trPr>
          <w:trHeight w:val="360"/>
        </w:trPr>
        <w:tc>
          <w:tcPr>
            <w:tcW w:w="683" w:type="dxa"/>
            <w:vAlign w:val="center"/>
            <w:textDirection w:val="lrTb"/>
            <w:noWrap w:val="false"/>
          </w:tcPr>
          <w:p>
            <w:pPr>
              <w:jc w:val="center"/>
              <w:spacing w:line="400" w:lineRule="exact"/>
              <w:rPr>
                <w:color w:val="auto"/>
                <w:szCs w:val="21"/>
                <w:highlight w:val="none"/>
              </w:rPr>
            </w:pPr>
            <w:r>
              <w:rPr>
                <w:color w:val="auto"/>
                <w:szCs w:val="21"/>
                <w:highlight w:val="none"/>
              </w:rPr>
              <w:t xml:space="preserve">10</w:t>
            </w:r>
            <w:r/>
          </w:p>
        </w:tc>
        <w:tc>
          <w:tcPr>
            <w:tcW w:w="127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税金</w:t>
            </w:r>
            <w:r/>
          </w:p>
        </w:tc>
        <w:tc>
          <w:tcPr>
            <w:tcW w:w="1557"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276"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70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134"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5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708"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360"/>
        </w:trPr>
        <w:tc>
          <w:tcPr>
            <w:tcW w:w="683" w:type="dxa"/>
            <w:vAlign w:val="center"/>
            <w:textDirection w:val="lrTb"/>
            <w:noWrap w:val="false"/>
          </w:tcPr>
          <w:p>
            <w:pPr>
              <w:jc w:val="center"/>
              <w:spacing w:line="400" w:lineRule="exact"/>
              <w:rPr>
                <w:color w:val="auto"/>
                <w:szCs w:val="21"/>
                <w:highlight w:val="none"/>
              </w:rPr>
            </w:pPr>
            <w:r>
              <w:rPr>
                <w:color w:val="auto"/>
                <w:szCs w:val="21"/>
                <w:highlight w:val="none"/>
              </w:rPr>
              <w:t xml:space="preserve">11</w:t>
            </w:r>
            <w:r/>
          </w:p>
        </w:tc>
        <w:tc>
          <w:tcPr>
            <w:tcW w:w="127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管理费</w:t>
            </w:r>
            <w:r/>
          </w:p>
        </w:tc>
        <w:tc>
          <w:tcPr>
            <w:tcW w:w="1557"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276"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70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134"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5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708"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360"/>
        </w:trPr>
        <w:tc>
          <w:tcPr>
            <w:tcW w:w="683" w:type="dxa"/>
            <w:vAlign w:val="center"/>
            <w:textDirection w:val="lrTb"/>
            <w:noWrap w:val="false"/>
          </w:tcPr>
          <w:p>
            <w:pPr>
              <w:jc w:val="center"/>
              <w:spacing w:line="400" w:lineRule="exact"/>
              <w:rPr>
                <w:color w:val="auto"/>
                <w:szCs w:val="21"/>
                <w:highlight w:val="none"/>
              </w:rPr>
            </w:pPr>
            <w:r>
              <w:rPr>
                <w:color w:val="auto"/>
                <w:szCs w:val="21"/>
                <w:highlight w:val="none"/>
              </w:rPr>
              <w:t xml:space="preserve">12</w:t>
            </w:r>
            <w:r/>
          </w:p>
        </w:tc>
        <w:tc>
          <w:tcPr>
            <w:tcW w:w="127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其他</w:t>
            </w:r>
            <w:r/>
          </w:p>
        </w:tc>
        <w:tc>
          <w:tcPr>
            <w:tcW w:w="1557"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276"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70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134"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5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708"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482"/>
        </w:trPr>
        <w:tc>
          <w:tcPr>
            <w:gridSpan w:val="2"/>
            <w:tcW w:w="1953" w:type="dxa"/>
            <w:vAlign w:val="center"/>
            <w:textDirection w:val="lrTb"/>
            <w:noWrap w:val="false"/>
          </w:tcPr>
          <w:p>
            <w:pPr>
              <w:jc w:val="center"/>
              <w:spacing w:line="400" w:lineRule="exact"/>
              <w:rPr>
                <w:b/>
                <w:color w:val="auto"/>
                <w:szCs w:val="21"/>
                <w:highlight w:val="none"/>
              </w:rPr>
            </w:pPr>
            <w:r>
              <w:rPr>
                <w:rFonts w:hint="eastAsia"/>
                <w:b/>
                <w:color w:val="auto"/>
                <w:szCs w:val="21"/>
                <w:highlight w:val="none"/>
              </w:rPr>
              <w:t xml:space="preserve">小计（元）</w:t>
            </w:r>
            <w:r/>
          </w:p>
        </w:tc>
        <w:tc>
          <w:tcPr>
            <w:tcW w:w="1557" w:type="dxa"/>
            <w:vAlign w:val="center"/>
            <w:textDirection w:val="lrTb"/>
            <w:noWrap w:val="false"/>
          </w:tcPr>
          <w:p>
            <w:pPr>
              <w:pStyle w:val="680"/>
              <w:jc w:val="center"/>
              <w:spacing w:before="0" w:after="0" w:line="400" w:lineRule="exact"/>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276" w:type="dxa"/>
            <w:vAlign w:val="center"/>
            <w:textDirection w:val="lrTb"/>
            <w:noWrap w:val="false"/>
          </w:tcPr>
          <w:p>
            <w:pPr>
              <w:jc w:val="center"/>
              <w:spacing w:line="400" w:lineRule="exact"/>
              <w:rPr>
                <w:rFonts w:ascii="Times New Roman" w:hAnsi="Times New Roman"/>
                <w:color w:val="auto"/>
                <w:szCs w:val="21"/>
                <w:highlight w:val="none"/>
              </w:rPr>
            </w:pPr>
            <w:r>
              <w:rPr>
                <w:rFonts w:ascii="Times New Roman" w:hAnsi="Times New Roman"/>
                <w:color w:val="auto"/>
                <w:szCs w:val="21"/>
                <w:highlight w:val="none"/>
              </w:rPr>
            </w:r>
            <w:r/>
          </w:p>
        </w:tc>
        <w:tc>
          <w:tcPr>
            <w:tcW w:w="170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134"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5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708"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574"/>
        </w:trPr>
        <w:tc>
          <w:tcPr>
            <w:gridSpan w:val="2"/>
            <w:tcW w:w="1953" w:type="dxa"/>
            <w:vAlign w:val="center"/>
            <w:textDirection w:val="lrTb"/>
            <w:noWrap w:val="false"/>
          </w:tcPr>
          <w:p>
            <w:pPr>
              <w:jc w:val="center"/>
              <w:spacing w:line="400" w:lineRule="exact"/>
              <w:rPr>
                <w:b/>
                <w:color w:val="auto"/>
                <w:szCs w:val="21"/>
                <w:highlight w:val="none"/>
              </w:rPr>
            </w:pPr>
            <w:r>
              <w:rPr>
                <w:rFonts w:hint="eastAsia"/>
                <w:b/>
                <w:color w:val="auto"/>
                <w:szCs w:val="21"/>
                <w:highlight w:val="none"/>
              </w:rPr>
              <w:t xml:space="preserve">人数（人）</w:t>
            </w:r>
            <w:r/>
          </w:p>
        </w:tc>
        <w:tc>
          <w:tcPr>
            <w:tcW w:w="1557"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276"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70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134"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51"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708"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574"/>
        </w:trPr>
        <w:tc>
          <w:tcPr>
            <w:gridSpan w:val="2"/>
            <w:tcW w:w="1953" w:type="dxa"/>
            <w:vAlign w:val="center"/>
            <w:textDirection w:val="lrTb"/>
            <w:noWrap w:val="false"/>
          </w:tcPr>
          <w:p>
            <w:pPr>
              <w:jc w:val="center"/>
              <w:spacing w:line="400" w:lineRule="exact"/>
              <w:rPr>
                <w:b/>
                <w:color w:val="auto"/>
                <w:szCs w:val="21"/>
                <w:highlight w:val="none"/>
              </w:rPr>
            </w:pPr>
            <w:r>
              <w:rPr>
                <w:rFonts w:hint="eastAsia"/>
                <w:b/>
                <w:color w:val="auto"/>
                <w:szCs w:val="21"/>
                <w:highlight w:val="none"/>
              </w:rPr>
              <w:t xml:space="preserve">总人数</w:t>
            </w:r>
            <w:r/>
          </w:p>
        </w:tc>
        <w:tc>
          <w:tcPr>
            <w:gridSpan w:val="6"/>
            <w:tcW w:w="7227" w:type="dxa"/>
            <w:vAlign w:val="center"/>
            <w:textDirection w:val="lrTb"/>
            <w:noWrap w:val="false"/>
          </w:tcPr>
          <w:p>
            <w:pPr>
              <w:jc w:val="center"/>
              <w:spacing w:line="400" w:lineRule="exact"/>
              <w:rPr>
                <w:b/>
                <w:color w:val="auto"/>
                <w:szCs w:val="21"/>
                <w:highlight w:val="none"/>
              </w:rPr>
            </w:pPr>
            <w:r>
              <w:rPr>
                <w:b/>
                <w:color w:val="auto"/>
                <w:szCs w:val="21"/>
                <w:highlight w:val="none"/>
              </w:rPr>
              <w:t xml:space="preserve">   </w:t>
            </w:r>
            <w:r>
              <w:rPr>
                <w:rFonts w:hint="eastAsia"/>
                <w:b/>
                <w:color w:val="auto"/>
                <w:szCs w:val="21"/>
                <w:highlight w:val="none"/>
              </w:rPr>
              <w:t xml:space="preserve">不少于</w:t>
            </w:r>
            <w:r>
              <w:rPr>
                <w:b/>
                <w:color w:val="auto"/>
                <w:szCs w:val="21"/>
                <w:highlight w:val="none"/>
                <w:u w:val="single"/>
              </w:rPr>
              <w:t xml:space="preserve">      </w:t>
            </w:r>
            <w:r>
              <w:rPr>
                <w:rFonts w:hint="eastAsia"/>
                <w:b/>
                <w:color w:val="auto"/>
                <w:szCs w:val="21"/>
                <w:highlight w:val="none"/>
              </w:rPr>
              <w:t xml:space="preserve">人</w:t>
            </w:r>
            <w:r/>
          </w:p>
        </w:tc>
      </w:tr>
      <w:tr>
        <w:trPr>
          <w:trHeight w:val="665"/>
        </w:trPr>
        <w:tc>
          <w:tcPr>
            <w:gridSpan w:val="2"/>
            <w:tcW w:w="1953" w:type="dxa"/>
            <w:vAlign w:val="center"/>
            <w:textDirection w:val="lrTb"/>
            <w:noWrap w:val="false"/>
          </w:tcPr>
          <w:p>
            <w:pPr>
              <w:jc w:val="center"/>
              <w:spacing w:line="400" w:lineRule="exact"/>
              <w:rPr>
                <w:b/>
                <w:color w:val="auto"/>
                <w:szCs w:val="21"/>
                <w:highlight w:val="none"/>
              </w:rPr>
            </w:pPr>
            <w:r>
              <w:rPr>
                <w:rFonts w:hint="eastAsia"/>
                <w:b/>
                <w:color w:val="auto"/>
                <w:szCs w:val="21"/>
                <w:highlight w:val="none"/>
              </w:rPr>
              <w:t xml:space="preserve">合计（元）</w:t>
            </w:r>
            <w:r/>
          </w:p>
        </w:tc>
        <w:tc>
          <w:tcPr>
            <w:gridSpan w:val="6"/>
            <w:tcW w:w="7227" w:type="dxa"/>
            <w:vAlign w:val="center"/>
            <w:textDirection w:val="lrTb"/>
            <w:noWrap w:val="false"/>
          </w:tcPr>
          <w:p>
            <w:pPr>
              <w:spacing w:line="400" w:lineRule="exact"/>
              <w:rPr>
                <w:color w:val="auto"/>
                <w:szCs w:val="21"/>
                <w:highlight w:val="none"/>
              </w:rPr>
            </w:pPr>
            <w:r>
              <w:rPr>
                <w:rFonts w:hint="eastAsia"/>
                <w:color w:val="auto"/>
                <w:szCs w:val="21"/>
                <w:highlight w:val="none"/>
              </w:rPr>
              <w:t xml:space="preserve">大写：人民币</w:t>
            </w:r>
            <w:r>
              <w:rPr>
                <w:color w:val="auto"/>
                <w:szCs w:val="21"/>
                <w:highlight w:val="none"/>
              </w:rPr>
              <w:t xml:space="preserve">              </w:t>
            </w:r>
            <w:r>
              <w:rPr>
                <w:rFonts w:hint="eastAsia"/>
                <w:color w:val="auto"/>
                <w:szCs w:val="21"/>
                <w:highlight w:val="none"/>
              </w:rPr>
              <w:t xml:space="preserve">（￥</w:t>
            </w:r>
            <w:r>
              <w:rPr>
                <w:color w:val="auto"/>
                <w:szCs w:val="21"/>
                <w:highlight w:val="none"/>
              </w:rPr>
              <w:t xml:space="preserve">       </w:t>
            </w:r>
            <w:r>
              <w:rPr>
                <w:rFonts w:hint="eastAsia"/>
                <w:color w:val="auto"/>
                <w:szCs w:val="21"/>
                <w:highlight w:val="none"/>
              </w:rPr>
              <w:t xml:space="preserve">）</w:t>
            </w:r>
            <w:r/>
          </w:p>
        </w:tc>
      </w:tr>
    </w:tbl>
    <w:p>
      <w:pPr>
        <w:ind w:firstLine="210"/>
        <w:spacing w:line="360" w:lineRule="auto"/>
        <w:rPr>
          <w:color w:val="auto"/>
          <w:szCs w:val="21"/>
          <w:highlight w:val="none"/>
        </w:rPr>
      </w:pPr>
      <w:r>
        <w:rPr>
          <w:rFonts w:hint="eastAsia"/>
          <w:color w:val="auto"/>
          <w:szCs w:val="21"/>
          <w:highlight w:val="none"/>
        </w:rPr>
        <w:t xml:space="preserve">备注：测算时工资标准和社会保险不得低于项目所在地最新公布的最低标准，否则作无效报价处理。利润、管理费、税费及相应利润投标响应单位自行考虑。</w:t>
      </w:r>
      <w:r/>
    </w:p>
    <w:p>
      <w:pPr>
        <w:ind w:firstLine="210"/>
        <w:spacing w:line="360" w:lineRule="auto"/>
        <w:rPr>
          <w:color w:val="auto"/>
          <w:szCs w:val="21"/>
          <w:highlight w:val="none"/>
        </w:rPr>
      </w:pPr>
      <w:r>
        <w:rPr>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rFonts w:ascii="宋体" w:cs="宋体"/>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line="400" w:lineRule="exact"/>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 xml:space="preserve">第二、三、七采购包投标报价分析表</w:t>
      </w:r>
      <w:r/>
    </w:p>
    <w:p>
      <w:pPr>
        <w:spacing w:line="360" w:lineRule="auto"/>
        <w:rPr>
          <w:rFonts w:ascii="Times New Roman" w:hAnsi="Times New Roman"/>
          <w:color w:val="auto"/>
          <w:spacing w:val="20"/>
          <w:szCs w:val="21"/>
          <w:highlight w:val="none"/>
        </w:rPr>
      </w:pPr>
      <w:r>
        <w:rPr>
          <w:rFonts w:hint="eastAsia"/>
          <w:color w:val="auto"/>
          <w:spacing w:val="20"/>
          <w:szCs w:val="21"/>
          <w:highlight w:val="none"/>
        </w:rPr>
        <w:t xml:space="preserve">采购编号：</w:t>
      </w:r>
      <w:r>
        <w:rPr>
          <w:color w:val="auto"/>
          <w:spacing w:val="20"/>
          <w:szCs w:val="21"/>
          <w:highlight w:val="none"/>
        </w:rPr>
        <w:t xml:space="preserve"> </w:t>
      </w:r>
      <w:r/>
    </w:p>
    <w:tbl>
      <w:tblPr>
        <w:tblStyle w:val="685"/>
        <w:tblW w:w="86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9"/>
        <w:gridCol w:w="2162"/>
        <w:gridCol w:w="1874"/>
        <w:gridCol w:w="1873"/>
        <w:gridCol w:w="1591"/>
      </w:tblGrid>
      <w:tr>
        <w:trPr>
          <w:trHeight w:val="753"/>
        </w:trPr>
        <w:tc>
          <w:tcPr>
            <w:tcW w:w="1119" w:type="dxa"/>
            <w:vAlign w:val="center"/>
            <w:textDirection w:val="lrTb"/>
            <w:noWrap w:val="false"/>
          </w:tcPr>
          <w:p>
            <w:pPr>
              <w:spacing w:line="360" w:lineRule="auto"/>
              <w:rPr>
                <w:b/>
                <w:color w:val="auto"/>
                <w:spacing w:val="20"/>
                <w:szCs w:val="21"/>
                <w:highlight w:val="none"/>
              </w:rPr>
            </w:pPr>
            <w:r>
              <w:rPr>
                <w:rFonts w:hint="eastAsia"/>
                <w:b/>
                <w:color w:val="auto"/>
                <w:spacing w:val="20"/>
                <w:szCs w:val="21"/>
                <w:highlight w:val="none"/>
              </w:rPr>
              <w:t xml:space="preserve">序号</w:t>
            </w:r>
            <w:r/>
          </w:p>
        </w:tc>
        <w:tc>
          <w:tcPr>
            <w:tcW w:w="2162" w:type="dxa"/>
            <w:vAlign w:val="center"/>
            <w:textDirection w:val="lrTb"/>
            <w:noWrap w:val="false"/>
          </w:tcPr>
          <w:p>
            <w:pPr>
              <w:spacing w:line="360" w:lineRule="auto"/>
              <w:rPr>
                <w:b/>
                <w:color w:val="auto"/>
                <w:spacing w:val="20"/>
                <w:szCs w:val="21"/>
                <w:highlight w:val="none"/>
              </w:rPr>
            </w:pPr>
            <w:r>
              <w:rPr>
                <w:rFonts w:hint="eastAsia"/>
                <w:b/>
                <w:color w:val="auto"/>
                <w:spacing w:val="20"/>
                <w:szCs w:val="21"/>
                <w:highlight w:val="none"/>
              </w:rPr>
              <w:t xml:space="preserve">费用名称</w:t>
            </w:r>
            <w:r/>
          </w:p>
        </w:tc>
        <w:tc>
          <w:tcPr>
            <w:tcW w:w="1874" w:type="dxa"/>
            <w:vAlign w:val="center"/>
            <w:textDirection w:val="lrTb"/>
            <w:noWrap w:val="false"/>
          </w:tcPr>
          <w:p>
            <w:pPr>
              <w:spacing w:line="360" w:lineRule="auto"/>
              <w:rPr>
                <w:b/>
                <w:color w:val="auto"/>
                <w:spacing w:val="20"/>
                <w:szCs w:val="21"/>
                <w:highlight w:val="none"/>
              </w:rPr>
            </w:pPr>
            <w:r>
              <w:rPr>
                <w:rFonts w:hint="eastAsia"/>
                <w:b/>
                <w:color w:val="auto"/>
                <w:spacing w:val="20"/>
                <w:szCs w:val="21"/>
                <w:highlight w:val="none"/>
              </w:rPr>
              <w:t xml:space="preserve">单价（元）</w:t>
            </w:r>
            <w:r/>
          </w:p>
        </w:tc>
        <w:tc>
          <w:tcPr>
            <w:tcW w:w="1873" w:type="dxa"/>
            <w:vAlign w:val="center"/>
            <w:textDirection w:val="lrTb"/>
            <w:noWrap w:val="false"/>
          </w:tcPr>
          <w:p>
            <w:pPr>
              <w:spacing w:line="360" w:lineRule="auto"/>
              <w:rPr>
                <w:b/>
                <w:color w:val="auto"/>
                <w:spacing w:val="20"/>
                <w:szCs w:val="21"/>
                <w:highlight w:val="none"/>
              </w:rPr>
            </w:pPr>
            <w:r>
              <w:rPr>
                <w:rFonts w:hint="eastAsia"/>
                <w:b/>
                <w:color w:val="auto"/>
                <w:spacing w:val="20"/>
                <w:szCs w:val="21"/>
                <w:highlight w:val="none"/>
              </w:rPr>
              <w:t xml:space="preserve">总价（元）</w:t>
            </w:r>
            <w:r/>
          </w:p>
        </w:tc>
        <w:tc>
          <w:tcPr>
            <w:tcW w:w="1589" w:type="dxa"/>
            <w:vAlign w:val="center"/>
            <w:textDirection w:val="lrTb"/>
            <w:noWrap w:val="false"/>
          </w:tcPr>
          <w:p>
            <w:pPr>
              <w:spacing w:line="360" w:lineRule="auto"/>
              <w:rPr>
                <w:b/>
                <w:color w:val="auto"/>
                <w:spacing w:val="20"/>
                <w:szCs w:val="21"/>
                <w:highlight w:val="none"/>
              </w:rPr>
            </w:pPr>
            <w:r>
              <w:rPr>
                <w:rFonts w:hint="eastAsia"/>
                <w:b/>
                <w:color w:val="auto"/>
                <w:spacing w:val="20"/>
                <w:szCs w:val="21"/>
                <w:highlight w:val="none"/>
              </w:rPr>
              <w:t xml:space="preserve">备注</w:t>
            </w:r>
            <w:r/>
          </w:p>
        </w:tc>
      </w:tr>
      <w:tr>
        <w:trPr>
          <w:trHeight w:val="653"/>
        </w:trPr>
        <w:tc>
          <w:tcPr>
            <w:tcW w:w="1119" w:type="dxa"/>
            <w:vAlign w:val="center"/>
            <w:textDirection w:val="lrTb"/>
            <w:noWrap w:val="false"/>
          </w:tcPr>
          <w:p>
            <w:pPr>
              <w:spacing w:line="360" w:lineRule="auto"/>
              <w:rPr>
                <w:color w:val="auto"/>
                <w:spacing w:val="20"/>
                <w:szCs w:val="21"/>
                <w:highlight w:val="none"/>
              </w:rPr>
            </w:pPr>
            <w:r>
              <w:rPr>
                <w:color w:val="auto"/>
                <w:spacing w:val="20"/>
                <w:szCs w:val="21"/>
                <w:highlight w:val="none"/>
              </w:rPr>
              <w:t xml:space="preserve">1</w:t>
            </w:r>
            <w:r/>
          </w:p>
        </w:tc>
        <w:tc>
          <w:tcPr>
            <w:tcW w:w="2162" w:type="dxa"/>
            <w:textDirection w:val="lrTb"/>
            <w:noWrap w:val="false"/>
          </w:tcPr>
          <w:p>
            <w:pPr>
              <w:spacing w:line="360" w:lineRule="auto"/>
              <w:rPr>
                <w:color w:val="auto"/>
                <w:spacing w:val="20"/>
                <w:szCs w:val="21"/>
                <w:highlight w:val="none"/>
              </w:rPr>
            </w:pPr>
            <w:r>
              <w:rPr>
                <w:rFonts w:hint="eastAsia"/>
                <w:color w:val="auto"/>
                <w:szCs w:val="21"/>
                <w:highlight w:val="none"/>
              </w:rPr>
              <w:t xml:space="preserve">人员工资</w:t>
            </w:r>
            <w:r/>
          </w:p>
        </w:tc>
        <w:tc>
          <w:tcPr>
            <w:tcW w:w="1874"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873"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589"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r>
      <w:tr>
        <w:trPr>
          <w:trHeight w:val="508"/>
        </w:trPr>
        <w:tc>
          <w:tcPr>
            <w:tcW w:w="1119" w:type="dxa"/>
            <w:vAlign w:val="center"/>
            <w:textDirection w:val="lrTb"/>
            <w:noWrap w:val="false"/>
          </w:tcPr>
          <w:p>
            <w:pPr>
              <w:spacing w:line="360" w:lineRule="auto"/>
              <w:rPr>
                <w:color w:val="auto"/>
                <w:spacing w:val="20"/>
                <w:szCs w:val="21"/>
                <w:highlight w:val="none"/>
              </w:rPr>
            </w:pPr>
            <w:r>
              <w:rPr>
                <w:color w:val="auto"/>
                <w:spacing w:val="20"/>
                <w:szCs w:val="21"/>
                <w:highlight w:val="none"/>
              </w:rPr>
              <w:t xml:space="preserve">3</w:t>
            </w:r>
            <w:r/>
          </w:p>
        </w:tc>
        <w:tc>
          <w:tcPr>
            <w:tcW w:w="2162" w:type="dxa"/>
            <w:vAlign w:val="center"/>
            <w:textDirection w:val="lrTb"/>
            <w:noWrap w:val="false"/>
          </w:tcPr>
          <w:p>
            <w:pPr>
              <w:spacing w:line="360" w:lineRule="auto"/>
              <w:rPr>
                <w:color w:val="auto"/>
                <w:spacing w:val="20"/>
                <w:szCs w:val="21"/>
                <w:highlight w:val="none"/>
              </w:rPr>
            </w:pPr>
            <w:r>
              <w:rPr>
                <w:rFonts w:hint="eastAsia"/>
                <w:color w:val="auto"/>
                <w:szCs w:val="21"/>
                <w:highlight w:val="none"/>
              </w:rPr>
              <w:t xml:space="preserve">耗品</w:t>
            </w:r>
            <w:r/>
          </w:p>
        </w:tc>
        <w:tc>
          <w:tcPr>
            <w:tcW w:w="1874" w:type="dxa"/>
            <w:vAlign w:val="center"/>
            <w:textDirection w:val="lrTb"/>
            <w:noWrap w:val="false"/>
          </w:tcPr>
          <w:p>
            <w:pPr>
              <w:spacing w:line="360" w:lineRule="auto"/>
              <w:rPr>
                <w:b/>
                <w:bCs/>
                <w:color w:val="auto"/>
                <w:spacing w:val="20"/>
                <w:szCs w:val="21"/>
                <w:highlight w:val="none"/>
              </w:rPr>
            </w:pPr>
            <w:r>
              <w:rPr>
                <w:b/>
                <w:bCs/>
                <w:color w:val="auto"/>
                <w:spacing w:val="20"/>
                <w:szCs w:val="21"/>
                <w:highlight w:val="none"/>
              </w:rPr>
            </w:r>
            <w:r/>
          </w:p>
        </w:tc>
        <w:tc>
          <w:tcPr>
            <w:tcW w:w="1873"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589"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r>
      <w:tr>
        <w:trPr>
          <w:trHeight w:val="508"/>
        </w:trPr>
        <w:tc>
          <w:tcPr>
            <w:tcW w:w="1119" w:type="dxa"/>
            <w:vAlign w:val="center"/>
            <w:textDirection w:val="lrTb"/>
            <w:noWrap w:val="false"/>
          </w:tcPr>
          <w:p>
            <w:pPr>
              <w:spacing w:line="360" w:lineRule="auto"/>
              <w:rPr>
                <w:color w:val="auto"/>
                <w:spacing w:val="20"/>
                <w:szCs w:val="21"/>
                <w:highlight w:val="none"/>
              </w:rPr>
            </w:pPr>
            <w:r>
              <w:rPr>
                <w:color w:val="auto"/>
                <w:spacing w:val="20"/>
                <w:szCs w:val="21"/>
                <w:highlight w:val="none"/>
              </w:rPr>
              <w:t xml:space="preserve">4</w:t>
            </w:r>
            <w:r/>
          </w:p>
        </w:tc>
        <w:tc>
          <w:tcPr>
            <w:tcW w:w="2162" w:type="dxa"/>
            <w:vAlign w:val="center"/>
            <w:textDirection w:val="lrTb"/>
            <w:noWrap w:val="false"/>
          </w:tcPr>
          <w:p>
            <w:pPr>
              <w:spacing w:line="360" w:lineRule="auto"/>
              <w:rPr>
                <w:color w:val="auto"/>
                <w:spacing w:val="20"/>
                <w:szCs w:val="21"/>
                <w:highlight w:val="none"/>
              </w:rPr>
            </w:pPr>
            <w:r>
              <w:rPr>
                <w:rFonts w:hint="eastAsia"/>
                <w:color w:val="auto"/>
                <w:szCs w:val="21"/>
                <w:highlight w:val="none"/>
              </w:rPr>
              <w:t xml:space="preserve">配件</w:t>
            </w:r>
            <w:r/>
          </w:p>
        </w:tc>
        <w:tc>
          <w:tcPr>
            <w:tcW w:w="1874"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873"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589"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r>
      <w:tr>
        <w:trPr>
          <w:trHeight w:val="508"/>
        </w:trPr>
        <w:tc>
          <w:tcPr>
            <w:tcW w:w="1119" w:type="dxa"/>
            <w:vAlign w:val="center"/>
            <w:textDirection w:val="lrTb"/>
            <w:noWrap w:val="false"/>
          </w:tcPr>
          <w:p>
            <w:pPr>
              <w:spacing w:line="360" w:lineRule="auto"/>
              <w:rPr>
                <w:color w:val="auto"/>
                <w:spacing w:val="20"/>
                <w:szCs w:val="21"/>
                <w:highlight w:val="none"/>
              </w:rPr>
            </w:pPr>
            <w:r>
              <w:rPr>
                <w:color w:val="auto"/>
                <w:spacing w:val="20"/>
                <w:szCs w:val="21"/>
                <w:highlight w:val="none"/>
              </w:rPr>
              <w:t xml:space="preserve">5</w:t>
            </w:r>
            <w:r/>
          </w:p>
        </w:tc>
        <w:tc>
          <w:tcPr>
            <w:tcW w:w="2162" w:type="dxa"/>
            <w:vAlign w:val="center"/>
            <w:textDirection w:val="lrTb"/>
            <w:noWrap w:val="false"/>
          </w:tcPr>
          <w:p>
            <w:pPr>
              <w:spacing w:line="360" w:lineRule="auto"/>
              <w:rPr>
                <w:color w:val="auto"/>
                <w:spacing w:val="20"/>
                <w:szCs w:val="21"/>
                <w:highlight w:val="none"/>
              </w:rPr>
            </w:pPr>
            <w:r>
              <w:rPr>
                <w:rFonts w:hint="eastAsia"/>
                <w:color w:val="auto"/>
                <w:szCs w:val="21"/>
                <w:highlight w:val="none"/>
              </w:rPr>
              <w:t xml:space="preserve">保养清洁</w:t>
            </w:r>
            <w:r/>
          </w:p>
        </w:tc>
        <w:tc>
          <w:tcPr>
            <w:tcW w:w="1874"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873"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589"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r>
      <w:tr>
        <w:trPr>
          <w:trHeight w:val="508"/>
        </w:trPr>
        <w:tc>
          <w:tcPr>
            <w:tcW w:w="1119" w:type="dxa"/>
            <w:vAlign w:val="center"/>
            <w:textDirection w:val="lrTb"/>
            <w:noWrap w:val="false"/>
          </w:tcPr>
          <w:p>
            <w:pPr>
              <w:spacing w:line="360" w:lineRule="auto"/>
              <w:rPr>
                <w:color w:val="auto"/>
                <w:spacing w:val="20"/>
                <w:szCs w:val="21"/>
                <w:highlight w:val="none"/>
              </w:rPr>
            </w:pPr>
            <w:r>
              <w:rPr>
                <w:color w:val="auto"/>
                <w:spacing w:val="20"/>
                <w:szCs w:val="21"/>
                <w:highlight w:val="none"/>
              </w:rPr>
              <w:t xml:space="preserve">6</w:t>
            </w:r>
            <w:r/>
          </w:p>
        </w:tc>
        <w:tc>
          <w:tcPr>
            <w:tcW w:w="2162" w:type="dxa"/>
            <w:vAlign w:val="center"/>
            <w:textDirection w:val="lrTb"/>
            <w:noWrap w:val="false"/>
          </w:tcPr>
          <w:p>
            <w:pPr>
              <w:spacing w:line="360" w:lineRule="auto"/>
              <w:rPr>
                <w:color w:val="auto"/>
                <w:spacing w:val="20"/>
                <w:szCs w:val="21"/>
                <w:highlight w:val="none"/>
              </w:rPr>
            </w:pPr>
            <w:r>
              <w:rPr>
                <w:rFonts w:hint="eastAsia"/>
                <w:color w:val="auto"/>
                <w:szCs w:val="21"/>
                <w:highlight w:val="none"/>
              </w:rPr>
              <w:t xml:space="preserve">检测</w:t>
            </w:r>
            <w:r/>
          </w:p>
        </w:tc>
        <w:tc>
          <w:tcPr>
            <w:tcW w:w="1874"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873"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589"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r>
      <w:tr>
        <w:trPr>
          <w:trHeight w:val="508"/>
        </w:trPr>
        <w:tc>
          <w:tcPr>
            <w:tcW w:w="1119" w:type="dxa"/>
            <w:vAlign w:val="center"/>
            <w:textDirection w:val="lrTb"/>
            <w:noWrap w:val="false"/>
          </w:tcPr>
          <w:p>
            <w:pPr>
              <w:spacing w:line="360" w:lineRule="auto"/>
              <w:rPr>
                <w:color w:val="auto"/>
                <w:spacing w:val="20"/>
                <w:szCs w:val="21"/>
                <w:highlight w:val="none"/>
              </w:rPr>
            </w:pPr>
            <w:r>
              <w:rPr>
                <w:color w:val="auto"/>
                <w:spacing w:val="20"/>
                <w:szCs w:val="21"/>
                <w:highlight w:val="none"/>
              </w:rPr>
              <w:t xml:space="preserve">7</w:t>
            </w:r>
            <w:r/>
          </w:p>
        </w:tc>
        <w:tc>
          <w:tcPr>
            <w:tcW w:w="2162" w:type="dxa"/>
            <w:textDirection w:val="lrTb"/>
            <w:noWrap w:val="false"/>
          </w:tcPr>
          <w:p>
            <w:pPr>
              <w:spacing w:line="360" w:lineRule="auto"/>
              <w:rPr>
                <w:color w:val="auto"/>
                <w:spacing w:val="20"/>
                <w:szCs w:val="21"/>
                <w:highlight w:val="none"/>
              </w:rPr>
            </w:pPr>
            <w:r>
              <w:rPr>
                <w:rFonts w:hint="eastAsia"/>
                <w:color w:val="auto"/>
                <w:szCs w:val="21"/>
                <w:highlight w:val="none"/>
              </w:rPr>
              <w:t xml:space="preserve">利润</w:t>
            </w:r>
            <w:r/>
          </w:p>
        </w:tc>
        <w:tc>
          <w:tcPr>
            <w:tcW w:w="1874"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873"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589"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r>
      <w:tr>
        <w:trPr>
          <w:trHeight w:val="508"/>
        </w:trPr>
        <w:tc>
          <w:tcPr>
            <w:tcW w:w="1119" w:type="dxa"/>
            <w:vAlign w:val="center"/>
            <w:textDirection w:val="lrTb"/>
            <w:noWrap w:val="false"/>
          </w:tcPr>
          <w:p>
            <w:pPr>
              <w:spacing w:line="360" w:lineRule="auto"/>
              <w:rPr>
                <w:color w:val="auto"/>
                <w:spacing w:val="20"/>
                <w:szCs w:val="21"/>
                <w:highlight w:val="none"/>
              </w:rPr>
            </w:pPr>
            <w:r>
              <w:rPr>
                <w:color w:val="auto"/>
                <w:spacing w:val="20"/>
                <w:szCs w:val="21"/>
                <w:highlight w:val="none"/>
              </w:rPr>
              <w:t xml:space="preserve">8</w:t>
            </w:r>
            <w:r/>
          </w:p>
        </w:tc>
        <w:tc>
          <w:tcPr>
            <w:tcW w:w="2162" w:type="dxa"/>
            <w:textDirection w:val="lrTb"/>
            <w:noWrap w:val="false"/>
          </w:tcPr>
          <w:p>
            <w:pPr>
              <w:spacing w:line="360" w:lineRule="auto"/>
              <w:rPr>
                <w:color w:val="auto"/>
                <w:spacing w:val="20"/>
                <w:szCs w:val="21"/>
                <w:highlight w:val="none"/>
              </w:rPr>
            </w:pPr>
            <w:r>
              <w:rPr>
                <w:rFonts w:hint="eastAsia"/>
                <w:bCs/>
                <w:color w:val="auto"/>
                <w:szCs w:val="21"/>
                <w:highlight w:val="none"/>
              </w:rPr>
              <w:t xml:space="preserve">税费</w:t>
            </w:r>
            <w:r/>
          </w:p>
        </w:tc>
        <w:tc>
          <w:tcPr>
            <w:tcW w:w="1874"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873"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589"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r>
      <w:tr>
        <w:trPr>
          <w:trHeight w:val="508"/>
        </w:trPr>
        <w:tc>
          <w:tcPr>
            <w:tcW w:w="1119" w:type="dxa"/>
            <w:vAlign w:val="center"/>
            <w:textDirection w:val="lrTb"/>
            <w:noWrap w:val="false"/>
          </w:tcPr>
          <w:p>
            <w:pPr>
              <w:spacing w:line="360" w:lineRule="auto"/>
              <w:rPr>
                <w:color w:val="auto"/>
                <w:spacing w:val="20"/>
                <w:szCs w:val="21"/>
                <w:highlight w:val="none"/>
              </w:rPr>
            </w:pPr>
            <w:r>
              <w:rPr>
                <w:color w:val="auto"/>
                <w:spacing w:val="20"/>
                <w:szCs w:val="21"/>
                <w:highlight w:val="none"/>
              </w:rPr>
              <w:t xml:space="preserve">9</w:t>
            </w:r>
            <w:r/>
          </w:p>
        </w:tc>
        <w:tc>
          <w:tcPr>
            <w:tcW w:w="2162" w:type="dxa"/>
            <w:textDirection w:val="lrTb"/>
            <w:noWrap w:val="false"/>
          </w:tcPr>
          <w:p>
            <w:pPr>
              <w:spacing w:line="360" w:lineRule="auto"/>
              <w:rPr>
                <w:color w:val="auto"/>
                <w:spacing w:val="20"/>
                <w:szCs w:val="21"/>
                <w:highlight w:val="none"/>
              </w:rPr>
            </w:pPr>
            <w:r>
              <w:rPr>
                <w:rFonts w:hint="eastAsia"/>
                <w:bCs/>
                <w:color w:val="auto"/>
                <w:szCs w:val="21"/>
                <w:highlight w:val="none"/>
              </w:rPr>
              <w:t xml:space="preserve">其他费用</w:t>
            </w:r>
            <w:r/>
          </w:p>
        </w:tc>
        <w:tc>
          <w:tcPr>
            <w:tcW w:w="1874"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873"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589"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r>
      <w:tr>
        <w:trPr>
          <w:trHeight w:val="508"/>
        </w:trPr>
        <w:tc>
          <w:tcPr>
            <w:tcW w:w="1119" w:type="dxa"/>
            <w:vAlign w:val="center"/>
            <w:textDirection w:val="lrTb"/>
            <w:noWrap w:val="false"/>
          </w:tcPr>
          <w:p>
            <w:pPr>
              <w:spacing w:line="360" w:lineRule="auto"/>
              <w:rPr>
                <w:color w:val="auto"/>
                <w:spacing w:val="20"/>
                <w:szCs w:val="21"/>
                <w:highlight w:val="none"/>
              </w:rPr>
            </w:pPr>
            <w:r>
              <w:rPr>
                <w:color w:val="auto"/>
                <w:spacing w:val="20"/>
                <w:szCs w:val="21"/>
                <w:highlight w:val="none"/>
              </w:rPr>
              <w:t xml:space="preserve">10</w:t>
            </w:r>
            <w:r/>
          </w:p>
        </w:tc>
        <w:tc>
          <w:tcPr>
            <w:tcW w:w="2162" w:type="dxa"/>
            <w:textDirection w:val="lrTb"/>
            <w:noWrap w:val="false"/>
          </w:tcPr>
          <w:p>
            <w:pPr>
              <w:spacing w:line="360" w:lineRule="auto"/>
              <w:rPr>
                <w:bCs/>
                <w:color w:val="auto"/>
                <w:szCs w:val="21"/>
                <w:highlight w:val="none"/>
              </w:rPr>
            </w:pPr>
            <w:r>
              <w:rPr>
                <w:bCs/>
                <w:color w:val="auto"/>
                <w:szCs w:val="21"/>
                <w:highlight w:val="none"/>
              </w:rPr>
              <w:t xml:space="preserve">……</w:t>
            </w:r>
            <w:r/>
          </w:p>
        </w:tc>
        <w:tc>
          <w:tcPr>
            <w:tcW w:w="1874"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873"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589"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r>
      <w:tr>
        <w:trPr>
          <w:trHeight w:val="810"/>
        </w:trPr>
        <w:tc>
          <w:tcPr>
            <w:gridSpan w:val="5"/>
            <w:tcW w:w="8619" w:type="dxa"/>
            <w:vAlign w:val="center"/>
            <w:textDirection w:val="lrTb"/>
            <w:noWrap w:val="false"/>
          </w:tcPr>
          <w:p>
            <w:pPr>
              <w:spacing w:line="360" w:lineRule="auto"/>
              <w:rPr>
                <w:color w:val="auto"/>
                <w:spacing w:val="20"/>
                <w:szCs w:val="21"/>
                <w:highlight w:val="none"/>
              </w:rPr>
            </w:pPr>
            <w:r>
              <w:rPr>
                <w:rFonts w:hint="eastAsia"/>
                <w:b/>
                <w:color w:val="auto"/>
                <w:spacing w:val="20"/>
                <w:szCs w:val="21"/>
                <w:highlight w:val="none"/>
              </w:rPr>
              <w:t xml:space="preserve">合计（元）</w:t>
            </w:r>
            <w:r/>
          </w:p>
        </w:tc>
      </w:tr>
    </w:tbl>
    <w:p>
      <w:pPr>
        <w:ind w:firstLine="210"/>
        <w:spacing w:line="360" w:lineRule="auto"/>
        <w:rPr>
          <w:rFonts w:ascii="Times New Roman" w:hAnsi="Times New Roman"/>
          <w:color w:val="auto"/>
          <w:szCs w:val="21"/>
          <w:highlight w:val="none"/>
        </w:rPr>
      </w:pPr>
      <w:r>
        <w:rPr>
          <w:rFonts w:hint="eastAsia"/>
          <w:color w:val="auto"/>
          <w:szCs w:val="21"/>
          <w:highlight w:val="none"/>
          <w:lang w:val="zh-CN"/>
        </w:rPr>
        <w:t xml:space="preserve">投标人（公章）：</w:t>
      </w:r>
      <w:r/>
    </w:p>
    <w:p>
      <w:pPr>
        <w:ind w:firstLine="210"/>
        <w:spacing w:line="360" w:lineRule="auto"/>
        <w:rPr>
          <w:color w:val="auto"/>
          <w:szCs w:val="21"/>
          <w:highlight w:val="none"/>
        </w:rPr>
      </w:pPr>
      <w:r>
        <w:rPr>
          <w:rFonts w:hint="eastAsia"/>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color w:val="auto"/>
          <w:szCs w:val="21"/>
          <w:highlight w:val="none"/>
          <w:lang w:val="zh-CN"/>
        </w:rPr>
        <w:t xml:space="preserve">日期：</w:t>
      </w:r>
      <w:r>
        <w:rPr>
          <w:color w:val="auto"/>
          <w:szCs w:val="21"/>
          <w:highlight w:val="none"/>
        </w:rPr>
        <w:t xml:space="preserve">      </w:t>
      </w:r>
      <w:r>
        <w:rPr>
          <w:rFonts w:hint="eastAsia"/>
          <w:color w:val="auto"/>
          <w:szCs w:val="21"/>
          <w:highlight w:val="none"/>
          <w:lang w:val="zh-CN"/>
        </w:rPr>
        <w:t xml:space="preserve">年</w:t>
      </w:r>
      <w:r>
        <w:rPr>
          <w:color w:val="auto"/>
          <w:szCs w:val="21"/>
          <w:highlight w:val="none"/>
        </w:rPr>
        <w:t xml:space="preserve">     </w:t>
      </w:r>
      <w:r>
        <w:rPr>
          <w:rFonts w:hint="eastAsia"/>
          <w:color w:val="auto"/>
          <w:szCs w:val="21"/>
          <w:highlight w:val="none"/>
          <w:lang w:val="zh-CN"/>
        </w:rPr>
        <w:t xml:space="preserve">月</w:t>
      </w:r>
      <w:r>
        <w:rPr>
          <w:color w:val="auto"/>
          <w:szCs w:val="21"/>
          <w:highlight w:val="none"/>
        </w:rPr>
        <w:t xml:space="preserve">     </w:t>
      </w:r>
      <w:r>
        <w:rPr>
          <w:rFonts w:hint="eastAsia"/>
          <w:color w:val="auto"/>
          <w:szCs w:val="21"/>
          <w:highlight w:val="none"/>
          <w:lang w:val="zh-CN"/>
        </w:rPr>
        <w:t xml:space="preserve">日</w:t>
      </w:r>
      <w:r/>
    </w:p>
    <w:p>
      <w:pPr>
        <w:pStyle w:val="696"/>
        <w:spacing w:line="400" w:lineRule="exact"/>
        <w:rPr>
          <w:rFonts w:cs="宋体"/>
          <w:color w:val="auto"/>
          <w:szCs w:val="21"/>
          <w:highlight w:val="none"/>
        </w:rPr>
      </w:pPr>
      <w:r>
        <w:rPr>
          <w:rFonts w:cs="宋体"/>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line="400" w:lineRule="exact"/>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 xml:space="preserve">采购包4: 被服洗涤</w:t>
      </w:r>
      <w:r/>
    </w:p>
    <w:p>
      <w:pPr>
        <w:spacing w:line="360" w:lineRule="auto"/>
        <w:rPr>
          <w:rFonts w:ascii="Times New Roman" w:hAnsi="Times New Roman"/>
          <w:color w:val="auto"/>
          <w:spacing w:val="20"/>
          <w:szCs w:val="21"/>
          <w:highlight w:val="none"/>
        </w:rPr>
      </w:pPr>
      <w:r>
        <w:rPr>
          <w:rFonts w:hint="eastAsia"/>
          <w:color w:val="auto"/>
          <w:spacing w:val="20"/>
          <w:szCs w:val="21"/>
          <w:highlight w:val="none"/>
        </w:rPr>
        <w:t xml:space="preserve">采购编号：</w:t>
      </w:r>
      <w:r>
        <w:rPr>
          <w:color w:val="auto"/>
          <w:spacing w:val="20"/>
          <w:szCs w:val="21"/>
          <w:highlight w:val="none"/>
        </w:rPr>
        <w:t xml:space="preserve"> </w:t>
      </w:r>
      <w:r/>
    </w:p>
    <w:tbl>
      <w:tblPr>
        <w:tblStyle w:val="685"/>
        <w:tblW w:w="8281" w:type="dxa"/>
        <w:tblInd w:w="113" w:type="dxa"/>
        <w:tblLayout w:type="fixed"/>
        <w:tblCellMar>
          <w:left w:w="108" w:type="dxa"/>
          <w:top w:w="0" w:type="dxa"/>
          <w:right w:w="108" w:type="dxa"/>
          <w:bottom w:w="0" w:type="dxa"/>
        </w:tblCellMar>
        <w:tblLook w:val="04A0" w:firstRow="1" w:lastRow="0" w:firstColumn="1" w:lastColumn="0" w:noHBand="0" w:noVBand="1"/>
      </w:tblPr>
      <w:tblGrid>
        <w:gridCol w:w="1440"/>
        <w:gridCol w:w="1578"/>
        <w:gridCol w:w="1063"/>
        <w:gridCol w:w="1737"/>
        <w:gridCol w:w="1713"/>
        <w:gridCol w:w="750"/>
      </w:tblGrid>
      <w:tr>
        <w:trPr>
          <w:trHeight w:val="243"/>
        </w:trPr>
        <w:tc>
          <w:tcPr>
            <w:gridSpan w:val="6"/>
            <w:tcBorders>
              <w:top w:val="single" w:color="auto" w:sz="4" w:space="0"/>
              <w:left w:val="single" w:color="auto" w:sz="4" w:space="0"/>
              <w:bottom w:val="single" w:color="auto" w:sz="4" w:space="0"/>
              <w:right w:val="single" w:color="auto" w:sz="4" w:space="0"/>
            </w:tcBorders>
            <w:tcW w:w="8281"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全年洗涤量预估数</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品名</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both"/>
              <w:keepLines w:val="0"/>
              <w:keepNext w:val="0"/>
              <w:pageBreakBefore w:val="0"/>
              <w:spacing w:line="400" w:lineRule="exac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洗涤单价（元）</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总价（元）</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床罩</w:t>
            </w:r>
            <w:r/>
          </w:p>
        </w:tc>
        <w:tc>
          <w:tcPr>
            <w:shd w:val="clear" w:color="auto" w:fill="auto"/>
            <w:tcBorders>
              <w:top w:val="single" w:color="auto"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130200</w:t>
            </w:r>
            <w:r/>
          </w:p>
        </w:tc>
        <w:tc>
          <w:tcPr>
            <w:tcBorders>
              <w:top w:val="single" w:color="auto"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小单</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4980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枕套</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102480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被套</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146490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病员服</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61830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pStyle w:val="701"/>
              <w:jc w:val="center"/>
              <w:keepLines w:val="0"/>
              <w:keepNext w:val="0"/>
              <w:pageBreakBefore w:val="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病员裤</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61940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棉垫</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椅子套</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开裆裤</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440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冬工作服</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28570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夏工作服</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34070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工作裤</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34610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窗帘/隔帘</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970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护士帽</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930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手术衣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洗手衣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20520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17</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洗手裤</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14510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方巾</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2330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19</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浴巾</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5820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脉套</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2240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大单（条）</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13070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婴儿被套</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560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婴儿棉衣裤</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130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连衣裙</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350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腈纶被</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890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臀布</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870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诊察单</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1000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枕芯</w:t>
            </w:r>
            <w:r/>
          </w:p>
        </w:tc>
        <w:tc>
          <w:tcPr>
            <w:shd w:val="clear" w:color="auto" w:fill="auto"/>
            <w:tcBorders>
              <w:top w:val="single" w:color="auto"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540</w:t>
            </w:r>
            <w:r/>
          </w:p>
        </w:tc>
        <w:tc>
          <w:tcPr>
            <w:tcBorders>
              <w:top w:val="single" w:color="auto"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兰衣</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兰裤</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隔离衣</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3680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油布</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羽绒服</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60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78"/>
                <w:rFonts w:hint="default"/>
                <w:color w:val="auto"/>
                <w:sz w:val="21"/>
                <w:szCs w:val="21"/>
                <w:highlight w:val="none"/>
                <w:lang w:bidi="ar"/>
              </w:rPr>
              <w:t xml:space="preserve">毛衣</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150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Style w:val="1078"/>
                <w:rFonts w:hint="default"/>
                <w:color w:val="auto"/>
                <w:sz w:val="21"/>
                <w:szCs w:val="21"/>
                <w:highlight w:val="none"/>
                <w:lang w:bidi="ar"/>
              </w:rPr>
              <w:t xml:space="preserve">小毛巾</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2790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婴儿毛衫</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120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治疗巾</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8850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药袋</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1400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43"/>
        </w:trPr>
        <w:tc>
          <w:tcPr>
            <w:gridSpan w:val="6"/>
            <w:tcBorders>
              <w:top w:val="single" w:color="auto" w:sz="4" w:space="0"/>
              <w:left w:val="single" w:color="auto" w:sz="4" w:space="0"/>
              <w:bottom w:val="single" w:color="auto" w:sz="4" w:space="0"/>
              <w:right w:val="single" w:color="000000" w:sz="4" w:space="0"/>
            </w:tcBorders>
            <w:tcW w:w="8281"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景德路门诊</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被套（条）</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13190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枕套（条）</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9980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gridSpan w:val="6"/>
            <w:tcBorders>
              <w:top w:val="single" w:color="auto" w:sz="4" w:space="0"/>
              <w:left w:val="single" w:color="auto" w:sz="4" w:space="0"/>
              <w:bottom w:val="single" w:color="auto" w:sz="4" w:space="0"/>
              <w:right w:val="single" w:color="auto" w:sz="4" w:space="0"/>
            </w:tcBorders>
            <w:tcW w:w="8281"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全年洗涤+租赁预估总数</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科室</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品名</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洗涤单价（元）</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租赁单价（元）</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总价</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放射科</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放射科包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450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right w:val="single" w:color="auto" w:sz="4" w:space="0"/>
            </w:tcBorders>
            <w:tcW w:w="1440"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胃镜</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洗手衣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2290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left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洗手裤</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2280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left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手术衣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3370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巡回衣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1240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ICU</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手术衣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2490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洗手衣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9790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洗手裤</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9310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妇科门诊</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环包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930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手术衣包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60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洗手衣包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洗手裤包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手术室</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剖腹单包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8850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手术衣包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10470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洗手衣裤包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11370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台布包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5870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大包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5350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手术衣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420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台布</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1270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大包布</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13120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中包布</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小包布</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1930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大洞巾</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310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围单</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方巾</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1880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脚套</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320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剖腹单</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400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内镜包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510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颅单</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巡回衣</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人流包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1550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泌尿外科包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1230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洞巾包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2510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方巾包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2750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脚套包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巡回衣包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1450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bl>
    <w:p>
      <w:pPr>
        <w:jc w:val="center"/>
        <w:spacing w:line="38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0"/>
        <w:spacing w:line="380" w:lineRule="exact"/>
        <w:rPr>
          <w:rFonts w:hint="eastAsia" w:ascii="宋体" w:hAnsi="宋体"/>
          <w:bCs/>
          <w:color w:val="auto"/>
          <w:szCs w:val="21"/>
          <w:highlight w:val="none"/>
        </w:rPr>
      </w:pPr>
      <w:r>
        <w:rPr>
          <w:rFonts w:hint="eastAsia" w:ascii="宋体" w:hAnsi="宋体"/>
          <w:bCs/>
          <w:color w:val="auto"/>
          <w:szCs w:val="21"/>
          <w:highlight w:val="none"/>
        </w:rPr>
        <w:t xml:space="preserve">注：</w:t>
      </w:r>
      <w:r>
        <w:rPr>
          <w:rFonts w:hint="eastAsia"/>
          <w:color w:val="auto"/>
          <w:szCs w:val="21"/>
          <w:highlight w:val="none"/>
        </w:rPr>
        <w:t xml:space="preserve">所需费用按实按月计算，物品洗涤价格按医院提供的清单报价，须列明单项物品的洗涤单价。税款等费用都计入单价中，如实际工作中出现未列物品，参照同类品种价格。根据手术室要求，手术室物品实行租赁结算，投标时须单独列出价，供采购方参考。</w:t>
      </w:r>
      <w:r/>
    </w:p>
    <w:p>
      <w:pPr>
        <w:pStyle w:val="99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9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9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投标人：（公章）</w:t>
      </w:r>
      <w:r/>
    </w:p>
    <w:p>
      <w:pPr>
        <w:pStyle w:val="99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99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日期：      年     月     日</w:t>
      </w:r>
      <w:r/>
    </w:p>
    <w:p>
      <w:pPr>
        <w:pStyle w:val="990"/>
        <w:jc w:val="center"/>
        <w:spacing w:line="400" w:lineRule="exact"/>
        <w:rPr>
          <w:rFonts w:hAnsi="宋体"/>
          <w:b/>
          <w:color w:val="auto"/>
          <w:sz w:val="21"/>
          <w:highlight w:val="none"/>
        </w:rPr>
      </w:pPr>
      <w:r>
        <w:rPr>
          <w:rFonts w:hint="eastAsia" w:hAnsi="宋体"/>
          <w:b/>
          <w:color w:val="auto"/>
          <w:sz w:val="21"/>
          <w:highlight w:val="none"/>
        </w:rPr>
        <w:t xml:space="preserve"> </w:t>
      </w:r>
      <w:r/>
    </w:p>
    <w:p>
      <w:pPr>
        <w:pStyle w:val="990"/>
        <w:spacing w:line="400" w:lineRule="exact"/>
        <w:rPr>
          <w:rFonts w:hAnsi="宋体"/>
          <w:b/>
          <w:color w:val="auto"/>
          <w:sz w:val="21"/>
          <w:highlight w:val="none"/>
        </w:rPr>
      </w:pPr>
      <w:r>
        <w:rPr>
          <w:b/>
          <w:color w:val="auto"/>
          <w:sz w:val="32"/>
          <w:szCs w:val="32"/>
          <w:highlight w:val="none"/>
        </w:rPr>
        <w:br w:type="page" w:clear="all"/>
      </w:r>
      <w:r/>
    </w:p>
    <w:p>
      <w:pPr>
        <w:pStyle w:val="696"/>
        <w:jc w:val="center"/>
        <w:spacing w:line="400" w:lineRule="exact"/>
        <w:rPr>
          <w:rFonts w:hAnsi="宋体"/>
          <w:b/>
          <w:color w:val="auto"/>
          <w:sz w:val="32"/>
          <w:szCs w:val="32"/>
          <w:highlight w:val="none"/>
        </w:rPr>
      </w:pPr>
      <w:r>
        <w:rPr>
          <w:rFonts w:hint="eastAsia" w:ascii="黑体" w:hAnsi="Times New Roman" w:eastAsia="黑体"/>
          <w:b/>
          <w:bCs/>
          <w:color w:val="auto"/>
          <w:sz w:val="28"/>
          <w:szCs w:val="28"/>
          <w:highlight w:val="none"/>
        </w:rPr>
        <w:t xml:space="preserve">第五、六采购包 投标报价分析表</w:t>
      </w:r>
      <w:r/>
    </w:p>
    <w:p>
      <w:pPr>
        <w:pStyle w:val="696"/>
        <w:spacing w:line="400" w:lineRule="exact"/>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投标人：（盖公章）    </w:t>
      </w:r>
      <w:r/>
    </w:p>
    <w:tbl>
      <w:tblPr>
        <w:tblStyle w:val="685"/>
        <w:tblW w:w="86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34"/>
        <w:gridCol w:w="1330"/>
        <w:gridCol w:w="888"/>
        <w:gridCol w:w="892"/>
        <w:gridCol w:w="891"/>
        <w:gridCol w:w="1337"/>
        <w:gridCol w:w="1268"/>
      </w:tblGrid>
      <w:tr>
        <w:trPr>
          <w:trHeight w:val="620"/>
        </w:trPr>
        <w:tc>
          <w:tcPr>
            <w:tcW w:w="720" w:type="dxa"/>
            <w:vAlign w:val="center"/>
            <w:textDirection w:val="lrTb"/>
            <w:noWrap w:val="false"/>
          </w:tcPr>
          <w:p>
            <w:pPr>
              <w:jc w:val="center"/>
              <w:spacing w:line="320" w:lineRule="exact"/>
              <w:rPr>
                <w:rFonts w:hAnsi="Times New Roman"/>
                <w:color w:val="auto"/>
                <w:szCs w:val="21"/>
                <w:highlight w:val="none"/>
              </w:rPr>
            </w:pPr>
            <w:r>
              <w:rPr>
                <w:rFonts w:hint="eastAsia"/>
                <w:color w:val="auto"/>
                <w:szCs w:val="21"/>
                <w:highlight w:val="none"/>
              </w:rPr>
              <w:t xml:space="preserve">序号</w:t>
            </w:r>
            <w:r/>
          </w:p>
        </w:tc>
        <w:tc>
          <w:tcPr>
            <w:tcW w:w="1334" w:type="dxa"/>
            <w:vAlign w:val="center"/>
            <w:textDirection w:val="lrTb"/>
            <w:noWrap w:val="false"/>
          </w:tcPr>
          <w:p>
            <w:pPr>
              <w:jc w:val="center"/>
              <w:spacing w:line="320" w:lineRule="exact"/>
              <w:rPr>
                <w:color w:val="auto"/>
                <w:szCs w:val="21"/>
                <w:highlight w:val="none"/>
              </w:rPr>
            </w:pPr>
            <w:r>
              <w:rPr>
                <w:rFonts w:hint="eastAsia"/>
                <w:color w:val="auto"/>
                <w:szCs w:val="21"/>
                <w:highlight w:val="none"/>
              </w:rPr>
              <w:t xml:space="preserve">条目</w:t>
            </w:r>
            <w:r/>
          </w:p>
        </w:tc>
        <w:tc>
          <w:tcPr>
            <w:tcW w:w="1330" w:type="dxa"/>
            <w:vAlign w:val="center"/>
            <w:textDirection w:val="lrTb"/>
            <w:noWrap w:val="false"/>
          </w:tcPr>
          <w:p>
            <w:pPr>
              <w:jc w:val="center"/>
              <w:spacing w:line="320" w:lineRule="exact"/>
              <w:rPr>
                <w:color w:val="auto"/>
                <w:szCs w:val="21"/>
                <w:highlight w:val="none"/>
              </w:rPr>
            </w:pPr>
            <w:r>
              <w:rPr>
                <w:rFonts w:hint="eastAsia"/>
                <w:color w:val="auto"/>
                <w:szCs w:val="21"/>
                <w:highlight w:val="none"/>
              </w:rPr>
              <w:t xml:space="preserve">管理人员</w:t>
            </w:r>
            <w:r/>
          </w:p>
        </w:tc>
        <w:tc>
          <w:tcPr>
            <w:tcW w:w="888" w:type="dxa"/>
            <w:vAlign w:val="center"/>
            <w:textDirection w:val="lrTb"/>
            <w:noWrap w:val="false"/>
          </w:tcPr>
          <w:p>
            <w:pPr>
              <w:jc w:val="center"/>
              <w:spacing w:line="320" w:lineRule="exact"/>
              <w:rPr>
                <w:color w:val="auto"/>
                <w:szCs w:val="21"/>
                <w:highlight w:val="none"/>
              </w:rPr>
            </w:pPr>
            <w:r>
              <w:rPr>
                <w:color w:val="auto"/>
                <w:szCs w:val="21"/>
                <w:highlight w:val="none"/>
              </w:rPr>
              <w:t xml:space="preserve">......</w:t>
            </w:r>
            <w:r/>
          </w:p>
        </w:tc>
        <w:tc>
          <w:tcPr>
            <w:tcW w:w="892" w:type="dxa"/>
            <w:vAlign w:val="center"/>
            <w:textDirection w:val="lrTb"/>
            <w:noWrap w:val="false"/>
          </w:tcPr>
          <w:p>
            <w:pPr>
              <w:jc w:val="center"/>
              <w:spacing w:line="320" w:lineRule="exact"/>
              <w:rPr>
                <w:color w:val="auto"/>
                <w:szCs w:val="21"/>
                <w:highlight w:val="none"/>
              </w:rPr>
            </w:pPr>
            <w:r>
              <w:rPr>
                <w:color w:val="auto"/>
                <w:szCs w:val="21"/>
                <w:highlight w:val="none"/>
              </w:rPr>
              <w:t xml:space="preserve">......</w:t>
            </w:r>
            <w:r/>
          </w:p>
        </w:tc>
        <w:tc>
          <w:tcPr>
            <w:tcW w:w="891" w:type="dxa"/>
            <w:vAlign w:val="center"/>
            <w:textDirection w:val="lrTb"/>
            <w:noWrap w:val="false"/>
          </w:tcPr>
          <w:p>
            <w:pPr>
              <w:jc w:val="center"/>
              <w:spacing w:line="320" w:lineRule="exact"/>
              <w:rPr>
                <w:color w:val="auto"/>
                <w:szCs w:val="21"/>
                <w:highlight w:val="none"/>
              </w:rPr>
            </w:pPr>
            <w:r>
              <w:rPr>
                <w:color w:val="auto"/>
                <w:szCs w:val="21"/>
                <w:highlight w:val="none"/>
              </w:rPr>
              <w:t xml:space="preserve">......</w:t>
            </w:r>
            <w:r/>
          </w:p>
        </w:tc>
        <w:tc>
          <w:tcPr>
            <w:tcW w:w="1337" w:type="dxa"/>
            <w:vAlign w:val="center"/>
            <w:textDirection w:val="lrTb"/>
            <w:noWrap w:val="false"/>
          </w:tcPr>
          <w:p>
            <w:pPr>
              <w:jc w:val="center"/>
              <w:spacing w:line="320" w:lineRule="exact"/>
              <w:rPr>
                <w:color w:val="auto"/>
                <w:szCs w:val="21"/>
                <w:highlight w:val="none"/>
              </w:rPr>
            </w:pPr>
            <w:r>
              <w:rPr>
                <w:color w:val="auto"/>
                <w:szCs w:val="21"/>
                <w:highlight w:val="none"/>
              </w:rPr>
              <w:t xml:space="preserve">.....</w:t>
            </w:r>
            <w:r/>
          </w:p>
        </w:tc>
        <w:tc>
          <w:tcPr>
            <w:tcW w:w="1266" w:type="dxa"/>
            <w:vAlign w:val="center"/>
            <w:textDirection w:val="lrTb"/>
            <w:noWrap w:val="false"/>
          </w:tcPr>
          <w:p>
            <w:pPr>
              <w:jc w:val="center"/>
              <w:spacing w:line="320" w:lineRule="exact"/>
              <w:rPr>
                <w:color w:val="auto"/>
                <w:szCs w:val="21"/>
                <w:highlight w:val="none"/>
              </w:rPr>
            </w:pPr>
            <w:r>
              <w:rPr>
                <w:rFonts w:hint="eastAsia"/>
                <w:color w:val="auto"/>
                <w:szCs w:val="21"/>
                <w:highlight w:val="none"/>
              </w:rPr>
              <w:t xml:space="preserve">备注</w:t>
            </w:r>
            <w:r/>
          </w:p>
        </w:tc>
      </w:tr>
      <w:tr>
        <w:trPr>
          <w:trHeight w:val="538"/>
        </w:trPr>
        <w:tc>
          <w:tcPr>
            <w:tcW w:w="720" w:type="dxa"/>
            <w:vAlign w:val="center"/>
            <w:textDirection w:val="lrTb"/>
            <w:noWrap w:val="false"/>
          </w:tcPr>
          <w:p>
            <w:pPr>
              <w:jc w:val="center"/>
              <w:spacing w:line="400" w:lineRule="exact"/>
              <w:rPr>
                <w:color w:val="auto"/>
                <w:szCs w:val="21"/>
                <w:highlight w:val="none"/>
              </w:rPr>
            </w:pPr>
            <w:r>
              <w:rPr>
                <w:color w:val="auto"/>
                <w:szCs w:val="21"/>
                <w:highlight w:val="none"/>
              </w:rPr>
              <w:t xml:space="preserve">1</w:t>
            </w:r>
            <w:r/>
          </w:p>
        </w:tc>
        <w:tc>
          <w:tcPr>
            <w:tcW w:w="1334"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基本工资</w:t>
            </w:r>
            <w:r/>
          </w:p>
        </w:tc>
        <w:tc>
          <w:tcPr>
            <w:tcW w:w="1330"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88"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92"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91" w:type="dxa"/>
            <w:textDirection w:val="lrTb"/>
            <w:noWrap w:val="false"/>
          </w:tcPr>
          <w:p>
            <w:pPr>
              <w:jc w:val="center"/>
              <w:spacing w:line="400" w:lineRule="exact"/>
              <w:rPr>
                <w:color w:val="auto"/>
                <w:szCs w:val="21"/>
                <w:highlight w:val="none"/>
              </w:rPr>
            </w:pPr>
            <w:r>
              <w:rPr>
                <w:color w:val="auto"/>
                <w:szCs w:val="21"/>
                <w:highlight w:val="none"/>
              </w:rPr>
            </w:r>
            <w:r/>
          </w:p>
        </w:tc>
        <w:tc>
          <w:tcPr>
            <w:tcW w:w="1337" w:type="dxa"/>
            <w:textDirection w:val="lrTb"/>
            <w:noWrap w:val="false"/>
          </w:tcPr>
          <w:p>
            <w:pPr>
              <w:jc w:val="center"/>
              <w:spacing w:line="400" w:lineRule="exact"/>
              <w:rPr>
                <w:color w:val="auto"/>
                <w:szCs w:val="21"/>
                <w:highlight w:val="none"/>
              </w:rPr>
            </w:pPr>
            <w:r>
              <w:rPr>
                <w:color w:val="auto"/>
                <w:szCs w:val="21"/>
                <w:highlight w:val="none"/>
              </w:rPr>
            </w:r>
            <w:r/>
          </w:p>
        </w:tc>
        <w:tc>
          <w:tcPr>
            <w:tcW w:w="1266"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418"/>
        </w:trPr>
        <w:tc>
          <w:tcPr>
            <w:tcW w:w="720" w:type="dxa"/>
            <w:vAlign w:val="center"/>
            <w:textDirection w:val="lrTb"/>
            <w:noWrap w:val="false"/>
          </w:tcPr>
          <w:p>
            <w:pPr>
              <w:jc w:val="center"/>
              <w:spacing w:line="400" w:lineRule="exact"/>
              <w:rPr>
                <w:color w:val="auto"/>
                <w:szCs w:val="21"/>
                <w:highlight w:val="none"/>
              </w:rPr>
            </w:pPr>
            <w:r>
              <w:rPr>
                <w:color w:val="auto"/>
                <w:szCs w:val="21"/>
                <w:highlight w:val="none"/>
              </w:rPr>
              <w:t xml:space="preserve">2</w:t>
            </w:r>
            <w:r/>
          </w:p>
        </w:tc>
        <w:tc>
          <w:tcPr>
            <w:tcW w:w="1334"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劳动保险</w:t>
            </w:r>
            <w:r/>
          </w:p>
        </w:tc>
        <w:tc>
          <w:tcPr>
            <w:tcW w:w="1330" w:type="dxa"/>
            <w:vAlign w:val="center"/>
            <w:textDirection w:val="lrTb"/>
            <w:noWrap w:val="false"/>
          </w:tcPr>
          <w:p>
            <w:pPr>
              <w:pStyle w:val="679"/>
              <w:jc w:val="center"/>
              <w:spacing w:before="0" w:after="0" w:line="400" w:lineRule="exact"/>
              <w:rPr>
                <w:color w:val="auto"/>
                <w:sz w:val="21"/>
                <w:szCs w:val="21"/>
                <w:highlight w:val="none"/>
              </w:rPr>
            </w:pPr>
            <w:r>
              <w:rPr>
                <w:color w:val="auto"/>
                <w:sz w:val="21"/>
                <w:szCs w:val="21"/>
                <w:highlight w:val="none"/>
              </w:rPr>
            </w:r>
            <w:r/>
          </w:p>
        </w:tc>
        <w:tc>
          <w:tcPr>
            <w:tcW w:w="888"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92"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91" w:type="dxa"/>
            <w:textDirection w:val="lrTb"/>
            <w:noWrap w:val="false"/>
          </w:tcPr>
          <w:p>
            <w:pPr>
              <w:jc w:val="center"/>
              <w:spacing w:line="400" w:lineRule="exact"/>
              <w:rPr>
                <w:color w:val="auto"/>
                <w:szCs w:val="21"/>
                <w:highlight w:val="none"/>
              </w:rPr>
            </w:pPr>
            <w:r>
              <w:rPr>
                <w:color w:val="auto"/>
                <w:szCs w:val="21"/>
                <w:highlight w:val="none"/>
              </w:rPr>
            </w:r>
            <w:r/>
          </w:p>
        </w:tc>
        <w:tc>
          <w:tcPr>
            <w:tcW w:w="1337" w:type="dxa"/>
            <w:textDirection w:val="lrTb"/>
            <w:noWrap w:val="false"/>
          </w:tcPr>
          <w:p>
            <w:pPr>
              <w:jc w:val="center"/>
              <w:spacing w:line="400" w:lineRule="exact"/>
              <w:rPr>
                <w:color w:val="auto"/>
                <w:szCs w:val="21"/>
                <w:highlight w:val="none"/>
              </w:rPr>
            </w:pPr>
            <w:r>
              <w:rPr>
                <w:color w:val="auto"/>
                <w:szCs w:val="21"/>
                <w:highlight w:val="none"/>
              </w:rPr>
            </w:r>
            <w:r/>
          </w:p>
        </w:tc>
        <w:tc>
          <w:tcPr>
            <w:tcW w:w="1266"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418"/>
        </w:trPr>
        <w:tc>
          <w:tcPr>
            <w:tcW w:w="720" w:type="dxa"/>
            <w:vAlign w:val="center"/>
            <w:textDirection w:val="lrTb"/>
            <w:noWrap w:val="false"/>
          </w:tcPr>
          <w:p>
            <w:pPr>
              <w:jc w:val="center"/>
              <w:spacing w:line="400" w:lineRule="exact"/>
              <w:rPr>
                <w:color w:val="auto"/>
                <w:szCs w:val="21"/>
                <w:highlight w:val="none"/>
              </w:rPr>
            </w:pPr>
            <w:r>
              <w:rPr>
                <w:color w:val="auto"/>
                <w:szCs w:val="21"/>
                <w:highlight w:val="none"/>
              </w:rPr>
              <w:t xml:space="preserve">3</w:t>
            </w:r>
            <w:r/>
          </w:p>
        </w:tc>
        <w:tc>
          <w:tcPr>
            <w:tcW w:w="1334"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公积金</w:t>
            </w:r>
            <w:r/>
          </w:p>
        </w:tc>
        <w:tc>
          <w:tcPr>
            <w:tcW w:w="1330" w:type="dxa"/>
            <w:vAlign w:val="center"/>
            <w:textDirection w:val="lrTb"/>
            <w:noWrap w:val="false"/>
          </w:tcPr>
          <w:p>
            <w:pPr>
              <w:pStyle w:val="679"/>
              <w:jc w:val="center"/>
              <w:spacing w:before="0" w:after="0" w:line="400" w:lineRule="exact"/>
              <w:rPr>
                <w:color w:val="auto"/>
                <w:sz w:val="21"/>
                <w:szCs w:val="21"/>
                <w:highlight w:val="none"/>
              </w:rPr>
            </w:pPr>
            <w:r>
              <w:rPr>
                <w:color w:val="auto"/>
                <w:sz w:val="21"/>
                <w:szCs w:val="21"/>
                <w:highlight w:val="none"/>
              </w:rPr>
            </w:r>
            <w:r/>
          </w:p>
        </w:tc>
        <w:tc>
          <w:tcPr>
            <w:tcW w:w="888"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92"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91" w:type="dxa"/>
            <w:textDirection w:val="lrTb"/>
            <w:noWrap w:val="false"/>
          </w:tcPr>
          <w:p>
            <w:pPr>
              <w:jc w:val="center"/>
              <w:spacing w:line="400" w:lineRule="exact"/>
              <w:rPr>
                <w:color w:val="auto"/>
                <w:szCs w:val="21"/>
                <w:highlight w:val="none"/>
              </w:rPr>
            </w:pPr>
            <w:r>
              <w:rPr>
                <w:color w:val="auto"/>
                <w:szCs w:val="21"/>
                <w:highlight w:val="none"/>
              </w:rPr>
            </w:r>
            <w:r/>
          </w:p>
        </w:tc>
        <w:tc>
          <w:tcPr>
            <w:tcW w:w="1337" w:type="dxa"/>
            <w:textDirection w:val="lrTb"/>
            <w:noWrap w:val="false"/>
          </w:tcPr>
          <w:p>
            <w:pPr>
              <w:jc w:val="center"/>
              <w:spacing w:line="400" w:lineRule="exact"/>
              <w:rPr>
                <w:color w:val="auto"/>
                <w:szCs w:val="21"/>
                <w:highlight w:val="none"/>
              </w:rPr>
            </w:pPr>
            <w:r>
              <w:rPr>
                <w:color w:val="auto"/>
                <w:szCs w:val="21"/>
                <w:highlight w:val="none"/>
              </w:rPr>
            </w:r>
            <w:r/>
          </w:p>
        </w:tc>
        <w:tc>
          <w:tcPr>
            <w:tcW w:w="1266"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418"/>
        </w:trPr>
        <w:tc>
          <w:tcPr>
            <w:tcW w:w="720" w:type="dxa"/>
            <w:vAlign w:val="center"/>
            <w:textDirection w:val="lrTb"/>
            <w:noWrap w:val="false"/>
          </w:tcPr>
          <w:p>
            <w:pPr>
              <w:jc w:val="center"/>
              <w:spacing w:line="400" w:lineRule="exact"/>
              <w:rPr>
                <w:color w:val="auto"/>
                <w:szCs w:val="21"/>
                <w:highlight w:val="none"/>
              </w:rPr>
            </w:pPr>
            <w:r>
              <w:rPr>
                <w:color w:val="auto"/>
                <w:szCs w:val="21"/>
                <w:highlight w:val="none"/>
              </w:rPr>
              <w:t xml:space="preserve">4</w:t>
            </w:r>
            <w:r/>
          </w:p>
        </w:tc>
        <w:tc>
          <w:tcPr>
            <w:tcW w:w="1334"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清洁用品</w:t>
            </w:r>
            <w:r/>
          </w:p>
        </w:tc>
        <w:tc>
          <w:tcPr>
            <w:tcW w:w="1330"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88"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92"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91" w:type="dxa"/>
            <w:textDirection w:val="lrTb"/>
            <w:noWrap w:val="false"/>
          </w:tcPr>
          <w:p>
            <w:pPr>
              <w:jc w:val="center"/>
              <w:spacing w:line="400" w:lineRule="exact"/>
              <w:rPr>
                <w:color w:val="auto"/>
                <w:szCs w:val="21"/>
                <w:highlight w:val="none"/>
              </w:rPr>
            </w:pPr>
            <w:r>
              <w:rPr>
                <w:color w:val="auto"/>
                <w:szCs w:val="21"/>
                <w:highlight w:val="none"/>
              </w:rPr>
            </w:r>
            <w:r/>
          </w:p>
        </w:tc>
        <w:tc>
          <w:tcPr>
            <w:tcW w:w="1337" w:type="dxa"/>
            <w:textDirection w:val="lrTb"/>
            <w:noWrap w:val="false"/>
          </w:tcPr>
          <w:p>
            <w:pPr>
              <w:jc w:val="center"/>
              <w:spacing w:line="400" w:lineRule="exact"/>
              <w:rPr>
                <w:color w:val="auto"/>
                <w:szCs w:val="21"/>
                <w:highlight w:val="none"/>
              </w:rPr>
            </w:pPr>
            <w:r>
              <w:rPr>
                <w:color w:val="auto"/>
                <w:szCs w:val="21"/>
                <w:highlight w:val="none"/>
              </w:rPr>
            </w:r>
            <w:r/>
          </w:p>
        </w:tc>
        <w:tc>
          <w:tcPr>
            <w:tcW w:w="1266"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418"/>
        </w:trPr>
        <w:tc>
          <w:tcPr>
            <w:tcW w:w="720" w:type="dxa"/>
            <w:vAlign w:val="center"/>
            <w:textDirection w:val="lrTb"/>
            <w:noWrap w:val="false"/>
          </w:tcPr>
          <w:p>
            <w:pPr>
              <w:jc w:val="center"/>
              <w:spacing w:line="400" w:lineRule="exact"/>
              <w:rPr>
                <w:color w:val="auto"/>
                <w:szCs w:val="21"/>
                <w:highlight w:val="none"/>
              </w:rPr>
            </w:pPr>
            <w:r>
              <w:rPr>
                <w:color w:val="auto"/>
                <w:szCs w:val="21"/>
                <w:highlight w:val="none"/>
              </w:rPr>
              <w:t xml:space="preserve">5</w:t>
            </w:r>
            <w:r/>
          </w:p>
        </w:tc>
        <w:tc>
          <w:tcPr>
            <w:tcW w:w="1334"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服</w:t>
            </w:r>
            <w:r>
              <w:rPr>
                <w:color w:val="auto"/>
                <w:szCs w:val="21"/>
                <w:highlight w:val="none"/>
              </w:rPr>
              <w:t xml:space="preserve">  </w:t>
            </w:r>
            <w:r>
              <w:rPr>
                <w:rFonts w:hint="eastAsia"/>
                <w:color w:val="auto"/>
                <w:szCs w:val="21"/>
                <w:highlight w:val="none"/>
              </w:rPr>
              <w:t xml:space="preserve">装</w:t>
            </w:r>
            <w:r/>
          </w:p>
        </w:tc>
        <w:tc>
          <w:tcPr>
            <w:tcW w:w="1330"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88"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92"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91" w:type="dxa"/>
            <w:textDirection w:val="lrTb"/>
            <w:noWrap w:val="false"/>
          </w:tcPr>
          <w:p>
            <w:pPr>
              <w:jc w:val="center"/>
              <w:spacing w:line="400" w:lineRule="exact"/>
              <w:rPr>
                <w:color w:val="auto"/>
                <w:szCs w:val="21"/>
                <w:highlight w:val="none"/>
              </w:rPr>
            </w:pPr>
            <w:r>
              <w:rPr>
                <w:color w:val="auto"/>
                <w:szCs w:val="21"/>
                <w:highlight w:val="none"/>
              </w:rPr>
            </w:r>
            <w:r/>
          </w:p>
        </w:tc>
        <w:tc>
          <w:tcPr>
            <w:tcW w:w="1337" w:type="dxa"/>
            <w:textDirection w:val="lrTb"/>
            <w:noWrap w:val="false"/>
          </w:tcPr>
          <w:p>
            <w:pPr>
              <w:jc w:val="center"/>
              <w:spacing w:line="400" w:lineRule="exact"/>
              <w:rPr>
                <w:color w:val="auto"/>
                <w:szCs w:val="21"/>
                <w:highlight w:val="none"/>
              </w:rPr>
            </w:pPr>
            <w:r>
              <w:rPr>
                <w:color w:val="auto"/>
                <w:szCs w:val="21"/>
                <w:highlight w:val="none"/>
              </w:rPr>
            </w:r>
            <w:r/>
          </w:p>
        </w:tc>
        <w:tc>
          <w:tcPr>
            <w:tcW w:w="1266"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418"/>
        </w:trPr>
        <w:tc>
          <w:tcPr>
            <w:tcW w:w="720" w:type="dxa"/>
            <w:vAlign w:val="center"/>
            <w:textDirection w:val="lrTb"/>
            <w:noWrap w:val="false"/>
          </w:tcPr>
          <w:p>
            <w:pPr>
              <w:jc w:val="center"/>
              <w:spacing w:line="400" w:lineRule="exact"/>
              <w:rPr>
                <w:color w:val="auto"/>
                <w:szCs w:val="21"/>
                <w:highlight w:val="none"/>
              </w:rPr>
            </w:pPr>
            <w:r>
              <w:rPr>
                <w:color w:val="auto"/>
                <w:szCs w:val="21"/>
                <w:highlight w:val="none"/>
              </w:rPr>
              <w:t xml:space="preserve">6</w:t>
            </w:r>
            <w:r/>
          </w:p>
        </w:tc>
        <w:tc>
          <w:tcPr>
            <w:tcW w:w="1334"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意外保险费</w:t>
            </w:r>
            <w:r/>
          </w:p>
        </w:tc>
        <w:tc>
          <w:tcPr>
            <w:tcW w:w="1330"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88" w:type="dxa"/>
            <w:vAlign w:val="center"/>
            <w:textDirection w:val="lrTb"/>
            <w:noWrap w:val="false"/>
          </w:tcPr>
          <w:p>
            <w:pPr>
              <w:pStyle w:val="698"/>
              <w:ind w:left="6000"/>
              <w:jc w:val="center"/>
              <w:spacing w:line="400" w:lineRule="exact"/>
              <w:rPr>
                <w:color w:val="auto"/>
                <w:szCs w:val="21"/>
                <w:highlight w:val="none"/>
              </w:rPr>
            </w:pPr>
            <w:r>
              <w:rPr>
                <w:color w:val="auto"/>
                <w:szCs w:val="21"/>
                <w:highlight w:val="none"/>
              </w:rPr>
            </w:r>
            <w:r/>
          </w:p>
        </w:tc>
        <w:tc>
          <w:tcPr>
            <w:tcW w:w="892" w:type="dxa"/>
            <w:vAlign w:val="center"/>
            <w:textDirection w:val="lrTb"/>
            <w:noWrap w:val="false"/>
          </w:tcPr>
          <w:p>
            <w:pPr>
              <w:pStyle w:val="698"/>
              <w:ind w:left="6000"/>
              <w:jc w:val="center"/>
              <w:spacing w:line="400" w:lineRule="exact"/>
              <w:rPr>
                <w:color w:val="auto"/>
                <w:szCs w:val="21"/>
                <w:highlight w:val="none"/>
              </w:rPr>
            </w:pPr>
            <w:r>
              <w:rPr>
                <w:color w:val="auto"/>
                <w:szCs w:val="21"/>
                <w:highlight w:val="none"/>
              </w:rPr>
            </w:r>
            <w:r/>
          </w:p>
        </w:tc>
        <w:tc>
          <w:tcPr>
            <w:tcW w:w="891" w:type="dxa"/>
            <w:textDirection w:val="lrTb"/>
            <w:noWrap w:val="false"/>
          </w:tcPr>
          <w:p>
            <w:pPr>
              <w:pStyle w:val="698"/>
              <w:ind w:left="6000"/>
              <w:jc w:val="center"/>
              <w:spacing w:line="400" w:lineRule="exact"/>
              <w:rPr>
                <w:color w:val="auto"/>
                <w:szCs w:val="21"/>
                <w:highlight w:val="none"/>
              </w:rPr>
            </w:pPr>
            <w:r>
              <w:rPr>
                <w:color w:val="auto"/>
                <w:szCs w:val="21"/>
                <w:highlight w:val="none"/>
              </w:rPr>
            </w:r>
            <w:r/>
          </w:p>
        </w:tc>
        <w:tc>
          <w:tcPr>
            <w:tcW w:w="1337" w:type="dxa"/>
            <w:textDirection w:val="lrTb"/>
            <w:noWrap w:val="false"/>
          </w:tcPr>
          <w:p>
            <w:pPr>
              <w:pStyle w:val="698"/>
              <w:ind w:left="6000"/>
              <w:jc w:val="center"/>
              <w:spacing w:line="400" w:lineRule="exact"/>
              <w:rPr>
                <w:color w:val="auto"/>
                <w:szCs w:val="21"/>
                <w:highlight w:val="none"/>
              </w:rPr>
            </w:pPr>
            <w:r>
              <w:rPr>
                <w:color w:val="auto"/>
                <w:szCs w:val="21"/>
                <w:highlight w:val="none"/>
              </w:rPr>
            </w:r>
            <w:r/>
          </w:p>
        </w:tc>
        <w:tc>
          <w:tcPr>
            <w:tcW w:w="1266" w:type="dxa"/>
            <w:vAlign w:val="center"/>
            <w:textDirection w:val="lrTb"/>
            <w:noWrap w:val="false"/>
          </w:tcPr>
          <w:p>
            <w:pPr>
              <w:pStyle w:val="698"/>
              <w:ind w:left="6000"/>
              <w:rPr>
                <w:color w:val="auto"/>
                <w:szCs w:val="21"/>
                <w:highlight w:val="none"/>
              </w:rPr>
            </w:pPr>
            <w:r>
              <w:rPr>
                <w:color w:val="auto"/>
                <w:szCs w:val="21"/>
                <w:highlight w:val="none"/>
              </w:rPr>
            </w:r>
            <w:r/>
          </w:p>
        </w:tc>
      </w:tr>
      <w:tr>
        <w:trPr>
          <w:trHeight w:val="418"/>
        </w:trPr>
        <w:tc>
          <w:tcPr>
            <w:tcW w:w="720" w:type="dxa"/>
            <w:vAlign w:val="center"/>
            <w:textDirection w:val="lrTb"/>
            <w:noWrap w:val="false"/>
          </w:tcPr>
          <w:p>
            <w:pPr>
              <w:jc w:val="center"/>
              <w:spacing w:line="400" w:lineRule="exact"/>
              <w:rPr>
                <w:color w:val="auto"/>
                <w:szCs w:val="21"/>
                <w:highlight w:val="none"/>
              </w:rPr>
            </w:pPr>
            <w:r>
              <w:rPr>
                <w:color w:val="auto"/>
                <w:szCs w:val="21"/>
                <w:highlight w:val="none"/>
              </w:rPr>
              <w:t xml:space="preserve">7</w:t>
            </w:r>
            <w:r/>
          </w:p>
        </w:tc>
        <w:tc>
          <w:tcPr>
            <w:tcW w:w="1334"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税</w:t>
            </w:r>
            <w:r>
              <w:rPr>
                <w:color w:val="auto"/>
                <w:szCs w:val="21"/>
                <w:highlight w:val="none"/>
              </w:rPr>
              <w:t xml:space="preserve">  </w:t>
            </w:r>
            <w:r>
              <w:rPr>
                <w:rFonts w:hint="eastAsia"/>
                <w:color w:val="auto"/>
                <w:szCs w:val="21"/>
                <w:highlight w:val="none"/>
              </w:rPr>
              <w:t xml:space="preserve">金</w:t>
            </w:r>
            <w:r/>
          </w:p>
        </w:tc>
        <w:tc>
          <w:tcPr>
            <w:tcW w:w="1330"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88"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92"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91" w:type="dxa"/>
            <w:textDirection w:val="lrTb"/>
            <w:noWrap w:val="false"/>
          </w:tcPr>
          <w:p>
            <w:pPr>
              <w:jc w:val="center"/>
              <w:spacing w:line="400" w:lineRule="exact"/>
              <w:rPr>
                <w:color w:val="auto"/>
                <w:szCs w:val="21"/>
                <w:highlight w:val="none"/>
              </w:rPr>
            </w:pPr>
            <w:r>
              <w:rPr>
                <w:color w:val="auto"/>
                <w:szCs w:val="21"/>
                <w:highlight w:val="none"/>
              </w:rPr>
            </w:r>
            <w:r/>
          </w:p>
        </w:tc>
        <w:tc>
          <w:tcPr>
            <w:tcW w:w="1337" w:type="dxa"/>
            <w:textDirection w:val="lrTb"/>
            <w:noWrap w:val="false"/>
          </w:tcPr>
          <w:p>
            <w:pPr>
              <w:jc w:val="center"/>
              <w:spacing w:line="400" w:lineRule="exact"/>
              <w:rPr>
                <w:color w:val="auto"/>
                <w:szCs w:val="21"/>
                <w:highlight w:val="none"/>
              </w:rPr>
            </w:pPr>
            <w:r>
              <w:rPr>
                <w:color w:val="auto"/>
                <w:szCs w:val="21"/>
                <w:highlight w:val="none"/>
              </w:rPr>
            </w:r>
            <w:r/>
          </w:p>
        </w:tc>
        <w:tc>
          <w:tcPr>
            <w:tcW w:w="1266"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418"/>
        </w:trPr>
        <w:tc>
          <w:tcPr>
            <w:tcW w:w="720" w:type="dxa"/>
            <w:vAlign w:val="center"/>
            <w:textDirection w:val="lrTb"/>
            <w:noWrap w:val="false"/>
          </w:tcPr>
          <w:p>
            <w:pPr>
              <w:jc w:val="center"/>
              <w:spacing w:line="400" w:lineRule="exact"/>
              <w:rPr>
                <w:color w:val="auto"/>
                <w:szCs w:val="21"/>
                <w:highlight w:val="none"/>
              </w:rPr>
            </w:pPr>
            <w:r>
              <w:rPr>
                <w:color w:val="auto"/>
                <w:szCs w:val="21"/>
                <w:highlight w:val="none"/>
              </w:rPr>
              <w:t xml:space="preserve">8</w:t>
            </w:r>
            <w:r/>
          </w:p>
        </w:tc>
        <w:tc>
          <w:tcPr>
            <w:tcW w:w="1334"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管理费</w:t>
            </w:r>
            <w:r/>
          </w:p>
        </w:tc>
        <w:tc>
          <w:tcPr>
            <w:tcW w:w="1330"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88"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92"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91" w:type="dxa"/>
            <w:textDirection w:val="lrTb"/>
            <w:noWrap w:val="false"/>
          </w:tcPr>
          <w:p>
            <w:pPr>
              <w:jc w:val="center"/>
              <w:spacing w:line="400" w:lineRule="exact"/>
              <w:rPr>
                <w:color w:val="auto"/>
                <w:szCs w:val="21"/>
                <w:highlight w:val="none"/>
              </w:rPr>
            </w:pPr>
            <w:r>
              <w:rPr>
                <w:color w:val="auto"/>
                <w:szCs w:val="21"/>
                <w:highlight w:val="none"/>
              </w:rPr>
            </w:r>
            <w:r/>
          </w:p>
        </w:tc>
        <w:tc>
          <w:tcPr>
            <w:tcW w:w="1337" w:type="dxa"/>
            <w:textDirection w:val="lrTb"/>
            <w:noWrap w:val="false"/>
          </w:tcPr>
          <w:p>
            <w:pPr>
              <w:jc w:val="center"/>
              <w:spacing w:line="400" w:lineRule="exact"/>
              <w:rPr>
                <w:color w:val="auto"/>
                <w:szCs w:val="21"/>
                <w:highlight w:val="none"/>
              </w:rPr>
            </w:pPr>
            <w:r>
              <w:rPr>
                <w:color w:val="auto"/>
                <w:szCs w:val="21"/>
                <w:highlight w:val="none"/>
              </w:rPr>
            </w:r>
            <w:r/>
          </w:p>
        </w:tc>
        <w:tc>
          <w:tcPr>
            <w:tcW w:w="1266"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418"/>
        </w:trPr>
        <w:tc>
          <w:tcPr>
            <w:tcW w:w="720" w:type="dxa"/>
            <w:vAlign w:val="center"/>
            <w:textDirection w:val="lrTb"/>
            <w:noWrap w:val="false"/>
          </w:tcPr>
          <w:p>
            <w:pPr>
              <w:jc w:val="center"/>
              <w:spacing w:line="400" w:lineRule="exact"/>
              <w:rPr>
                <w:color w:val="auto"/>
                <w:szCs w:val="21"/>
                <w:highlight w:val="none"/>
              </w:rPr>
            </w:pPr>
            <w:r>
              <w:rPr>
                <w:color w:val="auto"/>
                <w:szCs w:val="21"/>
                <w:highlight w:val="none"/>
              </w:rPr>
              <w:t xml:space="preserve">9</w:t>
            </w:r>
            <w:r/>
          </w:p>
        </w:tc>
        <w:tc>
          <w:tcPr>
            <w:tcW w:w="1334"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其</w:t>
            </w:r>
            <w:r>
              <w:rPr>
                <w:color w:val="auto"/>
                <w:szCs w:val="21"/>
                <w:highlight w:val="none"/>
              </w:rPr>
              <w:t xml:space="preserve">  </w:t>
            </w:r>
            <w:r>
              <w:rPr>
                <w:rFonts w:hint="eastAsia"/>
                <w:color w:val="auto"/>
                <w:szCs w:val="21"/>
                <w:highlight w:val="none"/>
              </w:rPr>
              <w:t xml:space="preserve">他</w:t>
            </w:r>
            <w:r/>
          </w:p>
        </w:tc>
        <w:tc>
          <w:tcPr>
            <w:tcW w:w="1330"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88"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92"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91" w:type="dxa"/>
            <w:textDirection w:val="lrTb"/>
            <w:noWrap w:val="false"/>
          </w:tcPr>
          <w:p>
            <w:pPr>
              <w:jc w:val="center"/>
              <w:spacing w:line="400" w:lineRule="exact"/>
              <w:rPr>
                <w:color w:val="auto"/>
                <w:szCs w:val="21"/>
                <w:highlight w:val="none"/>
              </w:rPr>
            </w:pPr>
            <w:r>
              <w:rPr>
                <w:color w:val="auto"/>
                <w:szCs w:val="21"/>
                <w:highlight w:val="none"/>
              </w:rPr>
            </w:r>
            <w:r/>
          </w:p>
        </w:tc>
        <w:tc>
          <w:tcPr>
            <w:tcW w:w="1337" w:type="dxa"/>
            <w:textDirection w:val="lrTb"/>
            <w:noWrap w:val="false"/>
          </w:tcPr>
          <w:p>
            <w:pPr>
              <w:jc w:val="center"/>
              <w:spacing w:line="400" w:lineRule="exact"/>
              <w:rPr>
                <w:color w:val="auto"/>
                <w:szCs w:val="21"/>
                <w:highlight w:val="none"/>
              </w:rPr>
            </w:pPr>
            <w:r>
              <w:rPr>
                <w:color w:val="auto"/>
                <w:szCs w:val="21"/>
                <w:highlight w:val="none"/>
              </w:rPr>
            </w:r>
            <w:r/>
          </w:p>
        </w:tc>
        <w:tc>
          <w:tcPr>
            <w:tcW w:w="1266"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560"/>
        </w:trPr>
        <w:tc>
          <w:tcPr>
            <w:gridSpan w:val="2"/>
            <w:tcW w:w="2054" w:type="dxa"/>
            <w:vAlign w:val="center"/>
            <w:textDirection w:val="lrTb"/>
            <w:noWrap w:val="false"/>
          </w:tcPr>
          <w:p>
            <w:pPr>
              <w:jc w:val="center"/>
              <w:spacing w:line="400" w:lineRule="exact"/>
              <w:rPr>
                <w:b/>
                <w:color w:val="auto"/>
                <w:szCs w:val="21"/>
                <w:highlight w:val="none"/>
              </w:rPr>
            </w:pPr>
            <w:r>
              <w:rPr>
                <w:rFonts w:hint="eastAsia"/>
                <w:b/>
                <w:color w:val="auto"/>
                <w:szCs w:val="21"/>
                <w:highlight w:val="none"/>
              </w:rPr>
              <w:t xml:space="preserve">小计（元）</w:t>
            </w:r>
            <w:r/>
          </w:p>
        </w:tc>
        <w:tc>
          <w:tcPr>
            <w:tcW w:w="1330" w:type="dxa"/>
            <w:vAlign w:val="center"/>
            <w:textDirection w:val="lrTb"/>
            <w:noWrap w:val="false"/>
          </w:tcPr>
          <w:p>
            <w:pPr>
              <w:pStyle w:val="680"/>
              <w:jc w:val="center"/>
              <w:spacing w:before="0" w:after="0" w:line="400" w:lineRule="exact"/>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888" w:type="dxa"/>
            <w:vAlign w:val="center"/>
            <w:textDirection w:val="lrTb"/>
            <w:noWrap w:val="false"/>
          </w:tcPr>
          <w:p>
            <w:pPr>
              <w:jc w:val="center"/>
              <w:spacing w:line="400" w:lineRule="exact"/>
              <w:rPr>
                <w:rFonts w:ascii="Times New Roman" w:hAnsi="Times New Roman"/>
                <w:color w:val="auto"/>
                <w:szCs w:val="21"/>
                <w:highlight w:val="none"/>
              </w:rPr>
            </w:pPr>
            <w:r>
              <w:rPr>
                <w:rFonts w:ascii="Times New Roman" w:hAnsi="Times New Roman"/>
                <w:color w:val="auto"/>
                <w:szCs w:val="21"/>
                <w:highlight w:val="none"/>
              </w:rPr>
            </w:r>
            <w:r/>
          </w:p>
        </w:tc>
        <w:tc>
          <w:tcPr>
            <w:tcW w:w="892"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91" w:type="dxa"/>
            <w:textDirection w:val="lrTb"/>
            <w:noWrap w:val="false"/>
          </w:tcPr>
          <w:p>
            <w:pPr>
              <w:jc w:val="center"/>
              <w:spacing w:line="400" w:lineRule="exact"/>
              <w:rPr>
                <w:color w:val="auto"/>
                <w:szCs w:val="21"/>
                <w:highlight w:val="none"/>
              </w:rPr>
            </w:pPr>
            <w:r>
              <w:rPr>
                <w:color w:val="auto"/>
                <w:szCs w:val="21"/>
                <w:highlight w:val="none"/>
              </w:rPr>
            </w:r>
            <w:r/>
          </w:p>
        </w:tc>
        <w:tc>
          <w:tcPr>
            <w:tcW w:w="1337" w:type="dxa"/>
            <w:textDirection w:val="lrTb"/>
            <w:noWrap w:val="false"/>
          </w:tcPr>
          <w:p>
            <w:pPr>
              <w:jc w:val="center"/>
              <w:spacing w:line="400" w:lineRule="exact"/>
              <w:rPr>
                <w:color w:val="auto"/>
                <w:szCs w:val="21"/>
                <w:highlight w:val="none"/>
              </w:rPr>
            </w:pPr>
            <w:r>
              <w:rPr>
                <w:color w:val="auto"/>
                <w:szCs w:val="21"/>
                <w:highlight w:val="none"/>
              </w:rPr>
            </w:r>
            <w:r/>
          </w:p>
        </w:tc>
        <w:tc>
          <w:tcPr>
            <w:tcW w:w="1266"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667"/>
        </w:trPr>
        <w:tc>
          <w:tcPr>
            <w:gridSpan w:val="2"/>
            <w:tcW w:w="2054" w:type="dxa"/>
            <w:vAlign w:val="center"/>
            <w:textDirection w:val="lrTb"/>
            <w:noWrap w:val="false"/>
          </w:tcPr>
          <w:p>
            <w:pPr>
              <w:jc w:val="center"/>
              <w:spacing w:line="400" w:lineRule="exact"/>
              <w:rPr>
                <w:b/>
                <w:color w:val="auto"/>
                <w:szCs w:val="21"/>
                <w:highlight w:val="none"/>
              </w:rPr>
            </w:pPr>
            <w:r>
              <w:rPr>
                <w:rFonts w:hint="eastAsia"/>
                <w:b/>
                <w:color w:val="auto"/>
                <w:szCs w:val="21"/>
                <w:highlight w:val="none"/>
              </w:rPr>
              <w:t xml:space="preserve">人数（人）</w:t>
            </w:r>
            <w:r/>
          </w:p>
        </w:tc>
        <w:tc>
          <w:tcPr>
            <w:tcW w:w="1330" w:type="dxa"/>
            <w:vAlign w:val="center"/>
            <w:textDirection w:val="lrTb"/>
            <w:noWrap w:val="false"/>
          </w:tcPr>
          <w:p>
            <w:pPr>
              <w:jc w:val="center"/>
              <w:spacing w:line="400" w:lineRule="exact"/>
              <w:rPr>
                <w:b/>
                <w:color w:val="auto"/>
                <w:szCs w:val="21"/>
                <w:highlight w:val="none"/>
              </w:rPr>
            </w:pPr>
            <w:r>
              <w:rPr>
                <w:b/>
                <w:color w:val="auto"/>
                <w:szCs w:val="21"/>
                <w:highlight w:val="none"/>
              </w:rPr>
            </w:r>
            <w:r/>
          </w:p>
        </w:tc>
        <w:tc>
          <w:tcPr>
            <w:tcW w:w="888" w:type="dxa"/>
            <w:vAlign w:val="center"/>
            <w:textDirection w:val="lrTb"/>
            <w:noWrap w:val="false"/>
          </w:tcPr>
          <w:p>
            <w:pPr>
              <w:jc w:val="center"/>
              <w:spacing w:line="400" w:lineRule="exact"/>
              <w:rPr>
                <w:b/>
                <w:color w:val="auto"/>
                <w:szCs w:val="21"/>
                <w:highlight w:val="none"/>
              </w:rPr>
            </w:pPr>
            <w:r>
              <w:rPr>
                <w:b/>
                <w:color w:val="auto"/>
                <w:szCs w:val="21"/>
                <w:highlight w:val="none"/>
              </w:rPr>
            </w:r>
            <w:r/>
          </w:p>
        </w:tc>
        <w:tc>
          <w:tcPr>
            <w:tcW w:w="892" w:type="dxa"/>
            <w:vAlign w:val="center"/>
            <w:textDirection w:val="lrTb"/>
            <w:noWrap w:val="false"/>
          </w:tcPr>
          <w:p>
            <w:pPr>
              <w:jc w:val="center"/>
              <w:spacing w:line="400" w:lineRule="exact"/>
              <w:rPr>
                <w:b/>
                <w:color w:val="auto"/>
                <w:szCs w:val="21"/>
                <w:highlight w:val="none"/>
              </w:rPr>
            </w:pPr>
            <w:r>
              <w:rPr>
                <w:b/>
                <w:color w:val="auto"/>
                <w:szCs w:val="21"/>
                <w:highlight w:val="none"/>
              </w:rPr>
            </w:r>
            <w:r/>
          </w:p>
        </w:tc>
        <w:tc>
          <w:tcPr>
            <w:tcW w:w="891" w:type="dxa"/>
            <w:textDirection w:val="lrTb"/>
            <w:noWrap w:val="false"/>
          </w:tcPr>
          <w:p>
            <w:pPr>
              <w:jc w:val="center"/>
              <w:spacing w:line="400" w:lineRule="exact"/>
              <w:rPr>
                <w:b/>
                <w:color w:val="auto"/>
                <w:szCs w:val="21"/>
                <w:highlight w:val="none"/>
              </w:rPr>
            </w:pPr>
            <w:r>
              <w:rPr>
                <w:b/>
                <w:color w:val="auto"/>
                <w:szCs w:val="21"/>
                <w:highlight w:val="none"/>
              </w:rPr>
            </w:r>
            <w:r/>
          </w:p>
        </w:tc>
        <w:tc>
          <w:tcPr>
            <w:tcW w:w="1337" w:type="dxa"/>
            <w:textDirection w:val="lrTb"/>
            <w:noWrap w:val="false"/>
          </w:tcPr>
          <w:p>
            <w:pPr>
              <w:jc w:val="center"/>
              <w:spacing w:line="400" w:lineRule="exact"/>
              <w:rPr>
                <w:b/>
                <w:color w:val="auto"/>
                <w:szCs w:val="21"/>
                <w:highlight w:val="none"/>
              </w:rPr>
            </w:pPr>
            <w:r>
              <w:rPr>
                <w:b/>
                <w:color w:val="auto"/>
                <w:szCs w:val="21"/>
                <w:highlight w:val="none"/>
              </w:rPr>
            </w:r>
            <w:r/>
          </w:p>
        </w:tc>
        <w:tc>
          <w:tcPr>
            <w:tcW w:w="1266" w:type="dxa"/>
            <w:vAlign w:val="center"/>
            <w:textDirection w:val="lrTb"/>
            <w:noWrap w:val="false"/>
          </w:tcPr>
          <w:p>
            <w:pPr>
              <w:spacing w:line="400" w:lineRule="exact"/>
              <w:rPr>
                <w:b/>
                <w:color w:val="auto"/>
                <w:szCs w:val="21"/>
                <w:highlight w:val="none"/>
              </w:rPr>
            </w:pPr>
            <w:r>
              <w:rPr>
                <w:rFonts w:hint="eastAsia"/>
                <w:b/>
                <w:color w:val="auto"/>
                <w:szCs w:val="21"/>
                <w:highlight w:val="none"/>
              </w:rPr>
              <w:t xml:space="preserve">总人数不少于</w:t>
            </w:r>
            <w:r>
              <w:rPr>
                <w:b/>
                <w:color w:val="auto"/>
                <w:szCs w:val="21"/>
                <w:highlight w:val="none"/>
                <w:u w:val="single"/>
              </w:rPr>
              <w:t xml:space="preserve">  </w:t>
            </w:r>
            <w:r>
              <w:rPr>
                <w:rFonts w:hint="eastAsia"/>
                <w:b/>
                <w:color w:val="auto"/>
                <w:szCs w:val="21"/>
                <w:highlight w:val="none"/>
                <w:u w:val="single"/>
              </w:rPr>
              <w:t xml:space="preserve">人</w:t>
            </w:r>
            <w:r/>
          </w:p>
        </w:tc>
      </w:tr>
      <w:tr>
        <w:trPr>
          <w:trHeight w:val="667"/>
        </w:trPr>
        <w:tc>
          <w:tcPr>
            <w:gridSpan w:val="2"/>
            <w:tcW w:w="2054" w:type="dxa"/>
            <w:vAlign w:val="center"/>
            <w:textDirection w:val="lrTb"/>
            <w:noWrap w:val="false"/>
          </w:tcPr>
          <w:p>
            <w:pPr>
              <w:jc w:val="center"/>
              <w:spacing w:line="400" w:lineRule="exact"/>
              <w:rPr>
                <w:b/>
                <w:color w:val="auto"/>
                <w:szCs w:val="21"/>
                <w:highlight w:val="none"/>
              </w:rPr>
            </w:pPr>
            <w:r>
              <w:rPr>
                <w:rFonts w:hint="eastAsia"/>
                <w:b/>
                <w:color w:val="auto"/>
                <w:szCs w:val="21"/>
                <w:highlight w:val="none"/>
              </w:rPr>
              <w:t xml:space="preserve">服务时间（</w:t>
            </w:r>
            <w:r>
              <w:rPr>
                <w:b/>
                <w:color w:val="auto"/>
                <w:szCs w:val="21"/>
                <w:highlight w:val="none"/>
              </w:rPr>
              <w:t xml:space="preserve">      </w:t>
            </w:r>
            <w:r>
              <w:rPr>
                <w:rFonts w:hint="eastAsia"/>
                <w:b/>
                <w:color w:val="auto"/>
                <w:szCs w:val="21"/>
                <w:highlight w:val="none"/>
              </w:rPr>
              <w:t xml:space="preserve">个月）</w:t>
            </w:r>
            <w:r/>
          </w:p>
        </w:tc>
        <w:tc>
          <w:tcPr>
            <w:tcW w:w="1330"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88"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92"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891" w:type="dxa"/>
            <w:textDirection w:val="lrTb"/>
            <w:noWrap w:val="false"/>
          </w:tcPr>
          <w:p>
            <w:pPr>
              <w:jc w:val="center"/>
              <w:spacing w:line="400" w:lineRule="exact"/>
              <w:rPr>
                <w:color w:val="auto"/>
                <w:szCs w:val="21"/>
                <w:highlight w:val="none"/>
              </w:rPr>
            </w:pPr>
            <w:r>
              <w:rPr>
                <w:color w:val="auto"/>
                <w:szCs w:val="21"/>
                <w:highlight w:val="none"/>
              </w:rPr>
            </w:r>
            <w:r/>
          </w:p>
        </w:tc>
        <w:tc>
          <w:tcPr>
            <w:tcW w:w="1337" w:type="dxa"/>
            <w:textDirection w:val="lrTb"/>
            <w:noWrap w:val="false"/>
          </w:tcPr>
          <w:p>
            <w:pPr>
              <w:jc w:val="center"/>
              <w:spacing w:line="400" w:lineRule="exact"/>
              <w:rPr>
                <w:color w:val="auto"/>
                <w:szCs w:val="21"/>
                <w:highlight w:val="none"/>
              </w:rPr>
            </w:pPr>
            <w:r>
              <w:rPr>
                <w:color w:val="auto"/>
                <w:szCs w:val="21"/>
                <w:highlight w:val="none"/>
              </w:rPr>
            </w:r>
            <w:r/>
          </w:p>
        </w:tc>
        <w:tc>
          <w:tcPr>
            <w:tcW w:w="1266"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trHeight w:val="773"/>
        </w:trPr>
        <w:tc>
          <w:tcPr>
            <w:gridSpan w:val="2"/>
            <w:tcW w:w="2054" w:type="dxa"/>
            <w:vAlign w:val="center"/>
            <w:textDirection w:val="lrTb"/>
            <w:noWrap w:val="false"/>
          </w:tcPr>
          <w:p>
            <w:pPr>
              <w:jc w:val="center"/>
              <w:spacing w:line="400" w:lineRule="exact"/>
              <w:rPr>
                <w:b/>
                <w:color w:val="auto"/>
                <w:szCs w:val="21"/>
                <w:highlight w:val="none"/>
              </w:rPr>
            </w:pPr>
            <w:r>
              <w:rPr>
                <w:rFonts w:hint="eastAsia"/>
                <w:b/>
                <w:color w:val="auto"/>
                <w:szCs w:val="21"/>
                <w:highlight w:val="none"/>
              </w:rPr>
              <w:t xml:space="preserve">合计（元）</w:t>
            </w:r>
            <w:r/>
          </w:p>
        </w:tc>
        <w:tc>
          <w:tcPr>
            <w:gridSpan w:val="6"/>
            <w:tcW w:w="6606" w:type="dxa"/>
            <w:vAlign w:val="center"/>
            <w:textDirection w:val="lrTb"/>
            <w:noWrap w:val="false"/>
          </w:tcPr>
          <w:p>
            <w:pPr>
              <w:spacing w:line="400" w:lineRule="exact"/>
              <w:rPr>
                <w:color w:val="auto"/>
                <w:szCs w:val="21"/>
                <w:highlight w:val="none"/>
              </w:rPr>
            </w:pPr>
            <w:r>
              <w:rPr>
                <w:rFonts w:hint="eastAsia"/>
                <w:color w:val="auto"/>
                <w:szCs w:val="21"/>
                <w:highlight w:val="none"/>
              </w:rPr>
              <w:t xml:space="preserve">大写：人民币</w:t>
            </w:r>
            <w:r/>
          </w:p>
        </w:tc>
      </w:tr>
    </w:tbl>
    <w:p>
      <w:pPr>
        <w:spacing w:line="360" w:lineRule="auto"/>
        <w:rPr>
          <w:color w:val="auto"/>
          <w:szCs w:val="21"/>
          <w:highlight w:val="none"/>
        </w:rPr>
      </w:pPr>
      <w:r>
        <w:rPr>
          <w:rFonts w:hint="eastAsia"/>
          <w:color w:val="auto"/>
          <w:szCs w:val="21"/>
          <w:highlight w:val="none"/>
        </w:rPr>
        <w:t xml:space="preserve">注：条目举例不限于此，可自行添加。</w:t>
      </w:r>
      <w:r/>
    </w:p>
    <w:p>
      <w:pPr>
        <w:spacing w:line="360" w:lineRule="auto"/>
        <w:rPr>
          <w:rFonts w:hAnsi="Times New Roman"/>
          <w:color w:val="auto"/>
          <w:szCs w:val="21"/>
          <w:highlight w:val="none"/>
        </w:rPr>
      </w:pPr>
      <w:r>
        <w:rPr>
          <w:color w:val="auto"/>
          <w:szCs w:val="21"/>
          <w:highlight w:val="none"/>
        </w:rPr>
        <w:t xml:space="preserve">    </w:t>
      </w:r>
      <w:r>
        <w:rPr>
          <w:rFonts w:hint="eastAsia"/>
          <w:color w:val="auto"/>
          <w:szCs w:val="21"/>
          <w:highlight w:val="none"/>
        </w:rPr>
        <w:t xml:space="preserve">测算时工资标准和社会保险不得低于项目所在地最新公布的最低标准，否则作无效报价处理。利润、管理费、税费及相应利润投标响应单位自行考虑。</w:t>
      </w:r>
      <w:r/>
    </w:p>
    <w:p>
      <w:pPr>
        <w:spacing w:line="360" w:lineRule="auto"/>
        <w:rPr>
          <w:color w:val="auto"/>
          <w:szCs w:val="21"/>
          <w:highlight w:val="none"/>
        </w:rPr>
      </w:pPr>
      <w:r>
        <w:rPr>
          <w:rFonts w:hint="eastAsia"/>
          <w:color w:val="auto"/>
          <w:szCs w:val="21"/>
          <w:highlight w:val="none"/>
        </w:rPr>
        <w:t xml:space="preserve">投标人：（公章）</w:t>
      </w:r>
      <w:r/>
    </w:p>
    <w:p>
      <w:pPr>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spacing w:line="360" w:lineRule="auto"/>
        <w:rPr>
          <w:color w:val="auto"/>
          <w:szCs w:val="21"/>
          <w:highlight w:val="none"/>
        </w:rPr>
      </w:pPr>
      <w:r>
        <w:rPr>
          <w:rFonts w:hint="eastAsia"/>
          <w:color w:val="auto"/>
          <w:szCs w:val="21"/>
          <w:highlight w:val="none"/>
          <w:lang w:val="zh-CN"/>
        </w:rPr>
        <w:t xml:space="preserve">日期：</w:t>
      </w:r>
      <w:r>
        <w:rPr>
          <w:color w:val="auto"/>
          <w:szCs w:val="21"/>
          <w:highlight w:val="none"/>
        </w:rPr>
        <w:t xml:space="preserve">      </w:t>
      </w:r>
      <w:r>
        <w:rPr>
          <w:rFonts w:hint="eastAsia"/>
          <w:color w:val="auto"/>
          <w:szCs w:val="21"/>
          <w:highlight w:val="none"/>
          <w:lang w:val="zh-CN"/>
        </w:rPr>
        <w:t xml:space="preserve">年</w:t>
      </w:r>
      <w:r>
        <w:rPr>
          <w:color w:val="auto"/>
          <w:szCs w:val="21"/>
          <w:highlight w:val="none"/>
        </w:rPr>
        <w:t xml:space="preserve">     </w:t>
      </w:r>
      <w:r>
        <w:rPr>
          <w:rFonts w:hint="eastAsia"/>
          <w:color w:val="auto"/>
          <w:szCs w:val="21"/>
          <w:highlight w:val="none"/>
          <w:lang w:val="zh-CN"/>
        </w:rPr>
        <w:t xml:space="preserve">月</w:t>
      </w:r>
      <w:r>
        <w:rPr>
          <w:color w:val="auto"/>
          <w:szCs w:val="21"/>
          <w:highlight w:val="none"/>
        </w:rPr>
        <w:t xml:space="preserve">     </w:t>
      </w:r>
      <w:r>
        <w:rPr>
          <w:rFonts w:hint="eastAsia"/>
          <w:color w:val="auto"/>
          <w:szCs w:val="21"/>
          <w:highlight w:val="none"/>
          <w:lang w:val="zh-CN"/>
        </w:rPr>
        <w:t xml:space="preserve">日</w:t>
      </w:r>
      <w:r/>
    </w:p>
    <w:p>
      <w:pPr>
        <w:pStyle w:val="696"/>
        <w:jc w:val="center"/>
        <w:spacing w:line="400" w:lineRule="exact"/>
        <w:rPr>
          <w:rFonts w:cs="宋体"/>
          <w:color w:val="auto"/>
          <w:szCs w:val="21"/>
          <w:highlight w:val="none"/>
        </w:rPr>
      </w:pPr>
      <w:r>
        <w:rPr>
          <w:rFonts w:hint="eastAsia"/>
          <w:b/>
          <w:bCs/>
          <w:color w:val="auto"/>
          <w:sz w:val="36"/>
          <w:szCs w:val="36"/>
          <w:highlight w:val="none"/>
        </w:rPr>
        <w:br w:type="page" w:clear="all"/>
      </w:r>
      <w:r/>
    </w:p>
    <w:p>
      <w:pPr>
        <w:spacing w:line="400" w:lineRule="exact"/>
        <w:rPr>
          <w:color w:val="auto"/>
          <w:szCs w:val="21"/>
          <w:highlight w:val="none"/>
        </w:rPr>
      </w:pPr>
      <w:r>
        <w:rPr>
          <w:rFonts w:hint="eastAsia" w:ascii="宋体" w:hAnsi="宋体"/>
          <w:b/>
          <w:color w:val="auto"/>
          <w:highlight w:val="none"/>
        </w:rPr>
        <w:t xml:space="preserve">格式</w:t>
      </w:r>
      <w:r>
        <w:rPr>
          <w:rFonts w:hint="eastAsia" w:ascii="宋体" w:hAnsi="宋体"/>
          <w:b/>
          <w:color w:val="auto"/>
          <w:highlight w:val="none"/>
          <w:lang w:val="en-US" w:eastAsia="zh-CN"/>
        </w:rPr>
        <w:t xml:space="preserve">5</w:t>
      </w:r>
      <w:r>
        <w:rPr>
          <w:rFonts w:hint="eastAsia"/>
          <w:b/>
          <w:bCs/>
          <w:color w:val="auto"/>
          <w:szCs w:val="21"/>
          <w:highlight w:val="none"/>
        </w:rPr>
        <w:t xml:space="preserve">、投标服务响应对照表</w:t>
      </w:r>
      <w:r/>
    </w:p>
    <w:p>
      <w:pPr>
        <w:pStyle w:val="696"/>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r>
      <w:r/>
    </w:p>
    <w:p>
      <w:pPr>
        <w:pStyle w:val="696"/>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lang w:val="zh-CN"/>
        </w:rPr>
        <w:t xml:space="preserve">投标</w:t>
      </w:r>
      <w:r>
        <w:rPr>
          <w:rFonts w:hint="eastAsia" w:hAnsi="宋体" w:eastAsia="宋体"/>
          <w:b/>
          <w:color w:val="auto"/>
          <w:sz w:val="32"/>
          <w:szCs w:val="32"/>
          <w:highlight w:val="none"/>
        </w:rPr>
        <w:t xml:space="preserve">服务响应</w:t>
      </w:r>
      <w:r>
        <w:rPr>
          <w:rFonts w:hint="eastAsia" w:hAnsi="宋体" w:eastAsia="宋体"/>
          <w:b/>
          <w:color w:val="auto"/>
          <w:sz w:val="32"/>
          <w:szCs w:val="32"/>
          <w:highlight w:val="none"/>
          <w:lang w:val="zh-CN"/>
        </w:rPr>
        <w:t xml:space="preserve">对照表</w:t>
      </w:r>
      <w:r/>
    </w:p>
    <w:p>
      <w:pPr>
        <w:ind w:firstLine="422"/>
        <w:spacing w:line="360" w:lineRule="auto"/>
        <w:rPr>
          <w:rFonts w:hint="eastAsia"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685"/>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0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bl>
    <w:p>
      <w:pPr>
        <w:ind w:firstLine="422"/>
        <w:spacing w:line="360" w:lineRule="auto"/>
        <w:rPr>
          <w:color w:val="auto"/>
          <w:szCs w:val="24"/>
          <w:highlight w:val="none"/>
        </w:rPr>
      </w:pPr>
      <w:r>
        <w:rPr>
          <w:color w:val="auto"/>
          <w:szCs w:val="24"/>
          <w:highlight w:val="none"/>
        </w:rPr>
      </w:r>
      <w:r/>
    </w:p>
    <w:p>
      <w:pPr>
        <w:ind w:firstLine="422"/>
        <w:spacing w:line="360" w:lineRule="auto"/>
        <w:rPr>
          <w:bCs/>
          <w:color w:val="auto"/>
          <w:szCs w:val="21"/>
          <w:highlight w:val="none"/>
        </w:rPr>
      </w:pPr>
      <w:r>
        <w:rPr>
          <w:rFonts w:hAnsi="宋体"/>
          <w:bCs/>
          <w:color w:val="auto"/>
          <w:szCs w:val="21"/>
          <w:highlight w:val="none"/>
        </w:rPr>
        <w:t xml:space="preserve">投标人（公章）：</w:t>
      </w:r>
      <w:r/>
    </w:p>
    <w:p>
      <w:pPr>
        <w:ind w:firstLine="422"/>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422"/>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rFonts w:hint="eastAsia" w:hAnsi="宋体"/>
          <w:bCs/>
          <w:color w:val="auto"/>
          <w:szCs w:val="21"/>
          <w:highlight w:val="none"/>
        </w:rPr>
      </w:pPr>
      <w:r>
        <w:rPr>
          <w:rFonts w:hAnsi="宋体"/>
          <w:bCs/>
          <w:color w:val="auto"/>
          <w:szCs w:val="21"/>
          <w:highlight w:val="none"/>
        </w:rPr>
        <w:t xml:space="preserve">注：</w:t>
      </w:r>
      <w:r/>
    </w:p>
    <w:p>
      <w:pPr>
        <w:ind w:firstLine="422"/>
        <w:spacing w:line="360" w:lineRule="auto"/>
        <w:rPr>
          <w:bCs/>
          <w:color w:val="auto"/>
          <w:szCs w:val="21"/>
          <w:highlight w:val="none"/>
        </w:rPr>
      </w:pP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符合性偏离</w:t>
      </w:r>
      <w:r>
        <w:rPr>
          <w:rFonts w:hAnsi="宋体"/>
          <w:bCs/>
          <w:color w:val="auto"/>
          <w:szCs w:val="21"/>
          <w:highlight w:val="none"/>
        </w:rPr>
        <w:t xml:space="preserve">对照表》投标</w:t>
      </w:r>
      <w:r>
        <w:rPr>
          <w:rFonts w:hint="eastAsia" w:hAnsi="宋体"/>
          <w:bCs/>
          <w:color w:val="auto"/>
          <w:szCs w:val="21"/>
          <w:highlight w:val="none"/>
        </w:rPr>
        <w:t xml:space="preserve">。</w:t>
      </w:r>
      <w:r/>
    </w:p>
    <w:p>
      <w:pPr>
        <w:ind w:firstLine="411"/>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采购需求中的服务</w:t>
      </w:r>
      <w:r>
        <w:rPr>
          <w:rFonts w:hAnsi="宋体"/>
          <w:b/>
          <w:color w:val="auto"/>
          <w:szCs w:val="21"/>
          <w:highlight w:val="none"/>
          <w:u w:val="single"/>
        </w:rPr>
        <w:t xml:space="preserve">要求逐条列出并对比</w:t>
      </w:r>
      <w:r>
        <w:rPr>
          <w:rFonts w:hAnsi="宋体"/>
          <w:bCs/>
          <w:color w:val="auto"/>
          <w:szCs w:val="21"/>
          <w:highlight w:val="none"/>
        </w:rPr>
        <w:t xml:space="preserve">。</w:t>
      </w:r>
      <w:r/>
    </w:p>
    <w:p>
      <w:pPr>
        <w:ind w:firstLine="420"/>
        <w:rPr>
          <w:rFonts w:hint="eastAsia" w:ascii="宋体" w:hAnsi="宋体"/>
          <w:b/>
          <w:color w:val="auto"/>
          <w:szCs w:val="21"/>
          <w:highlight w:val="none"/>
        </w:rPr>
      </w:pPr>
      <w:r>
        <w:rPr>
          <w:rFonts w:hint="eastAsia" w:ascii="宋体" w:hAnsi="宋体"/>
          <w:b/>
          <w:color w:val="auto"/>
          <w:szCs w:val="21"/>
          <w:highlight w:val="none"/>
        </w:rPr>
      </w:r>
      <w:r/>
    </w:p>
    <w:p>
      <w:pPr>
        <w:ind w:firstLine="422"/>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r>
      <w:r/>
    </w:p>
    <w:p>
      <w:pPr>
        <w:jc w:val="left"/>
        <w:widowControl/>
        <w:rPr>
          <w:b/>
          <w:color w:val="auto"/>
          <w:szCs w:val="21"/>
          <w:highlight w:val="none"/>
        </w:rPr>
      </w:pPr>
      <w:r>
        <w:rPr>
          <w:b/>
          <w:color w:val="auto"/>
          <w:szCs w:val="21"/>
          <w:highlight w:val="none"/>
        </w:rPr>
        <w:br w:type="page" w:clear="all"/>
      </w:r>
      <w:r/>
    </w:p>
    <w:p>
      <w:pPr>
        <w:spacing w:line="400" w:lineRule="exact"/>
        <w:rPr>
          <w:b/>
          <w:color w:val="auto"/>
          <w:szCs w:val="21"/>
          <w:highlight w:val="none"/>
        </w:rPr>
      </w:pPr>
      <w:r>
        <w:rPr>
          <w:rFonts w:hint="eastAsia"/>
          <w:b/>
          <w:color w:val="auto"/>
          <w:szCs w:val="21"/>
          <w:highlight w:val="none"/>
        </w:rPr>
        <w:t xml:space="preserve">格式</w:t>
      </w:r>
      <w:r>
        <w:rPr>
          <w:rFonts w:hint="eastAsia"/>
          <w:b/>
          <w:color w:val="auto"/>
          <w:szCs w:val="21"/>
          <w:highlight w:val="none"/>
          <w:lang w:val="en-US" w:eastAsia="zh-CN"/>
        </w:rPr>
        <w:t xml:space="preserve">6</w:t>
      </w:r>
      <w:r>
        <w:rPr>
          <w:rFonts w:hint="eastAsia"/>
          <w:b/>
          <w:color w:val="auto"/>
          <w:szCs w:val="21"/>
          <w:highlight w:val="none"/>
        </w:rPr>
        <w:t xml:space="preserve">、</w:t>
      </w:r>
      <w:r>
        <w:rPr>
          <w:b/>
          <w:color w:val="auto"/>
          <w:szCs w:val="21"/>
          <w:highlight w:val="none"/>
          <w:lang w:val="zh-CN"/>
        </w:rPr>
        <w:t xml:space="preserve">商务条款偏离表</w:t>
      </w:r>
      <w:r/>
    </w:p>
    <w:p>
      <w:pPr>
        <w:spacing w:line="400" w:lineRule="exact"/>
        <w:rPr>
          <w:b/>
          <w:color w:val="auto"/>
          <w:szCs w:val="21"/>
          <w:highlight w:val="none"/>
        </w:rPr>
      </w:pPr>
      <w:r>
        <w:rPr>
          <w:b/>
          <w:color w:val="auto"/>
          <w:szCs w:val="21"/>
          <w:highlight w:val="none"/>
        </w:rPr>
      </w:r>
      <w:r/>
    </w:p>
    <w:p>
      <w:pPr>
        <w:pStyle w:val="696"/>
        <w:ind w:firstLine="643"/>
        <w:jc w:val="center"/>
        <w:spacing w:line="400" w:lineRule="exact"/>
        <w:rPr>
          <w:rFonts w:ascii="Calibri" w:hAnsi="Calibri" w:eastAsia="宋体"/>
          <w:b/>
          <w:color w:val="auto"/>
          <w:szCs w:val="21"/>
          <w:highlight w:val="none"/>
        </w:rPr>
      </w:pPr>
      <w:r>
        <w:rPr>
          <w:rFonts w:hint="eastAsia" w:hAnsi="宋体" w:eastAsia="宋体"/>
          <w:b/>
          <w:color w:val="auto"/>
          <w:sz w:val="32"/>
          <w:szCs w:val="32"/>
          <w:highlight w:val="none"/>
        </w:rPr>
        <w:t xml:space="preserve">商务条款偏离表</w:t>
      </w:r>
      <w:r/>
    </w:p>
    <w:p>
      <w:pPr>
        <w:pStyle w:val="688"/>
        <w:ind w:firstLine="422"/>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685"/>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hint="eastAsia" w:ascii="宋体" w:hAnsi="宋体"/>
                <w:bCs/>
                <w:color w:val="auto"/>
                <w:szCs w:val="21"/>
                <w:highlight w:val="none"/>
              </w:rPr>
            </w:pPr>
            <w:r>
              <w:rPr>
                <w:rFonts w:ascii="宋体" w:hAnsi="宋体"/>
                <w:bCs/>
                <w:color w:val="auto"/>
                <w:szCs w:val="21"/>
                <w:highlight w:val="none"/>
              </w:rPr>
              <w:t xml:space="preserve">序号</w:t>
            </w:r>
            <w:r/>
          </w:p>
        </w:tc>
        <w:tc>
          <w:tcPr>
            <w:tcW w:w="3548" w:type="dxa"/>
            <w:vAlign w:val="center"/>
            <w:textDirection w:val="lrTb"/>
            <w:noWrap w:val="false"/>
          </w:tcPr>
          <w:p>
            <w:pPr>
              <w:jc w:val="center"/>
              <w:rPr>
                <w:rFonts w:hint="eastAsia" w:ascii="宋体" w:hAnsi="宋体"/>
                <w:bCs/>
                <w:color w:val="auto"/>
                <w:szCs w:val="21"/>
                <w:highlight w:val="none"/>
              </w:rPr>
            </w:pPr>
            <w:r>
              <w:rPr>
                <w:rFonts w:ascii="宋体" w:hAnsi="宋体"/>
                <w:bCs/>
                <w:color w:val="auto"/>
                <w:szCs w:val="21"/>
                <w:highlight w:val="none"/>
              </w:rPr>
              <w:t xml:space="preserve">采购文件的商务条款</w:t>
            </w:r>
            <w:r/>
          </w:p>
        </w:tc>
        <w:tc>
          <w:tcPr>
            <w:tcW w:w="3350" w:type="dxa"/>
            <w:vAlign w:val="center"/>
            <w:textDirection w:val="lrTb"/>
            <w:noWrap w:val="false"/>
          </w:tcPr>
          <w:p>
            <w:pPr>
              <w:jc w:val="center"/>
              <w:rPr>
                <w:rFonts w:hint="eastAsia" w:ascii="宋体" w:hAnsi="宋体"/>
                <w:bCs/>
                <w:color w:val="auto"/>
                <w:szCs w:val="21"/>
                <w:highlight w:val="none"/>
              </w:rPr>
            </w:pPr>
            <w:r>
              <w:rPr>
                <w:rFonts w:ascii="宋体" w:hAnsi="宋体"/>
                <w:bCs/>
                <w:color w:val="auto"/>
                <w:szCs w:val="21"/>
                <w:highlight w:val="none"/>
              </w:rPr>
              <w:t xml:space="preserve">投标文件的商务条款</w:t>
            </w:r>
            <w:r/>
          </w:p>
        </w:tc>
        <w:tc>
          <w:tcPr>
            <w:tcW w:w="1379" w:type="dxa"/>
            <w:vAlign w:val="center"/>
            <w:textDirection w:val="lrTb"/>
            <w:noWrap w:val="false"/>
          </w:tcPr>
          <w:p>
            <w:pPr>
              <w:jc w:val="center"/>
              <w:rPr>
                <w:rFonts w:hint="eastAsia" w:ascii="宋体" w:hAnsi="宋体"/>
                <w:bCs/>
                <w:color w:val="auto"/>
                <w:szCs w:val="21"/>
                <w:highlight w:val="none"/>
              </w:rPr>
            </w:pPr>
            <w:r>
              <w:rPr>
                <w:rFonts w:ascii="宋体" w:hAnsi="宋体"/>
                <w:bCs/>
                <w:color w:val="auto"/>
                <w:szCs w:val="21"/>
                <w:highlight w:val="none"/>
              </w:rPr>
              <w:t xml:space="preserve">说明</w:t>
            </w:r>
            <w:r/>
          </w:p>
        </w:tc>
      </w:tr>
      <w:tr>
        <w:trPr>
          <w:trHeight w:val="478"/>
        </w:trPr>
        <w:tc>
          <w:tcPr>
            <w:tcW w:w="906"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548"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350"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1379"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r>
      <w:tr>
        <w:trPr>
          <w:trHeight w:val="459"/>
        </w:trPr>
        <w:tc>
          <w:tcPr>
            <w:tcW w:w="906"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548"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350"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1379"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r>
      <w:tr>
        <w:trPr>
          <w:trHeight w:val="478"/>
        </w:trPr>
        <w:tc>
          <w:tcPr>
            <w:tcW w:w="906"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548"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350"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1379"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r>
      <w:tr>
        <w:trPr>
          <w:trHeight w:val="459"/>
        </w:trPr>
        <w:tc>
          <w:tcPr>
            <w:tcW w:w="906"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548"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350"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1379"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r>
      <w:tr>
        <w:trPr>
          <w:trHeight w:val="478"/>
        </w:trPr>
        <w:tc>
          <w:tcPr>
            <w:tcW w:w="906"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548"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350"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1379"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r>
      <w:tr>
        <w:trPr>
          <w:trHeight w:val="459"/>
        </w:trPr>
        <w:tc>
          <w:tcPr>
            <w:tcW w:w="906"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548"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350"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1379"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r>
      <w:tr>
        <w:trPr>
          <w:trHeight w:val="478"/>
        </w:trPr>
        <w:tc>
          <w:tcPr>
            <w:tcW w:w="906"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548"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350"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1379"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r>
      <w:tr>
        <w:trPr>
          <w:trHeight w:val="513"/>
        </w:trPr>
        <w:tc>
          <w:tcPr>
            <w:tcW w:w="906"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548"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350"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1379"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r>
    </w:tbl>
    <w:p>
      <w:pPr>
        <w:ind w:firstLine="422"/>
        <w:spacing w:line="360" w:lineRule="auto"/>
        <w:rPr>
          <w:rFonts w:hint="eastAsia" w:ascii="宋体" w:hAnsi="宋体"/>
          <w:bCs/>
          <w:color w:val="auto"/>
          <w:szCs w:val="21"/>
          <w:highlight w:val="none"/>
        </w:rPr>
      </w:pPr>
      <w:r>
        <w:rPr>
          <w:rFonts w:ascii="宋体" w:hAnsi="宋体"/>
          <w:bCs/>
          <w:color w:val="auto"/>
          <w:szCs w:val="21"/>
          <w:highlight w:val="none"/>
        </w:rPr>
        <w:t xml:space="preserve">注：</w:t>
      </w:r>
      <w:r>
        <w:rPr>
          <w:rFonts w:hint="eastAsia" w:ascii="宋体" w:hAnsi="宋体"/>
          <w:bCs/>
          <w:color w:val="auto"/>
          <w:szCs w:val="21"/>
          <w:highlight w:val="none"/>
        </w:rPr>
        <w:t xml:space="preserve">针对本项目中的付款方式、服务周期等商务条款，</w:t>
      </w:r>
      <w:r>
        <w:rPr>
          <w:rFonts w:ascii="宋体" w:hAnsi="宋体"/>
          <w:bCs/>
          <w:color w:val="auto"/>
          <w:szCs w:val="21"/>
          <w:highlight w:val="none"/>
        </w:rPr>
        <w:t xml:space="preserve">投标人与采购文件规定的</w:t>
      </w:r>
      <w:r>
        <w:rPr>
          <w:rFonts w:hint="eastAsia" w:ascii="宋体" w:hAnsi="宋体"/>
          <w:bCs/>
          <w:color w:val="auto"/>
          <w:szCs w:val="21"/>
          <w:highlight w:val="none"/>
        </w:rPr>
        <w:t xml:space="preserve">内容对应，</w:t>
      </w:r>
      <w:r>
        <w:rPr>
          <w:rFonts w:ascii="宋体" w:hAnsi="宋体"/>
          <w:bCs/>
          <w:color w:val="auto"/>
          <w:szCs w:val="21"/>
          <w:highlight w:val="none"/>
        </w:rPr>
        <w:t xml:space="preserve">在此表中说明。</w:t>
      </w:r>
      <w:r/>
    </w:p>
    <w:p>
      <w:pPr>
        <w:pStyle w:val="688"/>
        <w:ind w:firstLine="422"/>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rPr>
        <w:t xml:space="preserve">投标人（公章）：</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rPr>
        <w:t xml:space="preserve">法定代表人或代理人：（签</w:t>
      </w:r>
      <w:r>
        <w:rPr>
          <w:rFonts w:hint="eastAsia" w:ascii="宋体" w:hAnsi="宋体"/>
          <w:bCs/>
          <w:color w:val="auto"/>
          <w:szCs w:val="21"/>
          <w:highlight w:val="none"/>
        </w:rPr>
        <w:t xml:space="preserve">名</w:t>
      </w:r>
      <w:r>
        <w:rPr>
          <w:rFonts w:ascii="宋体" w:hAnsi="宋体"/>
          <w:bCs/>
          <w:color w:val="auto"/>
          <w:szCs w:val="21"/>
          <w:highlight w:val="none"/>
        </w:rPr>
        <w:t xml:space="preserve">或签章）</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日期：        年     月     日</w:t>
      </w:r>
      <w:r/>
    </w:p>
    <w:p>
      <w:pPr>
        <w:pStyle w:val="696"/>
        <w:jc w:val="center"/>
        <w:spacing w:line="400" w:lineRule="exact"/>
        <w:rPr>
          <w:rFonts w:cs="宋体"/>
          <w:color w:val="auto"/>
          <w:szCs w:val="21"/>
          <w:highlight w:val="none"/>
        </w:rPr>
      </w:pPr>
      <w:r>
        <w:rPr>
          <w:rFonts w:hint="eastAsia"/>
          <w:b/>
          <w:bCs/>
          <w:color w:val="auto"/>
          <w:szCs w:val="21"/>
          <w:highlight w:val="none"/>
          <w:lang w:val="zh-CN"/>
        </w:rPr>
        <w:br w:type="page" w:clear="all"/>
      </w:r>
      <w:r/>
    </w:p>
    <w:p>
      <w:pPr>
        <w:ind w:firstLine="210"/>
        <w:spacing w:line="360" w:lineRule="auto"/>
        <w:rPr>
          <w:color w:val="auto"/>
          <w:szCs w:val="21"/>
          <w:highlight w:val="none"/>
        </w:rPr>
      </w:pPr>
      <w:r>
        <w:rPr>
          <w:rFonts w:hint="eastAsia" w:ascii="Times New Roman" w:hAnsi="宋体"/>
          <w:b/>
          <w:color w:val="auto"/>
          <w:szCs w:val="21"/>
          <w:highlight w:val="none"/>
        </w:rPr>
        <w:t xml:space="preserve">格式</w:t>
      </w:r>
      <w:r>
        <w:rPr>
          <w:rFonts w:hint="eastAsia" w:ascii="Times New Roman" w:hAnsi="宋体"/>
          <w:b/>
          <w:color w:val="auto"/>
          <w:szCs w:val="21"/>
          <w:highlight w:val="none"/>
          <w:lang w:val="en-US" w:eastAsia="zh-CN"/>
        </w:rPr>
        <w:t xml:space="preserve">7</w:t>
      </w:r>
      <w:r>
        <w:rPr>
          <w:rFonts w:hint="eastAsia" w:ascii="Times New Roman" w:hAnsi="宋体"/>
          <w:b/>
          <w:color w:val="auto"/>
          <w:szCs w:val="21"/>
          <w:highlight w:val="none"/>
        </w:rPr>
        <w:t xml:space="preserve">、</w:t>
      </w:r>
      <w:r>
        <w:rPr>
          <w:rFonts w:hint="eastAsia" w:ascii="Times New Roman" w:hAnsi="Times New Roman"/>
          <w:b/>
          <w:color w:val="auto"/>
          <w:szCs w:val="21"/>
          <w:highlight w:val="none"/>
        </w:rPr>
        <w:t xml:space="preserve">岗位及人员配置：需按本格式填写具体岗位名称及岗位时间</w:t>
      </w:r>
      <w:r/>
    </w:p>
    <w:p>
      <w:pPr>
        <w:pStyle w:val="696"/>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696"/>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拟投入本项目人员岗位排班表</w:t>
      </w:r>
      <w:r/>
    </w:p>
    <w:p>
      <w:pPr>
        <w:spacing w:line="400" w:lineRule="exact"/>
        <w:rPr>
          <w:rFonts w:hint="eastAsia" w:ascii="宋体" w:hAnsi="宋体"/>
          <w:b/>
          <w:bCs/>
          <w:color w:val="auto"/>
          <w:spacing w:val="20"/>
          <w:sz w:val="24"/>
          <w:highlight w:val="none"/>
        </w:rPr>
      </w:pPr>
      <w:r>
        <w:rPr>
          <w:rFonts w:hint="eastAsia" w:ascii="宋体" w:hAnsi="宋体"/>
          <w:color w:val="auto"/>
          <w:spacing w:val="20"/>
          <w:highlight w:val="none"/>
        </w:rPr>
        <w:t xml:space="preserve">采购编号：</w:t>
      </w:r>
      <w:r>
        <w:rPr>
          <w:rFonts w:hint="eastAsia" w:ascii="宋体" w:hAnsi="宋体"/>
          <w:color w:val="auto"/>
          <w:spacing w:val="20"/>
          <w:highlight w:val="none"/>
          <w:u w:val="single"/>
        </w:rPr>
        <w:t xml:space="preserve">             </w:t>
      </w:r>
      <w:r>
        <w:rPr>
          <w:rFonts w:hint="eastAsia" w:ascii="宋体" w:hAnsi="宋体"/>
          <w:color w:val="auto"/>
          <w:spacing w:val="20"/>
          <w:highlight w:val="none"/>
        </w:rPr>
        <w:t xml:space="preserve">号</w:t>
      </w:r>
      <w:r/>
    </w:p>
    <w:tbl>
      <w:tblPr>
        <w:tblStyle w:val="6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99"/>
        <w:gridCol w:w="1418"/>
        <w:gridCol w:w="1276"/>
        <w:gridCol w:w="1275"/>
        <w:gridCol w:w="1276"/>
        <w:gridCol w:w="1179"/>
      </w:tblGrid>
      <w:tr>
        <w:trPr>
          <w:jc w:val="center"/>
          <w:trHeight w:val="635"/>
        </w:trPr>
        <w:tc>
          <w:tcPr>
            <w:tcW w:w="72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序号</w:t>
            </w:r>
            <w:r/>
          </w:p>
        </w:tc>
        <w:tc>
          <w:tcPr>
            <w:tcW w:w="149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岗位</w:t>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姓名</w:t>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性别</w:t>
            </w:r>
            <w:r/>
          </w:p>
        </w:tc>
        <w:tc>
          <w:tcPr>
            <w:tcW w:w="127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年龄</w:t>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学历</w:t>
            </w:r>
            <w:r/>
          </w:p>
        </w:tc>
        <w:tc>
          <w:tcPr>
            <w:tcW w:w="117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排班时间</w:t>
            </w:r>
            <w:r/>
          </w:p>
        </w:tc>
      </w:tr>
      <w:tr>
        <w:trPr>
          <w:jc w:val="center"/>
          <w:trHeight w:val="495"/>
        </w:trPr>
        <w:tc>
          <w:tcPr>
            <w:tcW w:w="72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149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7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95"/>
        </w:trPr>
        <w:tc>
          <w:tcPr>
            <w:tcW w:w="72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149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7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95"/>
        </w:trPr>
        <w:tc>
          <w:tcPr>
            <w:tcW w:w="72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149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7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95"/>
        </w:trPr>
        <w:tc>
          <w:tcPr>
            <w:tcW w:w="72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149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7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95"/>
        </w:trPr>
        <w:tc>
          <w:tcPr>
            <w:tcW w:w="72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w:t>
            </w:r>
            <w:r/>
          </w:p>
        </w:tc>
        <w:tc>
          <w:tcPr>
            <w:tcW w:w="149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7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95"/>
        </w:trPr>
        <w:tc>
          <w:tcPr>
            <w:tcW w:w="72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w:t>
            </w:r>
            <w:r/>
          </w:p>
        </w:tc>
        <w:tc>
          <w:tcPr>
            <w:tcW w:w="149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7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95"/>
        </w:trPr>
        <w:tc>
          <w:tcPr>
            <w:tcW w:w="72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w:t>
            </w:r>
            <w:r/>
          </w:p>
        </w:tc>
        <w:tc>
          <w:tcPr>
            <w:tcW w:w="149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7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95"/>
        </w:trPr>
        <w:tc>
          <w:tcPr>
            <w:tcW w:w="72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9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7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95"/>
        </w:trPr>
        <w:tc>
          <w:tcPr>
            <w:tcW w:w="72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9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7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spacing w:line="400" w:lineRule="exact"/>
        <w:rPr>
          <w:rFonts w:hint="eastAsia" w:ascii="宋体" w:hAnsi="宋体"/>
          <w:color w:val="auto"/>
          <w:highlight w:val="none"/>
        </w:rPr>
      </w:pPr>
      <w:r>
        <w:rPr>
          <w:rFonts w:hint="eastAsia" w:ascii="宋体" w:hAnsi="宋体"/>
          <w:color w:val="auto"/>
          <w:highlight w:val="none"/>
        </w:rPr>
      </w:r>
      <w:r/>
    </w:p>
    <w:p>
      <w:pPr>
        <w:pStyle w:val="696"/>
        <w:spacing w:line="400" w:lineRule="exact"/>
        <w:rPr>
          <w:rFonts w:hint="eastAsia" w:ascii="Times New Roman" w:hAnsi="宋体" w:eastAsia="宋体"/>
          <w:b/>
          <w:color w:val="auto"/>
          <w:sz w:val="21"/>
          <w:szCs w:val="21"/>
          <w:highlight w:val="none"/>
        </w:rPr>
      </w:pPr>
      <w:r>
        <w:rPr>
          <w:rFonts w:hint="eastAsia" w:ascii="Times New Roman" w:hAnsi="宋体" w:eastAsia="宋体"/>
          <w:b/>
          <w:color w:val="auto"/>
          <w:sz w:val="21"/>
          <w:szCs w:val="21"/>
          <w:highlight w:val="none"/>
        </w:rPr>
      </w:r>
      <w:r/>
    </w:p>
    <w:p>
      <w:pPr>
        <w:ind w:firstLine="210"/>
        <w:spacing w:line="360" w:lineRule="auto"/>
        <w:rPr>
          <w:rFonts w:ascii="Times New Roman" w:hAnsi="Times New Roman"/>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法定代表人或授权委托人：（签字或盖章）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color w:val="auto"/>
          <w:szCs w:val="21"/>
          <w:highlight w:val="none"/>
        </w:rPr>
        <w:t xml:space="preserve"> </w:t>
      </w:r>
      <w:r/>
    </w:p>
    <w:p>
      <w:pPr>
        <w:spacing w:line="400" w:lineRule="exact"/>
        <w:rPr>
          <w:color w:val="auto"/>
          <w:szCs w:val="21"/>
          <w:highlight w:val="none"/>
        </w:rPr>
      </w:pPr>
      <w:r>
        <w:rPr>
          <w:color w:val="auto"/>
          <w:szCs w:val="21"/>
          <w:highlight w:val="none"/>
        </w:rPr>
      </w:r>
      <w:r/>
    </w:p>
    <w:p>
      <w:pPr>
        <w:pStyle w:val="696"/>
        <w:spacing w:line="400" w:lineRule="exact"/>
        <w:rPr>
          <w:color w:val="auto"/>
          <w:sz w:val="21"/>
          <w:szCs w:val="21"/>
          <w:highlight w:val="none"/>
        </w:rPr>
      </w:pPr>
      <w:r>
        <w:rPr>
          <w:rFonts w:hint="eastAsia"/>
          <w:color w:val="auto"/>
          <w:sz w:val="21"/>
          <w:szCs w:val="21"/>
          <w:highlight w:val="none"/>
        </w:rPr>
        <w:t xml:space="preserve"> </w:t>
      </w:r>
      <w:r/>
    </w:p>
    <w:p>
      <w:pPr>
        <w:spacing w:line="400" w:lineRule="exact"/>
        <w:rPr>
          <w:rFonts w:hint="eastAsia" w:hAnsi="宋体"/>
          <w:b/>
          <w:color w:val="auto"/>
          <w:szCs w:val="21"/>
          <w:highlight w:val="none"/>
        </w:rPr>
      </w:pPr>
      <w:r>
        <w:rPr>
          <w:rFonts w:hAnsi="宋体"/>
          <w:b/>
          <w:color w:val="auto"/>
          <w:szCs w:val="21"/>
          <w:highlight w:val="none"/>
        </w:rPr>
        <w:br w:type="page" w:clear="all"/>
      </w:r>
      <w:r>
        <w:rPr>
          <w:rFonts w:hint="eastAsia" w:ascii="宋体" w:hAnsi="Courier New"/>
          <w:b/>
          <w:color w:val="auto"/>
          <w:szCs w:val="21"/>
          <w:highlight w:val="none"/>
        </w:rPr>
        <w:t xml:space="preserve">格式8、</w:t>
      </w:r>
      <w:r>
        <w:rPr>
          <w:rFonts w:hint="eastAsia" w:hAnsi="宋体"/>
          <w:b/>
          <w:color w:val="auto"/>
          <w:szCs w:val="21"/>
          <w:highlight w:val="none"/>
        </w:rPr>
        <w:t xml:space="preserve">拟投入本项目人员表</w:t>
      </w:r>
      <w:r/>
    </w:p>
    <w:p>
      <w:pPr>
        <w:pStyle w:val="696"/>
        <w:ind w:firstLine="643"/>
        <w:spacing w:line="400" w:lineRule="exact"/>
        <w:rPr>
          <w:rFonts w:hAnsi="宋体"/>
          <w:b/>
          <w:color w:val="auto"/>
          <w:sz w:val="32"/>
          <w:szCs w:val="32"/>
          <w:highlight w:val="none"/>
        </w:rPr>
      </w:pPr>
      <w:r>
        <w:rPr>
          <w:rFonts w:hAnsi="宋体"/>
          <w:b/>
          <w:color w:val="auto"/>
          <w:sz w:val="32"/>
          <w:szCs w:val="32"/>
          <w:highlight w:val="none"/>
        </w:rPr>
      </w:r>
      <w:r/>
    </w:p>
    <w:p>
      <w:pPr>
        <w:pStyle w:val="696"/>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拟投入本项目人员表</w:t>
      </w:r>
      <w:r/>
    </w:p>
    <w:p>
      <w:pPr>
        <w:spacing w:line="400" w:lineRule="exact"/>
        <w:rPr>
          <w:rFonts w:hint="eastAsia" w:ascii="Times New Roman" w:hAnsi="宋体"/>
          <w:color w:val="auto"/>
          <w:spacing w:val="20"/>
          <w:szCs w:val="21"/>
          <w:highlight w:val="none"/>
        </w:rPr>
      </w:pPr>
      <w:r>
        <w:rPr>
          <w:rFonts w:hint="eastAsia" w:hAnsi="宋体"/>
          <w:color w:val="auto"/>
          <w:spacing w:val="20"/>
          <w:szCs w:val="21"/>
          <w:highlight w:val="none"/>
        </w:rPr>
        <w:t xml:space="preserve">采购编号：</w:t>
      </w:r>
      <w:r>
        <w:rPr>
          <w:rFonts w:hint="eastAsia"/>
          <w:color w:val="auto"/>
          <w:szCs w:val="21"/>
          <w:highlight w:val="none"/>
        </w:rPr>
        <w:t xml:space="preserve"> </w:t>
      </w:r>
      <w:r/>
    </w:p>
    <w:tbl>
      <w:tblPr>
        <w:tblStyle w:val="685"/>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color w:val="auto"/>
                <w:szCs w:val="21"/>
                <w:highlight w:val="none"/>
              </w:rPr>
            </w:pPr>
            <w:r>
              <w:rPr>
                <w:rFonts w:hint="eastAsia"/>
                <w:color w:val="auto"/>
                <w:szCs w:val="21"/>
                <w:highlight w:val="none"/>
              </w:rPr>
              <w:t xml:space="preserve">序号</w:t>
            </w:r>
            <w:r/>
          </w:p>
        </w:tc>
        <w:tc>
          <w:tcPr>
            <w:tcW w:w="2329" w:type="dxa"/>
            <w:vAlign w:val="center"/>
            <w:textDirection w:val="lrTb"/>
            <w:noWrap w:val="false"/>
          </w:tcPr>
          <w:p>
            <w:pPr>
              <w:jc w:val="center"/>
              <w:rPr>
                <w:color w:val="auto"/>
                <w:szCs w:val="21"/>
                <w:highlight w:val="none"/>
              </w:rPr>
            </w:pPr>
            <w:r>
              <w:rPr>
                <w:rFonts w:hint="eastAsia"/>
                <w:color w:val="auto"/>
                <w:szCs w:val="21"/>
                <w:highlight w:val="none"/>
              </w:rPr>
              <w:t xml:space="preserve">岗位</w:t>
            </w:r>
            <w:r/>
          </w:p>
        </w:tc>
        <w:tc>
          <w:tcPr>
            <w:tcW w:w="1197" w:type="dxa"/>
            <w:vAlign w:val="center"/>
            <w:textDirection w:val="lrTb"/>
            <w:noWrap w:val="false"/>
          </w:tcPr>
          <w:p>
            <w:pPr>
              <w:jc w:val="center"/>
              <w:rPr>
                <w:color w:val="auto"/>
                <w:szCs w:val="21"/>
                <w:highlight w:val="none"/>
              </w:rPr>
            </w:pPr>
            <w:r>
              <w:rPr>
                <w:rFonts w:hint="eastAsia"/>
                <w:color w:val="auto"/>
                <w:szCs w:val="21"/>
                <w:highlight w:val="none"/>
              </w:rPr>
              <w:t xml:space="preserve">姓名</w:t>
            </w:r>
            <w:r/>
          </w:p>
        </w:tc>
        <w:tc>
          <w:tcPr>
            <w:tcW w:w="1171" w:type="dxa"/>
            <w:vAlign w:val="center"/>
            <w:textDirection w:val="lrTb"/>
            <w:noWrap w:val="false"/>
          </w:tcPr>
          <w:p>
            <w:pPr>
              <w:jc w:val="center"/>
              <w:rPr>
                <w:color w:val="auto"/>
                <w:szCs w:val="21"/>
                <w:highlight w:val="none"/>
              </w:rPr>
            </w:pPr>
            <w:r>
              <w:rPr>
                <w:rFonts w:hint="eastAsia"/>
                <w:color w:val="auto"/>
                <w:szCs w:val="21"/>
                <w:highlight w:val="none"/>
              </w:rPr>
              <w:t xml:space="preserve">性别</w:t>
            </w:r>
            <w:r/>
          </w:p>
        </w:tc>
        <w:tc>
          <w:tcPr>
            <w:tcW w:w="1116" w:type="dxa"/>
            <w:vAlign w:val="center"/>
            <w:textDirection w:val="lrTb"/>
            <w:noWrap w:val="false"/>
          </w:tcPr>
          <w:p>
            <w:pPr>
              <w:jc w:val="center"/>
              <w:rPr>
                <w:color w:val="auto"/>
                <w:szCs w:val="21"/>
                <w:highlight w:val="none"/>
              </w:rPr>
            </w:pPr>
            <w:r>
              <w:rPr>
                <w:rFonts w:hint="eastAsia"/>
                <w:color w:val="auto"/>
                <w:szCs w:val="21"/>
                <w:highlight w:val="none"/>
              </w:rPr>
              <w:t xml:space="preserve">年龄</w:t>
            </w:r>
            <w:r/>
          </w:p>
        </w:tc>
        <w:tc>
          <w:tcPr>
            <w:tcW w:w="1195" w:type="dxa"/>
            <w:vAlign w:val="center"/>
            <w:textDirection w:val="lrTb"/>
            <w:noWrap w:val="false"/>
          </w:tcPr>
          <w:p>
            <w:pPr>
              <w:jc w:val="center"/>
              <w:rPr>
                <w:color w:val="auto"/>
                <w:szCs w:val="21"/>
                <w:highlight w:val="none"/>
              </w:rPr>
            </w:pPr>
            <w:r>
              <w:rPr>
                <w:rFonts w:hint="eastAsia"/>
                <w:color w:val="auto"/>
                <w:szCs w:val="21"/>
                <w:highlight w:val="none"/>
              </w:rPr>
              <w:t xml:space="preserve">学历</w:t>
            </w:r>
            <w:r/>
          </w:p>
        </w:tc>
        <w:tc>
          <w:tcPr>
            <w:tcW w:w="1077" w:type="dxa"/>
            <w:vAlign w:val="center"/>
            <w:textDirection w:val="lrTb"/>
            <w:noWrap w:val="false"/>
          </w:tcPr>
          <w:p>
            <w:pPr>
              <w:jc w:val="center"/>
              <w:rPr>
                <w:color w:val="auto"/>
                <w:szCs w:val="21"/>
                <w:highlight w:val="none"/>
              </w:rPr>
            </w:pPr>
            <w:r>
              <w:rPr>
                <w:rFonts w:hint="eastAsia"/>
                <w:color w:val="auto"/>
                <w:szCs w:val="21"/>
                <w:highlight w:val="none"/>
              </w:rPr>
              <w:t xml:space="preserve">职称</w:t>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1</w:t>
            </w:r>
            <w:r/>
          </w:p>
        </w:tc>
        <w:tc>
          <w:tcPr>
            <w:tcW w:w="2329" w:type="dxa"/>
            <w:vAlign w:val="center"/>
            <w:textDirection w:val="lrTb"/>
            <w:noWrap w:val="false"/>
          </w:tcPr>
          <w:p>
            <w:pPr>
              <w:rPr>
                <w:color w:val="auto"/>
                <w:szCs w:val="21"/>
                <w:highlight w:val="none"/>
              </w:rPr>
            </w:pPr>
            <w:r>
              <w:rPr>
                <w:rFonts w:hint="eastAsia"/>
                <w:color w:val="auto"/>
                <w:szCs w:val="21"/>
                <w:highlight w:val="none"/>
              </w:rPr>
              <w:t xml:space="preserve">项目经理（常驻）</w:t>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2</w:t>
            </w:r>
            <w:r/>
          </w:p>
        </w:tc>
        <w:tc>
          <w:tcPr>
            <w:tcW w:w="2329" w:type="dxa"/>
            <w:vAlign w:val="center"/>
            <w:textDirection w:val="lrTb"/>
            <w:noWrap w:val="false"/>
          </w:tcPr>
          <w:p>
            <w:pPr>
              <w:rPr>
                <w:color w:val="auto"/>
                <w:szCs w:val="21"/>
                <w:highlight w:val="none"/>
              </w:rPr>
            </w:pPr>
            <w:r>
              <w:rPr>
                <w:rFonts w:hint="eastAsia"/>
                <w:color w:val="auto"/>
                <w:szCs w:val="21"/>
                <w:highlight w:val="none"/>
              </w:rPr>
              <w:t xml:space="preserve">负责人</w:t>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3</w:t>
            </w:r>
            <w:r/>
          </w:p>
        </w:tc>
        <w:tc>
          <w:tcPr>
            <w:tcW w:w="2329" w:type="dxa"/>
            <w:vAlign w:val="center"/>
            <w:textDirection w:val="lrTb"/>
            <w:noWrap w:val="false"/>
          </w:tcPr>
          <w:p>
            <w:pPr>
              <w:rPr>
                <w:color w:val="auto"/>
                <w:szCs w:val="21"/>
                <w:highlight w:val="none"/>
              </w:rPr>
            </w:pPr>
            <w:r>
              <w:rPr>
                <w:rFonts w:hint="eastAsia"/>
                <w:color w:val="auto"/>
                <w:szCs w:val="21"/>
                <w:highlight w:val="none"/>
              </w:rPr>
              <w:t xml:space="preserve">服务人员</w:t>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4</w:t>
            </w:r>
            <w:r/>
          </w:p>
        </w:tc>
        <w:tc>
          <w:tcPr>
            <w:tcW w:w="2329" w:type="dxa"/>
            <w:vAlign w:val="center"/>
            <w:textDirection w:val="lrTb"/>
            <w:noWrap w:val="false"/>
          </w:tcPr>
          <w:p>
            <w:pPr>
              <w:rPr>
                <w:color w:val="auto"/>
                <w:szCs w:val="21"/>
                <w:highlight w:val="none"/>
              </w:rPr>
            </w:pPr>
            <w:r>
              <w:rPr>
                <w:rFonts w:hint="eastAsia"/>
                <w:color w:val="auto"/>
                <w:szCs w:val="21"/>
                <w:highlight w:val="none"/>
              </w:rPr>
              <w:t xml:space="preserve">……</w:t>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5</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6</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7</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8</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bl>
    <w:p>
      <w:pPr>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rFonts w:hint="eastAsia"/>
          <w:color w:val="auto"/>
          <w:szCs w:val="21"/>
          <w:highlight w:val="none"/>
        </w:rPr>
        <w:t xml:space="preserve">注：请按以上格式自制表格填写后投标。</w:t>
      </w:r>
      <w:r/>
    </w:p>
    <w:p>
      <w:pPr>
        <w:spacing w:line="400" w:lineRule="exact"/>
        <w:rPr>
          <w:b/>
          <w:color w:val="auto"/>
          <w:szCs w:val="21"/>
          <w:highlight w:val="none"/>
        </w:rPr>
      </w:pPr>
      <w:r>
        <w:rPr>
          <w:color w:val="auto"/>
          <w:szCs w:val="21"/>
          <w:highlight w:val="none"/>
        </w:rPr>
        <w:br w:type="page" w:clear="all"/>
      </w:r>
      <w:r>
        <w:rPr>
          <w:rFonts w:hint="eastAsia" w:hAnsi="宋体"/>
          <w:b/>
          <w:color w:val="auto"/>
          <w:szCs w:val="21"/>
          <w:highlight w:val="none"/>
        </w:rPr>
        <w:t xml:space="preserve">格式9、资格证明文件</w:t>
      </w:r>
      <w:r/>
    </w:p>
    <w:p>
      <w:pPr>
        <w:pStyle w:val="688"/>
        <w:ind w:firstLine="0"/>
        <w:rPr>
          <w:b/>
          <w:color w:val="auto"/>
          <w:sz w:val="21"/>
          <w:szCs w:val="21"/>
          <w:highlight w:val="none"/>
        </w:rPr>
      </w:pPr>
      <w:r>
        <w:rPr>
          <w:b/>
          <w:color w:val="auto"/>
          <w:sz w:val="21"/>
          <w:szCs w:val="21"/>
          <w:highlight w:val="none"/>
        </w:rPr>
      </w:r>
      <w:r/>
    </w:p>
    <w:p>
      <w:pPr>
        <w:pStyle w:val="688"/>
        <w:ind w:firstLine="0"/>
        <w:jc w:val="both"/>
        <w:rPr>
          <w:rFonts w:hint="eastAsia"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688"/>
        <w:ind w:firstLine="0"/>
        <w:rPr>
          <w:b/>
          <w:color w:val="auto"/>
          <w:sz w:val="21"/>
          <w:szCs w:val="21"/>
          <w:highlight w:val="none"/>
        </w:rPr>
      </w:pPr>
      <w:r>
        <w:rPr>
          <w:b/>
          <w:color w:val="auto"/>
          <w:sz w:val="21"/>
          <w:szCs w:val="21"/>
          <w:highlight w:val="none"/>
        </w:rPr>
      </w:r>
      <w:r/>
    </w:p>
    <w:p>
      <w:pPr>
        <w:pStyle w:val="688"/>
        <w:ind w:firstLine="0"/>
        <w:rPr>
          <w:b/>
          <w:color w:val="auto"/>
          <w:highlight w:val="none"/>
        </w:rPr>
      </w:pPr>
      <w:r>
        <w:rPr>
          <w:b/>
          <w:color w:val="auto"/>
          <w:highlight w:val="none"/>
        </w:rPr>
      </w:r>
      <w:r/>
    </w:p>
    <w:p>
      <w:pPr>
        <w:pStyle w:val="696"/>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696"/>
        <w:ind w:firstLine="643"/>
        <w:jc w:val="center"/>
        <w:spacing w:line="400" w:lineRule="exact"/>
        <w:rPr>
          <w:rFonts w:hint="eastAsia"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688"/>
        <w:jc w:val="center"/>
        <w:rPr>
          <w:rFonts w:ascii="Times New Roman"/>
          <w:color w:val="auto"/>
          <w:highlight w:val="none"/>
        </w:rPr>
      </w:pPr>
      <w:r>
        <w:rPr>
          <w:rFonts w:ascii="Times New Roman"/>
          <w:color w:val="auto"/>
          <w:highlight w:val="none"/>
        </w:rPr>
      </w:r>
      <w:r/>
    </w:p>
    <w:p>
      <w:pPr>
        <w:pStyle w:val="688"/>
        <w:jc w:val="center"/>
        <w:rPr>
          <w:color w:val="auto"/>
          <w:highlight w:val="none"/>
        </w:rPr>
      </w:pPr>
      <w:r>
        <w:rPr>
          <w:color w:val="auto"/>
          <w:highlight w:val="none"/>
        </w:rPr>
      </w:r>
      <w:r/>
    </w:p>
    <w:p>
      <w:pPr>
        <w:pStyle w:val="696"/>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688"/>
        <w:jc w:val="both"/>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688"/>
        <w:ind w:firstLine="0"/>
        <w:spacing w:line="400" w:lineRule="exact"/>
        <w:rPr>
          <w:color w:val="auto"/>
          <w:sz w:val="21"/>
          <w:szCs w:val="21"/>
          <w:highlight w:val="none"/>
        </w:rPr>
      </w:pPr>
      <w:r>
        <w:rPr>
          <w:color w:val="auto"/>
          <w:sz w:val="21"/>
          <w:szCs w:val="21"/>
          <w:highlight w:val="none"/>
        </w:rPr>
      </w:r>
      <w:r/>
    </w:p>
    <w:p>
      <w:pPr>
        <w:pStyle w:val="688"/>
        <w:ind w:firstLine="0"/>
        <w:rPr>
          <w:color w:val="auto"/>
          <w:highlight w:val="none"/>
        </w:rPr>
      </w:pPr>
      <w:r>
        <w:rPr>
          <w:color w:val="auto"/>
          <w:highlight w:val="none"/>
        </w:rPr>
      </w:r>
      <w:r/>
    </w:p>
    <w:p>
      <w:pPr>
        <w:pStyle w:val="688"/>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688"/>
        <w:ind w:firstLine="0"/>
        <w:rPr>
          <w:rFonts w:ascii="宋体" w:hAnsi="宋体"/>
          <w:color w:val="auto"/>
          <w:highlight w:val="none"/>
        </w:rPr>
      </w:pPr>
      <w:r>
        <w:rPr>
          <w:rFonts w:ascii="宋体" w:hAnsi="宋体"/>
          <w:color w:val="auto"/>
          <w:highlight w:val="none"/>
        </w:rPr>
      </w:r>
      <w:r/>
    </w:p>
    <w:p>
      <w:pPr>
        <w:pStyle w:val="696"/>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rFonts w:ascii="Times New Roman"/>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685"/>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441"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688"/>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688"/>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688"/>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688"/>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25"/>
        </w:trPr>
        <w:tc>
          <w:tcPr>
            <w:tcW w:w="597"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688"/>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688"/>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688"/>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688"/>
              <w:ind w:left="437"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688"/>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688"/>
              <w:ind w:firstLine="945"/>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688"/>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年总营业收入</w:t>
            </w:r>
            <w:r/>
          </w:p>
        </w:tc>
        <w:tc>
          <w:tcPr>
            <w:tcW w:w="1669" w:type="dxa"/>
            <w:vAlign w:val="center"/>
            <w:textDirection w:val="lrTb"/>
            <w:noWrap w:val="false"/>
          </w:tcPr>
          <w:p>
            <w:pPr>
              <w:pStyle w:val="688"/>
              <w:ind w:left="1112"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688"/>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688"/>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688"/>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688"/>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688"/>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688"/>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688"/>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18"/>
        </w:trPr>
        <w:tc>
          <w:tcPr>
            <w:tcW w:w="597"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688"/>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688"/>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1701"/>
        </w:trPr>
        <w:tc>
          <w:tcPr>
            <w:tcW w:w="597" w:type="dxa"/>
            <w:vAlign w:val="center"/>
            <w:textDirection w:val="lrTb"/>
            <w:noWrap w:val="false"/>
          </w:tcPr>
          <w:p>
            <w:pPr>
              <w:pStyle w:val="688"/>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688"/>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688"/>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pStyle w:val="688"/>
        <w:ind w:firstLine="0"/>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格式10、相关业绩一览表</w:t>
      </w:r>
      <w:r/>
    </w:p>
    <w:p>
      <w:pPr>
        <w:ind w:left="-42" w:right="357"/>
        <w:spacing w:line="400" w:lineRule="exact"/>
        <w:rPr>
          <w:b/>
          <w:color w:val="auto"/>
          <w:sz w:val="24"/>
          <w:highlight w:val="none"/>
        </w:rPr>
      </w:pPr>
      <w:r>
        <w:rPr>
          <w:b/>
          <w:color w:val="auto"/>
          <w:sz w:val="24"/>
          <w:highlight w:val="none"/>
        </w:rPr>
      </w:r>
      <w:r/>
    </w:p>
    <w:p>
      <w:pPr>
        <w:pStyle w:val="696"/>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相关业绩一览表</w:t>
      </w:r>
      <w:r/>
    </w:p>
    <w:p>
      <w:pPr>
        <w:spacing w:line="360" w:lineRule="auto"/>
        <w:rPr>
          <w:rFonts w:ascii="Times New Roman"/>
          <w:color w:val="auto"/>
          <w:sz w:val="24"/>
          <w:highlight w:val="none"/>
        </w:rPr>
      </w:pPr>
      <w:r>
        <w:rPr>
          <w:rFonts w:ascii="Times New Roman"/>
          <w:color w:val="auto"/>
          <w:sz w:val="24"/>
          <w:highlight w:val="none"/>
        </w:rPr>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rPr>
        <w:t xml:space="preserve">_________________________</w:t>
      </w:r>
      <w:r/>
    </w:p>
    <w:tbl>
      <w:tblPr>
        <w:tblStyle w:val="685"/>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479"/>
        <w:gridCol w:w="1479"/>
        <w:gridCol w:w="1760"/>
        <w:gridCol w:w="1549"/>
        <w:gridCol w:w="1337"/>
      </w:tblGrid>
      <w:tr>
        <w:trPr>
          <w:cantSplit/>
          <w:trHeight w:val="740"/>
        </w:trPr>
        <w:tc>
          <w:tcPr>
            <w:tcW w:w="91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序号</w:t>
            </w:r>
            <w:r/>
          </w:p>
        </w:tc>
        <w:tc>
          <w:tcPr>
            <w:tcW w:w="147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项目名称</w:t>
            </w:r>
            <w:r/>
          </w:p>
        </w:tc>
        <w:tc>
          <w:tcPr>
            <w:tcW w:w="147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合同期</w:t>
            </w:r>
            <w:r/>
          </w:p>
        </w:tc>
        <w:tc>
          <w:tcPr>
            <w:tcW w:w="176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管理服务范围</w:t>
            </w:r>
            <w:r/>
          </w:p>
        </w:tc>
        <w:tc>
          <w:tcPr>
            <w:tcW w:w="154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管理面积（</w:t>
            </w:r>
            <w:r>
              <w:rPr>
                <w:color w:val="auto"/>
                <w:szCs w:val="21"/>
                <w:highlight w:val="none"/>
              </w:rPr>
              <w:t xml:space="preserve">m</w:t>
            </w:r>
            <w:r>
              <w:rPr>
                <w:color w:val="auto"/>
                <w:szCs w:val="21"/>
                <w:highlight w:val="none"/>
                <w:vertAlign w:val="superscript"/>
              </w:rPr>
              <w:t xml:space="preserve">2</w:t>
            </w:r>
            <w:r>
              <w:rPr>
                <w:rFonts w:hint="eastAsia"/>
                <w:color w:val="auto"/>
                <w:szCs w:val="21"/>
                <w:highlight w:val="none"/>
              </w:rPr>
              <w:t xml:space="preserve">）</w:t>
            </w:r>
            <w:r/>
          </w:p>
        </w:tc>
        <w:tc>
          <w:tcPr>
            <w:tcW w:w="1337"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备注</w:t>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1</w:t>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760"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4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337"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2</w:t>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760"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4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337"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3</w:t>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760"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4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337"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4</w:t>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760"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4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337"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5</w:t>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760"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4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337"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tbRlV"/>
            <w:noWrap w:val="false"/>
          </w:tcPr>
          <w:p>
            <w:pPr>
              <w:ind w:left="113" w:right="113"/>
              <w:jc w:val="center"/>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760"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4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337"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760"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4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337"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760"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4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337" w:type="dxa"/>
            <w:vAlign w:val="center"/>
            <w:textDirection w:val="lrTb"/>
            <w:noWrap w:val="false"/>
          </w:tcPr>
          <w:p>
            <w:pPr>
              <w:jc w:val="center"/>
              <w:spacing w:line="400" w:lineRule="exact"/>
              <w:rPr>
                <w:color w:val="auto"/>
                <w:szCs w:val="21"/>
                <w:highlight w:val="none"/>
              </w:rPr>
            </w:pPr>
            <w:r>
              <w:rPr>
                <w:color w:val="auto"/>
                <w:szCs w:val="21"/>
                <w:highlight w:val="none"/>
              </w:rPr>
            </w:r>
            <w:r/>
          </w:p>
        </w:tc>
      </w:tr>
    </w:tbl>
    <w:p>
      <w:pPr>
        <w:ind w:firstLine="210"/>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rPr>
          <w:rFonts w:hint="eastAsia" w:ascii="宋体" w:hAnsi="宋体"/>
          <w:b/>
          <w:bCs/>
          <w:color w:val="auto"/>
          <w:sz w:val="24"/>
          <w:highlight w:val="none"/>
        </w:rPr>
      </w:pPr>
      <w:r>
        <w:rPr>
          <w:rFonts w:hint="eastAsia" w:ascii="宋体" w:hAnsi="宋体"/>
          <w:b/>
          <w:bCs/>
          <w:color w:val="auto"/>
          <w:highlight w:val="none"/>
        </w:rPr>
        <w:t xml:space="preserve"> </w:t>
      </w:r>
      <w:r>
        <w:rPr>
          <w:rFonts w:hint="eastAsia" w:ascii="宋体" w:hAnsi="宋体"/>
          <w:b/>
          <w:bCs/>
          <w:color w:val="auto"/>
          <w:highlight w:val="none"/>
        </w:rPr>
        <w:br w:type="page" w:clear="all"/>
      </w:r>
      <w:r>
        <w:rPr>
          <w:rFonts w:hint="eastAsia"/>
          <w:b/>
          <w:color w:val="auto"/>
          <w:szCs w:val="21"/>
          <w:highlight w:val="none"/>
        </w:rPr>
        <w:t xml:space="preserve">格式11、服务管理实施方案</w:t>
      </w:r>
      <w:r/>
    </w:p>
    <w:p>
      <w:pPr>
        <w:pStyle w:val="696"/>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实施方案</w:t>
      </w:r>
      <w:r/>
    </w:p>
    <w:tbl>
      <w:tblPr>
        <w:tblStyle w:val="68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、投标人应针对本次招标项目特点编写公司中标后拟采取的详细的组织计划，包括人员安排、时间安排等，以及遇重大、紧急事项的应急措施等。</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spacing w:line="360" w:lineRule="auto"/>
        <w:tabs>
          <w:tab w:val="left" w:pos="1320" w:leader="none"/>
        </w:tabs>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tabs>
          <w:tab w:val="left" w:pos="1320" w:leader="none"/>
        </w:tabs>
        <w:rPr>
          <w:rFonts w:ascii="Times New Roman" w:hAnsi="Times New Roman"/>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、工作管理标准、考核方案</w:t>
      </w:r>
      <w:r/>
    </w:p>
    <w:p>
      <w:pPr>
        <w:pStyle w:val="696"/>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管理标准、考核方案</w:t>
      </w:r>
      <w:r/>
    </w:p>
    <w:tbl>
      <w:tblPr>
        <w:tblStyle w:val="68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、投标人应针对本次招标项目特点编写公司中标后拟采取的管理标准、考核方案。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jc w:val="center"/>
        <w:spacing w:before="50" w:line="400" w:lineRule="exact"/>
        <w:rPr>
          <w:rFonts w:hint="eastAsia" w:ascii="黑体" w:hAnsi="宋体" w:eastAsia="黑体"/>
          <w:b/>
          <w:color w:val="auto"/>
          <w:sz w:val="36"/>
          <w:szCs w:val="36"/>
          <w:highlight w:val="none"/>
        </w:rPr>
      </w:pPr>
      <w:r>
        <w:rPr>
          <w:rFonts w:hint="eastAsia" w:ascii="黑体" w:hAnsi="宋体" w:eastAsia="黑体"/>
          <w:b/>
          <w:color w:val="auto"/>
          <w:sz w:val="36"/>
          <w:szCs w:val="36"/>
          <w:highlight w:val="none"/>
        </w:rPr>
      </w:r>
      <w:r/>
    </w:p>
    <w:p>
      <w:pPr>
        <w:rPr>
          <w:rFonts w:ascii="Times New Roman" w:hAnsi="Times New Roman"/>
          <w:color w:val="auto"/>
          <w:szCs w:val="21"/>
          <w:highlight w:val="none"/>
        </w:rPr>
      </w:pPr>
      <w:r>
        <w:rPr>
          <w:color w:val="auto"/>
          <w:szCs w:val="21"/>
          <w:highlight w:val="none"/>
        </w:rPr>
        <w:t xml:space="preserve"> </w:t>
      </w:r>
      <w:r/>
    </w:p>
    <w:p>
      <w:pPr>
        <w:spacing w:line="400" w:lineRule="exact"/>
        <w:rPr>
          <w:rFonts w:hint="eastAsia"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w:t>
      </w:r>
      <w:r>
        <w:rPr>
          <w:rFonts w:hint="eastAsia" w:ascii="宋体" w:hAnsi="宋体"/>
          <w:b/>
          <w:color w:val="auto"/>
          <w:szCs w:val="21"/>
          <w:highlight w:val="none"/>
          <w:lang w:val="en-US" w:eastAsia="zh-CN"/>
        </w:rPr>
        <w:t xml:space="preserve">中小</w:t>
      </w:r>
      <w:r>
        <w:rPr>
          <w:rFonts w:hint="eastAsia" w:ascii="宋体" w:hAnsi="宋体"/>
          <w:b/>
          <w:color w:val="auto"/>
          <w:szCs w:val="21"/>
          <w:highlight w:val="none"/>
        </w:rPr>
        <w:t xml:space="preserve">企业声明函</w:t>
      </w:r>
      <w:r/>
    </w:p>
    <w:p>
      <w:pPr>
        <w:jc w:val="center"/>
        <w:spacing w:line="588" w:lineRule="exact"/>
        <w:rPr>
          <w:rFonts w:ascii="Times New Roman" w:hAnsi="Times New Roman"/>
          <w:b/>
          <w:color w:val="auto"/>
          <w:spacing w:val="6"/>
          <w:sz w:val="24"/>
          <w:highlight w:val="none"/>
          <w:shd w:val="clear" w:color="auto" w:fill="ffffff"/>
        </w:rPr>
      </w:pPr>
      <w:r>
        <w:rPr>
          <w:rFonts w:ascii="Times New Roman" w:hAnsi="Times New Roman"/>
          <w:b/>
          <w:color w:val="auto"/>
          <w:spacing w:val="6"/>
          <w:sz w:val="24"/>
          <w:highlight w:val="none"/>
          <w:shd w:val="clear" w:color="auto" w:fill="ffffff"/>
        </w:rPr>
      </w:r>
      <w:r/>
    </w:p>
    <w:p>
      <w:pPr>
        <w:pStyle w:val="696"/>
        <w:ind w:firstLine="643"/>
        <w:jc w:val="center"/>
        <w:spacing w:line="400" w:lineRule="exact"/>
        <w:rPr>
          <w:rFonts w:hint="eastAsia" w:hAnsi="宋体" w:eastAsia="宋体"/>
          <w:b/>
          <w:color w:val="auto"/>
          <w:sz w:val="32"/>
          <w:szCs w:val="32"/>
          <w:highlight w:val="none"/>
        </w:rPr>
      </w:pPr>
      <w:r/>
      <w:bookmarkStart w:id="10" w:name="_Hlk66105462"/>
      <w:r>
        <w:rPr>
          <w:rFonts w:hint="eastAsia" w:hAnsi="宋体" w:eastAsia="宋体"/>
          <w:b/>
          <w:color w:val="auto"/>
          <w:sz w:val="32"/>
          <w:szCs w:val="32"/>
          <w:highlight w:val="none"/>
        </w:rPr>
        <w:t xml:space="preserve">中小企业声明函（服务类）</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ascii="Times New Roman" w:hAnsi="Times New Roman"/>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ind w:firstLine="420"/>
        <w:spacing w:line="400" w:lineRule="exact"/>
        <w:rPr>
          <w:color w:val="auto"/>
          <w:szCs w:val="21"/>
          <w:highlight w:val="none"/>
          <w:u w:val="single"/>
        </w:rPr>
      </w:pPr>
      <w:r>
        <w:rPr>
          <w:color w:val="auto"/>
          <w:szCs w:val="21"/>
          <w:highlight w:val="none"/>
        </w:rPr>
        <w:t xml:space="preserve">1. </w:t>
      </w:r>
      <w:r>
        <w:rPr>
          <w:rFonts w:hint="eastAsia"/>
          <w:color w:val="auto"/>
          <w:szCs w:val="21"/>
          <w:highlight w:val="none"/>
          <w:u w:val="single"/>
        </w:rPr>
        <w:t xml:space="preserve">（标的名称）</w:t>
      </w:r>
      <w:r>
        <w:rPr>
          <w:color w:val="auto"/>
          <w:szCs w:val="21"/>
          <w:highlight w:val="none"/>
        </w:rPr>
        <w:t xml:space="preserve"> </w:t>
      </w:r>
      <w:r>
        <w:rPr>
          <w:rFonts w:hint="eastAsia"/>
          <w:color w:val="auto"/>
          <w:szCs w:val="21"/>
          <w:highlight w:val="none"/>
        </w:rPr>
        <w:t xml:space="preserve">，属于</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行业</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rFonts w:hint="eastAsia"/>
          <w:b/>
          <w:color w:val="auto"/>
          <w:szCs w:val="21"/>
          <w:highlight w:val="none"/>
        </w:rPr>
        <w:t xml:space="preserve">（三选一填写）</w:t>
      </w:r>
      <w:r>
        <w:rPr>
          <w:rFonts w:hint="eastAsia"/>
          <w:color w:val="auto"/>
          <w:szCs w:val="21"/>
          <w:highlight w:val="none"/>
        </w:rPr>
        <w:t xml:space="preserve">；</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企业名称（盖章）：</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rPr>
          <w:color w:val="auto"/>
          <w:szCs w:val="21"/>
          <w:highlight w:val="none"/>
        </w:rPr>
      </w:pPr>
      <w:r>
        <w:rPr>
          <w:color w:val="auto"/>
          <w:szCs w:val="21"/>
          <w:highlight w:val="none"/>
        </w:rPr>
      </w:r>
      <w:r/>
    </w:p>
    <w:p>
      <w:pPr>
        <w:ind w:firstLine="420"/>
        <w:spacing w:line="400" w:lineRule="exact"/>
        <w:rPr>
          <w:rFonts w:hint="eastAsia"/>
          <w:color w:val="auto"/>
          <w:szCs w:val="21"/>
          <w:highlight w:val="none"/>
        </w:rPr>
      </w:pPr>
      <w:r>
        <w:rPr>
          <w:rFonts w:hint="eastAsia"/>
          <w:color w:val="auto"/>
          <w:szCs w:val="21"/>
          <w:highlight w:val="none"/>
        </w:rPr>
        <w:t xml:space="preserve">注：</w:t>
      </w:r>
      <w:r>
        <w:rPr>
          <w:rFonts w:hint="eastAsia"/>
          <w:color w:val="auto"/>
          <w:szCs w:val="21"/>
          <w:highlight w:val="none"/>
          <w:lang w:val="en-US" w:eastAsia="zh-CN"/>
        </w:rPr>
        <w:t xml:space="preserve">1、</w:t>
      </w:r>
      <w:r>
        <w:rPr>
          <w:rFonts w:hint="eastAsia"/>
          <w:color w:val="auto"/>
          <w:szCs w:val="21"/>
          <w:highlight w:val="none"/>
        </w:rPr>
        <w:t xml:space="preserve">从业人员、营业收入、资产总额填报上一年度数据，无上一年度数据的新成立企业可不填报。行业划分标准依据工信部联企业[2011]300号文的规定填写。</w:t>
      </w:r>
      <w:bookmarkEnd w:id="10"/>
      <w:r/>
      <w:r/>
    </w:p>
    <w:p>
      <w:pPr>
        <w:numPr>
          <w:ilvl w:val="0"/>
          <w:numId w:val="0"/>
        </w:numPr>
        <w:ind w:firstLine="420"/>
        <w:spacing w:line="400" w:lineRule="exact"/>
        <w:rPr>
          <w:rFonts w:hint="eastAsia"/>
          <w:b/>
          <w:color w:val="auto"/>
          <w:szCs w:val="21"/>
          <w:highlight w:val="none"/>
          <w:u w:val="single"/>
        </w:rPr>
      </w:pPr>
      <w:r>
        <w:rPr>
          <w:rFonts w:hint="eastAsia" w:ascii="Calibri" w:hAnsi="Calibri" w:eastAsia="宋体" w:cs="Times New Roman"/>
          <w:b/>
          <w:color w:val="auto"/>
          <w:sz w:val="21"/>
          <w:szCs w:val="21"/>
          <w:highlight w:val="none"/>
          <w:lang w:val="en-US" w:eastAsia="zh-CN" w:bidi="ar-SA"/>
        </w:rPr>
        <w:t xml:space="preserve">2、</w:t>
      </w:r>
      <w:r>
        <w:rPr>
          <w:rFonts w:hint="eastAsia"/>
          <w:b/>
          <w:color w:val="auto"/>
          <w:szCs w:val="21"/>
          <w:highlight w:val="none"/>
          <w:u w:val="single"/>
        </w:rPr>
        <w:t xml:space="preserve">本项目第1、2、4、7采购包专门面向中小企业采购，投标人应如实、完整填报《中小企业声明函》，否则为无效投标。</w:t>
      </w:r>
      <w:r/>
    </w:p>
    <w:p>
      <w:pPr>
        <w:numPr>
          <w:ilvl w:val="0"/>
          <w:numId w:val="0"/>
        </w:numPr>
        <w:ind w:firstLine="420"/>
        <w:jc w:val="left"/>
        <w:spacing w:line="400" w:lineRule="exact"/>
        <w:widowControl/>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lang w:val="en-US" w:eastAsia="zh-CN" w:bidi="ar-SA"/>
        </w:rPr>
        <w:t xml:space="preserve">3、第3</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第5</w:t>
      </w:r>
      <w:r>
        <w:rPr>
          <w:rFonts w:hint="eastAsia" w:ascii="宋体" w:hAnsi="宋体" w:cs="Times New Roman"/>
          <w:color w:val="auto"/>
          <w:sz w:val="21"/>
          <w:szCs w:val="21"/>
          <w:highlight w:val="none"/>
          <w:lang w:val="en-US" w:eastAsia="zh-CN" w:bidi="ar-SA"/>
        </w:rPr>
        <w:t xml:space="preserve">、第6采购包</w:t>
      </w:r>
      <w:r>
        <w:rPr>
          <w:rFonts w:hint="eastAsia" w:ascii="宋体" w:hAnsi="宋体" w:eastAsia="宋体" w:cs="Times New Roman"/>
          <w:color w:val="auto"/>
          <w:sz w:val="21"/>
          <w:szCs w:val="21"/>
          <w:highlight w:val="none"/>
          <w:lang w:val="en-US" w:eastAsia="zh-CN" w:bidi="ar-SA"/>
        </w:rPr>
        <w:t xml:space="preserve">非专门面向中小企业采购。其余采购包专门面向中小企业采购。本项目投标人所属行业：采购包1为</w:t>
      </w:r>
      <w:r>
        <w:rPr>
          <w:rFonts w:hint="eastAsia" w:ascii="宋体" w:hAnsi="宋体" w:eastAsia="宋体" w:cs="Times New Roman"/>
          <w:color w:val="auto"/>
          <w:sz w:val="21"/>
          <w:szCs w:val="21"/>
          <w:highlight w:val="none"/>
          <w:u w:val="single"/>
          <w:lang w:val="en-US" w:eastAsia="zh-CN" w:bidi="ar-SA"/>
        </w:rPr>
        <w:t xml:space="preserve">租赁和商务服务业</w:t>
      </w:r>
      <w:r>
        <w:rPr>
          <w:rFonts w:hint="eastAsia" w:ascii="宋体" w:hAnsi="宋体" w:eastAsia="宋体" w:cs="Times New Roman"/>
          <w:color w:val="auto"/>
          <w:sz w:val="21"/>
          <w:szCs w:val="21"/>
          <w:highlight w:val="none"/>
          <w:lang w:val="en-US" w:eastAsia="zh-CN" w:bidi="ar-SA"/>
        </w:rPr>
        <w:t xml:space="preserve">，采购包3为</w:t>
      </w:r>
      <w:r>
        <w:rPr>
          <w:rFonts w:hint="eastAsia" w:ascii="宋体" w:hAnsi="宋体" w:eastAsia="宋体" w:cs="Times New Roman"/>
          <w:color w:val="auto"/>
          <w:sz w:val="21"/>
          <w:szCs w:val="21"/>
          <w:highlight w:val="none"/>
          <w:u w:val="single"/>
          <w:lang w:val="en-US" w:eastAsia="zh-CN" w:bidi="ar-SA"/>
        </w:rPr>
        <w:t xml:space="preserve">工业</w:t>
      </w:r>
      <w:r>
        <w:rPr>
          <w:rFonts w:hint="eastAsia" w:ascii="宋体" w:hAnsi="宋体" w:eastAsia="宋体" w:cs="Times New Roman"/>
          <w:color w:val="auto"/>
          <w:sz w:val="21"/>
          <w:szCs w:val="21"/>
          <w:highlight w:val="none"/>
          <w:lang w:val="en-US" w:eastAsia="zh-CN" w:bidi="ar-SA"/>
        </w:rPr>
        <w:t xml:space="preserve">，其余采购包为</w:t>
      </w:r>
      <w:r>
        <w:rPr>
          <w:rFonts w:hint="eastAsia" w:ascii="宋体" w:hAnsi="宋体" w:eastAsia="宋体" w:cs="Times New Roman"/>
          <w:color w:val="auto"/>
          <w:sz w:val="21"/>
          <w:szCs w:val="21"/>
          <w:highlight w:val="none"/>
          <w:u w:val="single"/>
          <w:lang w:val="en-US" w:eastAsia="zh-CN" w:bidi="ar-SA"/>
        </w:rPr>
        <w:t xml:space="preserve">其他未列明行业。</w:t>
      </w:r>
      <w:r/>
    </w:p>
    <w:p>
      <w:pPr>
        <w:numPr>
          <w:ilvl w:val="0"/>
          <w:numId w:val="0"/>
        </w:numPr>
        <w:spacing w:line="400" w:lineRule="exact"/>
        <w:rPr>
          <w:rFonts w:hint="eastAsia"/>
          <w:b/>
          <w:color w:val="auto"/>
          <w:szCs w:val="21"/>
          <w:highlight w:val="none"/>
          <w:u w:val="single"/>
        </w:rPr>
      </w:pPr>
      <w:r>
        <w:rPr>
          <w:rFonts w:hint="eastAsia"/>
          <w:b/>
          <w:color w:val="auto"/>
          <w:szCs w:val="21"/>
          <w:highlight w:val="none"/>
          <w:u w:val="single"/>
        </w:rPr>
      </w:r>
      <w:r/>
    </w:p>
    <w:p>
      <w:pPr>
        <w:rPr>
          <w:rFonts w:hint="eastAsia" w:ascii="宋体" w:hAnsi="宋体"/>
          <w:b/>
          <w:color w:val="auto"/>
          <w:szCs w:val="21"/>
          <w:highlight w:val="none"/>
        </w:rPr>
      </w:pPr>
      <w:r>
        <w:rPr>
          <w:rFonts w:hint="eastAsia" w:ascii="宋体" w:hAnsi="宋体"/>
          <w:color w:val="auto"/>
          <w:szCs w:val="21"/>
          <w:highlight w:val="none"/>
          <w:u w:val="singl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696"/>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696"/>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696"/>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注：</w:t>
      </w:r>
      <w:r/>
    </w:p>
    <w:p>
      <w:pPr>
        <w:numPr>
          <w:ilvl w:val="0"/>
          <w:numId w:val="0"/>
        </w:numPr>
        <w:ind w:firstLine="420"/>
        <w:jc w:val="left"/>
        <w:spacing w:line="400" w:lineRule="exact"/>
        <w:widowControl/>
        <w:rPr>
          <w:rFonts w:hint="eastAsia"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color w:val="auto"/>
          <w:szCs w:val="21"/>
          <w:highlight w:val="none"/>
        </w:rPr>
        <w:t xml:space="preserve">残疾人福利性单位视同小型、微型企业，享受评审中价格扣除等促进中小企业发展的政府采购政策。</w:t>
      </w:r>
      <w:r/>
    </w:p>
    <w:p>
      <w:pPr>
        <w:numPr>
          <w:ilvl w:val="0"/>
          <w:numId w:val="0"/>
        </w:numPr>
        <w:ind w:firstLine="420"/>
        <w:jc w:val="left"/>
        <w:spacing w:line="400" w:lineRule="exact"/>
        <w:widowControl/>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、残疾人福利性单位属于小型、微型企业的，不重复享受政策。</w:t>
      </w:r>
      <w:bookmarkEnd w:id="8"/>
      <w:r/>
      <w:bookmarkEnd w:id="9"/>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r>
      <w:r/>
    </w:p>
    <w:p>
      <w:pPr>
        <w:jc w:val="center"/>
        <w:rPr>
          <w:rFonts w:hint="eastAsia" w:ascii="宋体" w:hAnsi="宋体"/>
          <w:color w:val="auto"/>
          <w:spacing w:val="20"/>
          <w:sz w:val="24"/>
          <w:highlight w:val="none"/>
        </w:rPr>
      </w:pPr>
      <w:r>
        <w:rPr>
          <w:rFonts w:ascii="宋体" w:hAnsi="宋体"/>
          <w:b/>
          <w:bCs/>
          <w:color w:val="auto"/>
          <w:spacing w:val="20"/>
          <w:sz w:val="30"/>
          <w:highlight w:val="none"/>
        </w:rPr>
        <w:br w:type="page" w:clear="all"/>
      </w:r>
      <w:bookmarkStart w:id="11" w:name="_Hlk99527844"/>
      <w:r/>
      <w:bookmarkStart w:id="12" w:name="_Hlk131152921"/>
      <w:r>
        <w:rPr>
          <w:rFonts w:hint="eastAsia" w:ascii="宋体" w:hAnsi="宋体"/>
          <w:b/>
          <w:bCs/>
          <w:color w:val="auto"/>
          <w:spacing w:val="20"/>
          <w:sz w:val="30"/>
          <w:highlight w:val="none"/>
        </w:rPr>
        <w:t xml:space="preserve">第四章 采购书</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苏州市卫康招投标咨询服务有限公司受苏州市中医医院委托，对其</w:t>
      </w:r>
      <w:r>
        <w:rPr>
          <w:rFonts w:hint="eastAsia" w:ascii="Times New Roman" w:hAnsi="Times New Roman"/>
          <w:color w:val="auto"/>
          <w:szCs w:val="21"/>
          <w:highlight w:val="none"/>
          <w:lang w:val="zh-CN"/>
        </w:rPr>
        <w:t xml:space="preserve">医院后勤综合管理服务</w:t>
      </w:r>
      <w:r>
        <w:rPr>
          <w:rFonts w:ascii="Times New Roman" w:hAnsi="Times New Roman"/>
          <w:color w:val="auto"/>
          <w:szCs w:val="21"/>
          <w:highlight w:val="none"/>
          <w:lang w:val="zh-CN"/>
        </w:rPr>
        <w:t xml:space="preserve">进行国内公开招标采购，欢迎符合招标公告投标资格条件的各公司前来报</w:t>
      </w:r>
      <w:r>
        <w:rPr>
          <w:rFonts w:ascii="Times New Roman" w:hAnsi="Times New Roman"/>
          <w:color w:val="auto"/>
          <w:szCs w:val="21"/>
          <w:highlight w:val="none"/>
        </w:rPr>
        <w:t xml:space="preserve">名参加投标。</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一、采购编号：</w:t>
      </w:r>
      <w:r>
        <w:rPr>
          <w:rFonts w:hint="eastAsia" w:ascii="Times New Roman" w:hAnsi="Times New Roman"/>
          <w:color w:val="auto"/>
          <w:szCs w:val="21"/>
          <w:highlight w:val="none"/>
          <w:lang w:eastAsia="zh-CN"/>
        </w:rPr>
        <w:t xml:space="preserve">JSZC-320500-SZWK-G2026-0106</w:t>
      </w:r>
      <w:r>
        <w:rPr>
          <w:rFonts w:ascii="Times New Roman" w:hAnsi="Times New Roman"/>
          <w:color w:val="auto"/>
          <w:szCs w:val="21"/>
          <w:highlight w:val="none"/>
        </w:rPr>
        <w:t xml:space="preserve">号</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二、采购项目名称：医院后勤综合管理服务</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三、服务要求：</w:t>
      </w:r>
      <w:r/>
    </w:p>
    <w:p>
      <w:pPr>
        <w:ind w:firstLine="422"/>
        <w:spacing w:line="400" w:lineRule="exact"/>
        <w:rPr>
          <w:rFonts w:ascii="Times New Roman" w:hAnsi="Times New Roman"/>
          <w:b/>
          <w:bCs/>
          <w:color w:val="auto"/>
          <w:szCs w:val="21"/>
          <w:highlight w:val="none"/>
        </w:rPr>
      </w:pPr>
      <w:r>
        <w:rPr>
          <w:rFonts w:ascii="Times New Roman" w:hAnsi="Times New Roman"/>
          <w:b/>
          <w:bCs/>
          <w:color w:val="auto"/>
          <w:szCs w:val="21"/>
          <w:highlight w:val="none"/>
        </w:rPr>
        <w:t xml:space="preserve">采购包1：</w:t>
      </w:r>
      <w:r>
        <w:rPr>
          <w:rFonts w:hint="eastAsia" w:ascii="Times New Roman" w:hAnsi="Times New Roman"/>
          <w:b/>
          <w:bCs/>
          <w:color w:val="auto"/>
          <w:szCs w:val="21"/>
          <w:highlight w:val="none"/>
        </w:rPr>
        <w:t xml:space="preserve">保安服务及车辆管理服务</w:t>
      </w:r>
      <w:r/>
    </w:p>
    <w:p>
      <w:pPr>
        <w:ind w:firstLine="422"/>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（一）服务期限：2026年6月1日-2027年5月31日</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（二）服务内容：</w:t>
      </w:r>
      <w:r/>
    </w:p>
    <w:p>
      <w:pPr>
        <w:ind w:left="1" w:right="-176" w:firstLine="447"/>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苏州市中医医院（含外围）保安服务及车辆管理服务，主要包含但不限于院内车辆、道路交通管理；院内安保管理；入口安检、停车收费；反恐防暴、应急处突、防火防盗、日常护送及消防应急处置，医疗纠纷突发事件处置等，提供特保服务每天3人（7:00-17:00）（年龄应为 20-35岁，身体状况良好，在部队服役退伍军人或有特长人员，无违法及犯罪记录，男性身高170cm 以上，女性 160cm以上。）按需服务，服从安排，以及控烟等管理内容。</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（三）服务人员要求：</w:t>
      </w:r>
      <w:r/>
    </w:p>
    <w:p>
      <w:pPr>
        <w:ind w:firstLine="420"/>
        <w:keepLines w:val="0"/>
        <w:keepNext w:val="0"/>
        <w:pageBreakBefore w:val="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1、项目经理须</w:t>
      </w:r>
      <w:r>
        <w:rPr>
          <w:rFonts w:hint="eastAsia" w:ascii="宋体" w:hAnsi="宋体" w:cs="宋体"/>
          <w:color w:val="auto"/>
          <w:szCs w:val="21"/>
          <w:highlight w:val="none"/>
        </w:rPr>
        <w:t xml:space="preserve">经</w:t>
      </w:r>
      <w:r>
        <w:rPr>
          <w:rFonts w:hint="eastAsia" w:ascii="宋体" w:hAnsi="宋体" w:cs="宋体"/>
          <w:color w:val="auto"/>
          <w:szCs w:val="21"/>
          <w:highlight w:val="none"/>
          <w:lang w:val="en-US" w:eastAsia="zh-CN"/>
        </w:rPr>
        <w:t xml:space="preserve">采购人</w:t>
      </w:r>
      <w:r>
        <w:rPr>
          <w:rFonts w:hint="eastAsia" w:ascii="宋体" w:hAnsi="宋体" w:cs="宋体"/>
          <w:color w:val="auto"/>
          <w:szCs w:val="21"/>
          <w:highlight w:val="none"/>
          <w:lang w:val="zh-CN"/>
        </w:rPr>
        <w:t xml:space="preserve">认可</w:t>
      </w:r>
      <w:r>
        <w:rPr>
          <w:rFonts w:hint="eastAsia" w:ascii="宋体" w:hAnsi="宋体" w:cs="宋体"/>
          <w:color w:val="auto"/>
          <w:szCs w:val="21"/>
          <w:highlight w:val="none"/>
        </w:rPr>
        <w:t xml:space="preserve">后上岗</w:t>
      </w:r>
      <w:r>
        <w:rPr>
          <w:rFonts w:hint="eastAsia" w:ascii="宋体" w:hAnsi="宋体" w:cs="宋体"/>
          <w:color w:val="auto"/>
          <w:szCs w:val="21"/>
          <w:highlight w:val="none"/>
          <w:lang w:val="zh-CN"/>
        </w:rPr>
        <w:t xml:space="preserve">。</w:t>
      </w:r>
      <w:r/>
    </w:p>
    <w:p>
      <w:pPr>
        <w:ind w:firstLine="420"/>
        <w:keepLines w:val="0"/>
        <w:keepNext w:val="0"/>
        <w:pageBreakBefore w:val="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项目经理、保安主管须具备</w:t>
      </w:r>
      <w:r>
        <w:rPr>
          <w:rFonts w:hint="eastAsia" w:ascii="宋体" w:hAnsi="宋体" w:cs="宋体"/>
          <w:color w:val="auto"/>
          <w:szCs w:val="21"/>
          <w:highlight w:val="none"/>
        </w:rPr>
        <w:t xml:space="preserve">大专</w:t>
      </w:r>
      <w:r>
        <w:rPr>
          <w:rFonts w:hint="eastAsia" w:ascii="宋体" w:hAnsi="宋体" w:cs="宋体"/>
          <w:color w:val="auto"/>
          <w:szCs w:val="21"/>
          <w:highlight w:val="none"/>
          <w:lang w:val="zh-CN"/>
        </w:rPr>
        <w:t xml:space="preserve">及以上学历并获得权威部门颁发的从业资格证。投标文件中需提供相关材料复印件。</w:t>
      </w:r>
      <w:r/>
    </w:p>
    <w:p>
      <w:pPr>
        <w:ind w:firstLine="420"/>
        <w:keepLines w:val="0"/>
        <w:keepNext w:val="0"/>
        <w:pageBreakBefore w:val="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3、保安主管、队长须具备权威部门颁发的从业资格证。投标文件中需提供相关材料复印件。</w:t>
      </w:r>
      <w:r/>
    </w:p>
    <w:p>
      <w:pPr>
        <w:ind w:firstLine="420"/>
        <w:keepLines w:val="0"/>
        <w:keepNext w:val="0"/>
        <w:pageBreakBefore w:val="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其他保安服务人员身体健康、初中及以上学历，</w:t>
      </w:r>
      <w:r>
        <w:rPr>
          <w:rFonts w:hint="eastAsia" w:ascii="宋体" w:hAnsi="宋体" w:cs="宋体"/>
          <w:color w:val="auto"/>
          <w:szCs w:val="21"/>
          <w:highlight w:val="none"/>
        </w:rPr>
        <w:t xml:space="preserve">年龄不得高于60周岁（基于公安内保条例规定，医院本部保安年龄不得高于55周岁，外围最高年龄不得高于60周岁）。其中</w:t>
      </w:r>
      <w:r>
        <w:rPr>
          <w:rFonts w:hint="eastAsia" w:ascii="宋体" w:hAnsi="宋体" w:cs="宋体"/>
          <w:color w:val="auto"/>
          <w:szCs w:val="21"/>
          <w:highlight w:val="none"/>
          <w:lang w:val="zh-CN"/>
        </w:rPr>
        <w:t xml:space="preserve">年龄4</w:t>
      </w:r>
      <w:r>
        <w:rPr>
          <w:rFonts w:hint="eastAsia" w:ascii="宋体" w:hAnsi="宋体" w:cs="宋体"/>
          <w:color w:val="auto"/>
          <w:szCs w:val="21"/>
          <w:highlight w:val="none"/>
        </w:rPr>
        <w:t xml:space="preserve">5周</w:t>
      </w:r>
      <w:r>
        <w:rPr>
          <w:rFonts w:hint="eastAsia" w:ascii="宋体" w:hAnsi="宋体" w:cs="宋体"/>
          <w:color w:val="auto"/>
          <w:szCs w:val="21"/>
          <w:highlight w:val="none"/>
          <w:lang w:val="zh-CN"/>
        </w:rPr>
        <w:t xml:space="preserve">岁以下</w:t>
      </w:r>
      <w:r>
        <w:rPr>
          <w:rFonts w:hint="eastAsia" w:ascii="宋体" w:hAnsi="宋体" w:cs="宋体"/>
          <w:color w:val="auto"/>
          <w:szCs w:val="21"/>
          <w:highlight w:val="none"/>
        </w:rPr>
        <w:t xml:space="preserve">人员数量不得低于2</w:t>
      </w:r>
      <w:r>
        <w:rPr>
          <w:rFonts w:hint="eastAsia" w:ascii="宋体" w:hAnsi="宋体" w:cs="宋体"/>
          <w:color w:val="auto"/>
          <w:szCs w:val="21"/>
          <w:highlight w:val="none"/>
          <w:lang w:val="zh-CN"/>
        </w:rPr>
        <w:t xml:space="preserve">0%，4</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-5</w:t>
      </w:r>
      <w:r>
        <w:rPr>
          <w:rFonts w:hint="eastAsia" w:ascii="宋体" w:hAnsi="宋体" w:cs="宋体"/>
          <w:color w:val="auto"/>
          <w:szCs w:val="21"/>
          <w:highlight w:val="none"/>
        </w:rPr>
        <w:t xml:space="preserve">5周岁人员数量不得低于</w:t>
      </w:r>
      <w:r>
        <w:rPr>
          <w:rFonts w:hint="eastAsia" w:ascii="宋体" w:hAnsi="宋体" w:cs="宋体"/>
          <w:color w:val="auto"/>
          <w:szCs w:val="21"/>
          <w:highlight w:val="none"/>
          <w:lang w:val="zh-CN"/>
        </w:rPr>
        <w:t xml:space="preserve">60</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5</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-60</w:t>
      </w:r>
      <w:r>
        <w:rPr>
          <w:rFonts w:hint="eastAsia" w:ascii="宋体" w:hAnsi="宋体" w:cs="宋体"/>
          <w:color w:val="auto"/>
          <w:szCs w:val="21"/>
          <w:highlight w:val="none"/>
        </w:rPr>
        <w:t xml:space="preserve">周</w:t>
      </w:r>
      <w:r>
        <w:rPr>
          <w:rFonts w:hint="eastAsia" w:ascii="宋体" w:hAnsi="宋体" w:cs="宋体"/>
          <w:color w:val="auto"/>
          <w:szCs w:val="21"/>
          <w:highlight w:val="none"/>
          <w:lang w:val="zh-CN"/>
        </w:rPr>
        <w:t xml:space="preserve">岁</w:t>
      </w:r>
      <w:r>
        <w:rPr>
          <w:rFonts w:hint="eastAsia" w:ascii="宋体" w:hAnsi="宋体" w:cs="宋体"/>
          <w:color w:val="auto"/>
          <w:szCs w:val="21"/>
          <w:highlight w:val="none"/>
        </w:rPr>
        <w:t xml:space="preserve">人员数量不得高于2</w:t>
      </w:r>
      <w:r>
        <w:rPr>
          <w:rFonts w:hint="eastAsia" w:ascii="宋体" w:hAnsi="宋体" w:cs="宋体"/>
          <w:color w:val="auto"/>
          <w:szCs w:val="21"/>
          <w:highlight w:val="none"/>
          <w:lang w:val="zh-CN"/>
        </w:rPr>
        <w:t xml:space="preserve">0%</w:t>
      </w:r>
      <w:r/>
    </w:p>
    <w:p>
      <w:pPr>
        <w:ind w:firstLine="420"/>
        <w:keepLines w:val="0"/>
        <w:keepNext w:val="0"/>
        <w:pageBreakBefore w:val="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其他保安服务人员须具备公安局颁发的“保安员证”。消控室人员需具有“建（构）筑物消防员证书”或“消防设施操作</w:t>
      </w:r>
      <w:r>
        <w:rPr>
          <w:rFonts w:hint="eastAsia" w:ascii="宋体" w:hAnsi="宋体" w:cs="宋体"/>
          <w:color w:val="auto"/>
          <w:szCs w:val="21"/>
          <w:highlight w:val="none"/>
        </w:rPr>
        <w:t xml:space="preserve">员监控四级及以上</w:t>
      </w:r>
      <w:r>
        <w:rPr>
          <w:rFonts w:hint="eastAsia" w:ascii="宋体" w:hAnsi="宋体" w:cs="宋体"/>
          <w:color w:val="auto"/>
          <w:szCs w:val="21"/>
          <w:highlight w:val="none"/>
          <w:lang w:val="zh-CN"/>
        </w:rPr>
        <w:t xml:space="preserve">证书”，安检人员须具备上岗资格证。投标文件中需提供相关材料复印件，停车场收费人员需持有物价部门颁发的收费证按规定收费。</w:t>
      </w:r>
      <w:r/>
    </w:p>
    <w:p>
      <w:pPr>
        <w:ind w:firstLine="420"/>
        <w:keepLines w:val="0"/>
        <w:keepNext w:val="0"/>
        <w:pageBreakBefore w:val="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所有人员必须具备应急处突能力，</w:t>
      </w:r>
      <w:r>
        <w:rPr>
          <w:rFonts w:hint="eastAsia" w:ascii="宋体" w:hAnsi="宋体" w:cs="宋体"/>
          <w:color w:val="auto"/>
          <w:szCs w:val="21"/>
          <w:highlight w:val="none"/>
          <w:lang w:val="en-US" w:eastAsia="zh-CN"/>
        </w:rPr>
        <w:t xml:space="preserve">根据国家消防救援局关于印发《社会单位微型消防站建设标准》的通知（消防〔2025〕33号），</w:t>
      </w:r>
      <w:r>
        <w:rPr>
          <w:rFonts w:hint="eastAsia" w:ascii="宋体" w:hAnsi="宋体" w:cs="宋体"/>
          <w:color w:val="auto"/>
          <w:szCs w:val="21"/>
          <w:highlight w:val="none"/>
          <w:lang w:val="zh-CN"/>
        </w:rPr>
        <w:t xml:space="preserve">应急响应</w:t>
      </w:r>
      <w:r>
        <w:rPr>
          <w:rFonts w:hint="eastAsia" w:ascii="宋体" w:hAnsi="宋体" w:cs="宋体"/>
          <w:color w:val="auto"/>
          <w:szCs w:val="21"/>
          <w:highlight w:val="none"/>
          <w:lang w:val="en-US" w:eastAsia="zh-CN"/>
        </w:rPr>
        <w:t xml:space="preserve">以</w:t>
      </w:r>
      <w:r>
        <w:rPr>
          <w:rFonts w:hint="eastAsia" w:ascii="宋体" w:hAnsi="宋体" w:cs="宋体"/>
          <w:color w:val="auto"/>
          <w:szCs w:val="21"/>
          <w:highlight w:val="none"/>
          <w:lang w:val="zh-CN"/>
        </w:rPr>
        <w:t xml:space="preserve">1分钟快速响应，3分钟就近处置，5分钟联动处置</w:t>
      </w:r>
      <w:r>
        <w:rPr>
          <w:rFonts w:hint="eastAsia" w:ascii="宋体" w:hAnsi="宋体" w:cs="宋体"/>
          <w:color w:val="auto"/>
          <w:szCs w:val="21"/>
          <w:highlight w:val="none"/>
          <w:lang w:val="en-US" w:eastAsia="zh-CN"/>
        </w:rPr>
        <w:t xml:space="preserve">为原则</w:t>
      </w:r>
      <w:r>
        <w:rPr>
          <w:rFonts w:hint="eastAsia" w:ascii="宋体" w:hAnsi="宋体" w:cs="宋体"/>
          <w:color w:val="auto"/>
          <w:szCs w:val="21"/>
          <w:highlight w:val="none"/>
          <w:lang w:val="zh-CN"/>
        </w:rPr>
        <w:t xml:space="preserve">，建立微型消防站应急响应机制。</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投标人为本项目自备电脑、考勤设备和打印机等办公设备和耗材；自行负责桌椅等办公用品。</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人员要求：参加本项目服务人员必须满足岗位配置要求（含3名管理人员），投标人为本项目配备人员数量不得少于岗位数。人员岗位须相对较固定，不得兼职其他岗位。</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投标人的现行营运状况要求：具有科学合理的组织架构，严格的管理细则和岗位责任制度。具有提供完善的安保保障服务的能力。</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投标人应针对本次</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lang w:val="zh-CN"/>
        </w:rPr>
        <w:t xml:space="preserve">项目特点编写公司中标后拟采取的管理方案：包括组织计划、人员安排、时间安排、设备工具的安排等，遇重大、紧急事项的应急措施等。</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按需求全年365天24小时全天候不间断提供服务，包括处理各项突发事件及紧急任务以及医患纠纷处置，包括：资产保护应急措施、特殊事故（情况）措施、治安应急措施、消防应急措施等。</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工作过程中因投标人责任所造成的经济损失由投标人按实际金额赔偿。</w:t>
      </w:r>
      <w:r/>
    </w:p>
    <w:p>
      <w:pPr>
        <w:ind w:firstLine="420"/>
        <w:keepLines w:val="0"/>
        <w:keepNext w:val="0"/>
        <w:pageBreakBefore w:val="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投标人每年应将服务人员所有管理及培训资料提交一份给医院后勤保障部，如有需要必须随时提供。</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14、保安服务人员需听从院方安全保卫部安排，规范医院保安工作流程，强化保安队伍纪律意识。</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定期开展专项培训，提升保安人员法律意识，纪律意识，杜绝违法违规行为。</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以现场巡查，检查、巡逻记录、隐患排查台账等方式每月进行考核。</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需定期收集医护人员、患者及家属意见建议，对反馈的问题及时核实、整改。</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18</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中标人有责任配合医院接受上级领导部门的监督、检查，并提供必需的材料。招标方有权对中标方进行月度考核，考核结果与当月费用结算挂钩。具体考核方法和标准按医院要求执行。除合同约定外，招标方不再向中标方额外支付其他费用。</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合同终止条款：如出现以下情况之一，本合同将无条件终止：</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（1）员工季度流失率≥20%。</w:t>
      </w:r>
      <w:r/>
    </w:p>
    <w:p>
      <w:pPr>
        <w:ind w:firstLine="420"/>
        <w:keepLines w:val="0"/>
        <w:keepNext w:val="0"/>
        <w:pageBreakBefore w:val="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（2）员工最低工资低于国家标准。</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服务期间</w:t>
      </w:r>
      <w:r>
        <w:rPr>
          <w:rFonts w:hint="eastAsia" w:ascii="宋体" w:hAnsi="宋体" w:cs="宋体"/>
          <w:color w:val="auto"/>
          <w:szCs w:val="21"/>
          <w:highlight w:val="none"/>
          <w:lang w:val="zh-CN"/>
        </w:rPr>
        <w:t xml:space="preserve">累计三次考核不合格</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（四）服务岗位及要求：</w:t>
      </w:r>
      <w:r/>
    </w:p>
    <w:p>
      <w:pPr>
        <w:ind w:firstLine="420"/>
        <w:keepLines w:val="0"/>
        <w:keepNext w:val="0"/>
        <w:pageBreakBefore w:val="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1、具体岗位分配及值守时间</w:t>
      </w:r>
      <w:r/>
    </w:p>
    <w:tbl>
      <w:tblPr>
        <w:tblStyle w:val="685"/>
        <w:tblW w:w="8519" w:type="dxa"/>
        <w:jc w:val="center"/>
        <w:tblLayout w:type="autofit"/>
        <w:tblCellMar>
          <w:left w:w="108" w:type="dxa"/>
          <w:top w:w="0" w:type="dxa"/>
          <w:right w:w="108" w:type="dxa"/>
          <w:bottom w:w="0" w:type="dxa"/>
        </w:tblCellMar>
        <w:tblLook w:val="04A0" w:firstRow="1" w:lastRow="0" w:firstColumn="1" w:lastColumn="0" w:noHBand="0" w:noVBand="1"/>
      </w:tblPr>
      <w:tblGrid>
        <w:gridCol w:w="855"/>
        <w:gridCol w:w="1384"/>
        <w:gridCol w:w="2118"/>
        <w:gridCol w:w="2158"/>
        <w:gridCol w:w="1146"/>
        <w:gridCol w:w="858"/>
      </w:tblGrid>
      <w:tr>
        <w:trPr>
          <w:jc w:val="center"/>
          <w:trHeight w:val="549"/>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排班时间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岗位数</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人数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8:00-17:00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内勤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8:00-17:00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队长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门诊外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门诊出入口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门诊大厅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门诊二楼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门诊三楼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门诊四楼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手术室门口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6:20-次日6:20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ICU门口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6:20-次日6:20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西楼住院部巡逻岗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西楼住院部入口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西楼住院部消防检查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东西楼连廊1层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西楼住院部广场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西楼污梯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3楼产科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西楼负1层下负2层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西楼负1层上1层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儿科广场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急诊入口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急诊内巡逻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急诊出口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东楼住院处入口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东楼访客登记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东楼行政区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南门入口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东楼地库入口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东楼地库内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非机动车库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东楼地库出口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东门出入口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东楼住院部巡逻岗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南门出口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高架收费员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东门收费员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南门收费员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博物馆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8:00-17:00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彩香教育基地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药厂（消控室）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8:00-17:00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院内（消控室）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8:00-17:00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17:00-8:00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景德路停车场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景德路停车场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机动运送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69</w:t>
            </w:r>
            <w:r/>
          </w:p>
        </w:tc>
        <w:tc>
          <w:tcPr>
            <w:shd w:val="clear" w:color="auto" w:fill="auto"/>
            <w:tcBorders>
              <w:top w:val="single" w:color="000000" w:sz="4" w:space="0"/>
              <w:left w:val="single" w:color="000000" w:sz="4" w:space="0"/>
              <w:right w:val="single" w:color="auto" w:sz="4" w:space="0"/>
            </w:tcBorders>
            <w:tcW w:w="1384"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公安局地块</w:t>
            </w:r>
            <w:r/>
          </w:p>
        </w:tc>
        <w:tc>
          <w:tcPr>
            <w:shd w:val="clear" w:color="auto" w:fill="auto"/>
            <w:tcBorders>
              <w:top w:val="single" w:color="000000" w:sz="4" w:space="0"/>
              <w:left w:val="single" w:color="auto" w:sz="4" w:space="0"/>
              <w:bottom w:val="single" w:color="000000" w:sz="4" w:space="0"/>
              <w:right w:val="single" w:color="000000" w:sz="4" w:space="0"/>
            </w:tcBorders>
            <w:tcW w:w="211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队长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7:30-17:30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70</w:t>
            </w:r>
            <w:r/>
          </w:p>
        </w:tc>
        <w:tc>
          <w:tcPr>
            <w:shd w:val="clear" w:color="auto" w:fill="auto"/>
            <w:tcBorders>
              <w:left w:val="single" w:color="000000" w:sz="4" w:space="0"/>
              <w:right w:val="single" w:color="auto" w:sz="4" w:space="0"/>
            </w:tcBorders>
            <w:tcW w:w="1384" w:type="dxa"/>
            <w:vAlign w:val="center"/>
            <w:vMerge w:val="continue"/>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211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6:30-次日6:30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71</w:t>
            </w:r>
            <w:r/>
          </w:p>
        </w:tc>
        <w:tc>
          <w:tcPr>
            <w:shd w:val="clear" w:color="auto" w:fill="auto"/>
            <w:tcBorders>
              <w:left w:val="single" w:color="000000" w:sz="4" w:space="0"/>
              <w:right w:val="single" w:color="auto" w:sz="4" w:space="0"/>
            </w:tcBorders>
            <w:tcW w:w="1384" w:type="dxa"/>
            <w:vAlign w:val="center"/>
            <w:vMerge w:val="continue"/>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211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巡逻岗（内外巡逻岗）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6:30-次日6:30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72</w:t>
            </w:r>
            <w:r/>
          </w:p>
        </w:tc>
        <w:tc>
          <w:tcPr>
            <w:shd w:val="clear" w:color="auto" w:fill="auto"/>
            <w:tcBorders>
              <w:left w:val="single" w:color="000000" w:sz="4" w:space="0"/>
              <w:right w:val="single" w:color="auto" w:sz="4" w:space="0"/>
            </w:tcBorders>
            <w:tcW w:w="1384" w:type="dxa"/>
            <w:vAlign w:val="center"/>
            <w:vMerge w:val="continue"/>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211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车辆指挥岗（机动车）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6:30-16:30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73</w:t>
            </w:r>
            <w:r/>
          </w:p>
        </w:tc>
        <w:tc>
          <w:tcPr>
            <w:shd w:val="clear" w:color="auto" w:fill="auto"/>
            <w:tcBorders>
              <w:left w:val="single" w:color="000000" w:sz="4" w:space="0"/>
              <w:bottom w:val="single" w:color="000000" w:sz="4" w:space="0"/>
              <w:right w:val="single" w:color="auto" w:sz="4" w:space="0"/>
            </w:tcBorders>
            <w:tcW w:w="1384" w:type="dxa"/>
            <w:vAlign w:val="center"/>
            <w:vMerge w:val="continue"/>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211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车辆指挥岗（非机动车）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6:30-16:30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jc w:val="center"/>
          <w:trHeight w:val="436"/>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pageBreakBefore w:val="0"/>
              <w:spacing w:line="400" w:lineRule="exact"/>
              <w:rPr>
                <w:rFonts w:ascii="宋体" w:hAnsi="宋体" w:cs="宋体"/>
                <w:b/>
                <w:color w:val="auto"/>
                <w:szCs w:val="21"/>
                <w:highlight w:val="none"/>
              </w:rPr>
            </w:pPr>
            <w:r>
              <w:rPr>
                <w:rFonts w:ascii="宋体" w:hAnsi="宋体" w:cs="宋体"/>
                <w:b/>
                <w:color w:val="auto"/>
                <w:szCs w:val="21"/>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tcPr>
          <w:p>
            <w:pPr>
              <w:jc w:val="center"/>
              <w:keepLines w:val="0"/>
              <w:keepNext w:val="0"/>
              <w:pageBreakBefore w:val="0"/>
              <w:spacing w:line="400" w:lineRule="exact"/>
              <w:widowControl/>
              <w:rPr>
                <w:rFonts w:ascii="宋体" w:hAnsi="宋体" w:cs="宋体"/>
                <w:b/>
                <w:color w:val="auto"/>
                <w:szCs w:val="21"/>
                <w:highlight w:val="none"/>
              </w:rPr>
            </w:pPr>
            <w:r>
              <w:rPr>
                <w:rFonts w:hint="eastAsia" w:ascii="宋体" w:hAnsi="宋体" w:cs="宋体"/>
                <w:b/>
                <w:color w:val="auto"/>
                <w:szCs w:val="21"/>
                <w:highlight w:val="none"/>
                <w:lang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tcPr>
          <w:p>
            <w:pPr>
              <w:jc w:val="center"/>
              <w:keepLines w:val="0"/>
              <w:keepNext w:val="0"/>
              <w:pageBreakBefore w:val="0"/>
              <w:spacing w:line="400" w:lineRule="exact"/>
              <w:widowControl/>
              <w:rPr>
                <w:rFonts w:ascii="宋体" w:hAnsi="宋体" w:cs="宋体"/>
                <w:b/>
                <w:color w:val="auto"/>
                <w:szCs w:val="21"/>
                <w:highlight w:val="none"/>
              </w:rPr>
            </w:pPr>
            <w:r>
              <w:rPr>
                <w:rFonts w:hint="eastAsia" w:ascii="宋体" w:hAnsi="宋体" w:cs="宋体"/>
                <w:b/>
                <w:color w:val="auto"/>
                <w:szCs w:val="21"/>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b/>
                <w:color w:val="auto"/>
                <w:szCs w:val="21"/>
                <w:highlight w:val="none"/>
              </w:rPr>
            </w:pPr>
            <w:r>
              <w:rPr>
                <w:rFonts w:hint="eastAsia" w:ascii="宋体" w:hAnsi="宋体" w:cs="宋体"/>
                <w:b/>
                <w:color w:val="auto"/>
                <w:szCs w:val="21"/>
                <w:highlight w:val="none"/>
                <w:lang w:bidi="ar"/>
              </w:rPr>
              <w:t xml:space="preserve">103</w:t>
            </w:r>
            <w:r/>
          </w:p>
        </w:tc>
      </w:tr>
    </w:tbl>
    <w:p>
      <w:pPr>
        <w:pStyle w:val="686"/>
        <w:ind w:firstLine="0"/>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五）投标报价含保安各类日常费用及对讲机费用。中标人有责任配合医院接受上级领导部门的监督、检查，并提供必需的材料。招标方有权对中标方进行月度考核，考核结果与当月费用结算挂钩。具体考核方法和标准按医院要求执行。除合同约定外，招标方不再向中标方额外支付其他费用。</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（六）服务单位应参照后勤社会化管理部门接受医院的统一管理并进行月度考核，月度考核评分结果与费用结算挂钩，考核办法</w:t>
      </w:r>
      <w:r>
        <w:rPr>
          <w:rFonts w:hint="eastAsia" w:ascii="宋体" w:hAnsi="宋体" w:cs="宋体"/>
          <w:color w:val="auto"/>
          <w:szCs w:val="21"/>
          <w:highlight w:val="none"/>
          <w:lang w:val="en-US" w:eastAsia="zh-CN"/>
        </w:rPr>
        <w:t xml:space="preserve">详见附件</w:t>
      </w:r>
      <w:r>
        <w:rPr>
          <w:rFonts w:hint="eastAsia" w:ascii="宋体" w:hAnsi="宋体" w:cs="宋体"/>
          <w:color w:val="auto"/>
          <w:szCs w:val="21"/>
          <w:highlight w:val="none"/>
        </w:rPr>
        <w:t xml:space="preserve">。</w:t>
      </w:r>
      <w:r/>
    </w:p>
    <w:p>
      <w:pPr>
        <w:ind w:left="1" w:right="-176" w:firstLine="447"/>
        <w:keepLines w:val="0"/>
        <w:keepNext w:val="0"/>
        <w:pageBreakBefore w:val="0"/>
        <w:spacing w:line="400" w:lineRule="exact"/>
        <w:rPr>
          <w:rFonts w:ascii="宋体" w:hAnsi="宋体" w:cs="宋体"/>
          <w:color w:val="auto"/>
          <w:szCs w:val="21"/>
          <w:highlight w:val="none"/>
        </w:rPr>
      </w:pPr>
      <w:r>
        <w:rPr>
          <w:color w:val="auto"/>
          <w:highlight w:val="none"/>
        </w:rPr>
        <w:t xml:space="preserve">（七）</w:t>
      </w:r>
      <w:r>
        <w:rPr>
          <w:rFonts w:hint="eastAsia" w:ascii="宋体" w:hAnsi="宋体" w:cs="宋体"/>
          <w:color w:val="auto"/>
          <w:szCs w:val="21"/>
          <w:highlight w:val="none"/>
        </w:rPr>
        <w:t xml:space="preserve">服务期内如遇国家最低工资标准和社会保险缴费基数调整，由中标人负责，采购人不再给予中标人相应调整。</w:t>
      </w:r>
      <w:r/>
    </w:p>
    <w:p>
      <w:pPr>
        <w:ind w:left="1" w:right="-176" w:firstLine="447"/>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w:t>
      </w:r>
      <w:r>
        <w:rPr>
          <w:rFonts w:hint="eastAsia" w:ascii="Times New Roman" w:hAnsi="Times New Roman"/>
          <w:color w:val="auto"/>
          <w:szCs w:val="21"/>
          <w:highlight w:val="none"/>
          <w:lang w:val="en-US" w:eastAsia="zh-CN"/>
        </w:rPr>
        <w:t xml:space="preserve">八</w:t>
      </w:r>
      <w:r>
        <w:rPr>
          <w:rFonts w:hint="eastAsia" w:ascii="Times New Roman" w:hAnsi="Times New Roman"/>
          <w:color w:val="auto"/>
          <w:szCs w:val="21"/>
          <w:highlight w:val="none"/>
        </w:rPr>
        <w:t xml:space="preserve">）其他</w:t>
      </w:r>
      <w:r/>
    </w:p>
    <w:p>
      <w:pPr>
        <w:ind w:left="1" w:right="-176" w:firstLine="447"/>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中标人不得将服务业务转包第三方。</w:t>
      </w:r>
      <w:r/>
    </w:p>
    <w:p>
      <w:pPr>
        <w:ind w:left="1" w:right="-176" w:firstLine="447"/>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2、在后勤服务工作中造成采购方财产损坏或遗失，由中标人负责赔偿。 </w:t>
      </w:r>
      <w:r/>
    </w:p>
    <w:p>
      <w:pPr>
        <w:ind w:left="1" w:right="-176" w:firstLine="447"/>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中标人应严格按照政府部门相关规定给员工缴纳各种社会保险（包括养老、医疗、工伤、生育保险、失业保险等）。</w:t>
      </w:r>
      <w:r/>
    </w:p>
    <w:p>
      <w:pPr>
        <w:ind w:left="1" w:right="-176" w:firstLine="447"/>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中标人自行负责其招聘员工的一切工资、福利，如发生工伤、疾病乃至死亡的一切责任及费用由中标方全部负责。</w:t>
      </w:r>
      <w:r/>
    </w:p>
    <w:p>
      <w:pPr>
        <w:ind w:left="1" w:right="-176" w:firstLine="447"/>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5</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中标人应严格遵守国家有关的法律法规及行业标准，应严格按当地标准给付员工加班薪资。</w:t>
      </w:r>
      <w:r/>
    </w:p>
    <w:p>
      <w:pPr>
        <w:ind w:left="1" w:right="-176" w:firstLine="447"/>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6</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履行后勤服务任务中发生差错造成第三者的意外伤亡事故及所引发的责任、经济由中标方承担（可购买公共责任险）。</w:t>
      </w:r>
      <w:r/>
    </w:p>
    <w:p>
      <w:pPr>
        <w:ind w:left="1" w:right="-176" w:firstLine="447"/>
        <w:spacing w:line="390" w:lineRule="exact"/>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九</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考核要求：</w:t>
      </w:r>
      <w:r>
        <w:rPr>
          <w:rFonts w:hint="eastAsia" w:ascii="宋体" w:hAnsi="宋体"/>
          <w:color w:val="auto"/>
          <w:szCs w:val="21"/>
          <w:highlight w:val="none"/>
        </w:rPr>
        <w:t xml:space="preserve">医院对服务方进行月度考核，考核结果与当月度费用结算挂钩。</w:t>
      </w:r>
      <w:r/>
    </w:p>
    <w:tbl>
      <w:tblPr>
        <w:tblStyle w:val="685"/>
        <w:tblW w:w="9514" w:type="dxa"/>
        <w:tblInd w:w="-490" w:type="dxa"/>
        <w:tblLayout w:type="autofit"/>
        <w:tblCellMar>
          <w:left w:w="108" w:type="dxa"/>
          <w:top w:w="0" w:type="dxa"/>
          <w:right w:w="108" w:type="dxa"/>
          <w:bottom w:w="0" w:type="dxa"/>
        </w:tblCellMar>
        <w:tblLook w:val="04A0" w:firstRow="1" w:lastRow="0" w:firstColumn="1" w:lastColumn="0" w:noHBand="0" w:noVBand="1"/>
      </w:tblPr>
      <w:tblGrid>
        <w:gridCol w:w="996"/>
        <w:gridCol w:w="3163"/>
        <w:gridCol w:w="795"/>
        <w:gridCol w:w="3345"/>
        <w:gridCol w:w="1215"/>
      </w:tblGrid>
      <w:tr>
        <w:trPr>
          <w:trHeight w:val="468"/>
        </w:trPr>
        <w:tc>
          <w:tcPr>
            <w:gridSpan w:val="5"/>
            <w:tcBorders>
              <w:top w:val="none" w:color="000000" w:sz="4" w:space="0"/>
              <w:left w:val="none" w:color="000000" w:sz="4" w:space="0"/>
              <w:bottom w:val="none" w:color="000000" w:sz="4" w:space="0"/>
              <w:right w:val="none" w:color="000000" w:sz="4" w:space="0"/>
            </w:tcBorders>
            <w:tcW w:w="9514"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苏州市中医医院社会化部门月度考核表</w:t>
            </w:r>
            <w:r/>
          </w:p>
        </w:tc>
      </w:tr>
      <w:tr>
        <w:trPr>
          <w:trHeight w:val="435"/>
        </w:trPr>
        <w:tc>
          <w:tcPr>
            <w:gridSpan w:val="5"/>
            <w:tcBorders>
              <w:top w:val="none" w:color="000000" w:sz="4" w:space="0"/>
              <w:left w:val="none" w:color="000000" w:sz="4" w:space="0"/>
              <w:bottom w:val="none" w:color="000000" w:sz="4" w:space="0"/>
              <w:right w:val="none" w:color="000000" w:sz="4" w:space="0"/>
            </w:tcBorders>
            <w:tcW w:w="9514" w:type="dxa"/>
            <w:vAlign w:val="center"/>
            <w:textDirection w:val="lrTb"/>
            <w:noWrap w:val="false"/>
          </w:tcPr>
          <w:p>
            <w:pPr>
              <w:jc w:val="right"/>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年      月</w:t>
            </w:r>
            <w:r/>
          </w:p>
        </w:tc>
      </w:tr>
      <w:tr>
        <w:trPr>
          <w:trHeight w:val="327"/>
        </w:trPr>
        <w:tc>
          <w:tcPr>
            <w:tcBorders>
              <w:top w:val="single" w:color="000000" w:sz="8"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Borders>
              <w:top w:val="single" w:color="000000" w:sz="8" w:space="0"/>
              <w:left w:val="none" w:color="000000" w:sz="4" w:space="0"/>
              <w:bottom w:val="single" w:color="000000" w:sz="8" w:space="0"/>
              <w:right w:val="single" w:color="000000" w:sz="8" w:space="0"/>
            </w:tcBorders>
            <w:tcW w:w="3163"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扣分项</w:t>
            </w:r>
            <w:r/>
          </w:p>
        </w:tc>
        <w:tc>
          <w:tcPr>
            <w:tcBorders>
              <w:top w:val="single" w:color="000000" w:sz="8"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分值</w:t>
            </w:r>
            <w:r/>
          </w:p>
        </w:tc>
        <w:tc>
          <w:tcPr>
            <w:tcBorders>
              <w:top w:val="single" w:color="000000" w:sz="8" w:space="0"/>
              <w:left w:val="none" w:color="000000" w:sz="4" w:space="0"/>
              <w:bottom w:val="single" w:color="000000" w:sz="8" w:space="0"/>
              <w:right w:val="single" w:color="000000" w:sz="8" w:space="0"/>
            </w:tcBorders>
            <w:tcW w:w="3345"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说明</w:t>
            </w:r>
            <w:r/>
          </w:p>
        </w:tc>
        <w:tc>
          <w:tcPr>
            <w:tcBorders>
              <w:top w:val="single" w:color="000000" w:sz="8"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得分</w:t>
            </w:r>
            <w:r/>
          </w:p>
        </w:tc>
      </w:tr>
      <w:tr>
        <w:trPr>
          <w:trHeight w:val="879"/>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工作人员是否规范穿戴工作服、是否持证上岗、安保装备是否到位</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经抽查发现不符合规范的，每一人扣1分，扣完为止，月底合计得分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879"/>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管理人员、工作人员配置是否到位</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经抽查发现每缺失或不符合配置名单的，每一人扣2分，扣完为止，月底合计得分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879"/>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安防设备是否齐全、规范、正常运转；微型消防站是否规范</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经抽查发现设备缺失或运转不正常的，每一次扣2分，扣完为止，月底合计得分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879"/>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是否落实安全生产责任制</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当月发生安全生产不良事件造成人员或财产损失的，每一次扣10分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1167"/>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none" w:color="000000" w:sz="4" w:space="0"/>
              <w:left w:val="none" w:color="000000" w:sz="4" w:space="0"/>
              <w:bottom w:val="none" w:color="000000" w:sz="4"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日常巡视巡检、应急演练、培训制度落实</w:t>
            </w:r>
            <w:r/>
          </w:p>
        </w:tc>
        <w:tc>
          <w:tcPr>
            <w:tcBorders>
              <w:top w:val="none" w:color="000000" w:sz="4" w:space="0"/>
              <w:left w:val="none" w:color="000000" w:sz="4" w:space="0"/>
              <w:bottom w:val="none" w:color="000000" w:sz="4"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none" w:color="000000" w:sz="4" w:space="0"/>
              <w:left w:val="none" w:color="000000" w:sz="4" w:space="0"/>
              <w:bottom w:val="none" w:color="000000" w:sz="4"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经抽查或上级行政主管部门检查中发现未按合同约定开展巡视巡察、应急演练、培训的，每一次扣2分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879"/>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8"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安保服务质量</w:t>
            </w:r>
            <w:r/>
          </w:p>
        </w:tc>
        <w:tc>
          <w:tcPr>
            <w:tcBorders>
              <w:top w:val="single" w:color="000000" w:sz="8"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8"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经抽查或上级行政主管部门检查中发现安保服务问题的，每一项扣2分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591"/>
        </w:trPr>
        <w:tc>
          <w:tcPr>
            <w:tcBorders>
              <w:top w:val="none" w:color="000000" w:sz="4" w:space="0"/>
              <w:left w:val="single" w:color="000000" w:sz="8" w:space="0"/>
              <w:bottom w:val="none" w:color="000000" w:sz="4"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其他被投诉事件</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经核实当月每被投诉一次扣2分，扣完为止，月底合计得分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327"/>
        </w:trPr>
        <w:tc>
          <w:tcPr>
            <w:tcBorders>
              <w:top w:val="single" w:color="000000" w:sz="8"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加分项</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879"/>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医院收到有关</w:t>
            </w:r>
            <w:r>
              <w:rPr>
                <w:rFonts w:hint="eastAsia" w:ascii="宋体" w:hAnsi="宋体" w:cs="宋体"/>
                <w:color w:val="auto"/>
                <w:szCs w:val="21"/>
                <w:highlight w:val="none"/>
                <w:lang w:eastAsia="zh-CN" w:bidi="ar"/>
              </w:rPr>
              <w:t xml:space="preserve">清洁消杀</w:t>
            </w:r>
            <w:r>
              <w:rPr>
                <w:rFonts w:hint="eastAsia" w:ascii="宋体" w:hAnsi="宋体" w:cs="宋体"/>
                <w:color w:val="auto"/>
                <w:szCs w:val="21"/>
                <w:highlight w:val="none"/>
                <w:lang w:bidi="ar"/>
              </w:rPr>
              <w:t xml:space="preserve">工作人员的表扬信、锦旗或发生拾金不昧、见义勇为、助人为乐等行为</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经核实属实的，当月每收到一次加2分，月底合计得分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591"/>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推出创新举措</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受到广泛好评并连续推行3个月以上的，每一项加5分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449"/>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当月合计得分</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100</w:t>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keepLines w:val="0"/>
              <w:keepNext w:val="0"/>
              <w:pageBreakBefore w:val="0"/>
              <w:spacing w:line="40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76"/>
        </w:trPr>
        <w:tc>
          <w:tcPr>
            <w:gridSpan w:val="5"/>
            <w:tcBorders>
              <w:top w:val="none" w:color="000000" w:sz="4" w:space="0"/>
              <w:left w:val="none" w:color="000000" w:sz="4" w:space="0"/>
              <w:bottom w:val="none" w:color="000000" w:sz="4" w:space="0"/>
              <w:right w:val="none" w:color="000000" w:sz="4" w:space="0"/>
            </w:tcBorders>
            <w:tcW w:w="9514" w:type="dxa"/>
            <w:vAlign w:val="center"/>
            <w:textDirection w:val="lrTb"/>
            <w:noWrap w:val="false"/>
          </w:tcPr>
          <w:p>
            <w:pPr>
              <w:jc w:val="left"/>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  </w:t>
            </w:r>
            <w:r>
              <w:rPr>
                <w:rStyle w:val="1081"/>
                <w:rFonts w:hint="default" w:ascii="宋体" w:hAnsi="宋体" w:eastAsia="宋体" w:cs="宋体"/>
                <w:color w:val="auto"/>
                <w:sz w:val="21"/>
                <w:szCs w:val="21"/>
                <w:highlight w:val="none"/>
                <w:lang w:bidi="ar"/>
              </w:rPr>
              <w:t xml:space="preserve">医院考核部门：后勤保障部</w:t>
            </w:r>
            <w:r>
              <w:rPr>
                <w:rStyle w:val="1082"/>
                <w:rFonts w:hint="default" w:ascii="宋体" w:hAnsi="宋体" w:eastAsia="宋体" w:cs="宋体"/>
                <w:color w:val="auto"/>
                <w:sz w:val="21"/>
                <w:szCs w:val="21"/>
                <w:highlight w:val="none"/>
                <w:lang w:bidi="ar"/>
              </w:rPr>
              <w:t xml:space="preserve">                          </w:t>
            </w:r>
            <w:r>
              <w:rPr>
                <w:rStyle w:val="1081"/>
                <w:rFonts w:hint="default" w:ascii="宋体" w:hAnsi="宋体" w:eastAsia="宋体" w:cs="宋体"/>
                <w:color w:val="auto"/>
                <w:sz w:val="21"/>
                <w:szCs w:val="21"/>
                <w:highlight w:val="none"/>
                <w:lang w:bidi="ar"/>
              </w:rPr>
              <w:t xml:space="preserve">被考核单位：</w:t>
            </w:r>
            <w:r>
              <w:rPr>
                <w:rStyle w:val="1082"/>
                <w:rFonts w:hint="default" w:ascii="宋体" w:hAnsi="宋体" w:eastAsia="宋体" w:cs="宋体"/>
                <w:color w:val="auto"/>
                <w:sz w:val="21"/>
                <w:szCs w:val="21"/>
                <w:highlight w:val="none"/>
                <w:lang w:bidi="ar"/>
              </w:rPr>
              <w:t xml:space="preserve"> </w:t>
            </w:r>
            <w:r>
              <w:rPr>
                <w:rStyle w:val="1081"/>
                <w:rFonts w:hint="default" w:ascii="宋体" w:hAnsi="宋体" w:eastAsia="宋体" w:cs="宋体"/>
                <w:color w:val="auto"/>
                <w:sz w:val="21"/>
                <w:szCs w:val="21"/>
                <w:highlight w:val="none"/>
              </w:rPr>
              <w:t xml:space="preserve">  </w:t>
            </w:r>
            <w:r>
              <w:rPr>
                <w:rStyle w:val="1082"/>
                <w:rFonts w:hint="default" w:ascii="宋体" w:hAnsi="宋体" w:eastAsia="宋体" w:cs="宋体"/>
                <w:color w:val="auto"/>
                <w:sz w:val="21"/>
                <w:szCs w:val="21"/>
                <w:highlight w:val="none"/>
                <w:lang w:bidi="ar"/>
              </w:rPr>
              <w:t xml:space="preserve">                                           </w:t>
            </w:r>
            <w:r/>
          </w:p>
        </w:tc>
      </w:tr>
    </w:tbl>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注：</w:t>
      </w:r>
      <w:r/>
    </w:p>
    <w:p>
      <w:pPr>
        <w:numPr>
          <w:ilvl w:val="0"/>
          <w:numId w:val="0"/>
        </w:numPr>
        <w:ind w:firstLine="422"/>
        <w:spacing w:line="400" w:lineRule="exact"/>
        <w:rPr>
          <w:rFonts w:hint="eastAsia"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color w:val="auto"/>
          <w:szCs w:val="21"/>
          <w:highlight w:val="none"/>
        </w:rPr>
        <w:t xml:space="preserve">医院后勤保障部每月对服务单位进行抽查，并提出整改意见。</w:t>
      </w:r>
      <w:r/>
    </w:p>
    <w:p>
      <w:pPr>
        <w:numPr>
          <w:ilvl w:val="0"/>
          <w:numId w:val="0"/>
        </w:num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2.扣分项、加分项由后勤保障部进行相应记录。</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3.本表一式两份，每月底统计分值后，由考核部门、被考核单位双方签字确认后留存。</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4.被考核单位与医院结算相关费用时，以该考核分为依据。该考核分≥90分，则结算费用的100%;85≤考核分&lt;90分，每低1分，则结算费用扣除1%。80≤考核分&lt;85分，每低1分，则结算费用扣除2%。该考核分&lt;80分，视为不合格。</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5.累计三次考核不合格，</w:t>
      </w:r>
      <w:r>
        <w:rPr>
          <w:rFonts w:hint="eastAsia" w:ascii="宋体" w:hAnsi="宋体"/>
          <w:color w:val="auto"/>
          <w:szCs w:val="21"/>
          <w:highlight w:val="none"/>
          <w:lang w:val="en-US" w:eastAsia="zh-CN"/>
        </w:rPr>
        <w:t xml:space="preserve">采购人</w:t>
      </w:r>
      <w:r>
        <w:rPr>
          <w:rFonts w:hint="eastAsia" w:ascii="宋体" w:hAnsi="宋体"/>
          <w:color w:val="auto"/>
          <w:szCs w:val="21"/>
          <w:highlight w:val="none"/>
        </w:rPr>
        <w:t xml:space="preserve">有权无条件单方面解除合同。</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采购包2：消防设备维保服务</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（一）服务期限：2026年6月16日-2027年6月15日</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（二）保养内容要求</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苏州市中医医院现有的消防系统包括：火灾自动报警系统和可燃气体探测系统、自动喷淋（水炮）灭火系统、消火栓灭火系统、防火分隔系统，气体灭火系统以及防排烟系统、联动控制系统、门禁系统、消防电源监控、电气火灾报警系统、应急照明及疏散指示、细水雾系统、防火门系统、灭火器等。</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服务地点包含不仅限于下述地点：杨素路本部、制剂楼（含消控室）、景德路门诊部、博物馆、吴中西路公安局办公大楼等。</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维护保养内容：</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（1）定期检测：对相关消防设施的重点功能性内容进行专业测试及检查，参照检查要求表提交相应的月检、季度检测报告。每年对消防设施做专业保养，保证系统的经济可靠。</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（2）维修改善：在消防系统出现故障的情况下，半小时到达现场，对故障进行排除，如不能及时修复，则两小时内报告安全保卫部并提出解决意见及建议，并提供相应的改善服务；</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3）安全管理：提供消防法规的咨询服务，协助医院建立健全相关规章制度和制定消防应急预案；应急预案需包含以下内容：逃生疏散的方法及原则、物资保护与疏散流程、医护人员应急指南、安保人员应急指南、消防安全标志规范、危险货物标志要求、动火作业许可管理、特殊作业人员（含电工、消防控制室人员、泵房内值班人员等）应急操作指南，且需积极配合医院开展各类消防演习活动。</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（4）专业培训：提供消防专业培训，包括生命安全和初期火灾的扑救和逃生；</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（5）安全评价：提供消防安全风险评价，确保消防系统运行的可靠性。</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（6）其他配合工作：各类安全检查和检测、评价等相关工作，每月提供工作分析报告等。</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（7）每周上报消防设备设施维护保养计划，并如实反馈设备检查、保养的具体落实情况，保障消防设施运维工作规范有序。</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人员要求：</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至少提供</w:t>
      </w:r>
      <w:r>
        <w:rPr>
          <w:rFonts w:hint="eastAsia" w:ascii="宋体" w:hAnsi="宋体"/>
          <w:color w:val="auto"/>
          <w:szCs w:val="21"/>
          <w:highlight w:val="none"/>
        </w:rPr>
        <w:t xml:space="preserve">9名专业技术人员给予技术支持，其中项目负责人1名须具有一级注册消防工程师资格，现场维保人员3名须具有建构筑物中级消防员资格，技术负责人1名，应急维保人员4名具有相应的专业技术能力（具有一级注册消防工程师或二级建造师或建构筑物初级消防员及以上资格），年龄小于55周岁。并确保24小时白天2人，夜晚1人驻场值班（不得院外兼职），确保系统维保质量和服务的时效性；在国定假日或医院有重大活动期间，安排专业人员在医院值班；上述专业技术人员须均为投标人的本职员工。驻场维保人员相对固定。如需更换需提前一个月报安全保卫部审批。</w:t>
      </w:r>
      <w:r/>
    </w:p>
    <w:p>
      <w:pPr>
        <w:numPr>
          <w:ilvl w:val="0"/>
          <w:numId w:val="0"/>
        </w:num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投标人须提交本项目维保所用设备、工具完整清单；备品备件须适配医院原有品牌及型号，保养工具须符合消防规范与维保清单规定，且持有质监局检测报告、计量检定报告，供采购人核查存档。</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5</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维保服务单位具有提供消防信息化服务的能力。</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（三）维保内容清单</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消防设施外观检查和设备功能测试清单（苏州市中医医院杨素路）</w:t>
      </w:r>
      <w:r/>
    </w:p>
    <w:tbl>
      <w:tblPr>
        <w:tblStyle w:val="685"/>
        <w:tblW w:w="8363" w:type="dxa"/>
        <w:tblInd w:w="113" w:type="dxa"/>
        <w:tblLayout w:type="autofit"/>
        <w:tblCellMar>
          <w:left w:w="108" w:type="dxa"/>
          <w:top w:w="0" w:type="dxa"/>
          <w:right w:w="108" w:type="dxa"/>
          <w:bottom w:w="0" w:type="dxa"/>
        </w:tblCellMar>
        <w:tblLook w:val="04A0" w:firstRow="1" w:lastRow="0" w:firstColumn="1" w:lastColumn="0" w:noHBand="0" w:noVBand="1"/>
      </w:tblPr>
      <w:tblGrid>
        <w:gridCol w:w="888"/>
        <w:gridCol w:w="4835"/>
        <w:gridCol w:w="765"/>
        <w:gridCol w:w="1080"/>
        <w:gridCol w:w="795"/>
      </w:tblGrid>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次/年</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火灾自动报警系统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探测器报警测试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3484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红外对射探测器测试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可燃气体探测器测试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手动报警按钮功能测试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消防电话主机功能测试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消防固定电话功能测试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消防电话插孔功能测试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扬声器分区功能测试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区</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消防广播主机功能测试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扬声器检查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582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报警控制主机自检功能测试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主备电源切换实验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备电充放电测试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声光报警警报装置功能测试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报警联动控制器自检测试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楼层显示器显示功能测试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控制模块功能测试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483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输入模块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联动设备功能测试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非消防电源切除功能测试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区</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电梯联动功能测试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消控中心远程启动和停止消火栓泵功能测试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消控中心远程启动和停止喷淋泵功能测试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消控中心远程启动和停止排烟风机功能测试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手动报警按钮自动联动消防设备功能测试和复位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感烟探测器自动联动消防设备功能测试和复位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室外消防给水管道阀门检查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室外消火栓检查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室外消火栓动静压测试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室外消火栓射水试验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室内消火栓管道阀门检查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室内消火栓动静压测试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室内消火栓射水试验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室内消火栓检查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360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灭火器检查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1035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室内消火栓按钮起泵试验和复位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自动喷水灭火系统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湿式报警阀排水功能测试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报警阀测试阀放水测试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末端试水报警阀功能测试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水力警铃响度测试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水流指示器报警功能测试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信号阀功能测试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湿式报警阀压力开关联动水泵测试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喷淋头外观检查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9901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水炮灭火系统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图像型火灾探测器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DC24V电源</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放火探测模块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信息处理主机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控制器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放火并行处理器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视频切换系统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矩阵切换系统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监视器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自动消防炮 </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自动消防炮解码器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消防炮控制器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消防炮集中控制器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消防炮水泵控制器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压力控制器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现场控制盘</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消防给水系统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水泵接合器外观检查和安全阀功能检查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消防水池进水阀功能试验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消防水池储水功能检查（水位检查和溢水口）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水泵吸，出水管检查（有无渗漏）</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消防水池，水箱的保护检查（防冻等）</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消防水池储水量及补水措施检查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蓄水池吸水管检查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水泵房双电源切换功能测试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气压给水装置自动稳压功能测试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气压给水装置手动启停功能测试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稳压装置压力表（电接点压力表）显示功能检查（不含计量校正）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气压罐上安全阀功能测试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消防泵外观检查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消火栓管网压差启动功能测试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消火栓泵手动启停功能测试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6.20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6.21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6.22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消火栓系统管道上持压泄压阀功能测试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6.23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6.24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喷淋泵外观检查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6.25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6.26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喷淋管网压差启动功能测试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6.27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喷淋泵手动启停功能测试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6.28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6.29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喷淋泵压力表（电接点压力表）显示功能检查（不含计量校正）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6.30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喷淋系统管道上持压泄压阀功能测试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6.31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6.32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消防水炮泵及细水雾泵、细水雾增压泵外观检查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6.33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消防水炮泵及细水雾泵、细水雾增压泵组进出水阀门检查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6.34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消防水炮泵及细水雾泵、细水雾增压泵管网压差启动功能测试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6.35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消防水炮泵及细水雾泵、细水雾增压泵手动启停功能测试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6.36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消防水炮泵及细水雾泵、细水雾增压泵主备泵切换功能测试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6.37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消防水炮泵及细水雾泵、细水雾增压泵压力表（电接点压力表）显示功能检查（不含计量校正）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6.38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消防水炮泵及细水雾泵、细水雾增压泵系统管道上持压泄压阀功能测试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6.39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消防水炮泵及细水雾泵、细水雾增压泵性能评价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6.40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潜污泵进出水阀门检查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6.41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潜污泵性能评价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6.42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潜污泵手动启停功能测试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6.43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防火分隔</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497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497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防火卷帘检查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防火卷帘现场测试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防火卷帘联动测试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应急照明和疏散指示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疏散指示灯测试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1056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应急照明测试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875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防排烟系统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排烟风机和风机控制箱检查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排烟风机现场手动启动停止功能测试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排烟口打开联动排烟风机试验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143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排烟防火阀关闭停止排烟风机试验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排烟风机性能评价（工作电流等参数）</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正压风机和正压风机控制箱检查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正压风机现场手动启动停止功能测试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正压送风口打开联动正压风机试验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七氟丙烷气体灭火系统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光电感烟探测器测试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光电感温探测器测试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声光报警器测试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消防警铃测试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压力讯号器测试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电磁阀测试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放气指示灯</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紧急启停盒</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气体控制模块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七氟丙烷气体灭火贮瓶检查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瓶</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低压泄压阀检查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气路单向阀检查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安全阀检查和测试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选择阀检查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液路单向阀检查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启动装置检查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气体灭火控制主机检查和测试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报警控制主机清洁保养（含联动控制盘）</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气压给水装置保养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10.20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湿式报警阀排污和保养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10.21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干式报警阀充气装置保养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10.22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10.23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10.24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10.25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10.26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10.27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10.28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10.29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10.30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10.31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10.32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10.33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10.34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消防水炮泵控制柜保养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10.35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消防水炮泵系统阀门保养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10.36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消防水炮泵系统过滤器清洁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10.37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消防水炮泵加油保养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10.38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消火栓系统管网冲洗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10.39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喷淋系统管网冲洗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10.40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消防水炮系统管网冲洗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10.41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消防水池更换水质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10.42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排烟风机控制箱清洁保养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10.43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正压风机控制箱清洁保养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10.44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排烟风机加油保养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10.45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正压风机控制箱清洁保养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10.46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排烟防火阀执行机构保养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143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10.47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卷帘门控制箱</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10.48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防火门、疏散门控制箱</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10.49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选择阀加油保养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10.50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室外消火栓油漆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10.51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报警阀组油漆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10.52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消防泵房内阀门和管道油漆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10.53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二期防火门增加标识贴纸（常开/常闭）</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bl>
    <w:p>
      <w:pPr>
        <w:ind w:firstLine="420"/>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2.消防设施外观检查和设备功能测试 苏州市中医医院（杨素路二期）</w:t>
      </w:r>
      <w:r/>
    </w:p>
    <w:tbl>
      <w:tblPr>
        <w:tblStyle w:val="685"/>
        <w:tblW w:w="8365" w:type="dxa"/>
        <w:tblInd w:w="88" w:type="dxa"/>
        <w:tblLayout w:type="autofit"/>
        <w:tblCellMar>
          <w:left w:w="108" w:type="dxa"/>
          <w:top w:w="0" w:type="dxa"/>
          <w:right w:w="108" w:type="dxa"/>
          <w:bottom w:w="0" w:type="dxa"/>
        </w:tblCellMar>
        <w:tblLook w:val="04A0" w:firstRow="1" w:lastRow="0" w:firstColumn="1" w:lastColumn="0" w:noHBand="0" w:noVBand="1"/>
      </w:tblPr>
      <w:tblGrid>
        <w:gridCol w:w="938"/>
        <w:gridCol w:w="4787"/>
        <w:gridCol w:w="765"/>
        <w:gridCol w:w="1080"/>
        <w:gridCol w:w="795"/>
      </w:tblGrid>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次/年</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火灾自动报警系统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总线隔离模块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333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输入模块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838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输入输出模块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451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点型光电感烟探测器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2982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点型感温探测器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232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防爆点型光电感烟探测器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防爆点型感温探测器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手动火灾报警按钮（带电话插孔）</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267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消火栓按钮</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声光报警器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582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防爆声光报警器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光警报警器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消防电话分机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火灾显示盘</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吸顶广播（3W）</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910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壁挂广播（3W）</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壁挂广播（6W）</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140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医用氧气探测器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防爆可燃气体探测器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防爆医用氧气探测器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防爆声光报警器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可燃气体报警控制器（壁挂）</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消防喷淋流量开关</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消防喷淋压力传感器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手自动转换开关</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细水雾灭火控制器（壁挂）</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挡烟垂壁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消防报警主机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主备电源切换实验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备电充放电测试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图形显示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广播主机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消防强启柜</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总线柜</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电话主机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防火门主机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电气火灾监控主机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消防电源监控主机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联动设备功能测试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非消防电源切除功能测试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电梯联动功能测试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联动模块功能测试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390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消控中心远程启动和停止消火栓、喷淋泵功能测试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手动报警按钮自动联动消防设备功能测试和复位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感烟探测器自动联动消防设备功能测试和复位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消控中心远程启动和停止排烟风机功能测试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室外消防给水管道阀门检查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室外消火栓检查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室外消火栓动静压测试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室外消火栓射水试验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室内消火栓管道阀门检查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室内消火栓动静压测试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室内消火栓射水试验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室内消火栓检查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灭火器检查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626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自动喷水灭火系统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湿式报警阀排水功能测试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报警阀测试阀放水测试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末端试水报警阀功能测试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水力警铃响度测试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水流指示器报警功能测试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信号阀功能测试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湿式报警阀压力开关联动水泵测试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喷淋头外观检查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16500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消防给水系统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水泵接合器外观检查和安全阀功能检查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消防水池进水阀功能试验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消防水池储水功能检查（水位检查和溢水口）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水泵吸，出水管检查（有无渗漏）</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消防水池，水箱的保护检查（防冻等）</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消防水池储水量及补水措施检查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蓄水池吸水管检查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水泵房双电源切换功能测试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气压给水装置自动稳压功能测试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气压给水装置手动启停功能测试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稳压装置压力表（电接点压力表）显示功能检查（不含计量校正）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气压罐上安全阀功能测试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消防泵外观检查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消火栓管网压差启动功能测试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消火栓泵手动启停功能测试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5.20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5.21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5.22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消火栓系统管道上持压泄压阀功能测试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5.23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5.24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喷淋泵外观检查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5.25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5.26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喷淋管网压差启动功能测试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5.27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喷淋泵手动启停功能测试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5.28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5.29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5.30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喷淋系统管道上持压泄压阀功能测试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5.31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5.32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防火分隔</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1180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1180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防火卷帘门测试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防火卷帘联动测试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应急照明和疏散指示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集中应急照明控制器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集中电源箱</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消防应急照明灯具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1970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消防应急标志灯具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1273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防排烟系统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排烟风机和风机控制箱检查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排烟风机现场手动启动停止功能测试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排烟口打开联动排烟风机试验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排烟防火阀关闭停止排烟风机试验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排烟风机性能评价（工作电流等参数）</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正压风机和正压风机控制箱检查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正压风机现场手动启动停止功能测试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正压送风口打开联动正压风机试验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报警控制主机清洁保养（含联动控制盘）</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防火门主机清洁保养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电气火灾监控主机清洁保养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消防电源监控主机清洁保养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气压给水装置保养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湿式报警阀排污和保养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9.10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9.11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9.12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9.13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9.14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9.15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9.16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9.17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9.18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9.19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消火栓系统管网冲洗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9.20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喷淋系统管网冲洗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9.21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消防水池更换水质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9.22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排烟风机控制箱清洁保养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9.23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正压风机控制箱清洁保养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9.24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排烟风机加油保养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9.25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正压风机控制箱清洁保养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9.26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排烟防火阀执行机构保养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535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9.27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卷帘门控制箱</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9.28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防火门、疏散门控制箱</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9.29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室外消火栓油漆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9.30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报警阀组油漆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9.31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消防泵房内阀门和管道油漆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bl>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3.消防设施外观检查和设备功能测试 （景德路老中医医院）</w:t>
      </w:r>
      <w:r/>
    </w:p>
    <w:tbl>
      <w:tblPr>
        <w:tblStyle w:val="685"/>
        <w:tblW w:w="8367" w:type="dxa"/>
        <w:tblInd w:w="63" w:type="dxa"/>
        <w:tblLayout w:type="autofit"/>
        <w:tblCellMar>
          <w:left w:w="108" w:type="dxa"/>
          <w:top w:w="0" w:type="dxa"/>
          <w:right w:w="108" w:type="dxa"/>
          <w:bottom w:w="0" w:type="dxa"/>
        </w:tblCellMar>
        <w:tblLook w:val="04A0" w:firstRow="1" w:lastRow="0" w:firstColumn="1" w:lastColumn="0" w:noHBand="0" w:noVBand="1"/>
      </w:tblPr>
      <w:tblGrid>
        <w:gridCol w:w="963"/>
        <w:gridCol w:w="4764"/>
        <w:gridCol w:w="765"/>
        <w:gridCol w:w="1080"/>
        <w:gridCol w:w="795"/>
      </w:tblGrid>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次/年</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火灾自动报警系统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探测器报警测试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手动报警按钮功能测试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消防电话主机功能测试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消防固定电话功能测试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消防电话插孔功能测试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扬声器分区功能测试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区</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消防广播主机功能测试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1.8</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扬声器检查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报警控制主机自检功能测试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1.10</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主备电源切换实验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备电充放电测试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声光报警警报装置功能测试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报警联动控制器自检测试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楼层显示器显示功能测试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1.15</w:t>
            </w:r>
            <w:r/>
          </w:p>
        </w:tc>
        <w:tc>
          <w:tcPr>
            <w:shd w:val="clear" w:color="auto" w:fill="ffffff"/>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控制模块功能测试</w:t>
            </w:r>
            <w:r/>
          </w:p>
        </w:tc>
        <w:tc>
          <w:tcPr>
            <w:shd w:val="clear" w:color="auto" w:fill="ffffff"/>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shd w:val="clear" w:color="auto"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29</w:t>
            </w:r>
            <w:r/>
          </w:p>
        </w:tc>
        <w:tc>
          <w:tcPr>
            <w:shd w:val="clear" w:color="auto"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1.16</w:t>
            </w:r>
            <w:r/>
          </w:p>
        </w:tc>
        <w:tc>
          <w:tcPr>
            <w:shd w:val="clear" w:color="auto" w:fill="ffffff"/>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输入模块</w:t>
            </w:r>
            <w:r/>
          </w:p>
        </w:tc>
        <w:tc>
          <w:tcPr>
            <w:shd w:val="clear" w:color="auto" w:fill="ffffff"/>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shd w:val="clear" w:color="auto"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37</w:t>
            </w:r>
            <w:r/>
          </w:p>
        </w:tc>
        <w:tc>
          <w:tcPr>
            <w:shd w:val="clear" w:color="auto"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1.17</w:t>
            </w:r>
            <w:r/>
          </w:p>
        </w:tc>
        <w:tc>
          <w:tcPr>
            <w:shd w:val="clear" w:color="auto" w:fill="ffffff"/>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shd w:val="clear" w:color="auto" w:fill="ffffff"/>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联动设备功能测试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非消防电源切除功能测试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区</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电梯联动功能测试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消控中心远程启动和停止消火栓泵功能测试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手动报警按钮自动联动消防设备功能测试和复位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感烟探测器自动联动消防设备功能测试和复位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2.6</w:t>
            </w:r>
            <w:r/>
          </w:p>
        </w:tc>
        <w:tc>
          <w:tcPr>
            <w:shd w:val="clear" w:color="auto" w:fill="ffffff"/>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shd w:val="clear" w:color="auto" w:fill="ffffff"/>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室外消防给水管道阀门检查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室外消火栓检查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室外消火栓动静压测试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室外消火栓射水试验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室内消火栓管道阀门检查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3.6</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室内消火栓动静压测试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3.7</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室内消火栓射水试验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3.8</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室内消火栓检查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3.9</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灭火器检查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3.10</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室内消火栓按钮起泵试验和复位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3.11</w:t>
            </w:r>
            <w:r/>
          </w:p>
        </w:tc>
        <w:tc>
          <w:tcPr>
            <w:shd w:val="clear" w:color="auto" w:fill="ffffff"/>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shd w:val="clear" w:color="auto" w:fill="ffffff"/>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消防给水系统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水泵接合器外观检查和安全阀功能检查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消防水池进水阀功能试验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消防水池储水功能检查（水位检查和溢水口）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水泵吸，出水管检查（有无渗漏）</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消防水池，水箱的保护检查（防冻等）</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4.6</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消防水池储水量及补水措施检查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4.7</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蓄水池吸水管检查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4.8</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水泵房双电源切换功能测试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4.9</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4.10</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气压给水装置自动稳压功能测试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4.11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气压给水装置手动启停功能测试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45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4.12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稳压装置压力表（电接点压力表）显示功能检查（不含计量校正）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4.13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气压罐上安全阀功能测试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4.14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4.15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4.16</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消防泵外观检查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4.17</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4.18</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消火栓管网压差启动功能测试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4.19</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消火栓泵手动启停功能测试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4.20</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45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4.21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4.22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消火栓系统管道上持压泄压阀功能测试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4.23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4.24</w:t>
            </w:r>
            <w:r/>
          </w:p>
        </w:tc>
        <w:tc>
          <w:tcPr>
            <w:shd w:val="clear" w:color="auto" w:fill="ffffff"/>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shd w:val="clear" w:color="auto" w:fill="ffffff"/>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防火分隔</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5.3</w:t>
            </w:r>
            <w:r/>
          </w:p>
        </w:tc>
        <w:tc>
          <w:tcPr>
            <w:shd w:val="clear" w:color="auto" w:fill="ffffff"/>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shd w:val="clear" w:color="auto" w:fill="ffffff"/>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应急照明和疏散指示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疏散指示灯测试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应急照明测试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报警控制主机清洁保养（含联动控制盘）</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气压给水装置保养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湿式报警阀排污和保养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6.6</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6.7</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6.8</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6.9</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稳压泵加油保养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6.10</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室外消火栓油漆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消防泵房内阀门和管道油漆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bl>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4.门禁系统检查 （一期，含杨素路及景德路院区门禁系统）</w:t>
      </w:r>
      <w:r/>
    </w:p>
    <w:tbl>
      <w:tblPr>
        <w:tblStyle w:val="685"/>
        <w:tblW w:w="8348" w:type="dxa"/>
        <w:tblInd w:w="63" w:type="dxa"/>
        <w:tblLayout w:type="autofit"/>
        <w:tblCellMar>
          <w:left w:w="108" w:type="dxa"/>
          <w:top w:w="0" w:type="dxa"/>
          <w:right w:w="108" w:type="dxa"/>
          <w:bottom w:w="0" w:type="dxa"/>
        </w:tblCellMar>
        <w:tblLook w:val="04A0" w:firstRow="1" w:lastRow="0" w:firstColumn="1" w:lastColumn="0" w:noHBand="0" w:noVBand="1"/>
      </w:tblPr>
      <w:tblGrid>
        <w:gridCol w:w="963"/>
        <w:gridCol w:w="4762"/>
        <w:gridCol w:w="775"/>
        <w:gridCol w:w="1088"/>
        <w:gridCol w:w="760"/>
      </w:tblGrid>
      <w:tr>
        <w:trPr>
          <w:trHeight w:val="285"/>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次/年</w:t>
            </w:r>
            <w:r/>
          </w:p>
        </w:tc>
      </w:tr>
      <w:tr>
        <w:trPr>
          <w:trHeight w:val="282"/>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门禁控制器功能测试</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67</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读卡器功能测试</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177</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电磁锁功能测试</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177</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地吸功能测试</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56</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1073"/>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外观检查：读卡头、电池锁、出门按钮和紧急破碎按钮外观清洁，标识完好、无松动</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门禁系统线路测试保养</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2"/>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bl>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5.门禁系统检查 （二期）</w:t>
      </w:r>
      <w:r/>
    </w:p>
    <w:tbl>
      <w:tblPr>
        <w:tblStyle w:val="685"/>
        <w:tblW w:w="8383" w:type="dxa"/>
        <w:tblInd w:w="26" w:type="dxa"/>
        <w:tblLayout w:type="fixed"/>
        <w:tblCellMar>
          <w:left w:w="108" w:type="dxa"/>
          <w:top w:w="0" w:type="dxa"/>
          <w:right w:w="108" w:type="dxa"/>
          <w:bottom w:w="0" w:type="dxa"/>
        </w:tblCellMar>
        <w:tblLook w:val="04A0" w:firstRow="1" w:lastRow="0" w:firstColumn="1" w:lastColumn="0" w:noHBand="0" w:noVBand="1"/>
      </w:tblPr>
      <w:tblGrid>
        <w:gridCol w:w="1000"/>
        <w:gridCol w:w="4737"/>
        <w:gridCol w:w="825"/>
        <w:gridCol w:w="1063"/>
        <w:gridCol w:w="758"/>
      </w:tblGrid>
      <w:tr>
        <w:trPr>
          <w:trHeight w:val="285"/>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473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二期项目名称</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次/年</w:t>
            </w:r>
            <w:r/>
          </w:p>
        </w:tc>
      </w:tr>
      <w:tr>
        <w:trPr>
          <w:trHeight w:val="282"/>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473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门禁控制器功能测试</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178</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73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读卡器功能测试</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255</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473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电磁锁功能测试</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220</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1290"/>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473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外观检查：读卡头、电池锁、出门按钮和紧急破碎按钮外观清洁，标识完好、无松动</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W w:w="473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门禁系统线路测试保养</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2"/>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4737"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bl>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6.公安局办公大楼</w:t>
      </w:r>
      <w:r/>
    </w:p>
    <w:tbl>
      <w:tblPr>
        <w:tblStyle w:val="685"/>
        <w:tblW w:w="8408" w:type="dxa"/>
        <w:tblInd w:w="1" w:type="dxa"/>
        <w:tblLayout w:type="fixed"/>
        <w:tblCellMar>
          <w:left w:w="108" w:type="dxa"/>
          <w:top w:w="0" w:type="dxa"/>
          <w:right w:w="108" w:type="dxa"/>
          <w:bottom w:w="0" w:type="dxa"/>
        </w:tblCellMar>
        <w:tblLook w:val="04A0" w:firstRow="1" w:lastRow="0" w:firstColumn="1" w:lastColumn="0" w:noHBand="0" w:noVBand="1"/>
      </w:tblPr>
      <w:tblGrid>
        <w:gridCol w:w="1012"/>
        <w:gridCol w:w="4750"/>
        <w:gridCol w:w="825"/>
        <w:gridCol w:w="1063"/>
        <w:gridCol w:w="758"/>
      </w:tblGrid>
      <w:tr>
        <w:trPr>
          <w:trHeight w:val="285"/>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消防系统名称</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次/年</w:t>
            </w:r>
            <w:r/>
          </w:p>
        </w:tc>
      </w:tr>
      <w:tr>
        <w:trPr>
          <w:trHeight w:val="282"/>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喷淋系统（湿式报警阀组1套）</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系统</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2"/>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室内消火栓系统</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系统</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82"/>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消防泵房（2台消火栓泵及1台控制柜及1套稳压系统设施）</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系统</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4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屋顶不锈钢消防水箱及稳压设施</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系统</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建筑灭火器</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2"/>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防火门等防火分隔设施</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2"/>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应急照明及疏散指示系统</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系统</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82"/>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bl>
    <w:p>
      <w:pPr>
        <w:numPr>
          <w:ilvl w:val="0"/>
          <w:numId w:val="0"/>
        </w:numPr>
        <w:ind w:firstLine="420"/>
        <w:keepLines w:val="0"/>
        <w:keepNext w:val="0"/>
        <w:pageBreakBefore w:val="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en-US" w:eastAsia="zh-CN"/>
        </w:rPr>
        <w:t xml:space="preserve">2026-2027 年度常用备品备件采购及更换服务清单，由投标单位自主填报单项单价，确保满足医院更换使用需求；投标单位须根据医院实际需求，上报备品备件单项单价及清单合计总价。</w:t>
      </w:r>
      <w:r/>
    </w:p>
    <w:tbl>
      <w:tblPr>
        <w:tblStyle w:val="685"/>
        <w:tblW w:w="49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6295"/>
        <w:gridCol w:w="1114"/>
      </w:tblGrid>
      <w:tr>
        <w:trPr>
          <w:jc w:val="center"/>
          <w:trHeight w:val="285"/>
        </w:trPr>
        <w:tc>
          <w:tcPr>
            <w:tcW w:w="620"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3720"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配件型号名称</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智能温感探头及底座</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智能光电烟感探头及底座（其中含老中医院40套）</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声光报警器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智能手动报警按钮</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消火栓按钮</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输出模块</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控制模块</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输入模块</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气体灭火系统输入输出模块（VM3365A）</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层显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消防电话</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部</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防爆烟感（含老中医6套）</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安全栅</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消防主机蓄电池12V17AH</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挡烟垂壁备用电源 </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应急照明备用电源12V 38AH</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防火卷帘门控制按钮</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卷帘门电池</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疏散灯</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安全出口灯</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双头应急灯</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疏散灯（单面）（集中控制型）</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23</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疏散灯（双面）（集中控制型）</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24</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安全出口灯（集中控制型）</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25</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双头应急灯（集中控制型）</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26</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钢制灭火器箱3KG*2</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27</w:t>
            </w:r>
            <w:r/>
          </w:p>
        </w:tc>
        <w:tc>
          <w:tcPr>
            <w:tcW w:w="3720"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干粉灭火器充装 5KG</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28</w:t>
            </w:r>
            <w:r/>
          </w:p>
        </w:tc>
        <w:tc>
          <w:tcPr>
            <w:tcW w:w="3720"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干粉灭火器充装 3KG</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29</w:t>
            </w:r>
            <w:r/>
          </w:p>
        </w:tc>
        <w:tc>
          <w:tcPr>
            <w:tcW w:w="3720"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二氧化碳灭火器充装 2KG</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干粉灭火器5公斤</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w:t>
            </w:r>
            <w:r/>
          </w:p>
        </w:tc>
        <w:tc>
          <w:tcPr>
            <w:tcW w:w="3720"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干粉灭火器4公斤</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32</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干粉灭火器3公斤</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33</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二氧化碳灭火器3公斤</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34</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二氧化碳灭火器5公斤</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35</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二氧化碳灭火器箱5公斤</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36</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二氧化碳灭火器箱可以放置2只 3公斤灭火器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37</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推车干粉灭火器 35kg</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38</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水基型推车式 灭火器  25L</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39</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喷淋罩</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40</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快速响应喷淋头k=80,68℃</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41</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铝合金消火栓箱体1800*700*240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42</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铝合金消火栓箱体650*450*220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43</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旋转消火栓栓头</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44</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消防箱玻璃</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45</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消防箱门框含玻璃</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扇</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46</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消防箱阀门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47</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水枪头</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48</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消防水龙带8-65</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根</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49</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消防水龙带10-65</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根</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50</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消防箱自卷盘</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灭火毯1.5*1.5M</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条</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52</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安全绳（40米）</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根</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53</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安全斧</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把</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54</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消防铲</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把</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55</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防毒面具（普通型）</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56</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压力表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57</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DN25铜阀</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58</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灭火器贴纸</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59</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标识牌（材质；KT板）</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张</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60</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地贴</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箱标</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62</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消防箱门拉手</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63</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卷帘门标识牌</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张</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64</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卷帘门布压条</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条</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65</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导向地贴</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张</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66</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平焊钢法兰DN200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片</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67</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平焊钢法兰DN150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片</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68</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平焊钢法兰DN100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片</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69</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DN100消防管路卡箍</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70</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DN150消防管路卡箍</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71</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DN200消防管路卡箍</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72</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DN250消防管路卡箍</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73</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DN250消防管路弯头等管件</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74</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DN200消防管路弯头等管件</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75</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DN150消防管路弯头等管件</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76</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橡胶软接头DN80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77</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橡胶软接头DN100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78</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橡胶软接头DN150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79</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DN100明杆闸阀</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80</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DN100止回阀</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81</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DN50止回阀</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82</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DN150闸阀</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83</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DN150止回阀</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84</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水流指示器DN150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85</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水流指示器DN100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86</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喷淋系统延迟器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87</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每回应急照明及疏散指示系统线路维修</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回路</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88</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每1条回路故障维修</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回路</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89</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压力开关</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90</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镀锌钢管DN100消防管道增设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91</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镀锌钢管DN32消防管道增设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92</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镀锌钢管DN25消防管道增设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93</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配管JDG40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94</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配管JDG32</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95</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配管JDG25</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96</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配管JDG20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97</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金属软管DN20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98</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ZR-RVS 2*1.5电线增设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99</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NH-RVS 2*1.5电线增设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100</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ZR-BV 1.5电线增设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ZR-BV 2.5电线增设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102</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ZR-RVS 2*2.5电线增设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103</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NH-RVS 2*2.5电线增设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104</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ZR-RVV 4*2.5电缆</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105</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ZR-RVV 2*2.5电缆</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106</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ZR-KVV 12*2.5电缆</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107</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DN50进水阀（含浮球阀1套）</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108</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消防液位显示仪</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109</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防火门闭门器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套樘</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110</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顺序器换新</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套樘</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111</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推杆锁（烤漆）</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套樘</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112</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推杆锁（不锈钢材质）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套樘</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113</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门锁</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套樘</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114</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电动闭门器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套樘</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115</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门禁刷卡器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116</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防火门地吸更换</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117</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门吸转换支架（不锈钢）</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118</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防火门磁力锁更换</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119</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消防防火卷帘门电机</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120</w:t>
            </w:r>
            <w:r/>
          </w:p>
        </w:tc>
        <w:tc>
          <w:tcPr>
            <w:tcW w:w="37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消防防火卷帘门控制箱</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121</w:t>
            </w:r>
            <w:r/>
          </w:p>
        </w:tc>
        <w:tc>
          <w:tcPr>
            <w:tcW w:w="3720"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可燃气体探测器年度校验（含模组换新） 探测气体：甲醛</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122</w:t>
            </w:r>
            <w:r/>
          </w:p>
        </w:tc>
        <w:tc>
          <w:tcPr>
            <w:tcW w:w="3720"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可燃气体探测器年度校验（含模组换新）探测气体：过氧化氢</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123</w:t>
            </w:r>
            <w:r/>
          </w:p>
        </w:tc>
        <w:tc>
          <w:tcPr>
            <w:tcW w:w="3720"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厨房灭火系统保养</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次</w:t>
            </w:r>
            <w:r/>
          </w:p>
        </w:tc>
      </w:tr>
      <w:tr>
        <w:trPr>
          <w:jc w:val="center"/>
          <w:trHeight w:val="262"/>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124</w:t>
            </w:r>
            <w:r/>
          </w:p>
        </w:tc>
        <w:tc>
          <w:tcPr>
            <w:tcW w:w="3720"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风机控制箱维修更换（1.1kW~4kW）</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125</w:t>
            </w:r>
            <w:r/>
          </w:p>
        </w:tc>
        <w:tc>
          <w:tcPr>
            <w:tcW w:w="3720"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风机控制箱维修更换（5.5kW~7.5kW）</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r>
    </w:tbl>
    <w:p>
      <w:pPr>
        <w:pStyle w:val="686"/>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四</w:t>
      </w:r>
      <w:r>
        <w:rPr>
          <w:rFonts w:hint="eastAsia" w:ascii="宋体" w:hAnsi="宋体"/>
          <w:color w:val="auto"/>
          <w:szCs w:val="21"/>
          <w:highlight w:val="none"/>
        </w:rPr>
        <w:t xml:space="preserve">）服务期内如遇国家最低工资标准和社会保险缴费基数调整，由中标人负责，采购人不再给予中标人相应调整。</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五</w:t>
      </w:r>
      <w:r>
        <w:rPr>
          <w:rFonts w:hint="eastAsia" w:ascii="宋体" w:hAnsi="宋体"/>
          <w:color w:val="auto"/>
          <w:szCs w:val="21"/>
          <w:highlight w:val="none"/>
        </w:rPr>
        <w:t xml:space="preserve">）其他：</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1.中标人不得将服务业务转包第三方。</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2、在后勤服务工作中造成采购方财产损坏或遗失，由中标人负责赔偿。</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3.中标人应严格按照政府部门相关规定给员工缴纳各种社会保险（包括养老、医疗、工伤、生育保险、失业保险等）。</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4.中标人自行负责其招聘员工的一切工资、福利，如发生工伤、疾病乃至死亡的一切责任及费用由中标方全部负责。</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5.中标人应严格遵守国家有关的法律法规及行业标准，应严格按当地标准给付员工加班薪资。</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6.履行后勤服务任务中发生差错造成第三者的意外伤亡事故及所引发的责任、经济由中标方承担（可购买公共责任险）。</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（六）考核要求：</w:t>
      </w:r>
      <w:r>
        <w:rPr>
          <w:rFonts w:hint="eastAsia" w:ascii="宋体" w:hAnsi="宋体"/>
          <w:color w:val="auto"/>
          <w:szCs w:val="21"/>
          <w:highlight w:val="none"/>
        </w:rPr>
        <w:t xml:space="preserve">医院对服务方进行月度考核，考核结果与当月度费用结算挂钩。</w:t>
      </w:r>
      <w:r/>
    </w:p>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苏州市中医医院社会化部门月度考核表</w:t>
      </w:r>
      <w:r/>
    </w:p>
    <w:tbl>
      <w:tblPr>
        <w:tblStyle w:val="685"/>
        <w:tblW w:w="8151" w:type="dxa"/>
        <w:tblInd w:w="1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590"/>
        <w:gridCol w:w="3077"/>
        <w:gridCol w:w="708"/>
        <w:gridCol w:w="2984"/>
        <w:gridCol w:w="792"/>
      </w:tblGrid>
      <w:tr>
        <w:trPr>
          <w:trHeight w:val="540"/>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扣分项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说明</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得分</w:t>
            </w:r>
            <w:r/>
          </w:p>
        </w:tc>
      </w:tr>
      <w:tr>
        <w:trPr>
          <w:trHeight w:val="64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是否按合同约定配备足够数量的具有资质的驻场维保人员</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经抽查发现配备不足或资质不足的，每次扣2分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是否按合同约定开展维修、保养工作</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经抽查发现维修、保养不到位或记录不全的，每次扣2分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是否按合同约定做好应急处置工作</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发生紧急情况未按合同约定及时处置的，每次扣2分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备品、备件管理</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经抽查发现备品、备件不足的每次扣2分；使用不合格产品的，每次扣10分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06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是否落实安全生产责任</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经抽查发现未按规范操作、工作中存在安全生产隐患的，每次扣2分；发生安全生产事故的，扣10分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是否按合同约定落实制度建设</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经抽查发现管理制度、维保制度、培训制度、应急预案制度不全或落实不到位的，每次扣2分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消防设施运转、安全警示标识</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经抽查发现消防设施运转不良、硬件设施损坏未及时修复、安全警示及救援标识不清或缺失的，每次扣2分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消防泵房管理</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经抽查发现消防泵房卫生状况较差、硬件设施不全或损坏、标识不清或缺失的，每次扣2分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加分项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26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医院收到有关消防维保人员的表扬信、锦旗，或消防维保人员发生拾金不昧、见义勇为、助人为乐等行为</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经核实属实的，当月每收到一次加2分，月底合计得分</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推出创新举措</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受到广泛好评并连续推行3个月以上的，每一项加5分</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当月合计得分</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bl>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注：</w:t>
      </w:r>
      <w:r/>
    </w:p>
    <w:p>
      <w:pPr>
        <w:numPr>
          <w:ilvl w:val="0"/>
          <w:numId w:val="0"/>
        </w:numPr>
        <w:ind w:firstLine="422"/>
        <w:spacing w:line="400" w:lineRule="exact"/>
        <w:rPr>
          <w:rFonts w:hint="eastAsia"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color w:val="auto"/>
          <w:szCs w:val="21"/>
          <w:highlight w:val="none"/>
        </w:rPr>
        <w:t xml:space="preserve">医院后勤保障部每月对服务单位进行抽查，并提出整改意见。</w:t>
      </w:r>
      <w:r/>
    </w:p>
    <w:p>
      <w:pPr>
        <w:numPr>
          <w:ilvl w:val="0"/>
          <w:numId w:val="0"/>
        </w:num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2.扣分项、加分项由后勤保障部进行相应记录。</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3.本表一式两份，每月底统计分值后，由考核部门、被考核单位双方签字确认后留存。</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4.被考核单位与医院结算相关费用时，以该考核分为依据。该考核分≥90分，则结算费用的100%;85≤考核分&lt;90分，每低1分，则结算费用扣除1%。80≤考核分&lt;85分，每低1分，则结算费用扣除2%。该考核分&lt;80分，视为不合格。</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5.累计三次考核不合格，</w:t>
      </w:r>
      <w:r>
        <w:rPr>
          <w:rFonts w:hint="eastAsia" w:ascii="宋体" w:hAnsi="宋体"/>
          <w:color w:val="auto"/>
          <w:szCs w:val="21"/>
          <w:highlight w:val="none"/>
          <w:lang w:val="en-US" w:eastAsia="zh-CN"/>
        </w:rPr>
        <w:t xml:space="preserve">采购人</w:t>
      </w:r>
      <w:r>
        <w:rPr>
          <w:rFonts w:hint="eastAsia" w:ascii="宋体" w:hAnsi="宋体"/>
          <w:color w:val="auto"/>
          <w:szCs w:val="21"/>
          <w:highlight w:val="none"/>
        </w:rPr>
        <w:t xml:space="preserve">有权无条件单方面解除合同。</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采购包3：电梯维护与保养服务</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（一）服务期限：202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年8月15日—202</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年8月14日</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（二）维保设备清单：</w:t>
      </w:r>
      <w:r/>
    </w:p>
    <w:p>
      <w:pPr>
        <w:ind w:firstLine="420"/>
        <w:keepLines w:val="0"/>
        <w:keepNext w:val="0"/>
        <w:pageBreakBefore w:val="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1.西楼25台</w:t>
      </w:r>
      <w:r/>
    </w:p>
    <w:tbl>
      <w:tblPr>
        <w:tblStyle w:val="685"/>
        <w:tblW w:w="7965" w:type="dxa"/>
        <w:tblInd w:w="9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59"/>
        <w:gridCol w:w="659"/>
        <w:gridCol w:w="2422"/>
        <w:gridCol w:w="1800"/>
        <w:gridCol w:w="1388"/>
        <w:gridCol w:w="1037"/>
      </w:tblGrid>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编号</w:t>
            </w:r>
            <w:r/>
          </w:p>
        </w:tc>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梯号</w:t>
            </w:r>
            <w:r/>
          </w:p>
        </w:tc>
        <w:tc>
          <w:tcPr>
            <w:tcW w:w="2422"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制造单位品牌</w:t>
            </w:r>
            <w:r/>
          </w:p>
        </w:tc>
        <w:tc>
          <w:tcPr>
            <w:tcW w:w="1800"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型号</w:t>
            </w:r>
            <w:r/>
          </w:p>
        </w:tc>
        <w:tc>
          <w:tcPr>
            <w:tcW w:w="1388"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载重KG</w:t>
            </w:r>
            <w:r/>
          </w:p>
        </w:tc>
        <w:tc>
          <w:tcPr>
            <w:tcW w:w="1037"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层站门</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W1</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23</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E2</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E3</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E4</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E5</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E6</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23</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E7</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E8</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E9</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E10</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E11</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3000 MonoSpace</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E1</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W2</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K1</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1000</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23</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K2</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3000 MonoSpace</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1000</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F1</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通力电梯（扶梯）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TravelMaster</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9000人/时</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F2</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通力电梯（扶梯）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TravelMaster</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9000人/时</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F3</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通力电梯（扶梯）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TravelMaster</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9000人/时</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F4</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通力电梯（扶梯）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TravelMaster</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9000人/时</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F5</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通力电梯（扶梯）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TravelMaster</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9000人/时</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F6</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通力电梯（扶梯）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TravelMaster</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9000人/时</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C1</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杂货梯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LIFT 250</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250</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23</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C2</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杂货梯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LIFT 250</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250</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24</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C3</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杂货梯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LIFT 250</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250</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25</w:t>
            </w:r>
            <w:r/>
          </w:p>
        </w:tc>
        <w:tc>
          <w:tcPr>
            <w:tcW w:w="659"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C4</w:t>
            </w:r>
            <w:r/>
          </w:p>
        </w:tc>
        <w:tc>
          <w:tcPr>
            <w:tcW w:w="2422"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杂货梯</w:t>
            </w:r>
            <w:r/>
          </w:p>
        </w:tc>
        <w:tc>
          <w:tcPr>
            <w:tcW w:w="1800"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LIFT 250</w:t>
            </w:r>
            <w:r/>
          </w:p>
        </w:tc>
        <w:tc>
          <w:tcPr>
            <w:tcW w:w="1388"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250</w:t>
            </w:r>
            <w:r/>
          </w:p>
        </w:tc>
        <w:tc>
          <w:tcPr>
            <w:tcW w:w="1037" w:type="dxa"/>
            <w:vAlign w:val="bottom"/>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r>
    </w:tbl>
    <w:p>
      <w:pPr>
        <w:numPr>
          <w:ilvl w:val="0"/>
          <w:numId w:val="0"/>
        </w:numPr>
        <w:ind w:firstLine="359"/>
        <w:keepLines w:val="0"/>
        <w:keepNext w:val="0"/>
        <w:pageBreakBefore w:val="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Cs w:val="21"/>
          <w:highlight w:val="none"/>
        </w:rPr>
        <w:t xml:space="preserve">东楼19台</w:t>
      </w:r>
      <w:r/>
    </w:p>
    <w:tbl>
      <w:tblPr>
        <w:tblStyle w:val="685"/>
        <w:tblW w:w="7996" w:type="dxa"/>
        <w:tblInd w:w="9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59"/>
        <w:gridCol w:w="713"/>
        <w:gridCol w:w="2374"/>
        <w:gridCol w:w="1825"/>
        <w:gridCol w:w="1362"/>
        <w:gridCol w:w="1063"/>
      </w:tblGrid>
      <w:tr>
        <w:trPr>
          <w:trHeight w:val="315"/>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编号</w:t>
            </w:r>
            <w:r/>
          </w:p>
        </w:tc>
        <w:tc>
          <w:tcPr>
            <w:tcW w:w="713"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梯号</w:t>
            </w:r>
            <w:r/>
          </w:p>
        </w:tc>
        <w:tc>
          <w:tcPr>
            <w:tcW w:w="2374"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制造单位品牌</w:t>
            </w:r>
            <w:r/>
          </w:p>
        </w:tc>
        <w:tc>
          <w:tcPr>
            <w:tcW w:w="1825"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型号</w:t>
            </w:r>
            <w:r/>
          </w:p>
        </w:tc>
        <w:tc>
          <w:tcPr>
            <w:tcW w:w="1362"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载重KG</w:t>
            </w:r>
            <w:r/>
          </w:p>
        </w:tc>
        <w:tc>
          <w:tcPr>
            <w:tcW w:w="1063"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层站门</w:t>
            </w:r>
            <w:r/>
          </w:p>
        </w:tc>
      </w:tr>
      <w:tr>
        <w:trPr>
          <w:trHeight w:val="315"/>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w:t>
            </w:r>
            <w:r/>
          </w:p>
        </w:tc>
        <w:tc>
          <w:tcPr>
            <w:tcW w:w="71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E5</w:t>
            </w:r>
            <w:r/>
          </w:p>
        </w:tc>
        <w:tc>
          <w:tcPr>
            <w:tcW w:w="2374" w:type="dxa"/>
            <w:vAlign w:val="center"/>
            <w:textDirection w:val="lrTb"/>
            <w:noWrap/>
          </w:tcPr>
          <w:p>
            <w:pPr>
              <w:jc w:val="center"/>
              <w:rPr>
                <w:rFonts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 w:val="21"/>
                <w:szCs w:val="21"/>
                <w:highlight w:val="none"/>
              </w:rPr>
              <w:t xml:space="preserve">通力电梯（直梯）</w:t>
            </w:r>
            <w:r/>
          </w:p>
        </w:tc>
        <w:tc>
          <w:tcPr>
            <w:tcW w:w="1825"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3000 MiniSpace</w:t>
            </w:r>
            <w:r/>
          </w:p>
        </w:tc>
        <w:tc>
          <w:tcPr>
            <w:tcW w:w="1362" w:type="dxa"/>
            <w:vAlign w:val="center"/>
            <w:textDirection w:val="lrTb"/>
            <w:noWrap/>
          </w:tcPr>
          <w:p>
            <w:pPr>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1600</w:t>
            </w:r>
            <w:r/>
          </w:p>
        </w:tc>
        <w:tc>
          <w:tcPr>
            <w:tcW w:w="106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rPr>
              <w:t xml:space="preserve">21</w:t>
            </w:r>
            <w:r/>
          </w:p>
        </w:tc>
      </w:tr>
      <w:tr>
        <w:trPr>
          <w:trHeight w:val="315"/>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2</w:t>
            </w:r>
            <w:r/>
          </w:p>
        </w:tc>
        <w:tc>
          <w:tcPr>
            <w:tcW w:w="71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E10</w:t>
            </w:r>
            <w:r/>
          </w:p>
        </w:tc>
        <w:tc>
          <w:tcPr>
            <w:tcW w:w="2374" w:type="dxa"/>
            <w:vAlign w:val="center"/>
            <w:textDirection w:val="lrTb"/>
            <w:noWrap/>
          </w:tcPr>
          <w:p>
            <w:pPr>
              <w:jc w:val="center"/>
              <w:rPr>
                <w:rFonts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 w:val="21"/>
                <w:szCs w:val="21"/>
                <w:highlight w:val="none"/>
              </w:rPr>
              <w:t xml:space="preserve">通力电梯（直梯）</w:t>
            </w:r>
            <w:r/>
          </w:p>
        </w:tc>
        <w:tc>
          <w:tcPr>
            <w:tcW w:w="1825"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3000 MiniSpace</w:t>
            </w:r>
            <w:r/>
          </w:p>
        </w:tc>
        <w:tc>
          <w:tcPr>
            <w:tcW w:w="1362" w:type="dxa"/>
            <w:vAlign w:val="center"/>
            <w:textDirection w:val="lrTb"/>
            <w:noWrap/>
          </w:tcPr>
          <w:p>
            <w:pPr>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1600</w:t>
            </w:r>
            <w:r/>
          </w:p>
        </w:tc>
        <w:tc>
          <w:tcPr>
            <w:tcW w:w="106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rPr>
              <w:t xml:space="preserve">21</w:t>
            </w:r>
            <w:r/>
          </w:p>
        </w:tc>
      </w:tr>
      <w:tr>
        <w:trPr>
          <w:trHeight w:val="315"/>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w:t>
            </w:r>
            <w:r/>
          </w:p>
        </w:tc>
        <w:tc>
          <w:tcPr>
            <w:tcW w:w="71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E11</w:t>
            </w:r>
            <w:r/>
          </w:p>
        </w:tc>
        <w:tc>
          <w:tcPr>
            <w:tcW w:w="2374" w:type="dxa"/>
            <w:vAlign w:val="center"/>
            <w:textDirection w:val="lrTb"/>
            <w:noWrap/>
          </w:tcPr>
          <w:p>
            <w:pPr>
              <w:jc w:val="center"/>
              <w:rPr>
                <w:rFonts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 w:val="21"/>
                <w:szCs w:val="21"/>
                <w:highlight w:val="none"/>
              </w:rPr>
              <w:t xml:space="preserve">通力电梯（直梯）</w:t>
            </w:r>
            <w:r/>
          </w:p>
        </w:tc>
        <w:tc>
          <w:tcPr>
            <w:tcW w:w="1825"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3000 MiniSpace</w:t>
            </w:r>
            <w:r/>
          </w:p>
        </w:tc>
        <w:tc>
          <w:tcPr>
            <w:tcW w:w="1362"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1600</w:t>
            </w:r>
            <w:r/>
          </w:p>
        </w:tc>
        <w:tc>
          <w:tcPr>
            <w:tcW w:w="106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rPr>
              <w:t xml:space="preserve">13</w:t>
            </w:r>
            <w:r/>
          </w:p>
        </w:tc>
      </w:tr>
      <w:tr>
        <w:trPr>
          <w:trHeight w:val="315"/>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4</w:t>
            </w:r>
            <w:r/>
          </w:p>
        </w:tc>
        <w:tc>
          <w:tcPr>
            <w:tcW w:w="71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E12</w:t>
            </w:r>
            <w:r/>
          </w:p>
        </w:tc>
        <w:tc>
          <w:tcPr>
            <w:tcW w:w="2374" w:type="dxa"/>
            <w:vAlign w:val="center"/>
            <w:textDirection w:val="lrTb"/>
            <w:noWrap/>
          </w:tcPr>
          <w:p>
            <w:pPr>
              <w:jc w:val="center"/>
              <w:rPr>
                <w:rFonts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 w:val="21"/>
                <w:szCs w:val="21"/>
                <w:highlight w:val="none"/>
              </w:rPr>
              <w:t xml:space="preserve">通力电梯（直梯）</w:t>
            </w:r>
            <w:r/>
          </w:p>
        </w:tc>
        <w:tc>
          <w:tcPr>
            <w:tcW w:w="1825"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3000 MiniSpace</w:t>
            </w:r>
            <w:r/>
          </w:p>
        </w:tc>
        <w:tc>
          <w:tcPr>
            <w:tcW w:w="1362"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1600</w:t>
            </w:r>
            <w:r/>
          </w:p>
        </w:tc>
        <w:tc>
          <w:tcPr>
            <w:tcW w:w="106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rPr>
              <w:t xml:space="preserve">12</w:t>
            </w:r>
            <w:r/>
          </w:p>
        </w:tc>
      </w:tr>
      <w:tr>
        <w:trPr>
          <w:trHeight w:val="315"/>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5</w:t>
            </w:r>
            <w:r/>
          </w:p>
        </w:tc>
        <w:tc>
          <w:tcPr>
            <w:tcW w:w="71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E13</w:t>
            </w:r>
            <w:r/>
          </w:p>
        </w:tc>
        <w:tc>
          <w:tcPr>
            <w:tcW w:w="2374" w:type="dxa"/>
            <w:vAlign w:val="center"/>
            <w:textDirection w:val="lrTb"/>
            <w:noWrap/>
          </w:tcPr>
          <w:p>
            <w:pPr>
              <w:jc w:val="center"/>
              <w:rPr>
                <w:rFonts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 w:val="21"/>
                <w:szCs w:val="21"/>
                <w:highlight w:val="none"/>
              </w:rPr>
              <w:t xml:space="preserve">通力电梯（直梯）</w:t>
            </w:r>
            <w:r/>
          </w:p>
        </w:tc>
        <w:tc>
          <w:tcPr>
            <w:tcW w:w="1825"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3000 MiniSpace</w:t>
            </w:r>
            <w:r/>
          </w:p>
        </w:tc>
        <w:tc>
          <w:tcPr>
            <w:tcW w:w="1362"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1600</w:t>
            </w:r>
            <w:r/>
          </w:p>
        </w:tc>
        <w:tc>
          <w:tcPr>
            <w:tcW w:w="106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rPr>
              <w:t xml:space="preserve">12</w:t>
            </w:r>
            <w:r/>
          </w:p>
        </w:tc>
      </w:tr>
      <w:tr>
        <w:trPr>
          <w:trHeight w:val="315"/>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6</w:t>
            </w:r>
            <w:r/>
          </w:p>
        </w:tc>
        <w:tc>
          <w:tcPr>
            <w:tcW w:w="71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E14</w:t>
            </w:r>
            <w:r/>
          </w:p>
        </w:tc>
        <w:tc>
          <w:tcPr>
            <w:tcW w:w="2374" w:type="dxa"/>
            <w:vAlign w:val="center"/>
            <w:textDirection w:val="lrTb"/>
            <w:noWrap/>
          </w:tcPr>
          <w:p>
            <w:pPr>
              <w:jc w:val="center"/>
              <w:rPr>
                <w:rFonts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 w:val="21"/>
                <w:szCs w:val="21"/>
                <w:highlight w:val="none"/>
              </w:rPr>
              <w:t xml:space="preserve">通力电梯（直梯）</w:t>
            </w:r>
            <w:r/>
          </w:p>
        </w:tc>
        <w:tc>
          <w:tcPr>
            <w:tcW w:w="1825"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3000 MiniSpace</w:t>
            </w:r>
            <w:r/>
          </w:p>
        </w:tc>
        <w:tc>
          <w:tcPr>
            <w:tcW w:w="1362"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1600</w:t>
            </w:r>
            <w:r/>
          </w:p>
        </w:tc>
        <w:tc>
          <w:tcPr>
            <w:tcW w:w="106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rPr>
              <w:t xml:space="preserve">12</w:t>
            </w:r>
            <w:r/>
          </w:p>
        </w:tc>
      </w:tr>
      <w:tr>
        <w:trPr>
          <w:trHeight w:val="90"/>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7</w:t>
            </w:r>
            <w:r/>
          </w:p>
        </w:tc>
        <w:tc>
          <w:tcPr>
            <w:tcW w:w="71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E15</w:t>
            </w:r>
            <w:r/>
          </w:p>
        </w:tc>
        <w:tc>
          <w:tcPr>
            <w:tcW w:w="2374" w:type="dxa"/>
            <w:vAlign w:val="center"/>
            <w:textDirection w:val="lrTb"/>
            <w:noWrap/>
          </w:tcPr>
          <w:p>
            <w:pPr>
              <w:jc w:val="center"/>
              <w:rPr>
                <w:rFonts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 w:val="21"/>
                <w:szCs w:val="21"/>
                <w:highlight w:val="none"/>
              </w:rPr>
              <w:t xml:space="preserve">通力电梯（直梯）</w:t>
            </w:r>
            <w:r/>
          </w:p>
        </w:tc>
        <w:tc>
          <w:tcPr>
            <w:tcW w:w="1825"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3000 MiniSpace</w:t>
            </w:r>
            <w:r/>
          </w:p>
        </w:tc>
        <w:tc>
          <w:tcPr>
            <w:tcW w:w="1362"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1600</w:t>
            </w:r>
            <w:r/>
          </w:p>
        </w:tc>
        <w:tc>
          <w:tcPr>
            <w:tcW w:w="106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rPr>
              <w:t xml:space="preserve">3</w:t>
            </w:r>
            <w:r/>
          </w:p>
        </w:tc>
      </w:tr>
      <w:tr>
        <w:trPr>
          <w:trHeight w:val="315"/>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8</w:t>
            </w:r>
            <w:r/>
          </w:p>
        </w:tc>
        <w:tc>
          <w:tcPr>
            <w:tcW w:w="71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E16</w:t>
            </w:r>
            <w:r/>
          </w:p>
        </w:tc>
        <w:tc>
          <w:tcPr>
            <w:tcW w:w="2374" w:type="dxa"/>
            <w:vAlign w:val="center"/>
            <w:textDirection w:val="lrTb"/>
            <w:noWrap/>
          </w:tcPr>
          <w:p>
            <w:pPr>
              <w:jc w:val="center"/>
              <w:rPr>
                <w:rFonts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 w:val="21"/>
                <w:szCs w:val="21"/>
                <w:highlight w:val="none"/>
              </w:rPr>
              <w:t xml:space="preserve">通力电梯（直梯）</w:t>
            </w:r>
            <w:r/>
          </w:p>
        </w:tc>
        <w:tc>
          <w:tcPr>
            <w:tcW w:w="1825"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3000 MiniSpace</w:t>
            </w:r>
            <w:r/>
          </w:p>
        </w:tc>
        <w:tc>
          <w:tcPr>
            <w:tcW w:w="1362" w:type="dxa"/>
            <w:vAlign w:val="center"/>
            <w:textDirection w:val="lrTb"/>
            <w:noWrap/>
          </w:tcPr>
          <w:p>
            <w:pPr>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1000</w:t>
            </w:r>
            <w:r/>
          </w:p>
        </w:tc>
        <w:tc>
          <w:tcPr>
            <w:tcW w:w="106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rPr>
              <w:t xml:space="preserve">6</w:t>
            </w:r>
            <w:r/>
          </w:p>
        </w:tc>
      </w:tr>
      <w:tr>
        <w:trPr>
          <w:trHeight w:val="315"/>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9</w:t>
            </w:r>
            <w:r/>
          </w:p>
        </w:tc>
        <w:tc>
          <w:tcPr>
            <w:tcW w:w="71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E17</w:t>
            </w:r>
            <w:r/>
          </w:p>
        </w:tc>
        <w:tc>
          <w:tcPr>
            <w:tcW w:w="2374" w:type="dxa"/>
            <w:vAlign w:val="center"/>
            <w:textDirection w:val="lrTb"/>
            <w:noWrap/>
          </w:tcPr>
          <w:p>
            <w:pPr>
              <w:jc w:val="center"/>
              <w:rPr>
                <w:rFonts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 w:val="21"/>
                <w:szCs w:val="21"/>
                <w:highlight w:val="none"/>
              </w:rPr>
              <w:t xml:space="preserve">通力电梯（直梯）</w:t>
            </w:r>
            <w:r/>
          </w:p>
        </w:tc>
        <w:tc>
          <w:tcPr>
            <w:tcW w:w="1825"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3000 MiniSpace</w:t>
            </w:r>
            <w:r/>
          </w:p>
        </w:tc>
        <w:tc>
          <w:tcPr>
            <w:tcW w:w="1362" w:type="dxa"/>
            <w:vAlign w:val="center"/>
            <w:textDirection w:val="lrTb"/>
            <w:noWrap/>
          </w:tcPr>
          <w:p>
            <w:pPr>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1000</w:t>
            </w:r>
            <w:r/>
          </w:p>
        </w:tc>
        <w:tc>
          <w:tcPr>
            <w:tcW w:w="106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rPr>
              <w:t xml:space="preserve">6</w:t>
            </w:r>
            <w:r/>
          </w:p>
        </w:tc>
      </w:tr>
      <w:tr>
        <w:trPr>
          <w:trHeight w:val="315"/>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10</w:t>
            </w:r>
            <w:r/>
          </w:p>
        </w:tc>
        <w:tc>
          <w:tcPr>
            <w:tcW w:w="71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E1</w:t>
            </w:r>
            <w:r/>
          </w:p>
        </w:tc>
        <w:tc>
          <w:tcPr>
            <w:tcW w:w="2374" w:type="dxa"/>
            <w:vAlign w:val="center"/>
            <w:textDirection w:val="lrTb"/>
            <w:noWrap/>
          </w:tcPr>
          <w:p>
            <w:pPr>
              <w:jc w:val="center"/>
              <w:rPr>
                <w:rFonts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 w:val="21"/>
                <w:szCs w:val="21"/>
                <w:highlight w:val="none"/>
              </w:rPr>
              <w:t xml:space="preserve">通力电梯（直梯）</w:t>
            </w:r>
            <w:r/>
          </w:p>
        </w:tc>
        <w:tc>
          <w:tcPr>
            <w:tcW w:w="1825"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3000 MiniSpace</w:t>
            </w:r>
            <w:r/>
          </w:p>
        </w:tc>
        <w:tc>
          <w:tcPr>
            <w:tcW w:w="1362"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1600</w:t>
            </w:r>
            <w:r/>
          </w:p>
        </w:tc>
        <w:tc>
          <w:tcPr>
            <w:tcW w:w="106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rPr>
              <w:t xml:space="preserve">21</w:t>
            </w:r>
            <w:r/>
          </w:p>
        </w:tc>
      </w:tr>
      <w:tr>
        <w:trPr>
          <w:trHeight w:val="315"/>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11</w:t>
            </w:r>
            <w:r/>
          </w:p>
        </w:tc>
        <w:tc>
          <w:tcPr>
            <w:tcW w:w="71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E6</w:t>
            </w:r>
            <w:r/>
          </w:p>
        </w:tc>
        <w:tc>
          <w:tcPr>
            <w:tcW w:w="2374" w:type="dxa"/>
            <w:vAlign w:val="center"/>
            <w:textDirection w:val="lrTb"/>
            <w:noWrap/>
          </w:tcPr>
          <w:p>
            <w:pPr>
              <w:jc w:val="center"/>
              <w:rPr>
                <w:rFonts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 w:val="21"/>
                <w:szCs w:val="21"/>
                <w:highlight w:val="none"/>
              </w:rPr>
              <w:t xml:space="preserve">通力电梯（直梯）</w:t>
            </w:r>
            <w:r/>
          </w:p>
        </w:tc>
        <w:tc>
          <w:tcPr>
            <w:tcW w:w="1825"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3000 MiniSpace</w:t>
            </w:r>
            <w:r/>
          </w:p>
        </w:tc>
        <w:tc>
          <w:tcPr>
            <w:tcW w:w="1362"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1600</w:t>
            </w:r>
            <w:r/>
          </w:p>
        </w:tc>
        <w:tc>
          <w:tcPr>
            <w:tcW w:w="106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rPr>
              <w:t xml:space="preserve">21</w:t>
            </w:r>
            <w:r/>
          </w:p>
        </w:tc>
      </w:tr>
      <w:tr>
        <w:trPr>
          <w:trHeight w:val="315"/>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12</w:t>
            </w:r>
            <w:r/>
          </w:p>
        </w:tc>
        <w:tc>
          <w:tcPr>
            <w:tcW w:w="71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E2</w:t>
            </w:r>
            <w:r/>
          </w:p>
        </w:tc>
        <w:tc>
          <w:tcPr>
            <w:tcW w:w="2374" w:type="dxa"/>
            <w:vAlign w:val="center"/>
            <w:textDirection w:val="lrTb"/>
            <w:noWrap/>
          </w:tcPr>
          <w:p>
            <w:pPr>
              <w:jc w:val="center"/>
              <w:rPr>
                <w:rFonts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 w:val="21"/>
                <w:szCs w:val="21"/>
                <w:highlight w:val="none"/>
              </w:rPr>
              <w:t xml:space="preserve">通力电梯（直梯）</w:t>
            </w:r>
            <w:r/>
          </w:p>
        </w:tc>
        <w:tc>
          <w:tcPr>
            <w:tcW w:w="1825"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3000 MiniSpace</w:t>
            </w:r>
            <w:r/>
          </w:p>
        </w:tc>
        <w:tc>
          <w:tcPr>
            <w:tcW w:w="1362"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1600</w:t>
            </w:r>
            <w:r/>
          </w:p>
        </w:tc>
        <w:tc>
          <w:tcPr>
            <w:tcW w:w="106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rPr>
              <w:t xml:space="preserve">21</w:t>
            </w:r>
            <w:r/>
          </w:p>
        </w:tc>
      </w:tr>
      <w:tr>
        <w:trPr>
          <w:trHeight w:val="315"/>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13</w:t>
            </w:r>
            <w:r/>
          </w:p>
        </w:tc>
        <w:tc>
          <w:tcPr>
            <w:tcW w:w="71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E7</w:t>
            </w:r>
            <w:r/>
          </w:p>
        </w:tc>
        <w:tc>
          <w:tcPr>
            <w:tcW w:w="2374" w:type="dxa"/>
            <w:vAlign w:val="center"/>
            <w:textDirection w:val="lrTb"/>
            <w:noWrap/>
          </w:tcPr>
          <w:p>
            <w:pPr>
              <w:jc w:val="center"/>
              <w:rPr>
                <w:rFonts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 w:val="21"/>
                <w:szCs w:val="21"/>
                <w:highlight w:val="none"/>
              </w:rPr>
              <w:t xml:space="preserve">通力电梯（直梯）</w:t>
            </w:r>
            <w:r/>
          </w:p>
        </w:tc>
        <w:tc>
          <w:tcPr>
            <w:tcW w:w="1825"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3000 MiniSpace</w:t>
            </w:r>
            <w:r/>
          </w:p>
        </w:tc>
        <w:tc>
          <w:tcPr>
            <w:tcW w:w="1362"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1600</w:t>
            </w:r>
            <w:r/>
          </w:p>
        </w:tc>
        <w:tc>
          <w:tcPr>
            <w:tcW w:w="106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rPr>
              <w:t xml:space="preserve">21</w:t>
            </w:r>
            <w:r/>
          </w:p>
        </w:tc>
      </w:tr>
      <w:tr>
        <w:trPr>
          <w:trHeight w:val="315"/>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14</w:t>
            </w:r>
            <w:r/>
          </w:p>
        </w:tc>
        <w:tc>
          <w:tcPr>
            <w:tcW w:w="71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E3</w:t>
            </w:r>
            <w:r/>
          </w:p>
        </w:tc>
        <w:tc>
          <w:tcPr>
            <w:tcW w:w="2374" w:type="dxa"/>
            <w:vAlign w:val="center"/>
            <w:textDirection w:val="lrTb"/>
            <w:noWrap/>
          </w:tcPr>
          <w:p>
            <w:pPr>
              <w:jc w:val="center"/>
              <w:rPr>
                <w:rFonts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 w:val="21"/>
                <w:szCs w:val="21"/>
                <w:highlight w:val="none"/>
              </w:rPr>
              <w:t xml:space="preserve">通力电梯（直梯）</w:t>
            </w:r>
            <w:r/>
          </w:p>
        </w:tc>
        <w:tc>
          <w:tcPr>
            <w:tcW w:w="1825"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3000 MiniSpace</w:t>
            </w:r>
            <w:r/>
          </w:p>
        </w:tc>
        <w:tc>
          <w:tcPr>
            <w:tcW w:w="1362"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1600</w:t>
            </w:r>
            <w:r/>
          </w:p>
        </w:tc>
        <w:tc>
          <w:tcPr>
            <w:tcW w:w="106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rPr>
              <w:t xml:space="preserve">16</w:t>
            </w:r>
            <w:r/>
          </w:p>
        </w:tc>
      </w:tr>
      <w:tr>
        <w:trPr>
          <w:trHeight w:val="315"/>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15</w:t>
            </w:r>
            <w:r/>
          </w:p>
        </w:tc>
        <w:tc>
          <w:tcPr>
            <w:tcW w:w="71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E4</w:t>
            </w:r>
            <w:r/>
          </w:p>
        </w:tc>
        <w:tc>
          <w:tcPr>
            <w:tcW w:w="2374" w:type="dxa"/>
            <w:vAlign w:val="center"/>
            <w:textDirection w:val="lrTb"/>
            <w:noWrap/>
          </w:tcPr>
          <w:p>
            <w:pPr>
              <w:jc w:val="center"/>
              <w:rPr>
                <w:rFonts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 w:val="21"/>
                <w:szCs w:val="21"/>
                <w:highlight w:val="none"/>
              </w:rPr>
              <w:t xml:space="preserve">通力电梯（直梯）</w:t>
            </w:r>
            <w:r/>
          </w:p>
        </w:tc>
        <w:tc>
          <w:tcPr>
            <w:tcW w:w="1825"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3000 MiniSpace</w:t>
            </w:r>
            <w:r/>
          </w:p>
        </w:tc>
        <w:tc>
          <w:tcPr>
            <w:tcW w:w="1362"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1600</w:t>
            </w:r>
            <w:r/>
          </w:p>
        </w:tc>
        <w:tc>
          <w:tcPr>
            <w:tcW w:w="106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rPr>
              <w:t xml:space="preserve">16</w:t>
            </w:r>
            <w:r/>
          </w:p>
        </w:tc>
      </w:tr>
      <w:tr>
        <w:trPr>
          <w:trHeight w:val="315"/>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16</w:t>
            </w:r>
            <w:r/>
          </w:p>
        </w:tc>
        <w:tc>
          <w:tcPr>
            <w:tcW w:w="71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E8</w:t>
            </w:r>
            <w:r/>
          </w:p>
        </w:tc>
        <w:tc>
          <w:tcPr>
            <w:tcW w:w="2374" w:type="dxa"/>
            <w:vAlign w:val="center"/>
            <w:textDirection w:val="lrTb"/>
            <w:noWrap/>
          </w:tcPr>
          <w:p>
            <w:pPr>
              <w:jc w:val="center"/>
              <w:rPr>
                <w:rFonts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 w:val="21"/>
                <w:szCs w:val="21"/>
                <w:highlight w:val="none"/>
              </w:rPr>
              <w:t xml:space="preserve">通力电梯（</w:t>
            </w:r>
            <w:r>
              <w:rPr>
                <w:rFonts w:hint="eastAsia" w:ascii="Times New Roman" w:hAnsi="Times New Roman" w:cs="Times New Roman"/>
                <w:color w:val="auto"/>
                <w:sz w:val="21"/>
                <w:szCs w:val="21"/>
                <w:highlight w:val="none"/>
                <w:lang w:eastAsia="zh-CN"/>
              </w:rPr>
              <w:t xml:space="preserve">直</w:t>
            </w:r>
            <w:r>
              <w:rPr>
                <w:rFonts w:ascii="Times New Roman" w:hAnsi="Times New Roman" w:cs="Times New Roman"/>
                <w:color w:val="auto"/>
                <w:sz w:val="21"/>
                <w:szCs w:val="21"/>
                <w:highlight w:val="none"/>
              </w:rPr>
              <w:t xml:space="preserve">梯）</w:t>
            </w:r>
            <w:r/>
          </w:p>
        </w:tc>
        <w:tc>
          <w:tcPr>
            <w:tcW w:w="1825"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3000 MiniSpace</w:t>
            </w:r>
            <w:r/>
          </w:p>
        </w:tc>
        <w:tc>
          <w:tcPr>
            <w:tcW w:w="1362"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1600</w:t>
            </w:r>
            <w:r/>
          </w:p>
        </w:tc>
        <w:tc>
          <w:tcPr>
            <w:tcW w:w="106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rPr>
              <w:t xml:space="preserve">16</w:t>
            </w:r>
            <w:r/>
          </w:p>
        </w:tc>
      </w:tr>
      <w:tr>
        <w:trPr>
          <w:trHeight w:val="315"/>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17</w:t>
            </w:r>
            <w:r/>
          </w:p>
        </w:tc>
        <w:tc>
          <w:tcPr>
            <w:tcW w:w="71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E9</w:t>
            </w:r>
            <w:r/>
          </w:p>
        </w:tc>
        <w:tc>
          <w:tcPr>
            <w:tcW w:w="2374" w:type="dxa"/>
            <w:vAlign w:val="center"/>
            <w:textDirection w:val="lrTb"/>
            <w:noWrap/>
          </w:tcPr>
          <w:p>
            <w:pPr>
              <w:jc w:val="center"/>
              <w:rPr>
                <w:rFonts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 w:val="21"/>
                <w:szCs w:val="21"/>
                <w:highlight w:val="none"/>
              </w:rPr>
              <w:t xml:space="preserve">通力电梯（</w:t>
            </w:r>
            <w:r>
              <w:rPr>
                <w:rFonts w:hint="eastAsia" w:ascii="Times New Roman" w:hAnsi="Times New Roman" w:cs="Times New Roman"/>
                <w:color w:val="auto"/>
                <w:sz w:val="21"/>
                <w:szCs w:val="21"/>
                <w:highlight w:val="none"/>
                <w:lang w:eastAsia="zh-CN"/>
              </w:rPr>
              <w:t xml:space="preserve">直</w:t>
            </w:r>
            <w:r>
              <w:rPr>
                <w:rFonts w:ascii="Times New Roman" w:hAnsi="Times New Roman" w:cs="Times New Roman"/>
                <w:color w:val="auto"/>
                <w:sz w:val="21"/>
                <w:szCs w:val="21"/>
                <w:highlight w:val="none"/>
              </w:rPr>
              <w:t xml:space="preserve">梯）</w:t>
            </w:r>
            <w:r/>
          </w:p>
        </w:tc>
        <w:tc>
          <w:tcPr>
            <w:tcW w:w="1825"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3000 MiniSpace</w:t>
            </w:r>
            <w:r/>
          </w:p>
        </w:tc>
        <w:tc>
          <w:tcPr>
            <w:tcW w:w="1362"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1600</w:t>
            </w:r>
            <w:r/>
          </w:p>
        </w:tc>
        <w:tc>
          <w:tcPr>
            <w:tcW w:w="106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rPr>
              <w:t xml:space="preserve">16</w:t>
            </w:r>
            <w:r/>
          </w:p>
        </w:tc>
      </w:tr>
      <w:tr>
        <w:trPr>
          <w:trHeight w:val="315"/>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18</w:t>
            </w:r>
            <w:r/>
          </w:p>
        </w:tc>
        <w:tc>
          <w:tcPr>
            <w:tcW w:w="71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AW1</w:t>
            </w:r>
            <w:r/>
          </w:p>
        </w:tc>
        <w:tc>
          <w:tcPr>
            <w:tcW w:w="2374" w:type="dxa"/>
            <w:vAlign w:val="center"/>
            <w:textDirection w:val="lrTb"/>
            <w:noWrap/>
          </w:tcPr>
          <w:p>
            <w:pPr>
              <w:jc w:val="center"/>
              <w:rPr>
                <w:rFonts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 w:val="21"/>
                <w:szCs w:val="21"/>
                <w:highlight w:val="none"/>
              </w:rPr>
              <w:t xml:space="preserve">通力电梯（</w:t>
            </w:r>
            <w:r>
              <w:rPr>
                <w:rFonts w:hint="eastAsia" w:ascii="Times New Roman" w:hAnsi="Times New Roman" w:cs="Times New Roman"/>
                <w:color w:val="auto"/>
                <w:sz w:val="21"/>
                <w:szCs w:val="21"/>
                <w:highlight w:val="none"/>
                <w:lang w:eastAsia="zh-CN"/>
              </w:rPr>
              <w:t xml:space="preserve">直</w:t>
            </w:r>
            <w:r>
              <w:rPr>
                <w:rFonts w:ascii="Times New Roman" w:hAnsi="Times New Roman" w:cs="Times New Roman"/>
                <w:color w:val="auto"/>
                <w:sz w:val="21"/>
                <w:szCs w:val="21"/>
                <w:highlight w:val="none"/>
              </w:rPr>
              <w:t xml:space="preserve">梯）</w:t>
            </w:r>
            <w:r/>
          </w:p>
        </w:tc>
        <w:tc>
          <w:tcPr>
            <w:tcW w:w="1825"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3000 MiniSpace</w:t>
            </w:r>
            <w:r/>
          </w:p>
        </w:tc>
        <w:tc>
          <w:tcPr>
            <w:tcW w:w="1362"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1600</w:t>
            </w:r>
            <w:r/>
          </w:p>
        </w:tc>
        <w:tc>
          <w:tcPr>
            <w:tcW w:w="106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rPr>
              <w:t xml:space="preserve">21</w:t>
            </w:r>
            <w:r/>
          </w:p>
        </w:tc>
      </w:tr>
      <w:tr>
        <w:trPr>
          <w:trHeight w:val="348"/>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19</w:t>
            </w:r>
            <w:r/>
          </w:p>
        </w:tc>
        <w:tc>
          <w:tcPr>
            <w:tcW w:w="71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AC1</w:t>
            </w:r>
            <w:r/>
          </w:p>
        </w:tc>
        <w:tc>
          <w:tcPr>
            <w:tcW w:w="2374" w:type="dxa"/>
            <w:vAlign w:val="center"/>
            <w:textDirection w:val="lrTb"/>
            <w:noWrap/>
          </w:tcPr>
          <w:p>
            <w:pPr>
              <w:jc w:val="center"/>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color w:val="auto"/>
                <w:sz w:val="21"/>
                <w:szCs w:val="21"/>
                <w:highlight w:val="none"/>
                <w:lang w:val="en-US" w:eastAsia="zh-CN" w:bidi="ar-SA"/>
              </w:rPr>
              <w:t xml:space="preserve">杂物梯</w:t>
            </w:r>
            <w:r/>
          </w:p>
        </w:tc>
        <w:tc>
          <w:tcPr>
            <w:tcW w:w="1825"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LIFT 250</w:t>
            </w:r>
            <w:r/>
          </w:p>
        </w:tc>
        <w:tc>
          <w:tcPr>
            <w:tcW w:w="1362" w:type="dxa"/>
            <w:vAlign w:val="center"/>
            <w:textDirection w:val="lrTb"/>
            <w:noWrap/>
          </w:tcPr>
          <w:p>
            <w:pPr>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250</w:t>
            </w:r>
            <w:r/>
          </w:p>
        </w:tc>
        <w:tc>
          <w:tcPr>
            <w:tcW w:w="1063"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rPr>
              <w:t xml:space="preserve">18</w:t>
            </w:r>
            <w:r/>
          </w:p>
        </w:tc>
      </w:tr>
    </w:tbl>
    <w:p>
      <w:pPr>
        <w:pStyle w:val="686"/>
        <w:numPr>
          <w:ilvl w:val="0"/>
          <w:numId w:val="0"/>
        </w:numPr>
        <w:ind w:right="-159"/>
        <w:rPr>
          <w:color w:val="auto"/>
          <w:highlight w:val="none"/>
        </w:rPr>
      </w:pPr>
      <w:r>
        <w:rPr>
          <w:color w:val="auto"/>
          <w:highlight w:val="none"/>
        </w:rPr>
      </w:r>
      <w:r/>
    </w:p>
    <w:p>
      <w:pPr>
        <w:numPr>
          <w:ilvl w:val="0"/>
          <w:numId w:val="0"/>
        </w:numPr>
        <w:ind w:left="0" w:firstLine="359"/>
        <w:keepLines w:val="0"/>
        <w:keepNext w:val="0"/>
        <w:pageBreakBefore w:val="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cs="宋体"/>
          <w:color w:val="auto"/>
          <w:szCs w:val="21"/>
          <w:highlight w:val="none"/>
        </w:rPr>
        <w:t xml:space="preserve">景德路门诊部2台</w:t>
      </w:r>
      <w:r/>
    </w:p>
    <w:tbl>
      <w:tblPr>
        <w:tblStyle w:val="685"/>
        <w:tblW w:w="8750" w:type="dxa"/>
        <w:tblInd w:w="9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59"/>
        <w:gridCol w:w="713"/>
        <w:gridCol w:w="1909"/>
        <w:gridCol w:w="1752"/>
        <w:gridCol w:w="1208"/>
        <w:gridCol w:w="876"/>
        <w:gridCol w:w="1633"/>
      </w:tblGrid>
      <w:tr>
        <w:trPr>
          <w:trHeight w:val="465"/>
        </w:trPr>
        <w:tc>
          <w:tcPr>
            <w:gridSpan w:val="7"/>
            <w:tcW w:w="8750"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苏州市中医院电梯使用明细表</w:t>
            </w:r>
            <w:r/>
          </w:p>
        </w:tc>
      </w:tr>
      <w:tr>
        <w:trPr>
          <w:trHeight w:val="315"/>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编号</w:t>
            </w:r>
            <w:r/>
          </w:p>
        </w:tc>
        <w:tc>
          <w:tcPr>
            <w:tcW w:w="713"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梯号</w:t>
            </w:r>
            <w:r/>
          </w:p>
        </w:tc>
        <w:tc>
          <w:tcPr>
            <w:tcW w:w="190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制造单位品牌</w:t>
            </w:r>
            <w:r/>
          </w:p>
        </w:tc>
        <w:tc>
          <w:tcPr>
            <w:tcW w:w="1752"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型号</w:t>
            </w:r>
            <w:r/>
          </w:p>
        </w:tc>
        <w:tc>
          <w:tcPr>
            <w:tcW w:w="1208"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载重KG</w:t>
            </w:r>
            <w:r/>
          </w:p>
        </w:tc>
        <w:tc>
          <w:tcPr>
            <w:tcW w:w="876"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层站门</w:t>
            </w:r>
            <w:r/>
          </w:p>
        </w:tc>
        <w:tc>
          <w:tcPr>
            <w:tcW w:w="1633"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位置</w:t>
            </w:r>
            <w:r/>
          </w:p>
        </w:tc>
      </w:tr>
      <w:tr>
        <w:trPr>
          <w:trHeight w:val="315"/>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w:t>
            </w:r>
            <w:r/>
          </w:p>
        </w:tc>
        <w:tc>
          <w:tcPr>
            <w:tcW w:w="713" w:type="dxa"/>
            <w:vAlign w:val="center"/>
            <w:textDirection w:val="lrTb"/>
            <w:noWrap/>
          </w:tcPr>
          <w:p>
            <w:pPr>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L1</w:t>
            </w:r>
            <w:r/>
          </w:p>
        </w:tc>
        <w:tc>
          <w:tcPr>
            <w:tcW w:w="1909"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rPr>
              <w:t xml:space="preserve">帝奥</w:t>
            </w:r>
            <w:r/>
          </w:p>
        </w:tc>
        <w:tc>
          <w:tcPr>
            <w:tcW w:w="1752" w:type="dxa"/>
            <w:vAlign w:val="center"/>
            <w:textDirection w:val="lrTb"/>
            <w:noWrap/>
          </w:tcPr>
          <w:p>
            <w:pPr>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THJ</w:t>
            </w:r>
            <w:r/>
          </w:p>
        </w:tc>
        <w:tc>
          <w:tcPr>
            <w:tcW w:w="1208" w:type="dxa"/>
            <w:vAlign w:val="center"/>
            <w:textDirection w:val="lrTb"/>
            <w:noWrap/>
          </w:tcPr>
          <w:p>
            <w:pPr>
              <w:jc w:val="center"/>
              <w:rPr>
                <w:rFonts w:hint="default"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2000</w:t>
            </w:r>
            <w:r/>
          </w:p>
        </w:tc>
        <w:tc>
          <w:tcPr>
            <w:tcW w:w="876"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4</w:t>
            </w:r>
            <w:r/>
          </w:p>
        </w:tc>
        <w:tc>
          <w:tcPr>
            <w:tcW w:w="1633" w:type="dxa"/>
            <w:vAlign w:val="center"/>
            <w:textDirection w:val="lrTb"/>
            <w:noWrap/>
          </w:tcPr>
          <w:p>
            <w:pPr>
              <w:jc w:val="center"/>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 xml:space="preserve">制剂楼</w:t>
            </w:r>
            <w:r/>
          </w:p>
        </w:tc>
      </w:tr>
      <w:tr>
        <w:trPr>
          <w:trHeight w:val="315"/>
        </w:trPr>
        <w:tc>
          <w:tcPr>
            <w:tcW w:w="65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2</w:t>
            </w:r>
            <w:r/>
          </w:p>
        </w:tc>
        <w:tc>
          <w:tcPr>
            <w:tcW w:w="713" w:type="dxa"/>
            <w:vAlign w:val="center"/>
            <w:textDirection w:val="lrTb"/>
            <w:noWrap/>
          </w:tcPr>
          <w:p>
            <w:pPr>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L2</w:t>
            </w:r>
            <w:r/>
          </w:p>
        </w:tc>
        <w:tc>
          <w:tcPr>
            <w:tcW w:w="1909"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rPr>
              <w:t xml:space="preserve">三星</w:t>
            </w:r>
            <w:r/>
          </w:p>
        </w:tc>
        <w:tc>
          <w:tcPr>
            <w:tcW w:w="1752" w:type="dxa"/>
            <w:vAlign w:val="center"/>
            <w:textDirection w:val="lrTb"/>
            <w:noWrap/>
          </w:tcPr>
          <w:p>
            <w:pPr>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GPX1050/1.0-K</w:t>
            </w:r>
            <w:r/>
          </w:p>
        </w:tc>
        <w:tc>
          <w:tcPr>
            <w:tcW w:w="1208" w:type="dxa"/>
            <w:vAlign w:val="center"/>
            <w:textDirection w:val="lrTb"/>
            <w:noWrap/>
          </w:tcPr>
          <w:p>
            <w:pPr>
              <w:jc w:val="center"/>
              <w:rPr>
                <w:rFonts w:hint="default"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1050</w:t>
            </w:r>
            <w:r/>
          </w:p>
        </w:tc>
        <w:tc>
          <w:tcPr>
            <w:tcW w:w="876"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5</w:t>
            </w:r>
            <w:r/>
          </w:p>
        </w:tc>
        <w:tc>
          <w:tcPr>
            <w:tcW w:w="1633" w:type="dxa"/>
            <w:vAlign w:val="center"/>
            <w:textDirection w:val="lrTb"/>
            <w:noWrap/>
          </w:tcPr>
          <w:p>
            <w:pPr>
              <w:jc w:val="center"/>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 xml:space="preserve">景德路门诊部</w:t>
            </w:r>
            <w:r/>
          </w:p>
        </w:tc>
      </w:tr>
    </w:tbl>
    <w:p>
      <w:pPr>
        <w:pStyle w:val="686"/>
        <w:numPr>
          <w:ilvl w:val="0"/>
          <w:numId w:val="0"/>
        </w:numPr>
        <w:ind w:right="-159"/>
        <w:rPr>
          <w:color w:val="auto"/>
          <w:highlight w:val="none"/>
        </w:rPr>
      </w:pPr>
      <w:r>
        <w:rPr>
          <w:color w:val="auto"/>
          <w:highlight w:val="none"/>
        </w:rPr>
      </w:r>
      <w:r/>
    </w:p>
    <w:p>
      <w:pPr>
        <w:numPr>
          <w:ilvl w:val="0"/>
          <w:numId w:val="0"/>
        </w:numPr>
        <w:ind w:left="0" w:firstLine="359"/>
        <w:keepLines w:val="0"/>
        <w:keepNext w:val="0"/>
        <w:pageBreakBefore w:val="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cs="宋体"/>
          <w:color w:val="auto"/>
          <w:szCs w:val="21"/>
          <w:highlight w:val="none"/>
        </w:rPr>
        <w:t xml:space="preserve">吴中西路公安局2台</w:t>
      </w:r>
      <w:r/>
    </w:p>
    <w:tbl>
      <w:tblPr>
        <w:tblStyle w:val="685"/>
        <w:tblW w:w="842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327"/>
        <w:gridCol w:w="713"/>
        <w:gridCol w:w="1909"/>
        <w:gridCol w:w="1208"/>
        <w:gridCol w:w="876"/>
        <w:gridCol w:w="2387"/>
      </w:tblGrid>
      <w:tr>
        <w:trPr>
          <w:jc w:val="center"/>
          <w:trHeight w:val="315"/>
        </w:trPr>
        <w:tc>
          <w:tcPr>
            <w:gridSpan w:val="6"/>
            <w:tcW w:w="8420"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苏州市中医院电梯使用明细表</w:t>
            </w:r>
            <w:r/>
          </w:p>
        </w:tc>
      </w:tr>
      <w:tr>
        <w:trPr>
          <w:jc w:val="center"/>
          <w:trHeight w:val="315"/>
        </w:trPr>
        <w:tc>
          <w:tcPr>
            <w:tcW w:w="1327"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编号</w:t>
            </w:r>
            <w:r/>
          </w:p>
        </w:tc>
        <w:tc>
          <w:tcPr>
            <w:tcW w:w="713"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梯号</w:t>
            </w:r>
            <w:r/>
          </w:p>
        </w:tc>
        <w:tc>
          <w:tcPr>
            <w:tcW w:w="1909"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制造单位品牌</w:t>
            </w:r>
            <w:r/>
          </w:p>
        </w:tc>
        <w:tc>
          <w:tcPr>
            <w:tcW w:w="1208"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载重KG</w:t>
            </w:r>
            <w:r/>
          </w:p>
        </w:tc>
        <w:tc>
          <w:tcPr>
            <w:tcW w:w="876"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层站门</w:t>
            </w:r>
            <w:r/>
          </w:p>
        </w:tc>
        <w:tc>
          <w:tcPr>
            <w:tcW w:w="2387"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位置</w:t>
            </w:r>
            <w:r/>
          </w:p>
        </w:tc>
      </w:tr>
      <w:tr>
        <w:trPr>
          <w:jc w:val="center"/>
          <w:trHeight w:val="315"/>
        </w:trPr>
        <w:tc>
          <w:tcPr>
            <w:tcW w:w="1327"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w:t>
            </w:r>
            <w:r/>
          </w:p>
        </w:tc>
        <w:tc>
          <w:tcPr>
            <w:tcW w:w="713" w:type="dxa"/>
            <w:vAlign w:val="center"/>
            <w:textDirection w:val="lrTb"/>
            <w:noWrap/>
          </w:tcPr>
          <w:p>
            <w:pPr>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L1</w:t>
            </w:r>
            <w:r/>
          </w:p>
        </w:tc>
        <w:tc>
          <w:tcPr>
            <w:tcW w:w="1909"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迅达</w:t>
            </w:r>
            <w:r/>
          </w:p>
        </w:tc>
        <w:tc>
          <w:tcPr>
            <w:tcW w:w="1208" w:type="dxa"/>
            <w:vAlign w:val="center"/>
            <w:textDirection w:val="lrTb"/>
            <w:noWrap/>
          </w:tcPr>
          <w:p>
            <w:pPr>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1000</w:t>
            </w:r>
            <w:r/>
          </w:p>
        </w:tc>
        <w:tc>
          <w:tcPr>
            <w:tcW w:w="876"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6</w:t>
            </w:r>
            <w:r/>
          </w:p>
        </w:tc>
        <w:tc>
          <w:tcPr>
            <w:tcW w:w="2387" w:type="dxa"/>
            <w:vAlign w:val="center"/>
            <w:textDirection w:val="lrTb"/>
            <w:noWrap/>
          </w:tcPr>
          <w:p>
            <w:pPr>
              <w:jc w:val="center"/>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吴中西路公安局</w:t>
            </w:r>
            <w:r/>
          </w:p>
        </w:tc>
      </w:tr>
      <w:tr>
        <w:trPr>
          <w:jc w:val="center"/>
          <w:trHeight w:val="315"/>
        </w:trPr>
        <w:tc>
          <w:tcPr>
            <w:tcW w:w="1327" w:type="dxa"/>
            <w:vAlign w:val="center"/>
            <w:textDirection w:val="lrTb"/>
            <w:noWrap/>
          </w:tcPr>
          <w:p>
            <w:pPr>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2</w:t>
            </w:r>
            <w:r/>
          </w:p>
        </w:tc>
        <w:tc>
          <w:tcPr>
            <w:tcW w:w="713" w:type="dxa"/>
            <w:vAlign w:val="center"/>
            <w:textDirection w:val="lrTb"/>
            <w:noWrap/>
          </w:tcPr>
          <w:p>
            <w:pPr>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L2</w:t>
            </w:r>
            <w:r/>
          </w:p>
        </w:tc>
        <w:tc>
          <w:tcPr>
            <w:tcW w:w="1909"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eastAsia="zh-CN"/>
              </w:rPr>
              <w:t xml:space="preserve">西继</w:t>
            </w:r>
            <w:r>
              <w:rPr>
                <w:rFonts w:hint="eastAsia" w:ascii="Times New Roman" w:hAnsi="Times New Roman" w:cs="Times New Roman"/>
                <w:color w:val="auto"/>
                <w:sz w:val="21"/>
                <w:szCs w:val="21"/>
                <w:highlight w:val="none"/>
                <w:lang w:val="en-US" w:eastAsia="zh-CN"/>
              </w:rPr>
              <w:t xml:space="preserve">迅达</w:t>
            </w:r>
            <w:r/>
          </w:p>
        </w:tc>
        <w:tc>
          <w:tcPr>
            <w:tcW w:w="1208" w:type="dxa"/>
            <w:vAlign w:val="center"/>
            <w:textDirection w:val="lrTb"/>
            <w:noWrap/>
          </w:tcPr>
          <w:p>
            <w:pPr>
              <w:jc w:val="center"/>
              <w:rPr>
                <w:rFonts w:hint="default"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rPr>
              <w:t xml:space="preserve">1</w:t>
            </w:r>
            <w:r>
              <w:rPr>
                <w:rFonts w:hint="eastAsia" w:ascii="Times New Roman" w:hAnsi="Times New Roman" w:cs="Times New Roman"/>
                <w:color w:val="auto"/>
                <w:sz w:val="21"/>
                <w:szCs w:val="21"/>
                <w:highlight w:val="none"/>
                <w:lang w:val="en-US" w:eastAsia="zh-CN"/>
              </w:rPr>
              <w:t xml:space="preserve">150</w:t>
            </w:r>
            <w:r/>
          </w:p>
        </w:tc>
        <w:tc>
          <w:tcPr>
            <w:tcW w:w="876" w:type="dxa"/>
            <w:vAlign w:val="center"/>
            <w:textDirection w:val="lrTb"/>
            <w:noWrap/>
          </w:tcPr>
          <w:p>
            <w:pPr>
              <w:jc w:val="center"/>
              <w:rPr>
                <w:rFonts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5</w:t>
            </w:r>
            <w:r/>
          </w:p>
        </w:tc>
        <w:tc>
          <w:tcPr>
            <w:tcW w:w="2387" w:type="dxa"/>
            <w:vAlign w:val="center"/>
            <w:textDirection w:val="lrTb"/>
            <w:noWrap/>
          </w:tcPr>
          <w:p>
            <w:pPr>
              <w:jc w:val="center"/>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吴中西路公安局</w:t>
            </w:r>
            <w:r/>
          </w:p>
        </w:tc>
      </w:tr>
    </w:tbl>
    <w:p>
      <w:pPr>
        <w:pStyle w:val="686"/>
        <w:numPr>
          <w:ilvl w:val="0"/>
          <w:numId w:val="0"/>
        </w:numPr>
        <w:ind w:right="-159"/>
        <w:rPr>
          <w:color w:val="auto"/>
          <w:highlight w:val="none"/>
        </w:rPr>
      </w:pPr>
      <w:r>
        <w:rPr>
          <w:color w:val="auto"/>
          <w:highlight w:val="none"/>
        </w:rPr>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（三）服务质量要求：</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实施日常维护保养后的电梯应当符合《中华人民共和国特种设备安全法》、《特种设备安全监察条例》（国务院令第549号）、《电梯使用管理与维护保养规则》《电梯制造与安装安全规范》和《自动扶梯和自动人行道的制造与安装安全规范》的相关规定。</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1.维保时应严格按国家规定的电梯周期保养报告并做好例行维修、保养工作。</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2.投标方应提供日间2名专职员工驻场维保服务，实习生除外，不得院外兼职，不得兼修非本院电梯，并提供24小时紧急召修服务，接到采购人召修电话通知后，电梯困人在30分钟内到达现场解决，一般故障在</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分钟内到达现场解决。日常保养服务不得影响院方正常医疗业务的开展，工作时间无法停梯保养的，应延后至非工作高峰时段或非工作时段进行。驻场员工费用（含各类社保、保险等费用）由投标方承担。</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3.在当地政府主管部门对设备年检前，投标人将对设备进行一次全面的检查，以使设备顺利通过年检。</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4.维保期内配合采购人通过对设备的年检，负责年检中发生的属本合同范围内的整改工作。每年年检发生的年检费用及相关费用应由投标人承担，如因保养不当原因发生复检，复检费用及其他费用由投标人承担。</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5.由于失职造成设备的损坏，由投标人承担费用，负责修复或更换。</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6.维保工作和抢修工作完毕后须通知采购人，并在电梯周期保养报告和应急外出服务处理单上进行签字确认。</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8.在维保时应在现场设置警告标语及防护栏，防止其他无关人员进入维保或抢修现场。</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9.采用综合全包维保模式，投标人免费更换电梯维修所有零配件（包含主机马达、钢丝绳、随行电缆、补偿链、曳引主机、扶手带、照明灯具、紫外线灯、梯控、监控、轿厢饰面、装潢、栏杆、门槛石、地面大理石、地面PVC地板、镜面、内呼刷卡设备、外呼刷卡设备、轿厢厢门、扶梯踏板、扶梯主机轴承、扶梯梯级等所有零配件及人工）。电梯维保大件采购及安装完毕时间原则上不超过一周。</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10.重要维修配件必须保证备品充足，满足抢修需要。</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11.本项目服务人员不得有任何社会兼职。</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12.院方为中标方提供必要的工作和休息场所。</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（四）维保要求：</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1.例行维保工作</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（1）按照国家相关规定，须派专业人员对上述设备提供至少每15天1次的例行保养工作，其中包括对设备机件的安全及功能清洁、调整、检查及润滑，各类维保记录应及时、详细登记以备查验。</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（2）电梯采用全保服务，所有配件、辅料由维保单位提供，价格包含在报价中。</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（3）对所维保的电梯常用配件需有一定库存。</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（4）必须配合医院相应的检查及测试工作。</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2.24小时紧急修理服务</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须提供全日24小时紧急修理服务，采购人若发现维保设备发生故障或有不正常运行现象，中标单位应该在10分钟内到达现场处理故障。若有乘客困于设备内，中标单位必须承诺在30分钟内到达现场处理故障。如因维保单位维修不及时所造成的损失由维保单位负责。</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3.需负责所维保的电梯通过苏州市技术监督局每年一次的年检，如通过年检，年检费用由采购人承担；如不通过所需一切费用由维保单位负责。如年检不合格，年检费用由维保单位承担。采购人有权扣除全年维保费用并终止维保合同。如年检未及时完成，视同年检不合格，所引起的社会、安全、经济等一切责任均由投标单位承担，采购人保留进行法律诉讼的权利。</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4.为保护电梯原有生产厂商的技术专利，被更换的零件涉及技术专利的，应按国家相关规定执行。</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5.每次执行维保任务时，必须持有致采购人的联系单（写明维保内容、执行情况、维保人、时间等），经采购人签字确认后作为合同考核及付款凭证，未经采购人确认的，视为无效维护，不计入考核和付款凭证。</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6.中标方应参照国家法律法规、行业规范制定详细的维保计划、安全施工计划和岗位职责说明，在施工中应严格按相关规定执行，如发生施工安全问题，由此造成的人身和财产损失及责任全部由中标单位自行承担。</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7.在接到医院三次通知和催促后仍未能及时前来维修，或两次以上未能修复的，采购人有权请第三方介入维修，由此引起的费用由中标单位支付，或在当年维保费中扣除。</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8.所有维保设备完好率要通过医院考核，相同（相似）设备同一故障发生两次以上，视为保养失误，由此引起的配件费用由中标单位承担，采购人还有权扣除相应的维保费用。</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9.设备运转率要求：中标单位须保证维保设备运转率达到或高于99%。若维保设备在1个维保年度内低于此运转率时，采购人将按每降低1%扣除维保服务费人民币200.00元，扣除金额于本年度的维保服务费中扣除。</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设备运转率 = 365天 x 24小时 – 停梯时间 /365天 x 24小时 ×100%</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停梯时间仅包括例行保养时间及由于中标单位维保原因导致的故障修理中的设备停用时间，但不包括因不正常使用、不可抗力、故意破坏等任何非中标单位原因导致和经采购人同意的设备工程的设备停用时间。</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（五）其他</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1.报价为承包维保期的总费用，会上一次性报价；</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2.报价金额大小写不一致时，以大写金额为准；</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3.报价金额全部采用人民币表示，报价精确到分；</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4.本报价的服务方式为全包保养（含年检、磅机校验、限速器校验、载重校验等）；</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5.本报价总价已包含所需缴纳的国家规定的各类税费；</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6.本报价总价已包含所需的人员工资、维修保养中所需的耗材（润滑油、保养清洁用品等）；</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7.服务期内如遇国家最低工资标准和社会保险缴费基数调整，由中标人负责，采购人不再给予中标人相应调整。</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（六）考核要求：</w:t>
      </w:r>
      <w:r>
        <w:rPr>
          <w:rFonts w:hint="eastAsia" w:ascii="宋体" w:hAnsi="宋体"/>
          <w:color w:val="auto"/>
          <w:szCs w:val="21"/>
          <w:highlight w:val="none"/>
        </w:rPr>
        <w:t xml:space="preserve">医院对服务方进行月度考核，考核结果与当月度费用结算挂钩。</w:t>
      </w:r>
      <w:r/>
    </w:p>
    <w:tbl>
      <w:tblPr>
        <w:tblStyle w:val="685"/>
        <w:tblpPr w:horzAnchor="page" w:tblpX="1951" w:vertAnchor="text" w:tblpY="622" w:leftFromText="180" w:topFromText="0" w:rightFromText="180" w:bottomFromText="0"/>
        <w:tblW w:w="8745" w:type="dxa"/>
        <w:tblInd w:w="0" w:type="dxa"/>
        <w:tblLayout w:type="fixed"/>
        <w:tblCellMar>
          <w:left w:w="108" w:type="dxa"/>
          <w:top w:w="0" w:type="dxa"/>
          <w:right w:w="108" w:type="dxa"/>
          <w:bottom w:w="0" w:type="dxa"/>
        </w:tblCellMar>
        <w:tblLook w:val="04A0" w:firstRow="1" w:lastRow="0" w:firstColumn="1" w:lastColumn="0" w:noHBand="0" w:noVBand="1"/>
      </w:tblPr>
      <w:tblGrid>
        <w:gridCol w:w="750"/>
        <w:gridCol w:w="3420"/>
        <w:gridCol w:w="767"/>
        <w:gridCol w:w="2923"/>
        <w:gridCol w:w="885"/>
      </w:tblGrid>
      <w:tr>
        <w:trPr>
          <w:trHeight w:val="465"/>
        </w:trPr>
        <w:tc>
          <w:tcPr>
            <w:gridSpan w:val="5"/>
            <w:tcBorders>
              <w:top w:val="none" w:color="000000" w:sz="4" w:space="0"/>
              <w:left w:val="none" w:color="000000" w:sz="4" w:space="0"/>
              <w:bottom w:val="none" w:color="000000" w:sz="4" w:space="0"/>
              <w:right w:val="none" w:color="000000" w:sz="4" w:space="0"/>
            </w:tcBorders>
            <w:tcW w:w="874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苏州市中医医院社会化部门月度考核表</w:t>
            </w:r>
            <w:r/>
          </w:p>
        </w:tc>
      </w:tr>
      <w:tr>
        <w:trPr>
          <w:trHeight w:val="405"/>
        </w:trPr>
        <w:tc>
          <w:tcPr>
            <w:gridSpan w:val="5"/>
            <w:tcBorders>
              <w:top w:val="none" w:color="000000" w:sz="4" w:space="0"/>
              <w:left w:val="none" w:color="000000" w:sz="4" w:space="0"/>
              <w:bottom w:val="none" w:color="000000" w:sz="4" w:space="0"/>
              <w:right w:val="none" w:color="000000" w:sz="4" w:space="0"/>
            </w:tcBorders>
            <w:tcW w:w="8745" w:type="dxa"/>
            <w:vAlign w:val="center"/>
            <w:textDirection w:val="lrTb"/>
            <w:noWrap/>
          </w:tcPr>
          <w:p>
            <w:pPr>
              <w:jc w:val="righ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年</w:t>
            </w:r>
            <w:r>
              <w:rPr>
                <w:rStyle w:val="1083"/>
                <w:rFonts w:hint="eastAsia" w:ascii="宋体" w:hAnsi="宋体" w:cs="宋体"/>
                <w:b w:val="0"/>
                <w:bCs w:val="0"/>
                <w:color w:val="auto"/>
                <w:sz w:val="21"/>
                <w:szCs w:val="21"/>
                <w:highlight w:val="none"/>
                <w:lang w:bidi="ar"/>
              </w:rPr>
              <w:t xml:space="preserve">      </w:t>
            </w:r>
            <w:r>
              <w:rPr>
                <w:rStyle w:val="1084"/>
                <w:rFonts w:hint="default" w:ascii="宋体" w:hAnsi="宋体" w:eastAsia="宋体" w:cs="宋体"/>
                <w:b w:val="0"/>
                <w:bCs w:val="0"/>
                <w:color w:val="auto"/>
                <w:sz w:val="21"/>
                <w:szCs w:val="21"/>
                <w:highlight w:val="none"/>
                <w:lang w:bidi="ar"/>
              </w:rPr>
              <w:t xml:space="preserve">月</w:t>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扣分项</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说明</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得分</w:t>
            </w:r>
            <w:r/>
          </w:p>
        </w:tc>
      </w:tr>
      <w:tr>
        <w:trP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Style w:val="1085"/>
                <w:rFonts w:hint="default" w:ascii="宋体" w:hAnsi="宋体" w:eastAsia="宋体" w:cs="宋体"/>
                <w:color w:val="auto"/>
                <w:sz w:val="21"/>
                <w:szCs w:val="21"/>
                <w:highlight w:val="none"/>
                <w:lang w:bidi="ar"/>
              </w:rPr>
              <w:t xml:space="preserve">是否按合同约定配备足够数量的具有资质的驻场维保人员</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Style w:val="1085"/>
                <w:rFonts w:hint="default" w:ascii="宋体" w:hAnsi="宋体" w:eastAsia="宋体" w:cs="宋体"/>
                <w:color w:val="auto"/>
                <w:sz w:val="21"/>
                <w:szCs w:val="21"/>
                <w:highlight w:val="none"/>
                <w:lang w:bidi="ar"/>
              </w:rPr>
              <w:t xml:space="preserve">经抽查发现配备不足或资质不足的，每次扣</w:t>
            </w:r>
            <w:r>
              <w:rPr>
                <w:rStyle w:val="1086"/>
                <w:rFonts w:hint="eastAsia" w:ascii="宋体" w:hAnsi="宋体" w:cs="宋体"/>
                <w:color w:val="auto"/>
                <w:sz w:val="21"/>
                <w:szCs w:val="21"/>
                <w:highlight w:val="none"/>
                <w:lang w:bidi="ar"/>
              </w:rPr>
              <w:t xml:space="preserve">2</w:t>
            </w:r>
            <w:r>
              <w:rPr>
                <w:rStyle w:val="1085"/>
                <w:rFonts w:hint="default" w:ascii="宋体" w:hAnsi="宋体" w:eastAsia="宋体" w:cs="宋体"/>
                <w:color w:val="auto"/>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Style w:val="1085"/>
                <w:rFonts w:hint="default" w:ascii="宋体" w:hAnsi="宋体" w:eastAsia="宋体" w:cs="宋体"/>
                <w:color w:val="auto"/>
                <w:sz w:val="21"/>
                <w:szCs w:val="21"/>
                <w:highlight w:val="none"/>
                <w:lang w:bidi="ar"/>
              </w:rPr>
              <w:t xml:space="preserve">是否按合同约定开展维修、保养工作</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Style w:val="1085"/>
                <w:rFonts w:hint="default" w:ascii="宋体" w:hAnsi="宋体" w:eastAsia="宋体" w:cs="宋体"/>
                <w:color w:val="auto"/>
                <w:sz w:val="21"/>
                <w:szCs w:val="21"/>
                <w:highlight w:val="none"/>
                <w:lang w:bidi="ar"/>
              </w:rPr>
              <w:t xml:space="preserve">经抽查发现维修、保养不到位或记录不全的，每次扣</w:t>
            </w:r>
            <w:r>
              <w:rPr>
                <w:rStyle w:val="1086"/>
                <w:rFonts w:hint="eastAsia" w:ascii="宋体" w:hAnsi="宋体" w:cs="宋体"/>
                <w:color w:val="auto"/>
                <w:sz w:val="21"/>
                <w:szCs w:val="21"/>
                <w:highlight w:val="none"/>
                <w:lang w:bidi="ar"/>
              </w:rPr>
              <w:t xml:space="preserve">2</w:t>
            </w:r>
            <w:r>
              <w:rPr>
                <w:rStyle w:val="1085"/>
                <w:rFonts w:hint="default" w:ascii="宋体" w:hAnsi="宋体" w:eastAsia="宋体" w:cs="宋体"/>
                <w:color w:val="auto"/>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Style w:val="1085"/>
                <w:rFonts w:hint="default" w:ascii="宋体" w:hAnsi="宋体" w:eastAsia="宋体" w:cs="宋体"/>
                <w:color w:val="auto"/>
                <w:sz w:val="21"/>
                <w:szCs w:val="21"/>
                <w:highlight w:val="none"/>
                <w:lang w:bidi="ar"/>
              </w:rPr>
              <w:t xml:space="preserve">是否按合同约定做好应急处置工作</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Style w:val="1085"/>
                <w:rFonts w:hint="default" w:ascii="宋体" w:hAnsi="宋体" w:eastAsia="宋体" w:cs="宋体"/>
                <w:color w:val="auto"/>
                <w:sz w:val="21"/>
                <w:szCs w:val="21"/>
                <w:highlight w:val="none"/>
                <w:lang w:bidi="ar"/>
              </w:rPr>
              <w:t xml:space="preserve">发生紧急情况未按合同约定及时处置的，每次扣</w:t>
            </w:r>
            <w:r>
              <w:rPr>
                <w:rStyle w:val="1086"/>
                <w:rFonts w:hint="eastAsia" w:ascii="宋体" w:hAnsi="宋体" w:cs="宋体"/>
                <w:color w:val="auto"/>
                <w:sz w:val="21"/>
                <w:szCs w:val="21"/>
                <w:highlight w:val="none"/>
                <w:lang w:bidi="ar"/>
              </w:rPr>
              <w:t xml:space="preserve">2</w:t>
            </w:r>
            <w:r>
              <w:rPr>
                <w:rStyle w:val="1085"/>
                <w:rFonts w:hint="default" w:ascii="宋体" w:hAnsi="宋体" w:eastAsia="宋体" w:cs="宋体"/>
                <w:color w:val="auto"/>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Style w:val="1085"/>
                <w:rFonts w:hint="default" w:ascii="宋体" w:hAnsi="宋体" w:eastAsia="宋体" w:cs="宋体"/>
                <w:color w:val="auto"/>
                <w:sz w:val="21"/>
                <w:szCs w:val="21"/>
                <w:highlight w:val="none"/>
                <w:lang w:bidi="ar"/>
              </w:rPr>
              <w:t xml:space="preserve">备品、备件管理</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Style w:val="1085"/>
                <w:rFonts w:hint="default" w:ascii="宋体" w:hAnsi="宋体" w:eastAsia="宋体" w:cs="宋体"/>
                <w:color w:val="auto"/>
                <w:sz w:val="21"/>
                <w:szCs w:val="21"/>
                <w:highlight w:val="none"/>
                <w:lang w:bidi="ar"/>
              </w:rPr>
              <w:t xml:space="preserve">经抽查发现备品、备件不足的每次扣</w:t>
            </w:r>
            <w:r>
              <w:rPr>
                <w:rStyle w:val="1086"/>
                <w:rFonts w:hint="eastAsia" w:ascii="宋体" w:hAnsi="宋体" w:cs="宋体"/>
                <w:color w:val="auto"/>
                <w:sz w:val="21"/>
                <w:szCs w:val="21"/>
                <w:highlight w:val="none"/>
                <w:lang w:bidi="ar"/>
              </w:rPr>
              <w:t xml:space="preserve">2</w:t>
            </w:r>
            <w:r>
              <w:rPr>
                <w:rStyle w:val="1085"/>
                <w:rFonts w:hint="default" w:ascii="宋体" w:hAnsi="宋体" w:eastAsia="宋体" w:cs="宋体"/>
                <w:color w:val="auto"/>
                <w:sz w:val="21"/>
                <w:szCs w:val="21"/>
                <w:highlight w:val="none"/>
                <w:lang w:bidi="ar"/>
              </w:rPr>
              <w:t xml:space="preserve">分；使用不合格产品的，每次扣</w:t>
            </w:r>
            <w:r>
              <w:rPr>
                <w:rStyle w:val="1086"/>
                <w:rFonts w:hint="eastAsia" w:ascii="宋体" w:hAnsi="宋体" w:cs="宋体"/>
                <w:color w:val="auto"/>
                <w:sz w:val="21"/>
                <w:szCs w:val="21"/>
                <w:highlight w:val="none"/>
                <w:lang w:bidi="ar"/>
              </w:rPr>
              <w:t xml:space="preserve">10</w:t>
            </w:r>
            <w:r>
              <w:rPr>
                <w:rStyle w:val="1085"/>
                <w:rFonts w:hint="default" w:ascii="宋体" w:hAnsi="宋体" w:eastAsia="宋体" w:cs="宋体"/>
                <w:color w:val="auto"/>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Style w:val="1085"/>
                <w:rFonts w:hint="default" w:ascii="宋体" w:hAnsi="宋体" w:eastAsia="宋体" w:cs="宋体"/>
                <w:color w:val="auto"/>
                <w:sz w:val="21"/>
                <w:szCs w:val="21"/>
                <w:highlight w:val="none"/>
                <w:lang w:bidi="ar"/>
              </w:rPr>
              <w:t xml:space="preserve">是否落实安全生产责任</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Style w:val="1085"/>
                <w:rFonts w:hint="default" w:ascii="宋体" w:hAnsi="宋体" w:eastAsia="宋体" w:cs="宋体"/>
                <w:color w:val="auto"/>
                <w:sz w:val="21"/>
                <w:szCs w:val="21"/>
                <w:highlight w:val="none"/>
                <w:lang w:bidi="ar"/>
              </w:rPr>
              <w:t xml:space="preserve">经抽查发现未按规范操作、工作中存在安全生产隐患的，每次扣</w:t>
            </w:r>
            <w:r>
              <w:rPr>
                <w:rStyle w:val="1086"/>
                <w:rFonts w:hint="eastAsia" w:ascii="宋体" w:hAnsi="宋体" w:cs="宋体"/>
                <w:color w:val="auto"/>
                <w:sz w:val="21"/>
                <w:szCs w:val="21"/>
                <w:highlight w:val="none"/>
                <w:lang w:bidi="ar"/>
              </w:rPr>
              <w:t xml:space="preserve">2</w:t>
            </w:r>
            <w:r>
              <w:rPr>
                <w:rStyle w:val="1085"/>
                <w:rFonts w:hint="default" w:ascii="宋体" w:hAnsi="宋体" w:eastAsia="宋体" w:cs="宋体"/>
                <w:color w:val="auto"/>
                <w:sz w:val="21"/>
                <w:szCs w:val="21"/>
                <w:highlight w:val="none"/>
                <w:lang w:bidi="ar"/>
              </w:rPr>
              <w:t xml:space="preserve">分；发生安全生产事故的，扣</w:t>
            </w:r>
            <w:r>
              <w:rPr>
                <w:rStyle w:val="1086"/>
                <w:rFonts w:hint="eastAsia" w:ascii="宋体" w:hAnsi="宋体" w:cs="宋体"/>
                <w:color w:val="auto"/>
                <w:sz w:val="21"/>
                <w:szCs w:val="21"/>
                <w:highlight w:val="none"/>
                <w:lang w:bidi="ar"/>
              </w:rPr>
              <w:t xml:space="preserve">10</w:t>
            </w:r>
            <w:r>
              <w:rPr>
                <w:rStyle w:val="1085"/>
                <w:rFonts w:hint="default" w:ascii="宋体" w:hAnsi="宋体" w:eastAsia="宋体" w:cs="宋体"/>
                <w:color w:val="auto"/>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Style w:val="1085"/>
                <w:rFonts w:hint="default" w:ascii="宋体" w:hAnsi="宋体" w:eastAsia="宋体" w:cs="宋体"/>
                <w:color w:val="auto"/>
                <w:sz w:val="21"/>
                <w:szCs w:val="21"/>
                <w:highlight w:val="none"/>
                <w:lang w:bidi="ar"/>
              </w:rPr>
              <w:t xml:space="preserve">是否按合同约定落实制度建设</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Style w:val="1085"/>
                <w:rFonts w:hint="default" w:ascii="宋体" w:hAnsi="宋体" w:eastAsia="宋体" w:cs="宋体"/>
                <w:color w:val="auto"/>
                <w:sz w:val="21"/>
                <w:szCs w:val="21"/>
                <w:highlight w:val="none"/>
                <w:lang w:bidi="ar"/>
              </w:rPr>
              <w:t xml:space="preserve">经抽查发现管理制度、维保制度、培训制度、应急预案制度不全或落实不到位的，每次扣</w:t>
            </w:r>
            <w:r>
              <w:rPr>
                <w:rStyle w:val="1086"/>
                <w:rFonts w:hint="eastAsia" w:ascii="宋体" w:hAnsi="宋体" w:cs="宋体"/>
                <w:color w:val="auto"/>
                <w:sz w:val="21"/>
                <w:szCs w:val="21"/>
                <w:highlight w:val="none"/>
                <w:lang w:bidi="ar"/>
              </w:rPr>
              <w:t xml:space="preserve">2</w:t>
            </w:r>
            <w:r>
              <w:rPr>
                <w:rStyle w:val="1085"/>
                <w:rFonts w:hint="default" w:ascii="宋体" w:hAnsi="宋体" w:eastAsia="宋体" w:cs="宋体"/>
                <w:color w:val="auto"/>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Style w:val="1085"/>
                <w:rFonts w:hint="default" w:ascii="宋体" w:hAnsi="宋体" w:eastAsia="宋体" w:cs="宋体"/>
                <w:color w:val="auto"/>
                <w:sz w:val="21"/>
                <w:szCs w:val="21"/>
                <w:highlight w:val="none"/>
                <w:lang w:bidi="ar"/>
              </w:rPr>
              <w:t xml:space="preserve">电梯运转、硬件设施、标识公示情况</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Style w:val="1085"/>
                <w:rFonts w:hint="default" w:ascii="宋体" w:hAnsi="宋体" w:eastAsia="宋体" w:cs="宋体"/>
                <w:color w:val="auto"/>
                <w:sz w:val="21"/>
                <w:szCs w:val="21"/>
                <w:highlight w:val="none"/>
                <w:lang w:bidi="ar"/>
              </w:rPr>
              <w:t xml:space="preserve">经抽查发现电梯运转不良、硬件设施损坏未及时修复、警示及救援标识不清或缺失的，每次扣</w:t>
            </w:r>
            <w:r>
              <w:rPr>
                <w:rStyle w:val="1086"/>
                <w:rFonts w:hint="eastAsia" w:ascii="宋体" w:hAnsi="宋体" w:cs="宋体"/>
                <w:color w:val="auto"/>
                <w:sz w:val="21"/>
                <w:szCs w:val="21"/>
                <w:highlight w:val="none"/>
                <w:lang w:bidi="ar"/>
              </w:rPr>
              <w:t xml:space="preserve">2</w:t>
            </w:r>
            <w:r>
              <w:rPr>
                <w:rStyle w:val="1085"/>
                <w:rFonts w:hint="default" w:ascii="宋体" w:hAnsi="宋体" w:eastAsia="宋体" w:cs="宋体"/>
                <w:color w:val="auto"/>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Style w:val="1085"/>
                <w:rFonts w:hint="default" w:ascii="宋体" w:hAnsi="宋体" w:eastAsia="宋体" w:cs="宋体"/>
                <w:color w:val="auto"/>
                <w:sz w:val="21"/>
                <w:szCs w:val="21"/>
                <w:highlight w:val="none"/>
                <w:lang w:bidi="ar"/>
              </w:rPr>
              <w:t xml:space="preserve">电梯机房管理</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Style w:val="1085"/>
                <w:rFonts w:hint="default" w:ascii="宋体" w:hAnsi="宋体" w:eastAsia="宋体" w:cs="宋体"/>
                <w:color w:val="auto"/>
                <w:sz w:val="21"/>
                <w:szCs w:val="21"/>
                <w:highlight w:val="none"/>
                <w:lang w:bidi="ar"/>
              </w:rPr>
              <w:t xml:space="preserve">经抽查发现电梯机房卫生状况较差、硬件设施不全或损坏、标识不清或缺失的，每次扣</w:t>
            </w:r>
            <w:r>
              <w:rPr>
                <w:rStyle w:val="1086"/>
                <w:rFonts w:hint="eastAsia" w:ascii="宋体" w:hAnsi="宋体" w:cs="宋体"/>
                <w:color w:val="auto"/>
                <w:sz w:val="21"/>
                <w:szCs w:val="21"/>
                <w:highlight w:val="none"/>
                <w:lang w:bidi="ar"/>
              </w:rPr>
              <w:t xml:space="preserve">2</w:t>
            </w:r>
            <w:r>
              <w:rPr>
                <w:rStyle w:val="1085"/>
                <w:rFonts w:hint="default" w:ascii="宋体" w:hAnsi="宋体" w:eastAsia="宋体" w:cs="宋体"/>
                <w:color w:val="auto"/>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Style w:val="1040"/>
                <w:rFonts w:hint="eastAsia" w:ascii="宋体" w:hAnsi="宋体" w:cs="宋体"/>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Style w:val="1040"/>
                <w:rFonts w:hint="eastAsia" w:ascii="宋体" w:hAnsi="宋体" w:cs="宋体"/>
                <w:color w:val="auto"/>
                <w:sz w:val="21"/>
                <w:szCs w:val="21"/>
                <w:highlight w:val="none"/>
                <w:lang w:bidi="ar"/>
              </w:rPr>
              <w:t xml:space="preserve">加分项</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Style w:val="1085"/>
                <w:rFonts w:hint="default" w:ascii="宋体" w:hAnsi="宋体" w:eastAsia="宋体" w:cs="宋体"/>
                <w:color w:val="auto"/>
                <w:sz w:val="21"/>
                <w:szCs w:val="21"/>
                <w:highlight w:val="none"/>
                <w:lang w:bidi="ar"/>
              </w:rPr>
              <w:t xml:space="preserve">医院收到有关电梯维保人员的表扬信、锦旗，或电梯维保人员发生拾金不昧、见义勇为、助人为乐等行为</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Style w:val="1082"/>
                <w:rFonts w:hint="default" w:ascii="宋体" w:hAnsi="宋体" w:eastAsia="宋体" w:cs="宋体"/>
                <w:b w:val="0"/>
                <w:bCs w:val="0"/>
                <w:color w:val="auto"/>
                <w:sz w:val="21"/>
                <w:szCs w:val="21"/>
                <w:highlight w:val="none"/>
                <w:lang w:bidi="ar"/>
              </w:rPr>
              <w:t xml:space="preserve">经核实属实的，当月每收到一次加</w:t>
            </w:r>
            <w:r>
              <w:rPr>
                <w:rStyle w:val="1087"/>
                <w:rFonts w:hint="eastAsia" w:ascii="宋体" w:hAnsi="宋体" w:cs="宋体"/>
                <w:color w:val="auto"/>
                <w:sz w:val="21"/>
                <w:szCs w:val="21"/>
                <w:highlight w:val="none"/>
                <w:lang w:bidi="ar"/>
              </w:rPr>
              <w:t xml:space="preserve">2</w:t>
            </w:r>
            <w:r>
              <w:rPr>
                <w:rStyle w:val="1082"/>
                <w:rFonts w:hint="default" w:ascii="宋体" w:hAnsi="宋体" w:eastAsia="宋体" w:cs="宋体"/>
                <w:b w:val="0"/>
                <w:bCs w:val="0"/>
                <w:color w:val="auto"/>
                <w:sz w:val="21"/>
                <w:szCs w:val="21"/>
                <w:highlight w:val="none"/>
                <w:lang w:bidi="ar"/>
              </w:rPr>
              <w:t xml:space="preserve">分，月底合计得分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Style w:val="1082"/>
                <w:rFonts w:hint="default" w:ascii="宋体" w:hAnsi="宋体" w:eastAsia="宋体" w:cs="宋体"/>
                <w:b w:val="0"/>
                <w:bCs w:val="0"/>
                <w:color w:val="auto"/>
                <w:sz w:val="21"/>
                <w:szCs w:val="21"/>
                <w:highlight w:val="none"/>
                <w:lang w:bidi="ar"/>
              </w:rPr>
              <w:t xml:space="preserve">推出创新举措</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Style w:val="1082"/>
                <w:rFonts w:hint="default" w:ascii="宋体" w:hAnsi="宋体" w:eastAsia="宋体" w:cs="宋体"/>
                <w:b w:val="0"/>
                <w:bCs w:val="0"/>
                <w:color w:val="auto"/>
                <w:sz w:val="21"/>
                <w:szCs w:val="21"/>
                <w:highlight w:val="none"/>
                <w:lang w:bidi="ar"/>
              </w:rPr>
              <w:t xml:space="preserve">受到广泛好评并连续推行</w:t>
            </w:r>
            <w:r>
              <w:rPr>
                <w:rStyle w:val="1086"/>
                <w:rFonts w:hint="eastAsia" w:ascii="宋体" w:hAnsi="宋体" w:cs="宋体"/>
                <w:color w:val="auto"/>
                <w:sz w:val="21"/>
                <w:szCs w:val="21"/>
                <w:highlight w:val="none"/>
                <w:lang w:bidi="ar"/>
              </w:rPr>
              <w:t xml:space="preserve">3</w:t>
            </w:r>
            <w:r>
              <w:rPr>
                <w:rStyle w:val="1082"/>
                <w:rFonts w:hint="default" w:ascii="宋体" w:hAnsi="宋体" w:eastAsia="宋体" w:cs="宋体"/>
                <w:b w:val="0"/>
                <w:bCs w:val="0"/>
                <w:color w:val="auto"/>
                <w:sz w:val="21"/>
                <w:szCs w:val="21"/>
                <w:highlight w:val="none"/>
                <w:lang w:bidi="ar"/>
              </w:rPr>
              <w:t xml:space="preserve">个月以上的，每一项加</w:t>
            </w:r>
            <w:r>
              <w:rPr>
                <w:rStyle w:val="1086"/>
                <w:rFonts w:hint="eastAsia" w:ascii="宋体" w:hAnsi="宋体" w:cs="宋体"/>
                <w:color w:val="auto"/>
                <w:sz w:val="21"/>
                <w:szCs w:val="21"/>
                <w:highlight w:val="none"/>
                <w:lang w:bidi="ar"/>
              </w:rPr>
              <w:t xml:space="preserve">5</w:t>
            </w:r>
            <w:r>
              <w:rPr>
                <w:rStyle w:val="1082"/>
                <w:rFonts w:hint="default" w:ascii="宋体" w:hAnsi="宋体" w:eastAsia="宋体" w:cs="宋体"/>
                <w:b w:val="0"/>
                <w:bCs w:val="0"/>
                <w:color w:val="auto"/>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Style w:val="1040"/>
                <w:rFonts w:hint="eastAsia" w:ascii="宋体" w:hAnsi="宋体" w:cs="宋体"/>
                <w:color w:val="auto"/>
                <w:sz w:val="21"/>
                <w:szCs w:val="21"/>
                <w:highlight w:val="none"/>
                <w:lang w:bidi="ar"/>
              </w:rPr>
              <w:t xml:space="preserve">当月合计得分</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100</w:t>
            </w:r>
            <w:r/>
          </w:p>
        </w:tc>
        <w:tc>
          <w:tcPr>
            <w:tcBorders>
              <w:top w:val="single" w:color="000000" w:sz="4" w:space="0"/>
              <w:left w:val="none" w:color="000000" w:sz="4" w:space="0"/>
              <w:bottom w:val="single" w:color="000000" w:sz="4" w:space="0"/>
              <w:right w:val="single" w:color="000000" w:sz="4" w:space="0"/>
            </w:tcBorders>
            <w:tcW w:w="2923" w:type="dxa"/>
            <w:vAlign w:val="center"/>
            <w:textDirection w:val="lrTb"/>
            <w:noWrap w:val="false"/>
          </w:tcPr>
          <w:p>
            <w:pP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300"/>
        </w:trPr>
        <w:tc>
          <w:tcPr>
            <w:gridSpan w:val="5"/>
            <w:tcBorders>
              <w:top w:val="none" w:color="000000" w:sz="4" w:space="0"/>
              <w:left w:val="none" w:color="000000" w:sz="4" w:space="0"/>
              <w:bottom w:val="none" w:color="000000" w:sz="4" w:space="0"/>
              <w:right w:val="none" w:color="000000" w:sz="4" w:space="0"/>
            </w:tcBorders>
            <w:tcW w:w="8745"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  </w:t>
            </w:r>
            <w:r/>
          </w:p>
          <w:p>
            <w:pPr>
              <w:jc w:val="left"/>
              <w:keepLines w:val="0"/>
              <w:keepNext w:val="0"/>
              <w:pageBreakBefore w:val="0"/>
              <w:spacing w:line="400" w:lineRule="exact"/>
              <w:widowControl/>
              <w:rPr>
                <w:rFonts w:ascii="宋体" w:hAnsi="宋体" w:cs="宋体"/>
                <w:color w:val="auto"/>
                <w:szCs w:val="21"/>
                <w:highlight w:val="none"/>
              </w:rPr>
            </w:pPr>
            <w:r>
              <w:rPr>
                <w:rStyle w:val="1081"/>
                <w:rFonts w:hint="default" w:ascii="宋体" w:hAnsi="宋体" w:eastAsia="宋体" w:cs="宋体"/>
                <w:b w:val="0"/>
                <w:bCs w:val="0"/>
                <w:color w:val="auto"/>
                <w:sz w:val="21"/>
                <w:szCs w:val="21"/>
                <w:highlight w:val="none"/>
                <w:lang w:bidi="ar"/>
              </w:rPr>
              <w:t xml:space="preserve">医院考核部门：后勤保障部</w:t>
            </w:r>
            <w:r>
              <w:rPr>
                <w:rStyle w:val="1088"/>
                <w:rFonts w:hint="eastAsia" w:ascii="宋体" w:hAnsi="宋体" w:cs="宋体"/>
                <w:b w:val="0"/>
                <w:bCs w:val="0"/>
                <w:color w:val="auto"/>
                <w:sz w:val="21"/>
                <w:szCs w:val="21"/>
                <w:highlight w:val="none"/>
                <w:lang w:bidi="ar"/>
              </w:rPr>
              <w:t xml:space="preserve">                         </w:t>
            </w:r>
            <w:r>
              <w:rPr>
                <w:rStyle w:val="1081"/>
                <w:rFonts w:hint="default" w:ascii="宋体" w:hAnsi="宋体" w:eastAsia="宋体" w:cs="宋体"/>
                <w:b w:val="0"/>
                <w:bCs w:val="0"/>
                <w:color w:val="auto"/>
                <w:sz w:val="21"/>
                <w:szCs w:val="21"/>
                <w:highlight w:val="none"/>
                <w:lang w:bidi="ar"/>
              </w:rPr>
              <w:t xml:space="preserve">被考核单位：</w:t>
            </w:r>
            <w:r>
              <w:rPr>
                <w:rStyle w:val="1088"/>
                <w:rFonts w:hint="eastAsia" w:ascii="宋体" w:hAnsi="宋体" w:cs="宋体"/>
                <w:b w:val="0"/>
                <w:bCs w:val="0"/>
                <w:color w:val="auto"/>
                <w:sz w:val="21"/>
                <w:szCs w:val="21"/>
                <w:highlight w:val="none"/>
                <w:lang w:bidi="ar"/>
              </w:rPr>
              <w:t xml:space="preserve">                                            </w:t>
            </w:r>
            <w:r/>
          </w:p>
        </w:tc>
      </w:tr>
    </w:tbl>
    <w:p>
      <w:pPr>
        <w:ind w:right="-161" w:firstLine="210"/>
        <w:keepLines w:val="0"/>
        <w:keepNext w:val="0"/>
        <w:pageBreakBefore w:val="0"/>
        <w:spacing w:line="400" w:lineRule="exact"/>
        <w:rPr>
          <w:rStyle w:val="1088"/>
          <w:rFonts w:ascii="宋体" w:hAnsi="宋体" w:cs="宋体"/>
          <w:b w:val="0"/>
          <w:bCs w:val="0"/>
          <w:color w:val="auto"/>
          <w:sz w:val="21"/>
          <w:szCs w:val="21"/>
          <w:highlight w:val="none"/>
          <w:lang w:bidi="ar"/>
        </w:rPr>
      </w:pPr>
      <w:r>
        <w:rPr>
          <w:rStyle w:val="1088"/>
          <w:rFonts w:hint="eastAsia" w:ascii="宋体" w:hAnsi="宋体" w:cs="宋体"/>
          <w:b w:val="0"/>
          <w:bCs w:val="0"/>
          <w:color w:val="auto"/>
          <w:sz w:val="21"/>
          <w:szCs w:val="21"/>
          <w:highlight w:val="none"/>
          <w:lang w:bidi="ar"/>
        </w:rPr>
        <w:t xml:space="preserve">注：</w:t>
      </w:r>
      <w:r/>
    </w:p>
    <w:p>
      <w:pPr>
        <w:ind w:right="-161" w:firstLine="210"/>
        <w:keepLines w:val="0"/>
        <w:keepNext w:val="0"/>
        <w:pageBreakBefore w:val="0"/>
        <w:spacing w:line="400" w:lineRule="exact"/>
        <w:rPr>
          <w:rStyle w:val="1088"/>
          <w:rFonts w:ascii="宋体" w:hAnsi="宋体" w:cs="宋体"/>
          <w:b w:val="0"/>
          <w:bCs w:val="0"/>
          <w:color w:val="auto"/>
          <w:sz w:val="21"/>
          <w:szCs w:val="21"/>
          <w:highlight w:val="none"/>
          <w:lang w:bidi="ar"/>
        </w:rPr>
      </w:pPr>
      <w:r>
        <w:rPr>
          <w:rStyle w:val="1088"/>
          <w:rFonts w:hint="eastAsia" w:ascii="宋体" w:hAnsi="宋体" w:cs="宋体"/>
          <w:b w:val="0"/>
          <w:bCs w:val="0"/>
          <w:color w:val="auto"/>
          <w:sz w:val="21"/>
          <w:szCs w:val="21"/>
          <w:highlight w:val="none"/>
          <w:lang w:bidi="ar"/>
        </w:rPr>
        <w:t xml:space="preserve">1.扣分项、加分项由后勤保障部进行相应记录。</w:t>
      </w:r>
      <w:r/>
    </w:p>
    <w:p>
      <w:pPr>
        <w:ind w:right="-161" w:firstLine="210"/>
        <w:keepLines w:val="0"/>
        <w:keepNext w:val="0"/>
        <w:pageBreakBefore w:val="0"/>
        <w:spacing w:line="400" w:lineRule="exact"/>
        <w:rPr>
          <w:rStyle w:val="1088"/>
          <w:rFonts w:ascii="宋体" w:hAnsi="宋体" w:cs="宋体"/>
          <w:b w:val="0"/>
          <w:bCs w:val="0"/>
          <w:color w:val="auto"/>
          <w:sz w:val="21"/>
          <w:szCs w:val="21"/>
          <w:highlight w:val="none"/>
          <w:lang w:bidi="ar"/>
        </w:rPr>
      </w:pPr>
      <w:r>
        <w:rPr>
          <w:rStyle w:val="1088"/>
          <w:rFonts w:hint="eastAsia" w:ascii="宋体" w:hAnsi="宋体" w:cs="宋体"/>
          <w:b w:val="0"/>
          <w:bCs w:val="0"/>
          <w:color w:val="auto"/>
          <w:sz w:val="21"/>
          <w:szCs w:val="21"/>
          <w:highlight w:val="none"/>
          <w:lang w:bidi="ar"/>
        </w:rPr>
        <w:t xml:space="preserve">2.本表一式两份，每个项目竣工审计，统计分值后由考核部门、被考核单位双方签字确认后留存。</w:t>
      </w:r>
      <w:r/>
    </w:p>
    <w:p>
      <w:pPr>
        <w:ind w:right="-161" w:firstLine="210"/>
        <w:keepLines w:val="0"/>
        <w:keepNext w:val="0"/>
        <w:pageBreakBefore w:val="0"/>
        <w:spacing w:line="400" w:lineRule="exact"/>
        <w:rPr>
          <w:rStyle w:val="1088"/>
          <w:rFonts w:ascii="宋体" w:hAnsi="宋体" w:cs="宋体"/>
          <w:b w:val="0"/>
          <w:bCs w:val="0"/>
          <w:color w:val="auto"/>
          <w:sz w:val="21"/>
          <w:szCs w:val="21"/>
          <w:highlight w:val="none"/>
          <w:lang w:bidi="ar"/>
        </w:rPr>
      </w:pPr>
      <w:r>
        <w:rPr>
          <w:rStyle w:val="1088"/>
          <w:rFonts w:hint="eastAsia" w:ascii="宋体" w:hAnsi="宋体" w:cs="宋体"/>
          <w:b w:val="0"/>
          <w:bCs w:val="0"/>
          <w:color w:val="auto"/>
          <w:sz w:val="21"/>
          <w:szCs w:val="21"/>
          <w:highlight w:val="none"/>
          <w:lang w:bidi="ar"/>
        </w:rPr>
        <w:t xml:space="preserve">3.被考核单位与医院结算相关费用时，以该考核分为依据。该考核分≥90分，则结算费用的100%;85≤考核分＜90分，每低1分，则结算费用扣除1％。80≤考核分＜85分，每低1分，则结算费用扣除2％。该考核分＜80分，视为不合格。</w:t>
      </w:r>
      <w:r/>
    </w:p>
    <w:p>
      <w:pPr>
        <w:ind w:right="-161" w:firstLine="210"/>
        <w:keepLines w:val="0"/>
        <w:keepNext w:val="0"/>
        <w:pageBreakBefore w:val="0"/>
        <w:spacing w:line="400" w:lineRule="exact"/>
        <w:rPr>
          <w:rFonts w:ascii="宋体" w:hAnsi="宋体" w:cs="宋体"/>
          <w:color w:val="auto"/>
          <w:szCs w:val="21"/>
          <w:highlight w:val="none"/>
        </w:rPr>
      </w:pPr>
      <w:r>
        <w:rPr>
          <w:rStyle w:val="1088"/>
          <w:rFonts w:hint="eastAsia" w:ascii="宋体" w:hAnsi="宋体" w:cs="宋体"/>
          <w:b w:val="0"/>
          <w:bCs w:val="0"/>
          <w:color w:val="auto"/>
          <w:sz w:val="21"/>
          <w:szCs w:val="21"/>
          <w:highlight w:val="none"/>
          <w:lang w:bidi="ar"/>
        </w:rPr>
        <w:t xml:space="preserve">4.累计三次考核不合格，</w:t>
      </w:r>
      <w:r>
        <w:rPr>
          <w:rStyle w:val="1088"/>
          <w:rFonts w:hint="eastAsia" w:ascii="宋体" w:hAnsi="宋体" w:cs="宋体"/>
          <w:b w:val="0"/>
          <w:bCs w:val="0"/>
          <w:color w:val="auto"/>
          <w:sz w:val="21"/>
          <w:szCs w:val="21"/>
          <w:highlight w:val="none"/>
          <w:lang w:val="en-US" w:eastAsia="zh-CN" w:bidi="ar"/>
        </w:rPr>
        <w:t xml:space="preserve">采购人</w:t>
      </w:r>
      <w:r>
        <w:rPr>
          <w:rStyle w:val="1088"/>
          <w:rFonts w:hint="eastAsia" w:ascii="宋体" w:hAnsi="宋体" w:cs="宋体"/>
          <w:b w:val="0"/>
          <w:bCs w:val="0"/>
          <w:color w:val="auto"/>
          <w:sz w:val="21"/>
          <w:szCs w:val="21"/>
          <w:highlight w:val="none"/>
          <w:lang w:bidi="ar"/>
        </w:rPr>
        <w:t xml:space="preserve">有权单方面解除合同。</w:t>
      </w:r>
      <w:r>
        <w:rPr>
          <w:rFonts w:hint="eastAsia" w:ascii="宋体" w:hAnsi="宋体" w:cs="宋体"/>
          <w:color w:val="auto"/>
          <w:szCs w:val="21"/>
          <w:highlight w:val="none"/>
        </w:rPr>
        <w:tab/>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r>
      <w:r/>
    </w:p>
    <w:p>
      <w:pPr>
        <w:ind w:firstLine="422"/>
        <w:spacing w:line="400" w:lineRule="exact"/>
        <w:rPr>
          <w:rFonts w:ascii="Times New Roman" w:hAnsi="Times New Roman"/>
          <w:b/>
          <w:bCs/>
          <w:color w:val="auto"/>
          <w:szCs w:val="21"/>
          <w:highlight w:val="none"/>
        </w:rPr>
      </w:pPr>
      <w:r>
        <w:rPr>
          <w:rFonts w:ascii="Times New Roman" w:hAnsi="Times New Roman"/>
          <w:b/>
          <w:bCs/>
          <w:color w:val="auto"/>
          <w:szCs w:val="21"/>
          <w:highlight w:val="none"/>
        </w:rPr>
        <w:t xml:space="preserve">采购包4：医用被服洗涤及租赁服务</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（一）项目概况及要求</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1、服务期限：</w:t>
      </w:r>
      <w:r>
        <w:rPr>
          <w:rFonts w:hint="eastAsia" w:ascii="Times New Roman" w:hAnsi="Times New Roman"/>
          <w:color w:val="auto"/>
          <w:szCs w:val="21"/>
          <w:highlight w:val="none"/>
          <w:lang w:val="zh-CN"/>
        </w:rPr>
        <w:t xml:space="preserve">202</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lang w:val="zh-CN"/>
        </w:rPr>
        <w:t xml:space="preserve">年6月1日</w:t>
      </w:r>
      <w:r>
        <w:rPr>
          <w:rFonts w:ascii="Times New Roman" w:hAnsi="Times New Roman"/>
          <w:color w:val="auto"/>
          <w:szCs w:val="21"/>
          <w:highlight w:val="none"/>
          <w:lang w:val="zh-CN"/>
        </w:rPr>
        <w:t xml:space="preserve">-</w:t>
      </w:r>
      <w:r>
        <w:rPr>
          <w:rFonts w:hint="eastAsia" w:ascii="Times New Roman" w:hAnsi="Times New Roman"/>
          <w:color w:val="auto"/>
          <w:szCs w:val="21"/>
          <w:highlight w:val="none"/>
          <w:lang w:val="zh-CN"/>
        </w:rPr>
        <w:t xml:space="preserve">202</w:t>
      </w:r>
      <w:r>
        <w:rPr>
          <w:rFonts w:hint="eastAsia" w:ascii="Times New Roman" w:hAnsi="Times New Roman"/>
          <w:color w:val="auto"/>
          <w:szCs w:val="21"/>
          <w:highlight w:val="none"/>
          <w:lang w:val="en-US" w:eastAsia="zh-CN"/>
        </w:rPr>
        <w:t xml:space="preserve">7</w:t>
      </w:r>
      <w:r>
        <w:rPr>
          <w:rFonts w:hint="eastAsia" w:ascii="Times New Roman" w:hAnsi="Times New Roman"/>
          <w:color w:val="auto"/>
          <w:szCs w:val="21"/>
          <w:highlight w:val="none"/>
          <w:lang w:val="zh-CN"/>
        </w:rPr>
        <w:t xml:space="preserve">年5月31日</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2、服务人员：不少于</w:t>
      </w:r>
      <w:r>
        <w:rPr>
          <w:rFonts w:hint="eastAsia" w:ascii="Times New Roman" w:hAnsi="Times New Roman"/>
          <w:color w:val="auto"/>
          <w:szCs w:val="21"/>
          <w:highlight w:val="none"/>
          <w:lang w:val="en-US" w:eastAsia="zh-CN"/>
        </w:rPr>
        <w:t xml:space="preserve">7</w:t>
      </w:r>
      <w:r>
        <w:rPr>
          <w:rFonts w:ascii="Times New Roman" w:hAnsi="Times New Roman"/>
          <w:color w:val="auto"/>
          <w:szCs w:val="21"/>
          <w:highlight w:val="none"/>
          <w:lang w:val="zh-CN"/>
        </w:rPr>
        <w:t xml:space="preserve">人，平均年龄55周岁以下</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3、服务地点：苏州市中医医院</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4、服务方应具备公共用纺织品洗涤</w:t>
      </w:r>
      <w:r>
        <w:rPr>
          <w:rFonts w:hint="eastAsia" w:ascii="Times New Roman" w:hAnsi="Times New Roman"/>
          <w:color w:val="auto"/>
          <w:szCs w:val="21"/>
          <w:highlight w:val="none"/>
        </w:rPr>
        <w:t xml:space="preserve">资质</w:t>
      </w:r>
      <w:r>
        <w:rPr>
          <w:rFonts w:ascii="Times New Roman" w:hAnsi="Times New Roman"/>
          <w:color w:val="auto"/>
          <w:szCs w:val="21"/>
          <w:highlight w:val="none"/>
          <w:lang w:val="zh-CN"/>
        </w:rPr>
        <w:t xml:space="preserve">；服务方员工应具备职业资格认证。</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5、服务内容：</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lang w:val="zh-CN"/>
        </w:rPr>
        <w:t xml:space="preserve">（1）全院医用被服的收送和洗涤、消毒服务；</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lang w:val="zh-CN"/>
        </w:rPr>
        <w:t xml:space="preserve">（2）全院手术类医用被服务的收送和租赁、洗涤、消毒服务；</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lang w:val="zh-CN"/>
        </w:rPr>
        <w:t xml:space="preserve">（3）全院医务人员工作服的收送和洗涤、消毒服务。</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lang w:val="zh-CN"/>
        </w:rPr>
        <w:t xml:space="preserve">6、相关要求：</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lang w:val="zh-CN"/>
        </w:rPr>
        <w:t xml:space="preserve">（1）报价应包含服务期内完成服务内容所需的一切费用；会上一次性报价；</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lang w:val="zh-CN"/>
        </w:rPr>
        <w:t xml:space="preserve">（2）服务期内产生的劳务纠纷、人身伤害事故等由服务方承担；</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lang w:val="zh-CN"/>
        </w:rPr>
        <w:t xml:space="preserve">（3）服务单位应参照后勤社会化管理部门接受医院的统一管理并进行月度考核，月度考核评分结果与费用结算挂钩；</w:t>
      </w:r>
      <w:r/>
    </w:p>
    <w:p>
      <w:pPr>
        <w:ind w:firstLine="420"/>
        <w:spacing w:line="400" w:lineRule="exact"/>
        <w:rPr>
          <w:rFonts w:hint="eastAsia"/>
          <w:color w:val="auto"/>
          <w:highlight w:val="none"/>
          <w:lang w:val="zh-CN"/>
        </w:rPr>
      </w:pPr>
      <w:r>
        <w:rPr>
          <w:rFonts w:hint="eastAsia" w:ascii="Times New Roman" w:hAnsi="Times New Roman"/>
          <w:color w:val="auto"/>
          <w:szCs w:val="21"/>
          <w:highlight w:val="none"/>
          <w:lang w:val="zh-CN"/>
        </w:rPr>
        <w:t xml:space="preserve">（4）按医院预估洗涤、租赁工作量测算费用，按实际发生量结算。</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（二）具体工作范围：</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医院内部所有医用被服物品的管理、洗涤，下收，下送、缝补、折叠和熨烫，全天24小时不间断服务。采购方现有被服仓库辅房，作为双方的交接点。根据不同病区的要求确定不同的收发时间和次数，并做到常态管理；对于手术室及个别污物严重的洗涤物品，或太脏无法现场清点的，按服务单位洗涤后的洁物计数。</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（三）工作条件：</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1、投标人必须具备完全分离的、不在同一电网、蒸汽管网、水网，或能随时应急使用的两套洗涤服务设施，以作备用。</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2、为防止交叉感染，确保病人安全，对于烈性传染病人的医用被服物品和其他卫生部门要求的特殊医用被服物品，医院按相关规定予以就地焚烧，不流入洗涤公司；同时医院配合洗涤公司，根据洗涤管理污物分色的要求，将不同用途的物品，分类包装，从源头分检，防止交叉感染。 </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3、为避免交叉感染，承担疾控的社会责任。投标人必须遵守江苏省质量技术监督局发布实施的《公共用纺织品安全技术规范》第4章中的强制性条款“分别处理医疗用公共用纺织品和非医疗用公共用纺织品（包括设备、环境、人员）”承诺不与宾馆、饭店类行业的洗涤物在同一车间内洗涤，乙方同时承诺，不将传染病医院（传染病病区）的洗涤物与甲方的洗涤物在同一洗衣设备内消毒洗涤，实行专机洗涤。</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（四）运输工具及运送时间</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洗涤服务单位至医院的运输车辆由洗涤服务单位自行提供，医院内至各病区收集被服的车辆由乙方提供并负责维护修理。收发物品时所用的运输工具要按规定有序放好，不得随意摆放</w:t>
      </w:r>
      <w:r>
        <w:rPr>
          <w:rFonts w:hint="eastAsia" w:ascii="Times New Roman" w:hAnsi="Times New Roman"/>
          <w:color w:val="auto"/>
          <w:szCs w:val="21"/>
          <w:highlight w:val="none"/>
          <w:lang w:val="zh-CN"/>
        </w:rPr>
        <w:t xml:space="preserve">影响</w:t>
      </w:r>
      <w:r>
        <w:rPr>
          <w:rFonts w:ascii="Times New Roman" w:hAnsi="Times New Roman"/>
          <w:color w:val="auto"/>
          <w:szCs w:val="21"/>
          <w:highlight w:val="none"/>
          <w:lang w:val="zh-CN"/>
        </w:rPr>
        <w:t xml:space="preserve">环境的整洁。依据相关规定：洁污要分开收集和发放；并有明显区别的纳物袋实行封闭运输。</w:t>
      </w:r>
      <w:r>
        <w:rPr>
          <w:rFonts w:ascii="Times New Roman" w:hAnsi="Times New Roman"/>
          <w:color w:val="auto"/>
          <w:szCs w:val="21"/>
          <w:highlight w:val="none"/>
        </w:rPr>
        <w:t xml:space="preserve">感染性织物应使用橙色专用包装袋密闭包装后收运。</w:t>
      </w:r>
      <w:r>
        <w:rPr>
          <w:rFonts w:ascii="Times New Roman" w:hAnsi="Times New Roman"/>
          <w:color w:val="auto"/>
          <w:szCs w:val="21"/>
          <w:highlight w:val="none"/>
          <w:lang w:val="zh-CN"/>
        </w:rPr>
        <w:t xml:space="preserve">根据医院时间要求，将洗净物品送至各病区，并清点数量，由双方签字确认。送洗物品交接也同样处理，如不及时送达，影响医院工作正常运行，按附件中的考核方案相关条款实施；严重影响医院正常运行时，院方有权终止合同。</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（五）洗涤服务等相关要求：</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1、投标人应严格按照省感染管理的有关规定，规范操作流程、分类洗涤、统一消毒，并保证质量。采购方如有传染性洗涤物，先浸泡或臭氧熏蒸消毒并密封包装后，交投标人洗涤。投标人必须按照先消毒后洗涤的原则进行洗涤。</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2、投标人对各类洗涤物必须折叠整齐、平整、无污渍。对有熨烫要求的物品必须熨烫到位（如：工作服、工作裤、大单、被套、枕套、床单、病员衣裤、门诊床套）；对破损物品（缺</w:t>
      </w:r>
      <w:r>
        <w:rPr>
          <w:rFonts w:hint="eastAsia" w:ascii="Times New Roman" w:hAnsi="Times New Roman"/>
          <w:color w:val="auto"/>
          <w:szCs w:val="21"/>
          <w:highlight w:val="none"/>
          <w:lang w:val="zh-CN"/>
        </w:rPr>
        <w:t xml:space="preserve">纽扣</w:t>
      </w:r>
      <w:r>
        <w:rPr>
          <w:rFonts w:ascii="Times New Roman" w:hAnsi="Times New Roman"/>
          <w:color w:val="auto"/>
          <w:szCs w:val="21"/>
          <w:highlight w:val="none"/>
          <w:lang w:val="zh-CN"/>
        </w:rPr>
        <w:t xml:space="preserve">、少带子、脱线缝、撕裂……）必须缝补完好后方能发出。</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3、对由洗涤不当引起的严重褪色、老化等，投标人必须作出说明，并按原价的80%赔偿。</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4、对因投标人洁净物没有及时到位，影响采购人正常工作的，必须承担相应的赔偿责任。</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5、洗涤服务单位的排污能够达到项目所在地的环保相关标准，投标文件中提供相关证明材料。</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6、投标人应根据医用被服物品的特点，明确工艺标准，科学安排洗涤工序，保证洗涤质量。随时接受卫生防疫部门的检测，定期报告医院，医院有权对洗涤公司所洗被服物品和洗涤场所进行抽查和检验，并根据实际结果给与奖惩，以确保洗涤质量。</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7、缝补要求：未报废物品中出现小洞，脱线，掉纽扣等由投标人负责缝补后再送往病区，对于未报废而不缝补的物品送入病区的情况，医院将作相应处罚。</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8、遗失与破损要求：遗失物品按原值全额赔偿，洗涤报损必须由双方共同确认。</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9、洗涤价格与费用结算</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1）投标人为采购方提供下收下送服务，所需费用按实按月计算，物品洗涤价格按医院提供的清单报价，须列明单项物品的洗涤单价。税款等费用都计入单价中，如实际工作中出现未列物品，参照同类品种价格。根据手术室要求，手术室物品实行租赁结算，投标时须单独列出价，供采购方参考。</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（2）每月的5日前，双方将上月洗涤物交接清单的数量进行汇总，核对制表，并经双方签字确认后，投标人再开具发票送达采购方审批。</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10、配置人员的要求</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工作人员：投标方应派驻至少</w:t>
      </w:r>
      <w:r>
        <w:rPr>
          <w:rFonts w:hint="eastAsia" w:ascii="Times New Roman" w:hAnsi="Times New Roman"/>
          <w:color w:val="auto"/>
          <w:szCs w:val="21"/>
          <w:highlight w:val="none"/>
        </w:rPr>
        <w:t xml:space="preserve">7</w:t>
      </w:r>
      <w:r>
        <w:rPr>
          <w:rFonts w:ascii="Times New Roman" w:hAnsi="Times New Roman"/>
          <w:color w:val="auto"/>
          <w:szCs w:val="21"/>
          <w:highlight w:val="none"/>
          <w:lang w:val="zh-CN"/>
        </w:rPr>
        <w:t xml:space="preserve">名驻场人员</w:t>
      </w:r>
      <w:r>
        <w:rPr>
          <w:rFonts w:hint="eastAsia" w:ascii="Times New Roman" w:hAnsi="Times New Roman"/>
          <w:color w:val="auto"/>
          <w:szCs w:val="21"/>
          <w:highlight w:val="none"/>
          <w:lang w:val="zh-CN"/>
        </w:rPr>
        <w:t xml:space="preserve">，其中管理人员1名，工作人员</w:t>
      </w:r>
      <w:r>
        <w:rPr>
          <w:rFonts w:hint="eastAsia" w:ascii="Times New Roman" w:hAnsi="Times New Roman"/>
          <w:color w:val="auto"/>
          <w:szCs w:val="21"/>
          <w:highlight w:val="none"/>
        </w:rPr>
        <w:t xml:space="preserve">6</w:t>
      </w:r>
      <w:r>
        <w:rPr>
          <w:rFonts w:hint="eastAsia" w:ascii="Times New Roman" w:hAnsi="Times New Roman"/>
          <w:color w:val="auto"/>
          <w:szCs w:val="21"/>
          <w:highlight w:val="none"/>
          <w:lang w:val="zh-CN"/>
        </w:rPr>
        <w:t xml:space="preserve">名。</w:t>
      </w:r>
      <w:r>
        <w:rPr>
          <w:rFonts w:ascii="Times New Roman" w:hAnsi="Times New Roman"/>
          <w:color w:val="auto"/>
          <w:szCs w:val="21"/>
          <w:highlight w:val="none"/>
          <w:lang w:val="zh-CN"/>
        </w:rPr>
        <w:t xml:space="preserve">每周七天应保持八小时工作时间有人值守。工作人员年龄不超过55岁。</w:t>
      </w:r>
      <w:r>
        <w:rPr>
          <w:rFonts w:ascii="Times New Roman" w:hAnsi="Times New Roman"/>
          <w:color w:val="auto"/>
          <w:szCs w:val="21"/>
          <w:highlight w:val="none"/>
        </w:rPr>
        <w:t xml:space="preserve">非工作时间应保持应急</w:t>
      </w:r>
      <w:r>
        <w:rPr>
          <w:rFonts w:hint="eastAsia" w:ascii="Times New Roman" w:hAnsi="Times New Roman"/>
          <w:color w:val="auto"/>
          <w:szCs w:val="21"/>
          <w:highlight w:val="none"/>
          <w:lang w:eastAsia="zh-CN"/>
        </w:rPr>
        <w:t xml:space="preserve">通信畅通</w:t>
      </w:r>
      <w:r>
        <w:rPr>
          <w:rFonts w:ascii="Times New Roman" w:hAnsi="Times New Roman"/>
          <w:color w:val="auto"/>
          <w:szCs w:val="21"/>
          <w:highlight w:val="none"/>
        </w:rPr>
        <w:t xml:space="preserve">，且可以提供应急洗涤、收送服务。其中</w:t>
      </w:r>
      <w:r>
        <w:rPr>
          <w:rFonts w:ascii="Times New Roman" w:hAnsi="Times New Roman"/>
          <w:color w:val="auto"/>
          <w:szCs w:val="21"/>
          <w:highlight w:val="none"/>
          <w:lang w:val="zh-CN"/>
        </w:rPr>
        <w:t xml:space="preserve">管理人员1名，管理人员需具备一定的职称或者学历，</w:t>
      </w:r>
      <w:r>
        <w:rPr>
          <w:rFonts w:ascii="Times New Roman" w:hAnsi="Times New Roman"/>
          <w:color w:val="auto"/>
          <w:szCs w:val="21"/>
          <w:highlight w:val="none"/>
        </w:rPr>
        <w:t xml:space="preserve">具备2年以上三级医院相关从业经验</w:t>
      </w:r>
      <w:r>
        <w:rPr>
          <w:rFonts w:ascii="Times New Roman" w:hAnsi="Times New Roman"/>
          <w:color w:val="auto"/>
          <w:szCs w:val="21"/>
          <w:highlight w:val="none"/>
          <w:lang w:val="zh-CN"/>
        </w:rPr>
        <w:t xml:space="preserve">。</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11、投入先进的洗涤设备</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投标文件中提供投入本项目使用的洗涤设备清单（先进洗涤设备包括但不限于全自动大型洗衣机、压力脱水机、消毒设备等先进洗涤设备）。</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12、手术室租赁物品应</w:t>
      </w:r>
      <w:r>
        <w:rPr>
          <w:rFonts w:hint="eastAsia" w:ascii="Times New Roman" w:hAnsi="Times New Roman"/>
          <w:color w:val="auto"/>
          <w:szCs w:val="21"/>
          <w:highlight w:val="none"/>
          <w:lang w:val="zh-CN"/>
        </w:rPr>
        <w:t xml:space="preserve">由</w:t>
      </w:r>
      <w:r>
        <w:rPr>
          <w:rFonts w:ascii="Times New Roman" w:hAnsi="Times New Roman"/>
          <w:color w:val="auto"/>
          <w:szCs w:val="21"/>
          <w:highlight w:val="none"/>
          <w:lang w:val="zh-CN"/>
        </w:rPr>
        <w:t xml:space="preserve">手术室</w:t>
      </w:r>
      <w:r>
        <w:rPr>
          <w:rFonts w:ascii="Times New Roman" w:hAnsi="Times New Roman"/>
          <w:color w:val="auto"/>
          <w:szCs w:val="21"/>
          <w:highlight w:val="none"/>
        </w:rPr>
        <w:t xml:space="preserve">或供应室</w:t>
      </w:r>
      <w:r>
        <w:rPr>
          <w:rFonts w:ascii="Times New Roman" w:hAnsi="Times New Roman"/>
          <w:color w:val="auto"/>
          <w:szCs w:val="21"/>
          <w:highlight w:val="none"/>
          <w:lang w:val="zh-CN"/>
        </w:rPr>
        <w:t xml:space="preserve">护士长隔天通知洗涤服务单位所需用量，</w:t>
      </w:r>
      <w:r>
        <w:rPr>
          <w:rFonts w:ascii="Times New Roman" w:hAnsi="Times New Roman"/>
          <w:color w:val="auto"/>
          <w:szCs w:val="21"/>
          <w:highlight w:val="none"/>
        </w:rPr>
        <w:t xml:space="preserve">洗涤服务单位应有专人负责对接，次日7：00前送达，租赁物品应确保无破洞、污渍、血渍，尺寸大小应根据科室使用要求配置，</w:t>
      </w:r>
      <w:r>
        <w:rPr>
          <w:rFonts w:ascii="Times New Roman" w:hAnsi="Times New Roman"/>
          <w:color w:val="auto"/>
          <w:szCs w:val="21"/>
          <w:highlight w:val="none"/>
          <w:lang w:val="zh-CN"/>
        </w:rPr>
        <w:t xml:space="preserve">不得随意减少发货数量</w:t>
      </w:r>
      <w:r>
        <w:rPr>
          <w:rFonts w:ascii="Times New Roman" w:hAnsi="Times New Roman"/>
          <w:color w:val="auto"/>
          <w:szCs w:val="21"/>
          <w:highlight w:val="none"/>
        </w:rPr>
        <w:t xml:space="preserve">或更改物品要求配置</w:t>
      </w:r>
      <w:r>
        <w:rPr>
          <w:rFonts w:ascii="Times New Roman" w:hAnsi="Times New Roman"/>
          <w:color w:val="auto"/>
          <w:szCs w:val="21"/>
          <w:highlight w:val="none"/>
          <w:lang w:val="zh-CN"/>
        </w:rPr>
        <w:t xml:space="preserve">。</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13、工作人员的工作服和值班被套与病房的物品分开洗涤和运送，在收发物品时乙方应做到污物与洁物分开运送。</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14、院方提供场所给洗涤公司作办公、仓储使用，洗涤公司应做好日常管理工作，确保防火、防盗、防潮、防霉、防四害，仓储区域应标识醒目，管理制度应及时上墙，防护用品和管理制度由洗涤公司提供。个人生活用品与医用被服应严格区分，不得混放。</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15、洗涤公司服务人员应遵守院内规定，在院内工作期间戴好口罩，严禁吸烟。洗涤公司应及时向员工提供足量的个人基本防护用品（如：口罩、帽子、手套等），如遇特殊情形需要N95口罩、防护服、隔离衣、防护面屏或消毒凝胶的，可以向院方申请。</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16、每6个月集中处置报废织物一次，处置服务和车辆由洗涤公司提供。</w:t>
      </w:r>
      <w:r/>
    </w:p>
    <w:p>
      <w:pPr>
        <w:ind w:firstLine="420"/>
        <w:spacing w:line="400" w:lineRule="exact"/>
        <w:rPr>
          <w:rFonts w:hint="default" w:eastAsia="宋体"/>
          <w:color w:val="auto"/>
          <w:highlight w:val="none"/>
          <w:lang w:val="en-US" w:eastAsia="zh-CN"/>
        </w:rPr>
      </w:pPr>
      <w:r>
        <w:rPr>
          <w:rFonts w:ascii="Times New Roman" w:hAnsi="Times New Roman"/>
          <w:color w:val="auto"/>
          <w:szCs w:val="21"/>
          <w:highlight w:val="none"/>
        </w:rPr>
        <w:t xml:space="preserve">1</w:t>
      </w:r>
      <w:r>
        <w:rPr>
          <w:rFonts w:hint="eastAsia" w:ascii="Times New Roman" w:hAnsi="Times New Roman"/>
          <w:color w:val="auto"/>
          <w:szCs w:val="21"/>
          <w:highlight w:val="none"/>
          <w:lang w:val="en-US" w:eastAsia="zh-CN"/>
        </w:rPr>
        <w:t xml:space="preserve">7</w:t>
      </w:r>
      <w:r>
        <w:rPr>
          <w:rFonts w:ascii="Times New Roman" w:hAnsi="Times New Roman"/>
          <w:color w:val="auto"/>
          <w:szCs w:val="21"/>
          <w:highlight w:val="none"/>
        </w:rPr>
        <w:t xml:space="preserve">、</w:t>
      </w:r>
      <w:r>
        <w:rPr>
          <w:rFonts w:hint="eastAsia" w:ascii="Times New Roman" w:hAnsi="Times New Roman"/>
          <w:color w:val="auto"/>
          <w:szCs w:val="21"/>
          <w:highlight w:val="none"/>
          <w:lang w:eastAsia="zh-CN"/>
        </w:rPr>
        <w:t xml:space="preserve">对院方反映的洗涤相关问题，15分钟内即刻响应、跟进处理。</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（六）租赁被服物品用料的质量标准</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租赁物品的配置标准：乙方按1:3周转（其中1:1.5在病区，1:1.5在洗衣房周转）</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1、床单、被套、枕套所有布为18*18支纱，密度60*60的漂白布。</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2、病员衣裤所用布料为21×21支纱，密度为60×60的彩条布。</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3、其他白色物品所用布料为21×21支纱，密度为60×60的胚布。</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4、手术室物品所用布料为军绿有色平纹布。</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（七）租赁被服物品的配置标准及洗涤次数</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1、根据采购方要求，中标单位按1：3（其中1：1.5在采购方，1：1.5在中标单位）为各床位配置床单、被套、枕套等敷料物品。</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2、所有洗涤物品均可洗涤60次为限、即经过60次的洗涤，该物品自然报损。</w:t>
      </w:r>
      <w:r/>
    </w:p>
    <w:p>
      <w:pPr>
        <w:ind w:firstLine="420"/>
        <w:spacing w:line="400" w:lineRule="exact"/>
        <w:rPr>
          <w:rFonts w:ascii="Times New Roman" w:hAnsi="Times New Roman"/>
          <w:color w:val="auto"/>
          <w:szCs w:val="21"/>
          <w:highlight w:val="none"/>
          <w:lang w:val="zh-CN"/>
        </w:rPr>
      </w:pPr>
      <w:r>
        <w:rPr>
          <w:rFonts w:ascii="Times New Roman" w:hAnsi="Times New Roman"/>
          <w:color w:val="auto"/>
          <w:szCs w:val="21"/>
          <w:highlight w:val="none"/>
          <w:lang w:val="zh-CN"/>
        </w:rPr>
        <w:t xml:space="preserve">（八）医用被服物品清单：</w:t>
      </w:r>
      <w:r>
        <w:rPr>
          <w:rFonts w:hint="eastAsia" w:ascii="宋体" w:hAnsi="宋体" w:cs="宋体"/>
          <w:color w:val="auto"/>
          <w:szCs w:val="21"/>
          <w:highlight w:val="none"/>
        </w:rPr>
        <w:t xml:space="preserve">按医院预估洗涤、租赁工作量测算费用，按实际发生量结算。</w:t>
      </w:r>
      <w:r/>
    </w:p>
    <w:p>
      <w:pPr>
        <w:ind w:firstLine="420"/>
        <w:spacing w:line="400" w:lineRule="exact"/>
        <w:rPr>
          <w:rFonts w:hint="eastAsia" w:ascii="宋体" w:hAnsi="宋体" w:cs="宋体"/>
          <w:color w:val="auto"/>
          <w:szCs w:val="21"/>
          <w:highlight w:val="none"/>
        </w:rPr>
      </w:pPr>
      <w:r>
        <w:rPr>
          <w:rFonts w:hint="eastAsia" w:ascii="Times New Roman" w:hAnsi="Times New Roman"/>
          <w:color w:val="auto"/>
          <w:szCs w:val="21"/>
          <w:highlight w:val="none"/>
          <w:lang w:val="en-US" w:eastAsia="zh-CN"/>
        </w:rPr>
        <w:t xml:space="preserve">1、</w:t>
      </w:r>
      <w:r>
        <w:rPr>
          <w:rFonts w:hint="eastAsia" w:ascii="宋体" w:hAnsi="宋体" w:cs="宋体"/>
          <w:color w:val="auto"/>
          <w:szCs w:val="21"/>
          <w:highlight w:val="none"/>
        </w:rPr>
        <w:t xml:space="preserve">全年洗涤量预估数</w:t>
      </w:r>
      <w:r/>
    </w:p>
    <w:tbl>
      <w:tblPr>
        <w:tblStyle w:val="685"/>
        <w:tblW w:w="6920" w:type="dxa"/>
        <w:tblInd w:w="113" w:type="dxa"/>
        <w:tblLayout w:type="fixed"/>
        <w:tblCellMar>
          <w:left w:w="108" w:type="dxa"/>
          <w:top w:w="0" w:type="dxa"/>
          <w:right w:w="108" w:type="dxa"/>
          <w:bottom w:w="0" w:type="dxa"/>
        </w:tblCellMar>
        <w:tblLook w:val="04A0" w:firstRow="1" w:lastRow="0" w:firstColumn="1" w:lastColumn="0" w:noHBand="0" w:noVBand="1"/>
      </w:tblPr>
      <w:tblGrid>
        <w:gridCol w:w="1302"/>
        <w:gridCol w:w="4091"/>
        <w:gridCol w:w="1527"/>
      </w:tblGrid>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品名</w:t>
            </w:r>
            <w:r/>
          </w:p>
        </w:tc>
        <w:tc>
          <w:tcPr>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床罩</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130200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小单</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4980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枕套</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102480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被套</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146490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病员服</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61830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病员裤</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61940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棉垫</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椅子套</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开裆裤</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440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冬工作服</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28570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夏工作服</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34070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工作裤</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34610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窗帘/隔帘</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970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护士帽</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930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手术衣</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470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洗手衣</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20520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17</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洗手裤</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14510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方巾</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2330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19</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浴巾</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5820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脉套</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2240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大单（条）</w:t>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13070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婴儿被套</w:t>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560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婴儿棉衣裤</w:t>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连衣裙</w:t>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350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腈纶被</w:t>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890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臀布</w:t>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870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诊察单</w:t>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枕芯</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540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兰衣</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兰裤</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隔离衣</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3680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油布</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羽绒服</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毛衣</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150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default" w:ascii="宋体" w:hAnsi="宋体" w:cs="宋体"/>
                <w:color w:val="auto"/>
                <w:szCs w:val="21"/>
                <w:highlight w:val="none"/>
              </w:rPr>
              <w:t xml:space="preserve">小毛巾</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2790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婴儿毛衫</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治疗巾</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8850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药袋</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1400</w:t>
            </w:r>
            <w:r/>
          </w:p>
        </w:tc>
      </w:tr>
      <w:tr>
        <w:trPr>
          <w:trHeight w:val="243"/>
        </w:trPr>
        <w:tc>
          <w:tcPr>
            <w:gridSpan w:val="3"/>
            <w:tcBorders>
              <w:top w:val="none" w:color="000000" w:sz="4" w:space="0"/>
              <w:left w:val="single" w:color="auto" w:sz="4" w:space="0"/>
              <w:bottom w:val="single" w:color="auto" w:sz="4" w:space="0"/>
              <w:right w:val="single" w:color="auto" w:sz="4" w:space="0"/>
            </w:tcBorders>
            <w:tcW w:w="6920"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景德路门诊</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被套（条）</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13190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枕套（条）</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9980</w:t>
            </w:r>
            <w:r/>
          </w:p>
        </w:tc>
      </w:tr>
    </w:tbl>
    <w:p>
      <w:pPr>
        <w:ind w:firstLine="420"/>
        <w:spacing w:line="400" w:lineRule="exact"/>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 xml:space="preserve">2、</w:t>
      </w:r>
      <w:r>
        <w:rPr>
          <w:rFonts w:hint="eastAsia" w:ascii="宋体" w:hAnsi="宋体" w:cs="宋体"/>
          <w:color w:val="auto"/>
          <w:szCs w:val="21"/>
          <w:highlight w:val="none"/>
        </w:rPr>
        <w:t xml:space="preserve">全年洗涤+租赁预估总数</w:t>
      </w:r>
      <w:r/>
    </w:p>
    <w:tbl>
      <w:tblPr>
        <w:tblStyle w:val="685"/>
        <w:tblW w:w="6893" w:type="dxa"/>
        <w:tblInd w:w="113" w:type="dxa"/>
        <w:tblLayout w:type="fixed"/>
        <w:tblCellMar>
          <w:left w:w="108" w:type="dxa"/>
          <w:top w:w="0" w:type="dxa"/>
          <w:right w:w="108" w:type="dxa"/>
          <w:bottom w:w="0" w:type="dxa"/>
        </w:tblCellMar>
        <w:tblLook w:val="04A0" w:firstRow="1" w:lastRow="0" w:firstColumn="1" w:lastColumn="0" w:noHBand="0" w:noVBand="1"/>
      </w:tblPr>
      <w:tblGrid>
        <w:gridCol w:w="1293"/>
        <w:gridCol w:w="4088"/>
        <w:gridCol w:w="1512"/>
      </w:tblGrid>
      <w:tr>
        <w:trPr>
          <w:trHeight w:val="243"/>
        </w:trPr>
        <w:tc>
          <w:tcPr>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科室</w:t>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品名</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数量</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放射科</w:t>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放射科包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450</w:t>
            </w:r>
            <w:r/>
          </w:p>
        </w:tc>
      </w:tr>
      <w:tr>
        <w:trPr>
          <w:trHeight w:val="243"/>
        </w:trPr>
        <w:tc>
          <w:tcPr>
            <w:tcBorders>
              <w:top w:val="none" w:color="000000" w:sz="4" w:space="0"/>
              <w:left w:val="single" w:color="auto" w:sz="4" w:space="0"/>
              <w:right w:val="single" w:color="auto" w:sz="4" w:space="0"/>
            </w:tcBorders>
            <w:tcW w:w="1293"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胃镜</w:t>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洗手衣</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2290</w:t>
            </w:r>
            <w:r/>
          </w:p>
        </w:tc>
      </w:tr>
      <w:tr>
        <w:trPr>
          <w:trHeight w:val="243"/>
        </w:trPr>
        <w:tc>
          <w:tcPr>
            <w:tcBorders>
              <w:left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洗手裤</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2280</w:t>
            </w:r>
            <w:r/>
          </w:p>
        </w:tc>
      </w:tr>
      <w:tr>
        <w:trPr>
          <w:trHeight w:val="243"/>
        </w:trPr>
        <w:tc>
          <w:tcPr>
            <w:tcBorders>
              <w:left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手术衣</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3370</w:t>
            </w:r>
            <w:r/>
          </w:p>
        </w:tc>
      </w:tr>
      <w:tr>
        <w:trPr>
          <w:trHeight w:val="243"/>
        </w:trPr>
        <w:tc>
          <w:tcPr>
            <w:tcBorders>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巡回衣</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1240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ICU</w:t>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手术衣</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2490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洗手衣</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9790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洗手裤</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9310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妇科门诊</w:t>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环包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930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手术衣包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60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洗手衣包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洗手裤包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restart"/>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手术室</w:t>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剖腹单包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8850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手术衣包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10470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洗手衣裤包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11370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台布包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5870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大包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5350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手术衣</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420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台布</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1270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大包布</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13120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中包布</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小包布</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1930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大洞巾</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310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围单</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方巾</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1880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脚套</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320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剖腹单</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400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内镜包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510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颅单</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巡回衣</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人流包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1550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泌尿外科包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1230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洞巾包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2510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方巾包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2750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脚套包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r>
      <w:tr>
        <w:trPr>
          <w:trHeight w:val="250"/>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巡回衣包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1450</w:t>
            </w:r>
            <w:r/>
          </w:p>
        </w:tc>
      </w:tr>
    </w:tbl>
    <w:p>
      <w:pPr>
        <w:rPr>
          <w:rFonts w:hint="eastAsia"/>
          <w:color w:val="auto"/>
          <w:highlight w:val="none"/>
          <w:lang w:val="en-US" w:eastAsia="zh-CN"/>
        </w:rPr>
      </w:pPr>
      <w:r>
        <w:rPr>
          <w:rFonts w:hint="eastAsia"/>
          <w:color w:val="auto"/>
          <w:highlight w:val="none"/>
          <w:lang w:val="en-US" w:eastAsia="zh-CN"/>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（九）其他要求：</w:t>
      </w:r>
      <w:r/>
    </w:p>
    <w:p>
      <w:pPr>
        <w:ind w:firstLine="422"/>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1、投标人应对以上项目的全部内容进行报价，只报其中部分内容者，其招标响应文件将被拒绝。在报价中须列明其中下收下送服务、手术室打包服务的价格，以及驻场服务人员的费用（采购方不再支付其他任何费用）。</w:t>
      </w:r>
      <w:r>
        <w:rPr>
          <w:rFonts w:hint="eastAsia" w:ascii="宋体" w:hAnsi="宋体"/>
          <w:color w:val="auto"/>
          <w:szCs w:val="21"/>
          <w:highlight w:val="none"/>
        </w:rPr>
        <w:t xml:space="preserve">服务期内如遇国家最低工资标准和社会保险缴费基数调整，由中标人负责，采购人不再给予中标人相应调整。</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2、采购文件中须提供针对本项目配备的人员情况及管理措施，应包括以下几个方面：岗位职责及工作制度、工作标准及要求、日常考核表单及管理规章制度、操作规程（提供回收、交接、洗涤、消毒等操作规程）、《交接工作程序》、《安全应急计划和措施》等规章制度，日常工作具体安排等。</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3、投标人必须承诺采购文件中提出的全部服务要求；</w:t>
      </w:r>
      <w:r>
        <w:rPr>
          <w:rFonts w:hint="eastAsia" w:ascii="Times New Roman" w:hAnsi="Times New Roman"/>
          <w:color w:val="auto"/>
          <w:szCs w:val="21"/>
          <w:highlight w:val="none"/>
          <w:lang w:val="zh-CN"/>
        </w:rPr>
        <w:t xml:space="preserve">如果</w:t>
      </w:r>
      <w:r>
        <w:rPr>
          <w:rFonts w:ascii="Times New Roman" w:hAnsi="Times New Roman"/>
          <w:color w:val="auto"/>
          <w:szCs w:val="21"/>
          <w:highlight w:val="none"/>
          <w:lang w:val="zh-CN"/>
        </w:rPr>
        <w:t xml:space="preserve">其中某些条款不响应时，应在文件中逐条列出，未列出的视同响应。</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4、中标单位有责任配合医院接受上级领导部门的监督、检查，并提供必须的材料。服务单位应参照医院后勤社会化管理部门接受医院的统一管理并进行考核，考核结果与每月费用结算挂钩，考核办法另行约定。除合同约定外，招标方不再向中标方额外支付其他费用。</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5、如有其他优惠条件，请在投标文件中说明。</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（十）考核要求：</w:t>
      </w:r>
      <w:r>
        <w:rPr>
          <w:rFonts w:hint="eastAsia" w:ascii="宋体" w:hAnsi="宋体"/>
          <w:color w:val="auto"/>
          <w:szCs w:val="21"/>
          <w:highlight w:val="none"/>
        </w:rPr>
        <w:t xml:space="preserve">医院对服务方进行月度考核，考核结果与当月度费用结算挂钩。</w:t>
      </w:r>
      <w:r/>
    </w:p>
    <w:tbl>
      <w:tblPr>
        <w:tblStyle w:val="685"/>
        <w:tblpPr w:horzAnchor="page" w:tblpX="1842" w:vertAnchor="text" w:tblpY="217" w:leftFromText="180" w:topFromText="0" w:rightFromText="180" w:bottomFromText="0"/>
        <w:tblW w:w="5126" w:type="pct"/>
        <w:tblInd w:w="0" w:type="dxa"/>
        <w:tblLayout w:type="fixed"/>
        <w:tblCellMar>
          <w:left w:w="108" w:type="dxa"/>
          <w:top w:w="0" w:type="dxa"/>
          <w:right w:w="108" w:type="dxa"/>
          <w:bottom w:w="0" w:type="dxa"/>
        </w:tblCellMar>
        <w:tblLook w:val="04A0" w:firstRow="1" w:lastRow="0" w:firstColumn="1" w:lastColumn="0" w:noHBand="0" w:noVBand="1"/>
      </w:tblPr>
      <w:tblGrid>
        <w:gridCol w:w="797"/>
        <w:gridCol w:w="3350"/>
        <w:gridCol w:w="836"/>
        <w:gridCol w:w="3088"/>
        <w:gridCol w:w="666"/>
      </w:tblGrid>
      <w:tr>
        <w:trPr>
          <w:trHeight w:val="463"/>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苏州市中医医院社会化部门月度考核表</w:t>
            </w:r>
            <w:r/>
          </w:p>
        </w:tc>
      </w:tr>
      <w:tr>
        <w:trPr>
          <w:trHeight w:val="338"/>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righ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年    月</w:t>
            </w:r>
            <w:r/>
          </w:p>
        </w:tc>
      </w:tr>
      <w:tr>
        <w:trPr>
          <w:trHeight w:val="654"/>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扣分项</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说明</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得分</w:t>
            </w:r>
            <w:r/>
          </w:p>
        </w:tc>
      </w:tr>
      <w:tr>
        <w:trPr>
          <w:trHeight w:val="536"/>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洗涤工作人员配比是否到位、到岗、持证上岗</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经抽查与合同不符的，每一人扣2分，扣完为止</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洗涤质量是否到位</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当月每被投诉或查实一次涤涤质量问题扣3分，扣完为止</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下收下送服务及车辆是否及时、规范操作</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当月每被投诉或查实一次扣2分，扣完为止</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917" w:type="pct"/>
            <w:vAlign w:val="center"/>
            <w:vMerge w:val="restart"/>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洗衣房工作场所</w:t>
            </w:r>
            <w:r/>
          </w:p>
        </w:tc>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工作场所卫生、整洁状况、安全状况</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17" w:type="pct"/>
            <w:vAlign w:val="center"/>
            <w:vMerge w:val="continue"/>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照明、排风、门锁是否正常</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17" w:type="pct"/>
            <w:vAlign w:val="center"/>
            <w:vMerge w:val="continue"/>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下收下送记录是否齐全</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17" w:type="pct"/>
            <w:vAlign w:val="center"/>
            <w:vMerge w:val="continue"/>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防霉、防潮、防鼠（虫）物品是否齐全</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落实工作制度、安全生产责任制度、收送记录管理制度</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经抽查发现存在制度不全、记录不全、存在安全生产隐患的，每一次扣2分，扣完为止；</w:t>
            </w:r>
            <w:r/>
          </w:p>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当月发生安全生产责任事故的，扣10分。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备品、备件管理</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经抽查发现备品、备件不足或存在缺陷的，每一次扣2分，扣完为止</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应急服务响应</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当月发生应急事件，响应不及时的扣2分，未响应造成不良后果的，扣10分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加分项</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762"/>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医院收到有关洗涤的表扬信、锦旗，洗涤人员发生拾金不昧、见义勇为、助人为乐等行为</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经核实属实的，当月每发生一次加1分，月底合计得分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推出创新举措</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受到广泛好评并连续推行3个月以上的，每一项加5分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当月合计得分</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100</w:t>
            </w:r>
            <w:r/>
          </w:p>
        </w:tc>
        <w:tc>
          <w:tcPr>
            <w:tcBorders>
              <w:top w:val="single" w:color="000000" w:sz="4" w:space="0"/>
              <w:left w:val="none" w:color="000000" w:sz="4" w:space="0"/>
              <w:bottom w:val="single" w:color="000000" w:sz="4" w:space="0"/>
              <w:right w:val="single" w:color="000000" w:sz="4" w:space="0"/>
            </w:tcBorders>
            <w:tcW w:w="1767" w:type="pct"/>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bl>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注：</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1.扣分项、加分项由后勤保障部进行相应记录。</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2.本表一式两份，每个项目竣工审计，统计分值后由考核部门、被考核单位双方签字确认后留存。</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被考核单位与医院结算相关费用时，以该考核分为依据。该考核分≥90分，则结算费用的100%;85≤考核分＜90分，每低1分，则结算费用扣除1％。80≤考核分＜85分，每低1分，则结算费用扣除2％。该考核分＜80分，视为不合格。</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4.累计三次考核不合格，</w:t>
      </w:r>
      <w:r>
        <w:rPr>
          <w:rFonts w:hint="eastAsia" w:ascii="Times New Roman" w:hAnsi="Times New Roman"/>
          <w:color w:val="auto"/>
          <w:szCs w:val="21"/>
          <w:highlight w:val="none"/>
          <w:lang w:val="en-US" w:eastAsia="zh-CN"/>
        </w:rPr>
        <w:t xml:space="preserve">采购人</w:t>
      </w:r>
      <w:r>
        <w:rPr>
          <w:rFonts w:hint="eastAsia" w:ascii="Times New Roman" w:hAnsi="Times New Roman"/>
          <w:color w:val="auto"/>
          <w:szCs w:val="21"/>
          <w:highlight w:val="none"/>
          <w:lang w:val="zh-CN"/>
        </w:rPr>
        <w:t xml:space="preserve">有权单方面解除合同。</w:t>
      </w:r>
      <w:r/>
    </w:p>
    <w:p>
      <w:pPr>
        <w:pStyle w:val="686"/>
        <w:rPr>
          <w:color w:val="auto"/>
          <w:highlight w:val="none"/>
        </w:rPr>
      </w:pPr>
      <w:r>
        <w:rPr>
          <w:color w:val="auto"/>
          <w:highlight w:val="none"/>
        </w:rPr>
      </w:r>
      <w:r/>
    </w:p>
    <w:p>
      <w:pPr>
        <w:ind w:right="-176" w:firstLine="422"/>
        <w:spacing w:line="390" w:lineRule="exact"/>
        <w:rPr>
          <w:rFonts w:ascii="Times New Roman" w:hAnsi="Times New Roman"/>
          <w:b/>
          <w:bCs/>
          <w:color w:val="auto"/>
          <w:szCs w:val="21"/>
          <w:highlight w:val="none"/>
        </w:rPr>
      </w:pPr>
      <w:r>
        <w:rPr>
          <w:rFonts w:ascii="Times New Roman" w:hAnsi="Times New Roman"/>
          <w:b/>
          <w:bCs/>
          <w:color w:val="auto"/>
          <w:szCs w:val="21"/>
          <w:highlight w:val="none"/>
        </w:rPr>
        <w:t xml:space="preserve">采购包5：</w:t>
      </w:r>
      <w:r>
        <w:rPr>
          <w:rFonts w:hint="eastAsia" w:ascii="Times New Roman" w:hAnsi="Times New Roman"/>
          <w:b/>
          <w:bCs/>
          <w:color w:val="auto"/>
          <w:szCs w:val="21"/>
          <w:highlight w:val="none"/>
        </w:rPr>
        <w:t xml:space="preserve">医院东楼医疗环境清洁消杀、垃圾运送服务</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en-US" w:eastAsia="zh-CN"/>
        </w:rPr>
        <w:t xml:space="preserve">（一）</w:t>
      </w:r>
      <w:r>
        <w:rPr>
          <w:rFonts w:hint="eastAsia" w:ascii="Times New Roman" w:hAnsi="Times New Roman"/>
          <w:color w:val="auto"/>
          <w:szCs w:val="21"/>
          <w:highlight w:val="none"/>
          <w:lang w:val="zh-CN"/>
        </w:rPr>
        <w:t xml:space="preserve">服务期限：一年（2026年6月1日至2027年5月31日）</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w:t>
      </w:r>
      <w:r>
        <w:rPr>
          <w:rFonts w:hint="eastAsia" w:ascii="Times New Roman" w:hAnsi="Times New Roman"/>
          <w:color w:val="auto"/>
          <w:szCs w:val="21"/>
          <w:highlight w:val="none"/>
          <w:lang w:val="en-US" w:eastAsia="zh-CN"/>
        </w:rPr>
        <w:t xml:space="preserve">二</w:t>
      </w:r>
      <w:r>
        <w:rPr>
          <w:rFonts w:hint="eastAsia" w:ascii="Times New Roman" w:hAnsi="Times New Roman"/>
          <w:color w:val="auto"/>
          <w:szCs w:val="21"/>
          <w:highlight w:val="none"/>
          <w:lang w:val="zh-CN"/>
        </w:rPr>
        <w:t xml:space="preserve">）服务项目内容：</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lang w:val="zh-CN"/>
        </w:rPr>
        <w:t xml:space="preserve">、本次项目为苏州市中医医院东楼后勤综合服务（含东楼主楼、裙楼、地下室），包含清洁消杀、驻守科室清洁消杀（血透室、急诊科、EICU、景德路门诊部、中医药博物馆、制剂楼、彩香教学基地）、生活垃圾和医疗垃圾的清运等内容，建筑面积约89000平方米。</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lang w:val="zh-CN"/>
        </w:rPr>
        <w:t xml:space="preserve">、要求服务方具有一定的同类服务工作经验，构建科学合理、精简高效、节约成本、系统完善的医院后勤服务体系，以领先的服务理念和专业的质量标准，运用先进的信息系统、技术手段和管理能力，结合实际情况，为采购人提供全方位的清洁消杀、运送等医院后勤服务。</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lang w:val="zh-CN"/>
        </w:rPr>
        <w:t xml:space="preserve">、要求服务方做到工作交接记录完整、可查，具有追溯性，各种日报表、月或季报表随时可调用、年报表汇总情况分列内容齐全完整，并在服务期满时向院方移交全部数据的电子文档和书面存档资料。</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w:t>
      </w:r>
      <w:r>
        <w:rPr>
          <w:rFonts w:hint="eastAsia" w:ascii="Times New Roman" w:hAnsi="Times New Roman"/>
          <w:color w:val="auto"/>
          <w:szCs w:val="21"/>
          <w:highlight w:val="none"/>
          <w:lang w:val="en-US" w:eastAsia="zh-CN"/>
        </w:rPr>
        <w:t xml:space="preserve">三</w:t>
      </w:r>
      <w:r>
        <w:rPr>
          <w:rFonts w:hint="eastAsia" w:ascii="Times New Roman" w:hAnsi="Times New Roman"/>
          <w:color w:val="auto"/>
          <w:szCs w:val="21"/>
          <w:highlight w:val="none"/>
          <w:lang w:val="zh-CN"/>
        </w:rPr>
        <w:t xml:space="preserve">）人员要求</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lang w:val="zh-CN"/>
        </w:rPr>
        <w:t xml:space="preserve">、依据目前医院内各科室、部门的情况和建议，苏州市中医医院服务岗位数量要求不少于69人（含管理人员），具体服务人员数要求各服务方实地勘测了解，并结合各企业的管理水平和服务人员的能力等在文件中做出具体响应。</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招聘的员工必须经过岗前培训，具备与从事的工种相适应的文化知识，应具有初中及以上学历，具有一定的语言沟通能力，后续持续开展年度培训计划，所有人员持健康证上岗。</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lang w:val="zh-CN"/>
        </w:rPr>
        <w:t xml:space="preserve">、服务方配置人员年龄结构：男性年龄不高于63周岁，其中男性60周岁以下占比不得低于40%；女性年龄不高于59周岁，其中女性55周岁以下占比不得低于40%。重点区域岗位人员年龄男不得超过60周岁，女不得超过55周岁。</w:t>
      </w:r>
      <w:r>
        <w:rPr>
          <w:rFonts w:hint="eastAsia" w:ascii="Times New Roman" w:hAnsi="Times New Roman"/>
          <w:color w:val="auto"/>
          <w:szCs w:val="21"/>
          <w:highlight w:val="none"/>
        </w:rPr>
        <w:t xml:space="preserve">所有岗位须持健康证上岗</w:t>
      </w:r>
      <w:r>
        <w:rPr>
          <w:rFonts w:hint="eastAsia" w:ascii="Times New Roman" w:hAnsi="Times New Roman"/>
          <w:color w:val="auto"/>
          <w:szCs w:val="21"/>
          <w:highlight w:val="none"/>
          <w:lang w:eastAsia="zh-CN"/>
        </w:rPr>
        <w:t xml:space="preserve">。</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lang w:val="zh-CN"/>
        </w:rPr>
        <w:t xml:space="preserve">、项目经理要求：须具备3年以上医院物业项目管理经验和相应证书，经院方认可后上岗。</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lang w:val="zh-CN"/>
        </w:rPr>
        <w:t xml:space="preserve">、服务方员工应服从医院后勤保障部、病区护士长的双重管理。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en-US" w:eastAsia="zh-CN"/>
        </w:rPr>
        <w:t xml:space="preserve">5</w:t>
      </w:r>
      <w:r>
        <w:rPr>
          <w:rFonts w:hint="eastAsia" w:ascii="Times New Roman" w:hAnsi="Times New Roman"/>
          <w:color w:val="auto"/>
          <w:szCs w:val="21"/>
          <w:highlight w:val="none"/>
          <w:lang w:val="zh-CN"/>
        </w:rPr>
        <w:t xml:space="preserve">、服务方须加强员工管理与服务规范培训，引导员工妥善处理与院方、患者及家属的沟通协作，服务做到热情周到、文明规范、态度优良，医患综合满意度需达到 90% 以上。</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lang w:val="zh-CN"/>
        </w:rPr>
        <w:t xml:space="preserve">、服务方的各岗位员工要统一服装，并由服务方负责其员工工服配备和洗涤。</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en-US" w:eastAsia="zh-CN"/>
        </w:rPr>
        <w:t xml:space="preserve">7</w:t>
      </w:r>
      <w:r>
        <w:rPr>
          <w:rFonts w:hint="eastAsia" w:ascii="Times New Roman" w:hAnsi="Times New Roman"/>
          <w:color w:val="auto"/>
          <w:szCs w:val="21"/>
          <w:highlight w:val="none"/>
          <w:lang w:val="zh-CN"/>
        </w:rPr>
        <w:t xml:space="preserve">、服务方有岗前培训机制，服务人员100%经过岗前培训合格才能上岗。</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lang w:val="zh-CN"/>
        </w:rPr>
        <w:t xml:space="preserve">、服务方如有工作范围的调整，双方协商解决。</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en-US" w:eastAsia="zh-CN"/>
        </w:rPr>
        <w:t xml:space="preserve">9</w:t>
      </w:r>
      <w:r>
        <w:rPr>
          <w:rFonts w:hint="eastAsia" w:ascii="Times New Roman" w:hAnsi="Times New Roman"/>
          <w:color w:val="auto"/>
          <w:szCs w:val="21"/>
          <w:highlight w:val="none"/>
          <w:lang w:val="zh-CN"/>
        </w:rPr>
        <w:t xml:space="preserve">、配合院方做好控烟工作，落实具体控烟措施。</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w:t>
      </w:r>
      <w:r>
        <w:rPr>
          <w:rFonts w:hint="eastAsia" w:ascii="Times New Roman" w:hAnsi="Times New Roman"/>
          <w:color w:val="auto"/>
          <w:szCs w:val="21"/>
          <w:highlight w:val="none"/>
          <w:lang w:val="en-US" w:eastAsia="zh-CN"/>
        </w:rPr>
        <w:t xml:space="preserve">四</w:t>
      </w:r>
      <w:r>
        <w:rPr>
          <w:rFonts w:hint="eastAsia" w:ascii="Times New Roman" w:hAnsi="Times New Roman"/>
          <w:color w:val="auto"/>
          <w:szCs w:val="21"/>
          <w:highlight w:val="none"/>
          <w:lang w:val="zh-CN"/>
        </w:rPr>
        <w:t xml:space="preserve">）设备、工具材料要求</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lang w:val="zh-CN"/>
        </w:rPr>
        <w:t xml:space="preserve">、生活垃圾袋由服务方提供，医疗垃圾收集袋根据《医疗废物管理条例》第十六条的规定要求由院方提供。</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lang w:val="zh-CN"/>
        </w:rPr>
        <w:t xml:space="preserve">、服务方需对本项目配置相应的清洁消杀设备及清洁消杀工具、清洁消毒剂、工作服等，提供清单。以上配置均包含在此次报价之内。</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lang w:val="zh-CN"/>
        </w:rPr>
        <w:t xml:space="preserve">、服务方自备电脑、考勤设备和打印机等办公设备和耗材；服务方自行负责桌椅等办公家具。</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w:t>
      </w:r>
      <w:r>
        <w:rPr>
          <w:rFonts w:hint="eastAsia" w:ascii="Times New Roman" w:hAnsi="Times New Roman"/>
          <w:color w:val="auto"/>
          <w:szCs w:val="21"/>
          <w:highlight w:val="none"/>
          <w:lang w:val="en-US" w:eastAsia="zh-CN"/>
        </w:rPr>
        <w:t xml:space="preserve">五</w:t>
      </w:r>
      <w:r>
        <w:rPr>
          <w:rFonts w:hint="eastAsia" w:ascii="Times New Roman" w:hAnsi="Times New Roman"/>
          <w:color w:val="auto"/>
          <w:szCs w:val="21"/>
          <w:highlight w:val="none"/>
          <w:lang w:val="zh-CN"/>
        </w:rPr>
        <w:t xml:space="preserve">）其他要求</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1、服务方不得转包第三方。</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2、后勤服务工作中造成院方财产损坏或遗失，服务方负责赔偿。 </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3、服务方应严格按照政府部门相关规定给员工缴纳各种社会保险（包括养老、医疗、工伤、生育保险、失业保险等）。</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4、服务方自行负责其招聘员工的一切工资、福利，如发生工伤、疾病乃至死亡的一切责任及费用由服务方全部负责。</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5、服务方应严格遵守国家有关的法律法规及行业标准，因工作原因产生的加班（含节假日加班）应严格按相应标准给付员工加班薪资，报价中包含国定假日加班费，没有特殊情况医院不再支付加班费。</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6、履行后勤服务任务中发生差错造成第三者的意外伤亡事故及所引发的责任、经济由服务方承担（可购买公共责任险）。</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7、服务方有责任配合医院接受上级领导部门的监督、检查，提供必需的资料。当院方有特殊任务时，如医院评审、创卫活动、检查、庆典活动等，服务方应在指定范围内积极配合，加大人力物力资源投入，做好突击性清洁消杀工作。</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8、服务方须纳入院方对后勤管理服务工作相关的考核机制，认真履行职责，严格按承包协议中的质量保证体系做好所辖范围内的清洁消杀、运送等工作，确保在岗在位，各尽其职，保证符合各项服务的质量标准。考核办法双方另行约定。</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9、为保证医院的正常医疗活动的开展，服务方须提供详细的与采购人后勤清洁消杀的交接方案、防止交叉感染措施方案、各类突发事件应急处置预案。</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10、服务方在文件中承诺的优惠、免费项目，需在规定时间内保质保量完成。</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11、增加的服务项目由双方协商解决。</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w:t>
      </w:r>
      <w:r>
        <w:rPr>
          <w:rFonts w:hint="eastAsia" w:ascii="Times New Roman" w:hAnsi="Times New Roman"/>
          <w:color w:val="auto"/>
          <w:szCs w:val="21"/>
          <w:highlight w:val="none"/>
          <w:lang w:val="en-US" w:eastAsia="zh-CN"/>
        </w:rPr>
        <w:t xml:space="preserve">六</w:t>
      </w:r>
      <w:r>
        <w:rPr>
          <w:rFonts w:hint="eastAsia" w:ascii="Times New Roman" w:hAnsi="Times New Roman"/>
          <w:color w:val="auto"/>
          <w:szCs w:val="21"/>
          <w:highlight w:val="none"/>
          <w:lang w:val="zh-CN"/>
        </w:rPr>
        <w:t xml:space="preserve">）清洁消杀作业内容：</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作业范围：地面（含各种材料面层）、墙面（含各种材料面层）、楼梯、扶手、各种标牌、贴脚线、墙角、垃圾桶、门窗、玻璃、进出风栅格、灯具、水池、瓷砖、洗脸盆、坐便器、淋浴房、公用通道、护士站、办公室、治疗室、值班房、机房、配餐间、家具、设备带、床头柜、床、痰盂、陪护椅、画框、栏杆、沙发、茶几、候诊椅、消防设施、软门帘、卷帘、电梯、诊室、诊疗场所、地下室污物梯通道等。</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2、三米以下的室内外立面清洗清洁消杀。</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3、医疗垃圾按院感要求规范交接和运送，生活垃圾及时清运。</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4、专项作业：</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4.1玻璃窗每月擦一次，动态清洁消杀。 </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4.2花岗岩、大理石墙面、地面定期清洗；地毯每季度清洗一次。 </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4.3空调出风口每月清洗一次。</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4.4电梯等不锈钢设施每日清洁、上油。</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4.5围栏玻璃每月清洗一次。区域内所有卷帘每年清洗一次。</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4.6公共区域门窗和电灯开关管理。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5、特殊科室：</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5.1血透室：清洁消杀、药品搬运等。</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5.2急诊、EICU、日间病房：清洁消杀。</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5.3全院废旧纸板收集。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w:t>
      </w:r>
      <w:r>
        <w:rPr>
          <w:rFonts w:hint="eastAsia" w:ascii="Times New Roman" w:hAnsi="Times New Roman"/>
          <w:color w:val="auto"/>
          <w:szCs w:val="21"/>
          <w:highlight w:val="none"/>
          <w:lang w:val="en-US" w:eastAsia="zh-CN"/>
        </w:rPr>
        <w:t xml:space="preserve">七</w:t>
      </w:r>
      <w:r>
        <w:rPr>
          <w:rFonts w:hint="eastAsia" w:ascii="Times New Roman" w:hAnsi="Times New Roman"/>
          <w:color w:val="auto"/>
          <w:szCs w:val="21"/>
          <w:highlight w:val="none"/>
          <w:lang w:val="zh-CN"/>
        </w:rPr>
        <w:t xml:space="preserve">）清洁消杀作业要求</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区域内所有空间：地面（含各种材料面层）、顶面（含雨棚、网架等各种材料面层）、墙面（含各类材料面层）、台面、设备带、家具、器材表面、楼梯、扶手、各种标牌、贴脚线、墙角、门窗、玻璃、进出风栅格、灯具、软门帘等。</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要求：无积尘、无蛛网、无油渍、无痰渍、无尿渍、无水渍、无烟蒂、无小广告、清洁光亮。</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2、垃圾桶、烟缸</w:t>
      </w:r>
      <w:r>
        <w:rPr>
          <w:rFonts w:hint="eastAsia" w:ascii="Times New Roman" w:hAnsi="Times New Roman"/>
          <w:color w:val="auto"/>
          <w:szCs w:val="21"/>
          <w:highlight w:val="none"/>
          <w:lang w:val="zh-CN"/>
        </w:rPr>
        <w:tab/>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要求：按时清倒、洁具外观无痰渍、无污垢、清洁光亮。 </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3、水池、便池、洗脸盆及台面</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要求：无积水、无污垢、无尿垢、清洁光亮。</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4、厕所、污物间、过道、楼道、电梯厅、配餐间</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要求：无积水、无杂物、物品摆放有序。厕所无尿垢、无粪便、无异味、垃圾及时清理，电梯内环境整洁。 </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5、病人出院后所有用品（床头柜、床等）按要求清洗消毒，终末处理到位。</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6、区域内的地面定期清洗； </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7、区域内的所有门庭台阶、庭院地面整洁，窗明几净。</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8、医疗垃圾按院感要求运用信息化系统规范运送；生活垃圾收集及时，清运规范，实行桶换桶收集与运送，杜绝抛洒滴漏现象。</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9、质量标准</w:t>
      </w:r>
      <w:r/>
    </w:p>
    <w:tbl>
      <w:tblPr>
        <w:tblStyle w:val="685"/>
        <w:tblW w:w="8939"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5"/>
        <w:gridCol w:w="1085"/>
        <w:gridCol w:w="2692"/>
        <w:gridCol w:w="4107"/>
      </w:tblGrid>
      <w:tr>
        <w:trPr>
          <w:trHeight w:val="306"/>
        </w:trPr>
        <w:tc>
          <w:tcPr>
            <w:gridSpan w:val="2"/>
            <w:tcW w:w="2140" w:type="dxa"/>
            <w:vAlign w:val="center"/>
            <w:textDirection w:val="lrTb"/>
            <w:noWrap w:val="false"/>
          </w:tcPr>
          <w:p>
            <w:pPr>
              <w:ind w:left="1" w:right="27" w:hanging="14"/>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区域</w:t>
            </w:r>
            <w:r/>
          </w:p>
        </w:tc>
        <w:tc>
          <w:tcPr>
            <w:tcW w:w="2692" w:type="dxa"/>
            <w:vAlign w:val="center"/>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服务质量标准</w:t>
            </w:r>
            <w:r/>
          </w:p>
        </w:tc>
        <w:tc>
          <w:tcPr>
            <w:tcW w:w="4107" w:type="dxa"/>
            <w:vAlign w:val="center"/>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要求</w:t>
            </w:r>
            <w:r/>
          </w:p>
        </w:tc>
      </w:tr>
      <w:tr>
        <w:trPr>
          <w:trHeight w:val="312"/>
        </w:trPr>
        <w:tc>
          <w:tcPr>
            <w:gridSpan w:val="2"/>
            <w:tcW w:w="2140" w:type="dxa"/>
            <w:vAlign w:val="center"/>
            <w:vMerge w:val="restart"/>
            <w:textDirection w:val="lrTb"/>
            <w:noWrap w:val="false"/>
          </w:tcPr>
          <w:p>
            <w:pPr>
              <w:ind w:left="1" w:right="27" w:hanging="14"/>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房  屋</w:t>
            </w:r>
            <w:r/>
          </w:p>
          <w:p>
            <w:pPr>
              <w:ind w:left="1" w:right="27" w:hanging="14"/>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棚  顶</w:t>
            </w:r>
            <w:r/>
          </w:p>
        </w:tc>
        <w:tc>
          <w:tcPr>
            <w:tcW w:w="2692" w:type="dxa"/>
            <w:vAlign w:val="center"/>
            <w:vMerge w:val="restart"/>
            <w:textDirection w:val="lrTb"/>
            <w:noWrap w:val="false"/>
          </w:tcPr>
          <w:p>
            <w:pPr>
              <w:ind w:left="1" w:right="-94" w:firstLine="33"/>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无杂物。</w:t>
            </w:r>
            <w:r/>
          </w:p>
        </w:tc>
        <w:tc>
          <w:tcPr>
            <w:tcW w:w="4107" w:type="dxa"/>
            <w:vAlign w:val="center"/>
            <w:vMerge w:val="restart"/>
            <w:textDirection w:val="lrTb"/>
            <w:noWrap w:val="false"/>
          </w:tcPr>
          <w:p>
            <w:pPr>
              <w:ind w:left="1" w:firstLine="447"/>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每月全面清扫一次，巡视随时清除纸屑、烟蒂等。 </w:t>
            </w:r>
            <w:r/>
          </w:p>
        </w:tc>
      </w:tr>
      <w:tr>
        <w:trPr>
          <w:trHeight w:val="306"/>
        </w:trPr>
        <w:tc>
          <w:tcPr>
            <w:tcW w:w="1055" w:type="dxa"/>
            <w:vAlign w:val="center"/>
            <w:vMerge w:val="restart"/>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急诊</w:t>
            </w:r>
            <w:r/>
          </w:p>
        </w:tc>
        <w:tc>
          <w:tcPr>
            <w:tcW w:w="1085"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诊室</w:t>
            </w:r>
            <w:r/>
          </w:p>
        </w:tc>
        <w:tc>
          <w:tcPr>
            <w:tcW w:w="2692" w:type="dxa"/>
            <w:vMerge w:val="restart"/>
            <w:textDirection w:val="lrTb"/>
            <w:noWrap w:val="false"/>
          </w:tcPr>
          <w:p>
            <w:pPr>
              <w:ind w:left="1" w:right="-94" w:firstLine="33"/>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室内整洁，墙壁无灰尘、蜘蛛网，墙裙踢脚线无污迹；地面干净、无杂物；窗户明亮；痰盂清洁，外表无痰迹；垃圾桶上盖、外表无污迹，垃圾无外溢。</w:t>
            </w:r>
            <w:r/>
          </w:p>
        </w:tc>
        <w:tc>
          <w:tcPr>
            <w:tcW w:w="4107" w:type="dxa"/>
            <w:vMerge w:val="restart"/>
            <w:textDirection w:val="lrTb"/>
            <w:noWrap w:val="false"/>
          </w:tcPr>
          <w:p>
            <w:pPr>
              <w:ind w:left="1" w:right="29" w:firstLine="447"/>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定期用全自动洗地机清洗，消毒液地面消毒；2、每天用尘推推二次，尽量用最少的时间，达到清洁的效果，不影响门诊工作；3、墙裙及踢脚线每周抹一次；4、室内灯具及空调每月抹一次，天花板每月除尘一次；5、室内窗户玻璃每月清洁一次，窗台保持干净；6、呕吐物及时清除并冲洗；7、垃圾桶每天倾倒两次，表面每天擦洗一次；8、各诊室候诊区桌椅等物每周用消毒液抹一次。</w:t>
            </w:r>
            <w:r/>
          </w:p>
        </w:tc>
      </w:tr>
      <w:tr>
        <w:trPr>
          <w:trHeight w:val="306"/>
        </w:trPr>
        <w:tc>
          <w:tcPr>
            <w:tcW w:w="1055"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85"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检查室</w:t>
            </w:r>
            <w:r/>
          </w:p>
        </w:tc>
        <w:tc>
          <w:tcPr>
            <w:tcW w:w="2692"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306"/>
        </w:trPr>
        <w:tc>
          <w:tcPr>
            <w:tcW w:w="1055"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85"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留察室</w:t>
            </w:r>
            <w:r/>
          </w:p>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抢救室</w:t>
            </w:r>
            <w:r/>
          </w:p>
        </w:tc>
        <w:tc>
          <w:tcPr>
            <w:tcW w:w="2692"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306"/>
        </w:trPr>
        <w:tc>
          <w:tcPr>
            <w:tcW w:w="1055"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85" w:type="dxa"/>
            <w:vAlign w:val="center"/>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2692"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306"/>
        </w:trPr>
        <w:tc>
          <w:tcPr>
            <w:tcW w:w="1055"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85"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候诊</w:t>
            </w:r>
            <w:r/>
          </w:p>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廊厅</w:t>
            </w:r>
            <w:r/>
          </w:p>
        </w:tc>
        <w:tc>
          <w:tcPr>
            <w:tcW w:w="2692" w:type="dxa"/>
            <w:vMerge w:val="restart"/>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地面清洁无杂物；候诊椅干净，无污迹，无灰尘。</w:t>
            </w:r>
            <w:r/>
          </w:p>
        </w:tc>
        <w:tc>
          <w:tcPr>
            <w:tcW w:w="4107" w:type="dxa"/>
            <w:vMerge w:val="restart"/>
            <w:textDirection w:val="lrTb"/>
            <w:noWrap w:val="false"/>
          </w:tcPr>
          <w:p>
            <w:pPr>
              <w:ind w:left="1" w:firstLine="447"/>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1.定期用全自动洗地机清洗，每周用消毒液消毒一次；2、每天用尘推推三次；随时巡视，及时清除地面杂物、痰迹等。</w:t>
            </w:r>
            <w:r/>
          </w:p>
        </w:tc>
      </w:tr>
      <w:tr>
        <w:trPr>
          <w:trHeight w:val="306"/>
        </w:trPr>
        <w:tc>
          <w:tcPr>
            <w:tcW w:w="1055"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85" w:type="dxa"/>
            <w:vAlign w:val="center"/>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2692"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普通病房</w:t>
            </w:r>
            <w:r/>
          </w:p>
        </w:tc>
        <w:tc>
          <w:tcPr>
            <w:tcW w:w="2692"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室内整洁，墙壁无灰尘、蜘蛛网，墙裙踢脚线无污迹；地面干净、无杂物；窗户明亮；垃圾桶外表无污迹，垃圾无外溢；病床、床头柜及凳无灰尘、无污迹；空气菌落计数≤4cfu/(5min·直径。 平皿），物体表面菌落计数≤10 cfu/cm2；不得检出致病性微生物。</w:t>
            </w:r>
            <w:r/>
          </w:p>
          <w:p>
            <w:pPr>
              <w:ind w:left="1" w:right="27" w:hanging="14"/>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4107"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1.定期用洗地机清洗地面；地面有杂物、纸屑等垃圾时，随时清除；2、保证一日二拖（上午上班前、下午上班前）；3、保证走廊一日早、中二拖；4、设备</w:t>
            </w:r>
            <w:r>
              <w:rPr>
                <w:rFonts w:hint="eastAsia" w:ascii="宋体" w:hAnsi="宋体" w:cs="宋体"/>
                <w:color w:val="auto"/>
                <w:szCs w:val="21"/>
                <w:highlight w:val="none"/>
              </w:rPr>
              <w:t xml:space="preserve">带、床头柜及凳子每天抹一次（每床一抹布），每出院一病人全面终末处理一次；5、病房卫生间洁具每天抹一遍，每天全面擦洗一次并用消毒液消毒一次（一卫一巾）；6、室内灯具及空调每月抹一次，天花板每月除尘一次；7、室内窗户玻璃每月清洁一次，窗台保持干净；8、病人痰杯、便具清洁后用含氯消毒液浸泡30分钟；9、垃圾桶每天倾倒两次，垃圾不得溢出，及时更换垃圾袋，表面每天擦洗一次并消毒；垃圾篓每周消毒一次；生活垃圾使用黑色垃圾袋，医疗垃圾使用黄色垃圾袋；10、卫生工具按办公区、病房、走道、处置室、配餐室、厕所等分别固定放置。</w:t>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医护办公室</w:t>
            </w:r>
            <w:r/>
          </w:p>
        </w:tc>
        <w:tc>
          <w:tcPr>
            <w:tcW w:w="2692" w:type="dxa"/>
            <w:vMerge w:val="restart"/>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室内整洁有序；地面无灰尘、无杂物，墙面无蛛网。</w:t>
            </w:r>
            <w:r/>
          </w:p>
        </w:tc>
        <w:tc>
          <w:tcPr>
            <w:tcW w:w="4107" w:type="dxa"/>
            <w:vMerge w:val="restart"/>
            <w:textDirection w:val="lrTb"/>
            <w:noWrap w:val="false"/>
          </w:tcPr>
          <w:p>
            <w:pPr>
              <w:ind w:left="1" w:firstLine="447"/>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定期用全自动洗地机全面清洗地面并用消毒液消毒；2、每天用湿尘推地二次，尽量用最少的时间，达到清洁的效果，不影响正常工作；3、室内灯具及空调出风口每月抹一次，天花板每月除尘一次；4、室内窗户玻璃每月清洁一次，窗台保持干净；5、垃圾篓每天倾倒两次，及时更换垃圾袋，表面每周擦洗一次；6、医护办公室桌凳每天抹一次（抹布与病床抹布分开）。</w:t>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检查室</w:t>
            </w:r>
            <w:r/>
          </w:p>
        </w:tc>
        <w:tc>
          <w:tcPr>
            <w:tcW w:w="2692"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化验室</w:t>
            </w:r>
            <w:r/>
          </w:p>
        </w:tc>
        <w:tc>
          <w:tcPr>
            <w:tcW w:w="2692"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值班室</w:t>
            </w:r>
            <w:r/>
          </w:p>
        </w:tc>
        <w:tc>
          <w:tcPr>
            <w:tcW w:w="2692"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处置室</w:t>
            </w:r>
            <w:r/>
          </w:p>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更衣室</w:t>
            </w:r>
            <w:r/>
          </w:p>
        </w:tc>
        <w:tc>
          <w:tcPr>
            <w:tcW w:w="2692"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306"/>
        </w:trPr>
        <w:tc>
          <w:tcPr>
            <w:gridSpan w:val="2"/>
            <w:tcW w:w="2140" w:type="dxa"/>
            <w:vAlign w:val="center"/>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2692"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治疗室换药室</w:t>
            </w:r>
            <w:r/>
          </w:p>
        </w:tc>
        <w:tc>
          <w:tcPr>
            <w:tcW w:w="2692"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基本要求同上，地面无药迹；治疗台、治疗车（盘）、药车无灰尘、无药迹，车轮无头发及无杂物缠绕。</w:t>
            </w:r>
            <w:r/>
          </w:p>
        </w:tc>
        <w:tc>
          <w:tcPr>
            <w:tcW w:w="4107" w:type="dxa"/>
            <w:vAlign w:val="center"/>
            <w:textDirection w:val="lrTb"/>
            <w:noWrap w:val="false"/>
          </w:tcPr>
          <w:p>
            <w:pPr>
              <w:ind w:left="1" w:right="29" w:firstLine="447"/>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1.定期用全自动洗地机全面清洗地面并用消毒液消毒；2、每天清扫地面两次，清扫后用湿尘推一次；3、每天使用前后用消毒液对治疗台、治疗车（盘）及药车进行消毒处理；每周清理车轮一次。</w:t>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处置室</w:t>
            </w:r>
            <w:r/>
          </w:p>
        </w:tc>
        <w:tc>
          <w:tcPr>
            <w:tcW w:w="2692"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基本要求同上</w:t>
            </w:r>
            <w:r/>
          </w:p>
        </w:tc>
        <w:tc>
          <w:tcPr>
            <w:tcW w:w="4107" w:type="dxa"/>
            <w:vAlign w:val="center"/>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按院感科要求分类放置垃圾。</w:t>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门厅</w:t>
            </w:r>
            <w:r/>
          </w:p>
        </w:tc>
        <w:tc>
          <w:tcPr>
            <w:tcW w:w="2692" w:type="dxa"/>
            <w:vMerge w:val="restart"/>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大理石地面目视干净、无污渍，有光泽；PVC地面目视干净、无杂物、无污渍；墙面干净；楼梯扶手无污渍。</w:t>
            </w:r>
            <w:r/>
          </w:p>
        </w:tc>
        <w:tc>
          <w:tcPr>
            <w:tcW w:w="4107" w:type="dxa"/>
            <w:vMerge w:val="restart"/>
            <w:textDirection w:val="lrTb"/>
            <w:noWrap w:val="false"/>
          </w:tcPr>
          <w:p>
            <w:pPr>
              <w:ind w:left="1" w:firstLine="447"/>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定期用全自动洗地车或擦地机擦洗地面，并同时用消毒液消毒；2、每天按班次清扫并用湿尘推推净灰尘两次；3、每天随时巡视，及时清理地面杂物及痰迹等；4、楼梯扶手、内墙、出风口每天抹一次，不锈钢体每隔一天用清洁液或光亮剂保养一次。</w:t>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走廊</w:t>
            </w:r>
            <w:r/>
          </w:p>
        </w:tc>
        <w:tc>
          <w:tcPr>
            <w:tcW w:w="2692"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楼梯</w:t>
            </w:r>
            <w:r/>
          </w:p>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通道</w:t>
            </w:r>
            <w:r/>
          </w:p>
        </w:tc>
        <w:tc>
          <w:tcPr>
            <w:tcW w:w="2692"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2692"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EICU、日间病房</w:t>
            </w:r>
            <w:r/>
          </w:p>
        </w:tc>
        <w:tc>
          <w:tcPr>
            <w:tcW w:w="2692" w:type="dxa"/>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1.要求高于普通病房；2、室内整洁，地面无杂物，窗户明亮，病床床头柜设施设备无灰尘无污迹。</w:t>
            </w:r>
            <w:r/>
          </w:p>
        </w:tc>
        <w:tc>
          <w:tcPr>
            <w:tcW w:w="4107" w:type="dxa"/>
            <w:textDirection w:val="lrTb"/>
            <w:noWrap w:val="false"/>
          </w:tcPr>
          <w:p>
            <w:pPr>
              <w:ind w:left="1" w:firstLine="33"/>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1.按特殊科室要求</w:t>
            </w:r>
            <w:r>
              <w:rPr>
                <w:rFonts w:hint="eastAsia" w:ascii="宋体" w:hAnsi="宋体" w:cs="宋体"/>
                <w:color w:val="auto"/>
                <w:szCs w:val="21"/>
                <w:highlight w:val="none"/>
                <w:lang w:eastAsia="zh-CN"/>
              </w:rPr>
              <w:t xml:space="preserve">清洁消杀</w:t>
            </w:r>
            <w:r>
              <w:rPr>
                <w:rFonts w:hint="eastAsia" w:ascii="宋体" w:hAnsi="宋体" w:cs="宋体"/>
                <w:color w:val="auto"/>
                <w:szCs w:val="21"/>
                <w:highlight w:val="none"/>
              </w:rPr>
              <w:t xml:space="preserve">；2、每周末彻底全面大卫生消毒一次；3、推车每日用消毒液擦拭一次。4、空调滤网每周清洗一次。</w:t>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公共卫生间</w:t>
            </w:r>
            <w:r/>
          </w:p>
        </w:tc>
        <w:tc>
          <w:tcPr>
            <w:tcW w:w="2692" w:type="dxa"/>
            <w:vAlign w:val="center"/>
            <w:textDirection w:val="lrTb"/>
            <w:noWrap w:val="false"/>
          </w:tcPr>
          <w:p>
            <w:pPr>
              <w:ind w:left="1" w:right="27" w:hanging="14"/>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地面无烟头、污渍、积水、纸屑、果皮；天花板、墙角、灯具目视无灰尘、蜘蛛网；目视墙壁干净，便池便器洁净无黄渍；室内无异味臭味。</w:t>
            </w:r>
            <w:r/>
          </w:p>
        </w:tc>
        <w:tc>
          <w:tcPr>
            <w:tcW w:w="4107" w:type="dxa"/>
            <w:vAlign w:val="center"/>
            <w:textDirection w:val="lrTb"/>
            <w:noWrap w:val="false"/>
          </w:tcPr>
          <w:p>
            <w:pPr>
              <w:ind w:left="1" w:firstLine="33"/>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每天上午上班前清洗便器、洗手池；2、放置卫生香；3、每小时清洁地面一次，并冲便器，每日刷便池一次；4、每天消毒一次；5、每周清洁一次墙面、门窗及天花板；6、及时倾倒垃圾桶，并每天清洗消毒一次；7、发现有小广告及时铲除并清洗；8、动态</w:t>
            </w:r>
            <w:r>
              <w:rPr>
                <w:rFonts w:hint="eastAsia" w:ascii="宋体" w:hAnsi="宋体" w:cs="宋体"/>
                <w:color w:val="auto"/>
                <w:szCs w:val="21"/>
                <w:highlight w:val="none"/>
                <w:lang w:eastAsia="zh-CN"/>
              </w:rPr>
              <w:t xml:space="preserve">清洁消杀</w:t>
            </w:r>
            <w:r>
              <w:rPr>
                <w:rFonts w:hint="eastAsia" w:ascii="宋体" w:hAnsi="宋体" w:cs="宋体"/>
                <w:color w:val="auto"/>
                <w:szCs w:val="21"/>
                <w:highlight w:val="none"/>
              </w:rPr>
              <w:t xml:space="preserve">。</w:t>
            </w:r>
            <w:r/>
          </w:p>
        </w:tc>
      </w:tr>
      <w:tr>
        <w:trPr>
          <w:trHeight w:val="306"/>
        </w:trPr>
        <w:tc>
          <w:tcPr>
            <w:gridSpan w:val="2"/>
            <w:tcW w:w="2140" w:type="dxa"/>
            <w:vAlign w:val="center"/>
            <w:textDirection w:val="lrTb"/>
            <w:noWrap w:val="false"/>
          </w:tcPr>
          <w:p>
            <w:pPr>
              <w:ind w:left="1" w:right="-94" w:firstLine="33"/>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天台露台</w:t>
            </w:r>
            <w:r/>
          </w:p>
        </w:tc>
        <w:tc>
          <w:tcPr>
            <w:tcW w:w="2692" w:type="dxa"/>
            <w:vAlign w:val="center"/>
            <w:textDirection w:val="lrTb"/>
            <w:noWrap w:val="false"/>
          </w:tcPr>
          <w:p>
            <w:pPr>
              <w:ind w:left="1" w:right="-94" w:firstLine="33"/>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地面无垃圾，排水沟无积水，无重油，管道无堵塞。</w:t>
            </w:r>
            <w:r/>
          </w:p>
        </w:tc>
        <w:tc>
          <w:tcPr>
            <w:tcW w:w="4107" w:type="dxa"/>
            <w:vAlign w:val="center"/>
            <w:textDirection w:val="lrTb"/>
            <w:noWrap w:val="false"/>
          </w:tcPr>
          <w:p>
            <w:pPr>
              <w:ind w:left="1" w:right="-94" w:firstLine="33"/>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1.每周巡查一次排水沟，及时疏通排水管道；2、每周清理天台一次，清扫垃圾及积水3、每日清理露台两次，地面无烟头、杂物。</w:t>
            </w:r>
            <w:r/>
          </w:p>
        </w:tc>
      </w:tr>
      <w:tr>
        <w:trPr>
          <w:trHeight w:val="306"/>
        </w:trPr>
        <w:tc>
          <w:tcPr>
            <w:gridSpan w:val="2"/>
            <w:tcW w:w="2140" w:type="dxa"/>
            <w:vAlign w:val="center"/>
            <w:textDirection w:val="lrTb"/>
            <w:noWrap w:val="false"/>
          </w:tcPr>
          <w:p>
            <w:pPr>
              <w:ind w:left="1" w:right="-94" w:firstLine="33"/>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生活垃圾、医疗垃圾的收集、清理</w:t>
            </w:r>
            <w:r/>
          </w:p>
        </w:tc>
        <w:tc>
          <w:tcPr>
            <w:tcW w:w="2692" w:type="dxa"/>
            <w:vAlign w:val="center"/>
            <w:textDirection w:val="lrTb"/>
            <w:noWrap w:val="false"/>
          </w:tcPr>
          <w:p>
            <w:pPr>
              <w:ind w:left="1" w:right="-94" w:firstLine="33"/>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垃圾分类收集，及时清理，防止污染扩散。</w:t>
            </w:r>
            <w:r/>
          </w:p>
        </w:tc>
        <w:tc>
          <w:tcPr>
            <w:tcW w:w="4107" w:type="dxa"/>
            <w:vAlign w:val="center"/>
            <w:textDirection w:val="lrTb"/>
            <w:noWrap w:val="false"/>
          </w:tcPr>
          <w:p>
            <w:pPr>
              <w:ind w:left="1" w:firstLine="33"/>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生活垃圾房由蓝色可移动式垃圾桶组成，避免异味及传染，杜绝四害繁殖，经常清洗；2、医用垃圾必须在院内感染科的监管下，严格按黄色垃圾袋收集医用垃圾，黄色可移动式垃圾桶密封转运；3严禁在运输过程中出现抛撒滴漏现象；4、正确佩戴个人防护用品；5、按照苏州市医疗垃圾运送规范进行运送处理；</w:t>
            </w:r>
            <w:r/>
          </w:p>
        </w:tc>
      </w:tr>
      <w:tr>
        <w:trPr>
          <w:trHeight w:val="306"/>
        </w:trPr>
        <w:tc>
          <w:tcPr>
            <w:gridSpan w:val="2"/>
            <w:tcW w:w="2140" w:type="dxa"/>
            <w:vAlign w:val="center"/>
            <w:textDirection w:val="lrTb"/>
            <w:noWrap w:val="false"/>
          </w:tcPr>
          <w:p>
            <w:pPr>
              <w:ind w:left="1" w:right="-94" w:firstLine="33"/>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控烟</w:t>
            </w:r>
            <w:r/>
          </w:p>
        </w:tc>
        <w:tc>
          <w:tcPr>
            <w:tcW w:w="2692" w:type="dxa"/>
            <w:vAlign w:val="center"/>
            <w:textDirection w:val="lrTb"/>
            <w:noWrap w:val="false"/>
          </w:tcPr>
          <w:p>
            <w:pPr>
              <w:ind w:left="1" w:right="-94" w:firstLine="33"/>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配合医院做好控烟工作</w:t>
            </w:r>
            <w:r/>
          </w:p>
        </w:tc>
        <w:tc>
          <w:tcPr>
            <w:tcW w:w="4107" w:type="dxa"/>
            <w:vAlign w:val="center"/>
            <w:textDirection w:val="lrTb"/>
            <w:noWrap w:val="false"/>
          </w:tcPr>
          <w:p>
            <w:pPr>
              <w:ind w:left="1" w:firstLine="33"/>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1.制定控烟巡查员工作记录本；2、对院内管辖区域进行监督巡查；3、发现区域内有吸烟者，及时劝阻；4、控烟员正确佩戴控烟标志。</w:t>
            </w:r>
            <w:r/>
          </w:p>
        </w:tc>
      </w:tr>
    </w:tbl>
    <w:p>
      <w:pPr>
        <w:ind w:firstLine="420"/>
        <w:spacing w:line="400" w:lineRule="exact"/>
        <w:rPr>
          <w:rFonts w:hint="eastAsia"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10、</w:t>
      </w:r>
      <w:r>
        <w:rPr>
          <w:rFonts w:hint="eastAsia" w:ascii="宋体" w:hAnsi="宋体" w:cs="宋体"/>
          <w:color w:val="auto"/>
          <w:szCs w:val="21"/>
          <w:highlight w:val="none"/>
        </w:rPr>
        <w:t xml:space="preserve">岗位分布</w:t>
      </w:r>
      <w:r>
        <w:rPr>
          <w:rFonts w:hint="eastAsia" w:ascii="宋体" w:hAnsi="宋体" w:cs="宋体"/>
          <w:color w:val="auto"/>
          <w:szCs w:val="21"/>
          <w:highlight w:val="none"/>
          <w:lang w:val="en-US" w:eastAsia="zh-CN"/>
        </w:rPr>
        <w:t xml:space="preserve">要求：</w:t>
      </w:r>
      <w:r/>
    </w:p>
    <w:tbl>
      <w:tblPr>
        <w:tblStyle w:val="685"/>
        <w:tblW w:w="8848" w:type="dxa"/>
        <w:tblInd w:w="91" w:type="dxa"/>
        <w:tblLayout w:type="fixed"/>
        <w:tblCellMar>
          <w:left w:w="108" w:type="dxa"/>
          <w:top w:w="0" w:type="dxa"/>
          <w:right w:w="108" w:type="dxa"/>
          <w:bottom w:w="0" w:type="dxa"/>
        </w:tblCellMar>
        <w:tblLook w:val="04A0" w:firstRow="1" w:lastRow="0" w:firstColumn="1" w:lastColumn="0" w:noHBand="0" w:noVBand="1"/>
      </w:tblPr>
      <w:tblGrid>
        <w:gridCol w:w="885"/>
        <w:gridCol w:w="3583"/>
        <w:gridCol w:w="1963"/>
        <w:gridCol w:w="2417"/>
      </w:tblGrid>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科室</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岗位需求数</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备注</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东16楼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right w:val="single" w:color="000000" w:sz="4" w:space="0"/>
            </w:tcBorders>
            <w:tcW w:w="2417" w:type="dxa"/>
            <w:vAlign w:val="center"/>
            <w:vMerge w:val="restart"/>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6:00-16:00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东15楼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东14楼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东13楼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东12楼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东11楼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东10楼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东9楼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东8楼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东7楼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东6楼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东5楼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0.5</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东4楼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left w:val="single" w:color="000000" w:sz="4" w:space="0"/>
              <w:bottom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东7楼裙楼行政办公区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right w:val="single" w:color="000000" w:sz="4" w:space="0"/>
            </w:tcBorders>
            <w:tcW w:w="2417" w:type="dxa"/>
            <w:vAlign w:val="center"/>
            <w:vMerge w:val="restart"/>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7:00-16:00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东6楼裙楼行政办公区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东5楼裙楼行政办公区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东4楼裙楼行政办公区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left w:val="single" w:color="000000" w:sz="4" w:space="0"/>
              <w:bottom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东2楼急诊输液室、留观室</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含早、中班</w:t>
            </w:r>
            <w:r/>
          </w:p>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早班：6:00—16:00</w:t>
            </w:r>
            <w:r/>
          </w:p>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 中班：13:30—21:30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东2楼B超、体检中心</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7:00-16:00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东1楼急诊抢救中心</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right w:val="single" w:color="000000" w:sz="4" w:space="0"/>
            </w:tcBorders>
            <w:tcW w:w="2417" w:type="dxa"/>
            <w:vAlign w:val="center"/>
            <w:vMerge w:val="restart"/>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6:00-16:00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东1楼住院大厅及公共区域</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left w:val="single" w:color="000000" w:sz="4" w:space="0"/>
              <w:bottom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东1楼影像中心、DSA</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7:00-16:00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负二车库及地巾中心（含后勤办公区）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right w:val="single" w:color="000000" w:sz="4" w:space="0"/>
            </w:tcBorders>
            <w:tcW w:w="2417" w:type="dxa"/>
            <w:vAlign w:val="center"/>
            <w:vMerge w:val="restart"/>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6:30-16:00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负三车库、仓库</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负四、负五车库</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所有区域玻璃清洗</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所有电梯、扶手不锈钢保养</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洗地</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消防通道、楼梯</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left w:val="single" w:color="000000" w:sz="4" w:space="0"/>
              <w:bottom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生活垃圾、医疗垃圾</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6:00-17:00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纸板箱、输液瓶</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7:00-17:00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景德路门诊</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right w:val="single" w:color="000000" w:sz="4" w:space="0"/>
            </w:tcBorders>
            <w:tcW w:w="2417" w:type="dxa"/>
            <w:vAlign w:val="center"/>
            <w:vMerge w:val="restart"/>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7:00-16:00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制剂楼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left w:val="single" w:color="000000" w:sz="4" w:space="0"/>
              <w:bottom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132"/>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急诊抢救室</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含早、中、晚班</w:t>
            </w:r>
            <w:r/>
          </w:p>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早班：5:30—17:30；</w:t>
            </w:r>
            <w:r/>
          </w:p>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     5:30—9:30;</w:t>
            </w:r>
            <w:r/>
          </w:p>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 中班：13:30—21:30；</w:t>
            </w:r>
            <w:r/>
          </w:p>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  夜班：17:30—次日5:30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血透室</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含早、中班</w:t>
            </w:r>
            <w:r/>
          </w:p>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早班：5:30—12:30</w:t>
            </w:r>
            <w:r/>
          </w:p>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 中班：10:30—18:30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公安分局地块外围及车库</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right w:val="single" w:color="000000" w:sz="4" w:space="0"/>
            </w:tcBorders>
            <w:tcW w:w="2417" w:type="dxa"/>
            <w:vAlign w:val="center"/>
            <w:vMerge w:val="restart"/>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7:00-16:00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公安分局地块一楼大厅</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公安分局地块二楼办公区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公安分局地块三楼办公区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公安分局地块其他辅助楼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领班</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left w:val="single" w:color="000000" w:sz="4" w:space="0"/>
              <w:bottom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8:00-16:00</w:t>
            </w:r>
            <w:r/>
          </w:p>
        </w:tc>
      </w:tr>
      <w:tr>
        <w:trPr>
          <w:trHeight w:val="34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经理</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8:00-17:00</w:t>
            </w:r>
            <w:r/>
          </w:p>
        </w:tc>
      </w:tr>
      <w:tr>
        <w:trPr>
          <w:trHeight w:val="426"/>
        </w:trPr>
        <w:tc>
          <w:tcPr>
            <w:gridSpan w:val="2"/>
            <w:shd w:val="clear" w:color="auto" w:fill="auto"/>
            <w:tcBorders>
              <w:top w:val="single" w:color="000000" w:sz="4" w:space="0"/>
              <w:left w:val="single" w:color="000000" w:sz="4" w:space="0"/>
              <w:bottom w:val="single" w:color="000000" w:sz="4" w:space="0"/>
              <w:right w:val="single" w:color="000000" w:sz="4" w:space="0"/>
            </w:tcBorders>
            <w:tcW w:w="446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综上所述共计需要人员69人。</w:t>
            </w:r>
            <w:r/>
          </w:p>
        </w:tc>
      </w:tr>
    </w:tbl>
    <w:p>
      <w:pPr>
        <w:ind w:left="1" w:right="-176" w:firstLine="447"/>
        <w:jc w:val="left"/>
        <w:spacing w:line="390" w:lineRule="exact"/>
        <w:widowControl/>
        <w:rPr>
          <w:rFonts w:ascii="Times New Roman" w:hAnsi="Times New Roman"/>
          <w:color w:val="auto"/>
          <w:szCs w:val="21"/>
          <w:highlight w:val="none"/>
        </w:rPr>
      </w:pPr>
      <w:r>
        <w:rPr>
          <w:rFonts w:ascii="Times New Roman" w:hAnsi="Times New Roman"/>
          <w:color w:val="auto"/>
          <w:szCs w:val="21"/>
          <w:highlight w:val="none"/>
        </w:rPr>
      </w:r>
      <w:r/>
    </w:p>
    <w:p>
      <w:pPr>
        <w:ind w:left="1" w:right="-176" w:firstLine="447"/>
        <w:jc w:val="left"/>
        <w:spacing w:line="390" w:lineRule="exact"/>
        <w:widowControl/>
        <w:rPr>
          <w:rFonts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11</w:t>
      </w:r>
      <w:r>
        <w:rPr>
          <w:rFonts w:hint="eastAsia" w:ascii="Times New Roman" w:hAnsi="Times New Roman"/>
          <w:color w:val="auto"/>
          <w:szCs w:val="21"/>
          <w:highlight w:val="none"/>
        </w:rPr>
        <w:t xml:space="preserve">、其它要求</w:t>
      </w:r>
      <w:r/>
    </w:p>
    <w:p>
      <w:pPr>
        <w:ind w:left="1" w:right="-176" w:firstLine="447"/>
        <w:spacing w:line="39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（1）服务方不得转包第三方。</w:t>
      </w:r>
      <w:r/>
    </w:p>
    <w:p>
      <w:pPr>
        <w:ind w:left="1" w:right="-176" w:firstLine="447"/>
        <w:spacing w:line="39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（2）后勤服务工作中造成院方财产损坏或遗失，服务方负责赔偿。 </w:t>
      </w:r>
      <w:r/>
    </w:p>
    <w:p>
      <w:pPr>
        <w:ind w:left="1" w:right="-176" w:firstLine="447"/>
        <w:spacing w:line="39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（3）服务方应严格按照政府部门相关规定</w:t>
      </w:r>
      <w:r>
        <w:rPr>
          <w:rFonts w:hint="eastAsia" w:ascii="宋体" w:hAnsi="宋体" w:cs="宋体"/>
          <w:color w:val="auto"/>
          <w:szCs w:val="21"/>
          <w:highlight w:val="none"/>
          <w:lang w:eastAsia="zh-CN"/>
        </w:rPr>
        <w:t xml:space="preserve">给</w:t>
      </w:r>
      <w:r>
        <w:rPr>
          <w:rFonts w:hint="eastAsia" w:ascii="宋体" w:hAnsi="宋体" w:cs="宋体"/>
          <w:color w:val="auto"/>
          <w:szCs w:val="21"/>
          <w:highlight w:val="none"/>
        </w:rPr>
        <w:t xml:space="preserve">员工缴纳各种社会保险（包括养老、医疗、工伤、生</w:t>
      </w:r>
      <w:r>
        <w:rPr>
          <w:rFonts w:hint="eastAsia" w:ascii="宋体" w:hAnsi="宋体" w:cs="宋体"/>
          <w:color w:val="auto"/>
          <w:szCs w:val="21"/>
          <w:highlight w:val="none"/>
          <w:lang w:eastAsia="zh-CN"/>
        </w:rPr>
        <w:t xml:space="preserve">育保</w:t>
      </w:r>
      <w:r>
        <w:rPr>
          <w:rFonts w:hint="eastAsia" w:ascii="宋体" w:hAnsi="宋体" w:cs="宋体"/>
          <w:color w:val="auto"/>
          <w:szCs w:val="21"/>
          <w:highlight w:val="none"/>
        </w:rPr>
        <w:t xml:space="preserve">险、失业保险等）。</w:t>
      </w:r>
      <w:r/>
    </w:p>
    <w:p>
      <w:pPr>
        <w:ind w:left="1" w:right="-176" w:firstLine="447"/>
        <w:spacing w:line="39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（4）服务方自行负责其招聘员工的一切工资、福利，如发生工伤、疾病乃至死亡的一切责任及费用由服务方全部负责。</w:t>
      </w:r>
      <w:r/>
    </w:p>
    <w:p>
      <w:pPr>
        <w:ind w:left="1" w:right="-176" w:firstLine="447"/>
        <w:spacing w:line="39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（5）服务方应严格遵守国家有关的法律、法规及行业标准，因工作原因产生的加班（含节假日加班）应严格按相应标准给付员工加班薪资，报价中包含国定假日加班费，没有特殊情况医院不再支付加班费。</w:t>
      </w:r>
      <w:r/>
    </w:p>
    <w:p>
      <w:pPr>
        <w:ind w:left="1" w:right="-176" w:firstLine="447"/>
        <w:spacing w:line="39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（6）履行后勤服务任务中发生差错造成第三者的意外伤亡事故及所引发的责任、经济由服务方承担（可购买公共责任险）。</w:t>
      </w:r>
      <w:r/>
    </w:p>
    <w:p>
      <w:pPr>
        <w:ind w:left="1" w:right="-176" w:firstLine="447"/>
        <w:spacing w:line="39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（7）服务方有责任配合医院接受上级领导部门的监督、检查，提供必须的资料。当院方有特殊任务时，如医院评审、创卫活动、检查、庆典活动等，服务方应在指定范</w:t>
      </w:r>
      <w:r>
        <w:rPr>
          <w:rFonts w:hint="eastAsia" w:ascii="宋体" w:hAnsi="宋体" w:cs="宋体"/>
          <w:color w:val="auto"/>
          <w:szCs w:val="21"/>
          <w:highlight w:val="none"/>
          <w:lang w:eastAsia="zh-CN"/>
        </w:rPr>
        <w:t xml:space="preserve">围内</w:t>
      </w:r>
      <w:r>
        <w:rPr>
          <w:rFonts w:hint="eastAsia" w:ascii="宋体" w:hAnsi="宋体" w:cs="宋体"/>
          <w:color w:val="auto"/>
          <w:szCs w:val="21"/>
          <w:highlight w:val="none"/>
        </w:rPr>
        <w:t xml:space="preserve">积极配合，加大人力物力资源投入，做好突击性清洁消毒工作。</w:t>
      </w:r>
      <w:r/>
    </w:p>
    <w:p>
      <w:pPr>
        <w:ind w:left="1" w:right="-176" w:firstLine="447"/>
        <w:spacing w:line="390" w:lineRule="exact"/>
        <w:rPr>
          <w:rFonts w:hint="eastAsia" w:ascii="宋体" w:hAnsi="宋体" w:cs="宋体"/>
          <w:color w:val="auto"/>
          <w:szCs w:val="21"/>
          <w:highlight w:val="none"/>
        </w:rPr>
      </w:pPr>
      <w:r>
        <w:rPr>
          <w:rFonts w:hint="eastAsia" w:ascii="宋体" w:hAnsi="宋体" w:cs="宋体"/>
          <w:color w:val="auto"/>
          <w:szCs w:val="21"/>
          <w:highlight w:val="none"/>
        </w:rPr>
        <w:t xml:space="preserve">（8）服务方须纳入院方对后勤管理服务工作相关的考核机制，认真履行职责，严格按承包协议中的质量保证体系做好所辖范围内的清洁消毒、运送等工作，确保在岗在位，各尽其职，保证符合各项服务的质量标准。考核办法双方另行约定。</w:t>
      </w:r>
      <w:r/>
    </w:p>
    <w:p>
      <w:pPr>
        <w:ind w:left="1" w:right="-176" w:firstLine="447"/>
        <w:spacing w:line="390" w:lineRule="exact"/>
        <w:rPr>
          <w:rFonts w:hint="eastAsia" w:ascii="宋体" w:hAnsi="宋体" w:cs="宋体"/>
          <w:color w:val="auto"/>
          <w:szCs w:val="21"/>
          <w:highlight w:val="none"/>
        </w:rPr>
      </w:pPr>
      <w:r>
        <w:rPr>
          <w:rFonts w:hint="eastAsia" w:ascii="宋体" w:hAnsi="宋体" w:cs="宋体"/>
          <w:color w:val="auto"/>
          <w:szCs w:val="21"/>
          <w:highlight w:val="none"/>
        </w:rPr>
        <w:t xml:space="preserve">（9）为保证医院的正常医疗活动的开展，服务方须提供详细的与采购人后勤清洁的交接方案、防止交叉感染措施方案、各类突发事件应急处置预案。</w:t>
      </w:r>
      <w:r/>
    </w:p>
    <w:p>
      <w:pPr>
        <w:ind w:left="1" w:right="-176" w:firstLine="447"/>
        <w:spacing w:line="39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（10）服务方在文件中承诺的优惠、免费项目，需在规定时间内保质保量完成。</w:t>
      </w:r>
      <w:r/>
    </w:p>
    <w:p>
      <w:pPr>
        <w:ind w:left="1" w:right="-176" w:firstLine="447"/>
        <w:jc w:val="left"/>
        <w:spacing w:line="39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（11）增加的服务项目由双方协商解决。</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lang w:val="zh-CN"/>
        </w:rPr>
        <w:t xml:space="preserve">（</w:t>
      </w:r>
      <w:r>
        <w:rPr>
          <w:rFonts w:hint="eastAsia" w:ascii="Times New Roman" w:hAnsi="Times New Roman"/>
          <w:color w:val="auto"/>
          <w:szCs w:val="21"/>
          <w:highlight w:val="none"/>
          <w:lang w:val="en-US" w:eastAsia="zh-CN"/>
        </w:rPr>
        <w:t xml:space="preserve">八</w:t>
      </w:r>
      <w:r>
        <w:rPr>
          <w:rFonts w:hint="eastAsia" w:ascii="Times New Roman" w:hAnsi="Times New Roman"/>
          <w:color w:val="auto"/>
          <w:szCs w:val="21"/>
          <w:highlight w:val="none"/>
          <w:lang w:val="zh-CN"/>
        </w:rPr>
        <w:t xml:space="preserve">）报价要求： </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lang w:val="zh-CN"/>
        </w:rPr>
        <w:t xml:space="preserve">1、服务方应对所投项目的全部内容在会上进行一次性报价。</w:t>
      </w:r>
      <w:r/>
    </w:p>
    <w:p>
      <w:pPr>
        <w:ind w:firstLine="422"/>
        <w:spacing w:line="400" w:lineRule="exact"/>
        <w:rPr>
          <w:rFonts w:hint="eastAsia" w:ascii="宋体" w:hAnsi="宋体"/>
          <w:color w:val="auto"/>
          <w:szCs w:val="21"/>
          <w:highlight w:val="none"/>
        </w:rPr>
      </w:pPr>
      <w:r>
        <w:rPr>
          <w:rFonts w:hint="eastAsia" w:ascii="Times New Roman" w:hAnsi="Times New Roman"/>
          <w:color w:val="auto"/>
          <w:szCs w:val="21"/>
          <w:highlight w:val="none"/>
          <w:lang w:val="zh-CN"/>
        </w:rPr>
        <w:t xml:space="preserve">2、报价应包括：服务方对报价中的工作量和服务的报价应包括完成本项工作所需的一切费用，包括但不限于人工（包括工资、奖金、社保、节假日和非工作时间的加班费等费用）、专用设备、消毒清洁设备、工具、消毒清洁易耗品、办公设备、服装、胸卡、通讯、保险、各种税费、利润、政策性文件规定及合同包含的所有风险、责任等的费用。</w:t>
      </w:r>
      <w:r>
        <w:rPr>
          <w:rFonts w:hint="eastAsia" w:ascii="宋体" w:hAnsi="宋体"/>
          <w:color w:val="auto"/>
          <w:szCs w:val="21"/>
          <w:highlight w:val="none"/>
        </w:rPr>
        <w:t xml:space="preserve">服务期内如遇国家最低工资标准和社会保险缴费基数调整，由中标人负责，采购人不再给予中标人相应调整。</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lang w:val="zh-CN"/>
        </w:rPr>
        <w:t xml:space="preserve">3、其他费用：</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（1）离世患者遗体运送费（按年平均60件测算）</w:t>
      </w:r>
      <w:r/>
    </w:p>
    <w:p>
      <w:pPr>
        <w:ind w:firstLine="42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（2）内科病房楼病区内PVC地面深度清洁及打蜡一次（按内科病房楼13个病区、体检中心、血透等总计30138.2㎡核算）</w:t>
      </w:r>
      <w:r/>
    </w:p>
    <w:p>
      <w:pPr>
        <w:ind w:left="1" w:right="-176" w:firstLine="447"/>
        <w:jc w:val="left"/>
        <w:spacing w:line="390" w:lineRule="exact"/>
        <w:widowControl/>
        <w:rPr>
          <w:rFonts w:ascii="Times New Roman" w:hAnsi="Times New Roman"/>
          <w:color w:val="auto"/>
          <w:szCs w:val="21"/>
          <w:highlight w:val="none"/>
        </w:rPr>
      </w:pPr>
      <w:r>
        <w:rPr>
          <w:rFonts w:hint="eastAsia" w:ascii="Times New Roman" w:hAnsi="Times New Roman"/>
          <w:color w:val="auto"/>
          <w:szCs w:val="21"/>
          <w:highlight w:val="none"/>
        </w:rPr>
        <w:t xml:space="preserve">（</w:t>
      </w:r>
      <w:r>
        <w:rPr>
          <w:rFonts w:hint="eastAsia" w:ascii="Times New Roman" w:hAnsi="Times New Roman"/>
          <w:color w:val="auto"/>
          <w:szCs w:val="21"/>
          <w:highlight w:val="none"/>
          <w:lang w:val="en-US" w:eastAsia="zh-CN"/>
        </w:rPr>
        <w:t xml:space="preserve">九</w:t>
      </w:r>
      <w:r>
        <w:rPr>
          <w:rFonts w:hint="eastAsia" w:ascii="Times New Roman" w:hAnsi="Times New Roman"/>
          <w:color w:val="auto"/>
          <w:szCs w:val="21"/>
          <w:highlight w:val="none"/>
        </w:rPr>
        <w:t xml:space="preserve">）中标人有责任配合医院接受上级领导部门的监督、检查，并提供必须的材料。招标方有权对中标方进行月度考核，考核结果与当月费用结算挂钩。具体考核方法和标准按医院要求执行。除合同约定外，招标方不再向中标方额外支付其他费用。（国家或地方政策性调整及相关文件规定上调的情形除外。）</w:t>
      </w:r>
      <w:r/>
    </w:p>
    <w:p>
      <w:pPr>
        <w:ind w:firstLine="422"/>
        <w:spacing w:line="400" w:lineRule="exact"/>
        <w:rPr>
          <w:rFonts w:hint="eastAsia" w:ascii="宋体" w:hAnsi="宋体"/>
          <w:color w:val="auto"/>
          <w:szCs w:val="21"/>
          <w:highlight w:val="none"/>
        </w:rPr>
      </w:pPr>
      <w:r>
        <w:rPr>
          <w:rFonts w:hint="eastAsia" w:ascii="Times New Roman" w:hAnsi="Times New Roman"/>
          <w:color w:val="auto"/>
          <w:szCs w:val="21"/>
          <w:highlight w:val="none"/>
        </w:rPr>
        <w:t xml:space="preserve">（</w:t>
      </w:r>
      <w:r>
        <w:rPr>
          <w:rFonts w:hint="eastAsia" w:ascii="Times New Roman" w:hAnsi="Times New Roman"/>
          <w:color w:val="auto"/>
          <w:szCs w:val="21"/>
          <w:highlight w:val="none"/>
          <w:lang w:val="en-US" w:eastAsia="zh-CN"/>
        </w:rPr>
        <w:t xml:space="preserve">十</w:t>
      </w:r>
      <w:r>
        <w:rPr>
          <w:rFonts w:hint="eastAsia" w:ascii="Times New Roman" w:hAnsi="Times New Roman"/>
          <w:color w:val="auto"/>
          <w:szCs w:val="21"/>
          <w:highlight w:val="none"/>
        </w:rPr>
        <w:t xml:space="preserve">）</w:t>
      </w:r>
      <w:r>
        <w:rPr>
          <w:rFonts w:hint="eastAsia" w:ascii="宋体" w:hAnsi="宋体"/>
          <w:color w:val="auto"/>
          <w:szCs w:val="21"/>
          <w:highlight w:val="none"/>
          <w:lang w:val="en-US" w:eastAsia="zh-CN"/>
        </w:rPr>
        <w:t xml:space="preserve">考核要求：</w:t>
      </w:r>
      <w:r>
        <w:rPr>
          <w:rFonts w:hint="eastAsia" w:ascii="宋体" w:hAnsi="宋体"/>
          <w:color w:val="auto"/>
          <w:szCs w:val="21"/>
          <w:highlight w:val="none"/>
        </w:rPr>
        <w:t xml:space="preserve">医院对服务方进行月度考核，考核结果与当月度费用结算挂钩。</w:t>
      </w:r>
      <w:r/>
    </w:p>
    <w:tbl>
      <w:tblPr>
        <w:tblStyle w:val="685"/>
        <w:tblpPr w:horzAnchor="page" w:tblpX="1748" w:vertAnchor="text" w:tblpY="343" w:leftFromText="180" w:topFromText="0" w:rightFromText="180" w:bottomFromText="0"/>
        <w:tblW w:w="9263" w:type="dxa"/>
        <w:tblInd w:w="0" w:type="dxa"/>
        <w:tblLayout w:type="fixed"/>
        <w:tblCellMar>
          <w:left w:w="108" w:type="dxa"/>
          <w:top w:w="0" w:type="dxa"/>
          <w:right w:w="108" w:type="dxa"/>
          <w:bottom w:w="0" w:type="dxa"/>
        </w:tblCellMar>
        <w:tblLook w:val="04A0" w:firstRow="1" w:lastRow="0" w:firstColumn="1" w:lastColumn="0" w:noHBand="0" w:noVBand="1"/>
      </w:tblPr>
      <w:tblGrid>
        <w:gridCol w:w="667"/>
        <w:gridCol w:w="3133"/>
        <w:gridCol w:w="688"/>
        <w:gridCol w:w="3875"/>
        <w:gridCol w:w="900"/>
      </w:tblGrid>
      <w:tr>
        <w:trPr>
          <w:trHeight w:val="90"/>
        </w:trPr>
        <w:tc>
          <w:tcPr>
            <w:gridSpan w:val="5"/>
            <w:tcBorders>
              <w:top w:val="none" w:color="000000" w:sz="4" w:space="0"/>
              <w:left w:val="none" w:color="000000" w:sz="4" w:space="0"/>
              <w:bottom w:val="none" w:color="000000" w:sz="4" w:space="0"/>
              <w:right w:val="none" w:color="000000" w:sz="4" w:space="0"/>
            </w:tcBorders>
            <w:tcW w:w="926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苏州市中医医院社会化部门月度考核表</w:t>
            </w:r>
            <w:r/>
          </w:p>
        </w:tc>
      </w:tr>
      <w:tr>
        <w:trPr>
          <w:trHeight w:val="505"/>
        </w:trPr>
        <w:tc>
          <w:tcPr>
            <w:gridSpan w:val="5"/>
            <w:tcBorders>
              <w:top w:val="none" w:color="000000" w:sz="4" w:space="0"/>
              <w:left w:val="none" w:color="000000" w:sz="4" w:space="0"/>
              <w:bottom w:val="none" w:color="000000" w:sz="4" w:space="0"/>
              <w:right w:val="none" w:color="000000" w:sz="4" w:space="0"/>
            </w:tcBorders>
            <w:tcW w:w="9263" w:type="dxa"/>
            <w:vAlign w:val="center"/>
            <w:textDirection w:val="lrTb"/>
            <w:noWrap/>
          </w:tcPr>
          <w:p>
            <w:pPr>
              <w:jc w:val="right"/>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年     月   </w:t>
            </w:r>
            <w:r/>
          </w:p>
        </w:tc>
      </w:tr>
      <w:tr>
        <w:trPr>
          <w:trHeight w:val="52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扣分项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说明</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得分</w:t>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管理人员、工作人员是否穿戴规范，配置是否到位，服从科室安排</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经抽查发现不符合规范或人员配置不到位的，每一人扣2分，扣完为止，月底合计得分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eastAsia="zh-CN" w:bidi="ar"/>
              </w:rPr>
              <w:t xml:space="preserve">清洁消杀</w:t>
            </w:r>
            <w:r>
              <w:rPr>
                <w:rFonts w:hint="eastAsia" w:ascii="宋体" w:hAnsi="宋体" w:cs="宋体"/>
                <w:color w:val="auto"/>
                <w:szCs w:val="21"/>
                <w:highlight w:val="none"/>
                <w:lang w:bidi="ar"/>
              </w:rPr>
              <w:t xml:space="preserve">用品是否齐全、规范、污洗间是否整洁</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经抽查发现不齐全、不整洁的每一次扣2分，扣完为止，月底合计得分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日常巡视巡检、培训制度落实</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经抽查发现未按合同约定开展巡视巡察和培训的，每一次扣2分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eastAsia="zh-CN" w:bidi="ar"/>
              </w:rPr>
              <w:t xml:space="preserve">清洁消杀</w:t>
            </w:r>
            <w:r>
              <w:rPr>
                <w:rFonts w:hint="eastAsia" w:ascii="宋体" w:hAnsi="宋体" w:cs="宋体"/>
                <w:color w:val="auto"/>
                <w:szCs w:val="21"/>
                <w:highlight w:val="none"/>
                <w:lang w:bidi="ar"/>
              </w:rPr>
              <w:t xml:space="preserve">服务质量</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经抽查发现</w:t>
            </w:r>
            <w:r>
              <w:rPr>
                <w:rFonts w:hint="eastAsia" w:ascii="宋体" w:hAnsi="宋体" w:cs="宋体"/>
                <w:color w:val="auto"/>
                <w:szCs w:val="21"/>
                <w:highlight w:val="none"/>
                <w:lang w:eastAsia="zh-CN" w:bidi="ar"/>
              </w:rPr>
              <w:t xml:space="preserve">清洁消杀</w:t>
            </w:r>
            <w:r>
              <w:rPr>
                <w:rFonts w:hint="eastAsia" w:ascii="宋体" w:hAnsi="宋体" w:cs="宋体"/>
                <w:color w:val="auto"/>
                <w:szCs w:val="21"/>
                <w:highlight w:val="none"/>
                <w:lang w:bidi="ar"/>
              </w:rPr>
              <w:t xml:space="preserve">质量不达标且未立行立改的，每一次扣2分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是否按院感规范进行日常清洁消毒、终末消毒工作</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经抽查发现清洁消毒不到位的，每一次扣2分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non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服务是否及时响应，夜间服务热线是否畅通、及时、高效</w:t>
            </w:r>
            <w:r/>
          </w:p>
        </w:tc>
        <w:tc>
          <w:tcPr>
            <w:tcBorders>
              <w:top w:val="single" w:color="000000" w:sz="4" w:space="0"/>
              <w:left w:val="single" w:color="000000" w:sz="4" w:space="0"/>
              <w:bottom w:val="non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non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当月服务未及时响应的，每一次扣2分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是否按规范进行生活（医疗）垃圾清运、处置和台账记录</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经抽查发现不规范的，每一次扣2分，扣完为止，月底合计得分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r>
      <w:tr>
        <w:trPr>
          <w:trHeight w:val="780"/>
        </w:trPr>
        <w:tc>
          <w:tcPr>
            <w:tcBorders>
              <w:top w:val="single" w:color="000000" w:sz="4" w:space="0"/>
              <w:left w:val="single" w:color="000000" w:sz="4" w:space="0"/>
              <w:bottom w:val="non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其他被投诉或不良</w:t>
            </w:r>
            <w:r>
              <w:rPr>
                <w:rFonts w:hint="eastAsia" w:ascii="宋体" w:hAnsi="宋体" w:cs="宋体"/>
                <w:color w:val="auto"/>
                <w:szCs w:val="21"/>
                <w:highlight w:val="none"/>
                <w:lang w:eastAsia="zh-CN" w:bidi="ar"/>
              </w:rPr>
              <w:t xml:space="preserve">清洁消杀</w:t>
            </w:r>
            <w:r>
              <w:rPr>
                <w:rFonts w:hint="eastAsia" w:ascii="宋体" w:hAnsi="宋体" w:cs="宋体"/>
                <w:color w:val="auto"/>
                <w:szCs w:val="21"/>
                <w:highlight w:val="none"/>
                <w:lang w:bidi="ar"/>
              </w:rPr>
              <w:t xml:space="preserve">事故</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经核实当月每发生一次扣2分，扣完为止，月底合计得分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r>
      <w:tr>
        <w:trPr>
          <w:trHeight w:val="52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加分项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医院收到有关</w:t>
            </w:r>
            <w:r>
              <w:rPr>
                <w:rFonts w:hint="eastAsia" w:ascii="宋体" w:hAnsi="宋体" w:cs="宋体"/>
                <w:color w:val="auto"/>
                <w:szCs w:val="21"/>
                <w:highlight w:val="none"/>
                <w:lang w:eastAsia="zh-CN" w:bidi="ar"/>
              </w:rPr>
              <w:t xml:space="preserve">清洁消杀</w:t>
            </w:r>
            <w:r>
              <w:rPr>
                <w:rFonts w:hint="eastAsia" w:ascii="宋体" w:hAnsi="宋体" w:cs="宋体"/>
                <w:color w:val="auto"/>
                <w:szCs w:val="21"/>
                <w:highlight w:val="none"/>
                <w:lang w:bidi="ar"/>
              </w:rPr>
              <w:t xml:space="preserve">工作人员的表扬信、锦旗或发生拾金不昧、见义勇为、助人为乐等行为</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经核实属实的，当月每收到一次加2分，月底合计得分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推出创新举措</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受到广泛好评并连续推行3个月以上的，每一项加5分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r>
      <w:tr>
        <w:trPr>
          <w:trHeight w:val="52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当月合计得分</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100</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lang w:bidi="ar"/>
              </w:rPr>
            </w:pPr>
            <w:r>
              <w:rPr>
                <w:rFonts w:ascii="宋体" w:hAnsi="宋体" w:cs="宋体"/>
                <w:color w:val="auto"/>
                <w:szCs w:val="21"/>
                <w:highlight w:val="none"/>
                <w:lang w:bidi="ar"/>
              </w:rPr>
            </w:r>
            <w:r/>
          </w:p>
        </w:tc>
      </w:tr>
      <w:tr>
        <w:trPr>
          <w:trHeight w:val="513"/>
        </w:trPr>
        <w:tc>
          <w:tcPr>
            <w:gridSpan w:val="5"/>
            <w:tcBorders>
              <w:top w:val="none" w:color="000000" w:sz="4" w:space="0"/>
              <w:left w:val="none" w:color="000000" w:sz="4" w:space="0"/>
              <w:bottom w:val="none" w:color="000000" w:sz="4" w:space="0"/>
              <w:right w:val="none" w:color="000000" w:sz="4" w:space="0"/>
            </w:tcBorders>
            <w:tcW w:w="9263" w:type="dxa"/>
            <w:vAlign w:val="center"/>
            <w:textDirection w:val="lrTb"/>
            <w:noWrap/>
          </w:tcPr>
          <w:p>
            <w:pPr>
              <w:keepLines w:val="0"/>
              <w:keepNext w:val="0"/>
              <w:pageBreakBefore w:val="0"/>
              <w:spacing w:line="40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 医院考核部门：后勤保障部                              被考核单位负责人：                                                                                                                  </w:t>
            </w:r>
            <w:r/>
          </w:p>
        </w:tc>
      </w:tr>
    </w:tbl>
    <w:p>
      <w:pPr>
        <w:ind w:left="1" w:right="-176" w:firstLine="447"/>
        <w:jc w:val="left"/>
        <w:spacing w:line="390" w:lineRule="exact"/>
        <w:widowControl/>
        <w:rPr>
          <w:rFonts w:hint="eastAsia" w:ascii="Times New Roman" w:hAnsi="Times New Roman"/>
          <w:color w:val="auto"/>
          <w:szCs w:val="21"/>
          <w:highlight w:val="none"/>
        </w:rPr>
      </w:pPr>
      <w:r>
        <w:rPr>
          <w:rFonts w:hint="eastAsia" w:ascii="Times New Roman" w:hAnsi="Times New Roman"/>
          <w:color w:val="auto"/>
          <w:szCs w:val="21"/>
          <w:highlight w:val="none"/>
        </w:rPr>
        <w:t xml:space="preserve">注：</w:t>
      </w:r>
      <w:r/>
    </w:p>
    <w:p>
      <w:pPr>
        <w:ind w:left="1" w:right="-176" w:firstLine="447"/>
        <w:jc w:val="left"/>
        <w:spacing w:line="390" w:lineRule="exact"/>
        <w:widowControl/>
        <w:rPr>
          <w:rFonts w:hint="eastAsia" w:ascii="Times New Roman" w:hAnsi="Times New Roman"/>
          <w:color w:val="auto"/>
          <w:szCs w:val="21"/>
          <w:highlight w:val="none"/>
        </w:rPr>
      </w:pPr>
      <w:r>
        <w:rPr>
          <w:rFonts w:hint="eastAsia" w:ascii="Times New Roman" w:hAnsi="Times New Roman"/>
          <w:color w:val="auto"/>
          <w:szCs w:val="21"/>
          <w:highlight w:val="none"/>
        </w:rPr>
        <w:t xml:space="preserve">1.扣分项、加分项由后勤保障部进行相应记录。</w:t>
      </w:r>
      <w:r/>
    </w:p>
    <w:p>
      <w:pPr>
        <w:ind w:left="1" w:right="-176" w:firstLine="447"/>
        <w:jc w:val="left"/>
        <w:spacing w:line="390" w:lineRule="exact"/>
        <w:widowControl/>
        <w:rPr>
          <w:rFonts w:hint="eastAsia" w:ascii="Times New Roman" w:hAnsi="Times New Roman"/>
          <w:color w:val="auto"/>
          <w:szCs w:val="21"/>
          <w:highlight w:val="none"/>
        </w:rPr>
      </w:pPr>
      <w:r>
        <w:rPr>
          <w:rFonts w:hint="eastAsia" w:ascii="Times New Roman" w:hAnsi="Times New Roman"/>
          <w:color w:val="auto"/>
          <w:szCs w:val="21"/>
          <w:highlight w:val="none"/>
        </w:rPr>
        <w:t xml:space="preserve">2.本表一式两份，每个项目竣工审计，统计分值后由考核部门、被考核单位双方签字确认后留存。</w:t>
      </w:r>
      <w:r/>
    </w:p>
    <w:p>
      <w:pPr>
        <w:ind w:left="1" w:right="-176" w:firstLine="447"/>
        <w:jc w:val="left"/>
        <w:spacing w:line="390" w:lineRule="exact"/>
        <w:widowControl/>
        <w:rPr>
          <w:rFonts w:hint="eastAsia" w:ascii="Times New Roman" w:hAnsi="Times New Roman"/>
          <w:color w:val="auto"/>
          <w:szCs w:val="21"/>
          <w:highlight w:val="none"/>
        </w:rPr>
      </w:pPr>
      <w:r>
        <w:rPr>
          <w:rFonts w:hint="eastAsia" w:ascii="Times New Roman" w:hAnsi="Times New Roman"/>
          <w:color w:val="auto"/>
          <w:szCs w:val="21"/>
          <w:highlight w:val="none"/>
        </w:rPr>
        <w:t xml:space="preserve">3.被考核单位与医院结算相关费用时，以该考核分为依据。该考核分≥90分，则结算费用的100%;85≤考核分＜90分，每低1分，则结算费用扣除1％。80≤考核分＜85分，每低1分，则结算费用扣除2％。该考核分＜80分，视为不合格。</w:t>
      </w:r>
      <w:r/>
    </w:p>
    <w:p>
      <w:pPr>
        <w:ind w:left="1" w:right="-176" w:firstLine="447"/>
        <w:jc w:val="left"/>
        <w:spacing w:line="390" w:lineRule="exact"/>
        <w:widowControl/>
        <w:rPr>
          <w:rFonts w:ascii="Times New Roman" w:hAnsi="Times New Roman"/>
          <w:color w:val="auto"/>
          <w:szCs w:val="21"/>
          <w:highlight w:val="none"/>
        </w:rPr>
      </w:pPr>
      <w:r>
        <w:rPr>
          <w:rFonts w:hint="eastAsia" w:ascii="Times New Roman" w:hAnsi="Times New Roman"/>
          <w:color w:val="auto"/>
          <w:szCs w:val="21"/>
          <w:highlight w:val="none"/>
        </w:rPr>
        <w:t xml:space="preserve">4.累计三次考核不合格，</w:t>
      </w:r>
      <w:r>
        <w:rPr>
          <w:rFonts w:hint="eastAsia" w:ascii="Times New Roman" w:hAnsi="Times New Roman"/>
          <w:color w:val="auto"/>
          <w:szCs w:val="21"/>
          <w:highlight w:val="none"/>
          <w:lang w:val="en-US" w:eastAsia="zh-CN"/>
        </w:rPr>
        <w:t xml:space="preserve">采购人</w:t>
      </w:r>
      <w:r>
        <w:rPr>
          <w:rFonts w:hint="eastAsia" w:ascii="Times New Roman" w:hAnsi="Times New Roman"/>
          <w:color w:val="auto"/>
          <w:szCs w:val="21"/>
          <w:highlight w:val="none"/>
        </w:rPr>
        <w:t xml:space="preserve">有权单方面解除合同。</w:t>
      </w:r>
      <w:r/>
    </w:p>
    <w:p>
      <w:pPr>
        <w:pStyle w:val="686"/>
        <w:rPr>
          <w:rFonts w:ascii="Times New Roman" w:hAnsi="Times New Roman"/>
          <w:color w:val="auto"/>
          <w:szCs w:val="21"/>
          <w:highlight w:val="none"/>
        </w:rPr>
      </w:pPr>
      <w:r>
        <w:rPr>
          <w:rFonts w:ascii="Times New Roman" w:hAnsi="Times New Roman"/>
          <w:color w:val="auto"/>
          <w:szCs w:val="21"/>
          <w:highlight w:val="none"/>
        </w:rPr>
      </w:r>
      <w:r/>
    </w:p>
    <w:p>
      <w:pPr>
        <w:rPr>
          <w:color w:val="auto"/>
          <w:highlight w:val="none"/>
        </w:rPr>
      </w:pPr>
      <w:r>
        <w:rPr>
          <w:color w:val="auto"/>
          <w:highlight w:val="none"/>
        </w:rPr>
      </w:r>
      <w:r/>
    </w:p>
    <w:p>
      <w:pPr>
        <w:ind w:right="-176" w:firstLine="422"/>
        <w:spacing w:line="390" w:lineRule="exact"/>
        <w:rPr>
          <w:rFonts w:ascii="Times New Roman" w:hAnsi="Times New Roman"/>
          <w:b/>
          <w:bCs/>
          <w:color w:val="auto"/>
          <w:szCs w:val="21"/>
          <w:highlight w:val="none"/>
        </w:rPr>
      </w:pPr>
      <w:r>
        <w:rPr>
          <w:rFonts w:ascii="Times New Roman" w:hAnsi="Times New Roman"/>
          <w:b/>
          <w:bCs/>
          <w:color w:val="auto"/>
          <w:szCs w:val="21"/>
          <w:highlight w:val="none"/>
        </w:rPr>
        <w:t xml:space="preserve">采购包6：</w:t>
      </w:r>
      <w:r>
        <w:rPr>
          <w:rFonts w:hint="eastAsia" w:ascii="Times New Roman" w:hAnsi="Times New Roman"/>
          <w:b/>
          <w:bCs/>
          <w:color w:val="auto"/>
          <w:szCs w:val="21"/>
          <w:highlight w:val="none"/>
        </w:rPr>
        <w:t xml:space="preserve">医院西楼医疗环境清洁消杀、垃圾运送服务</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（一）项目名称：医院西楼医疗环境清洁消杀、垃圾运送服务</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（二）服务期限：一年（2026年6月1日至2027年5月31日）</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（三）服务项目内容：</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服务人员要求：</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lang w:eastAsia="zh-CN"/>
        </w:rPr>
        <w:t xml:space="preserve">清洁消杀</w:t>
      </w:r>
      <w:r>
        <w:rPr>
          <w:rFonts w:hint="eastAsia" w:ascii="Times New Roman" w:hAnsi="Times New Roman"/>
          <w:color w:val="auto"/>
          <w:szCs w:val="21"/>
          <w:highlight w:val="none"/>
        </w:rPr>
        <w:t xml:space="preserve">服务最低岗位数要求为：171岗位。其中</w:t>
      </w:r>
      <w:r>
        <w:rPr>
          <w:rFonts w:hint="eastAsia" w:ascii="Times New Roman" w:hAnsi="Times New Roman"/>
          <w:color w:val="auto"/>
          <w:szCs w:val="21"/>
          <w:highlight w:val="none"/>
          <w:lang w:eastAsia="zh-CN"/>
        </w:rPr>
        <w:t xml:space="preserve">清洁消杀</w:t>
      </w:r>
      <w:r>
        <w:rPr>
          <w:rFonts w:hint="eastAsia" w:ascii="Times New Roman" w:hAnsi="Times New Roman"/>
          <w:color w:val="auto"/>
          <w:szCs w:val="21"/>
          <w:highlight w:val="none"/>
        </w:rPr>
        <w:t xml:space="preserve">不低于72岗位、专项12岗位、外围5岗位，医辅不低于32岗位、运送不低于45岗位、项目经理及管理人员数量不少于5人。所有人员持健康证上岗，详细岗位配置须在投标文件中列明。</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服务方配置人员年龄结构：男性年龄不高于63周岁，其中男性60周岁以下占比不得低于40%；女性年龄不高于59周岁，其中女性55周岁以下占比不得低于40%。手术室及ICU、120急救岗位人员年龄男性不得超过60周岁，女性不得</w:t>
      </w:r>
      <w:r>
        <w:rPr>
          <w:rFonts w:hint="eastAsia" w:ascii="Times New Roman" w:hAnsi="Times New Roman"/>
          <w:color w:val="auto"/>
          <w:szCs w:val="21"/>
          <w:highlight w:val="none"/>
          <w:lang w:eastAsia="zh-CN"/>
        </w:rPr>
        <w:t xml:space="preserve">超过</w:t>
      </w:r>
      <w:r>
        <w:rPr>
          <w:rFonts w:hint="eastAsia" w:ascii="Times New Roman" w:hAnsi="Times New Roman"/>
          <w:color w:val="auto"/>
          <w:szCs w:val="21"/>
          <w:highlight w:val="none"/>
        </w:rPr>
        <w:t xml:space="preserve">55周岁。</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服务方配置人员要求：项目经理须具备3年以上医院物业项目管理经验和相应证书，经院方认可后上岗。其他管理岗位须具备相关从业管理经验，所有岗位须持健康证上岗。</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岗位分配明细：</w:t>
      </w:r>
      <w:r/>
    </w:p>
    <w:tbl>
      <w:tblPr>
        <w:tblStyle w:val="685"/>
        <w:tblW w:w="9058" w:type="dxa"/>
        <w:jc w:val="center"/>
        <w:tblLayout w:type="autofit"/>
        <w:tblCellMar>
          <w:left w:w="108" w:type="dxa"/>
          <w:top w:w="0" w:type="dxa"/>
          <w:right w:w="108" w:type="dxa"/>
          <w:bottom w:w="0" w:type="dxa"/>
        </w:tblCellMar>
        <w:tblLook w:val="04A0" w:firstRow="1" w:lastRow="0" w:firstColumn="1" w:lastColumn="0" w:noHBand="0" w:noVBand="1"/>
      </w:tblPr>
      <w:tblGrid>
        <w:gridCol w:w="695"/>
        <w:gridCol w:w="2950"/>
        <w:gridCol w:w="487"/>
        <w:gridCol w:w="427"/>
        <w:gridCol w:w="427"/>
        <w:gridCol w:w="427"/>
        <w:gridCol w:w="699"/>
        <w:gridCol w:w="2946"/>
      </w:tblGrid>
      <w:tr>
        <w:trPr>
          <w:jc w:val="center"/>
          <w:trHeight w:val="286"/>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楼层</w:t>
            </w:r>
            <w:r/>
          </w:p>
        </w:tc>
        <w:tc>
          <w:tcPr>
            <w:shd w:val="clear" w:color="auto" w:fill="auto"/>
            <w:tcBorders>
              <w:top w:val="single" w:color="auto" w:sz="4" w:space="0"/>
              <w:left w:val="single" w:color="auto" w:sz="4" w:space="0"/>
              <w:bottom w:val="single" w:color="auto" w:sz="4" w:space="0"/>
              <w:right w:val="single" w:color="auto" w:sz="4" w:space="0"/>
            </w:tcBorders>
            <w:tcW w:w="2985"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区域岗位</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日常</w:t>
            </w:r>
            <w:r>
              <w:rPr>
                <w:rFonts w:hint="eastAsia" w:ascii="宋体" w:hAnsi="宋体" w:cs="宋体"/>
                <w:b/>
                <w:bCs/>
                <w:color w:val="auto"/>
                <w:szCs w:val="21"/>
                <w:highlight w:val="none"/>
                <w:lang w:eastAsia="zh-CN"/>
              </w:rPr>
              <w:t xml:space="preserve">清洁消杀</w:t>
            </w:r>
            <w:r/>
          </w:p>
        </w:tc>
        <w:tc>
          <w:tcPr>
            <w:shd w:val="clear" w:color="auto" w:fill="auto"/>
            <w:tcBorders>
              <w:top w:val="single" w:color="auto" w:sz="4" w:space="0"/>
              <w:left w:val="single" w:color="auto" w:sz="4" w:space="0"/>
              <w:bottom w:val="single" w:color="auto"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jc w:val="center"/>
          <w:trHeight w:val="286"/>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早</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日</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中</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夜</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两头</w:t>
            </w:r>
            <w:r/>
          </w:p>
        </w:tc>
        <w:tc>
          <w:tcPr>
            <w:shd w:val="clear" w:color="auto" w:fill="auto"/>
            <w:tcBorders>
              <w:top w:val="single" w:color="auto"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auto"/>
                <w:szCs w:val="21"/>
                <w:highlight w:val="none"/>
              </w:rPr>
            </w:pPr>
            <w:r>
              <w:rPr>
                <w:rFonts w:ascii="宋体" w:hAnsi="宋体" w:cs="宋体"/>
                <w:b/>
                <w:bCs/>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车库、库房、水泵房、太平间</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早班：06:00~14:00</w:t>
            </w:r>
            <w:r/>
          </w:p>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日班：07:00~16:00</w:t>
            </w:r>
            <w:r/>
          </w:p>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中班：14:00~22:00</w:t>
            </w:r>
            <w:r/>
          </w:p>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夜班：22:00~06:00</w:t>
            </w:r>
            <w:r/>
          </w:p>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两头：07:00~17:00</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车库、 供应室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中西药房</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住院大厅、住院部</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放射影像科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公共区域和卫生间</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骨伤科门诊、骨伤科专家门诊</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骨科外治中心</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儿科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门诊大厅</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生殖医学科、内科专家门诊</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内科普通门诊、老专家门诊</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病理科、心电图</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B超室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公共区域、公共卫生间</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皮肤科、五官科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口腔科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眼科、外科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妇产科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治未病中心、心脑血管诊疗中心</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腔镜中心</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公共区域、公共卫生间</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名医工作室、针灸科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推拿科、理疗科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吴门医派传承工作室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公共区域、公共卫生间</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名医馆、图书馆、病案室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手术室外公共区域、天台吸烟点</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住院大厅、公共卫生间</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预计新增科室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产房</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6F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盆底治疗</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7F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8F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9F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11F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12F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13F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14F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15F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16F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17F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18F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19F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20F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21F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会场、空楼层公共区域</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17</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72</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区域岗位</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专项</w:t>
            </w:r>
            <w:r>
              <w:rPr>
                <w:rFonts w:hint="eastAsia" w:ascii="宋体" w:hAnsi="宋体" w:cs="宋体"/>
                <w:b/>
                <w:bCs/>
                <w:color w:val="auto"/>
                <w:szCs w:val="21"/>
                <w:highlight w:val="none"/>
                <w:lang w:eastAsia="zh-CN"/>
              </w:rPr>
              <w:t xml:space="preserve">清洁消杀</w:t>
            </w:r>
            <w:r/>
          </w:p>
        </w:tc>
        <w:tc>
          <w:tcPr>
            <w:shd w:val="clear" w:color="auto" w:fill="auto"/>
            <w:tcBorders>
              <w:top w:val="none" w:color="000000" w:sz="4" w:space="0"/>
              <w:left w:val="none" w:color="000000" w:sz="4" w:space="0"/>
              <w:bottom w:val="single" w:color="auto" w:sz="4" w:space="0"/>
              <w:right w:val="single" w:color="auto" w:sz="4" w:space="0"/>
            </w:tcBorders>
            <w:tcW w:w="2970"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消防通道/楼梯</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早班：06:00~14:00</w:t>
            </w:r>
            <w:r/>
          </w:p>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日班：08:00~16:00</w:t>
            </w:r>
            <w:r/>
          </w:p>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中班：14:00~22:00</w:t>
            </w:r>
            <w:r/>
          </w:p>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夜班：22:00~06:00</w:t>
            </w:r>
            <w:r/>
          </w:p>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两头：07:00~17:00</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所有区域玻璃清洗</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所有电梯、扶手及不锈钢抛光</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所有区域空调风口清洁</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地净中心</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洗地专项</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医废垃圾收集</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盐水瓶收集</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生活垃圾暂存地、医废暂存地</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高架停车场、花园</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外围路面清扫</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17</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gridSpan w:val="2"/>
            <w:shd w:val="clear" w:color="auto" w:fill="auto"/>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eastAsia="zh-CN"/>
              </w:rPr>
              <w:t xml:space="preserve">清洁消杀</w:t>
            </w:r>
            <w:r>
              <w:rPr>
                <w:rFonts w:hint="eastAsia" w:ascii="宋体" w:hAnsi="宋体" w:cs="宋体"/>
                <w:b/>
                <w:bCs/>
                <w:color w:val="auto"/>
                <w:szCs w:val="21"/>
                <w:highlight w:val="none"/>
              </w:rPr>
              <w:t xml:space="preserve">岗位总数</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89</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楼层</w:t>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区域岗位</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运送</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早</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日</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中</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夜</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两头</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auto"/>
                <w:szCs w:val="21"/>
                <w:highlight w:val="none"/>
              </w:rPr>
            </w:pPr>
            <w:r>
              <w:rPr>
                <w:rFonts w:ascii="宋体" w:hAnsi="宋体" w:cs="宋体"/>
                <w:b/>
                <w:bCs/>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中心调度</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早班：06:00~14:00</w:t>
            </w:r>
            <w:r/>
          </w:p>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日班：08:00~16:00</w:t>
            </w:r>
            <w:r/>
          </w:p>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中班：14:00~22:00</w:t>
            </w:r>
            <w:r/>
          </w:p>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夜班：22:00~06:00</w:t>
            </w:r>
            <w:r/>
          </w:p>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两头：07:00~17:00</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即时运送</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循环运送</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送检</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6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领货（消耗品）</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静配中心、中心药房</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中夜班运送</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120担架工</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45</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gridSpan w:val="2"/>
            <w:shd w:val="clear" w:color="auto" w:fill="auto"/>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运送岗位总人数</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45</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楼层</w:t>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区域岗位</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医辅服务</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早</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日</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中</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夜</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两头</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auto"/>
                <w:szCs w:val="21"/>
                <w:highlight w:val="none"/>
              </w:rPr>
            </w:pPr>
            <w:r>
              <w:rPr>
                <w:rFonts w:ascii="宋体" w:hAnsi="宋体" w:cs="宋体"/>
                <w:b/>
                <w:bCs/>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手术室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早班：06:00~18:00</w:t>
            </w:r>
            <w:r/>
          </w:p>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日班：07:00~19:00</w:t>
            </w:r>
            <w:r/>
          </w:p>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中班：11:00~23:00</w:t>
            </w:r>
            <w:r/>
          </w:p>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夜班：19:00~07:00</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ICU</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供应室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检验科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门诊手术室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restart"/>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32</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gridSpan w:val="2"/>
            <w:shd w:val="clear" w:color="auto" w:fill="auto"/>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医辅岗位总数</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32</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楼层</w:t>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区域岗位</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管理人员</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早</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日</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中</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夜</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两头</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auto"/>
                <w:szCs w:val="21"/>
                <w:highlight w:val="none"/>
              </w:rPr>
            </w:pPr>
            <w:r>
              <w:rPr>
                <w:rFonts w:ascii="宋体" w:hAnsi="宋体" w:cs="宋体"/>
                <w:b/>
                <w:bCs/>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项目经理</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日班：08:00~17:00</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清洁消杀</w:t>
            </w:r>
            <w:r>
              <w:rPr>
                <w:rFonts w:hint="eastAsia" w:ascii="宋体" w:hAnsi="宋体" w:cs="宋体"/>
                <w:color w:val="auto"/>
                <w:szCs w:val="21"/>
                <w:highlight w:val="none"/>
              </w:rPr>
              <w:t xml:space="preserve">主管</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运送主管</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领班（含运送领班）</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6"/>
        </w:trPr>
        <w:tc>
          <w:tcPr>
            <w:gridSpan w:val="2"/>
            <w:shd w:val="clear" w:color="auto" w:fill="auto"/>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管理岗位总数</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970"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95"/>
        </w:trPr>
        <w:tc>
          <w:tcPr>
            <w:gridSpan w:val="2"/>
            <w:shd w:val="clear" w:color="auto" w:fill="auto"/>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项目员工岗位数合计</w:t>
            </w:r>
            <w:r/>
          </w:p>
        </w:tc>
        <w:tc>
          <w:tcPr>
            <w:gridSpan w:val="6"/>
            <w:shd w:val="clear" w:color="auto" w:fill="auto"/>
            <w:tcBorders>
              <w:top w:val="single" w:color="auto" w:sz="4" w:space="0"/>
              <w:left w:val="none" w:color="000000" w:sz="4" w:space="0"/>
              <w:bottom w:val="single" w:color="auto" w:sz="4" w:space="0"/>
              <w:right w:val="single" w:color="auto" w:sz="4" w:space="0"/>
            </w:tcBorders>
            <w:tcW w:w="5376" w:type="dxa"/>
            <w:vAlign w:val="center"/>
            <w:textDirection w:val="lrTb"/>
            <w:noWrap w:val="false"/>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171</w:t>
            </w:r>
            <w:r/>
          </w:p>
        </w:tc>
      </w:tr>
    </w:tbl>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w:t>
      </w:r>
      <w:r>
        <w:rPr>
          <w:rFonts w:hint="eastAsia" w:ascii="Times New Roman" w:hAnsi="Times New Roman"/>
          <w:color w:val="auto"/>
          <w:szCs w:val="21"/>
          <w:highlight w:val="none"/>
          <w:lang w:eastAsia="zh-CN"/>
        </w:rPr>
        <w:t xml:space="preserve">、清洁消杀</w:t>
      </w:r>
      <w:r>
        <w:rPr>
          <w:rFonts w:hint="eastAsia" w:ascii="Times New Roman" w:hAnsi="Times New Roman"/>
          <w:color w:val="auto"/>
          <w:szCs w:val="21"/>
          <w:highlight w:val="none"/>
        </w:rPr>
        <w:t xml:space="preserve">服务内容及要求：</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负责服务区域内和室内所有放置的家具物品设施等清洁卫生和消毒。（包括：天花板、灯棚、顶房平台、墙面、电梯、地面、楼梯、窗户、窗帘、门、桌、候诊椅、床单元、车、柜、宣传栏、洗手间、电梯间、公共通道等）。</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（2）保持服务范围内环境卫生，随时清洁室内外卫生，及时处理和清运垃圾（含医疗垃圾和生活垃圾），防止院内传播和交叉感染病菌；</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（3）防止交叉感染，对不同区域的清洁工具按医院感染科的要求实行严格分类摆放和使用，用颜色、字标等方式进行区分；提供干净、足量的拖把头，拖把头按要求统一清洗；</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（4）按医院感染科的要求，定点定期进行环境消毒，让医院始终保持洁净，病床、床头柜及凳无灰尘、无污迹；空气菌落计数≦500cuf/M3，物体表面菌落计数≦10cuf/M3；不得检出致病性微生物。</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（5）按时巡视、清洁各楼层公共洗手间。保持洗手间清洁、干燥、无异味；明确具体巡视时间及反馈记录方式；</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（6）每日对楼内的生活垃圾、医疗垃圾进行清运；</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（7）每日上午地面全方位清洁一次，下午地面清洁一次，随脏随扫；一盆水的拖地面积不大于20平方米；</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（8）每日上、下午湿拖各地面一次，随脏随拖；</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（9）每天更换套垃圾桶上的垃圾袋，装满随时更换；</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（10）洗手间内垃圾，装满随时倾倒；</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（11）公共卫生间地面无烟头、污渍、积水、纸屑、果皮；天花、墙角、灯具目视无灰尘、蜘蛛网；便池便器洁净无黄渍、垃圾桶内外及上盖无明显污迹，垃圾无外溢。</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（12）每天早抹办公桌椅、治疗台面等，随脏随抹； </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（13）每周彻底擦拭消毒病历车、病历夹、治疗车、平车、轮椅、床架等，随脏随擦；</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（14）每周擦门窗、玻璃、宣传栏至少一次，随脏随擦；每月清洗纱窗至少一次；</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（15）每月擦天花板、灯具、灯孔、电话、中央空调通风口等高处物品，随脏随清洁；</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（16）室内整洁有序，地面无药迹；治疗台、治疗车（盘）、药车无灰尘、无药迹；车轮无头发及杂物缠绕；</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（17）医疗垃圾按院感要求规范交接和运送，医疗垃圾和生活垃圾及时清运到指定地点。</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（18）</w:t>
      </w:r>
      <w:r>
        <w:rPr>
          <w:rFonts w:hint="eastAsia" w:ascii="Times New Roman" w:hAnsi="Times New Roman"/>
          <w:color w:val="auto"/>
          <w:szCs w:val="21"/>
          <w:highlight w:val="none"/>
          <w:lang w:eastAsia="zh-CN"/>
        </w:rPr>
        <w:t xml:space="preserve">清洁消杀</w:t>
      </w:r>
      <w:r>
        <w:rPr>
          <w:rFonts w:hint="eastAsia" w:ascii="Times New Roman" w:hAnsi="Times New Roman"/>
          <w:color w:val="auto"/>
          <w:szCs w:val="21"/>
          <w:highlight w:val="none"/>
        </w:rPr>
        <w:t xml:space="preserve">服务频率与要求：（严格按照各区域</w:t>
      </w:r>
      <w:r>
        <w:rPr>
          <w:rFonts w:hint="eastAsia" w:ascii="Times New Roman" w:hAnsi="Times New Roman"/>
          <w:color w:val="auto"/>
          <w:szCs w:val="21"/>
          <w:highlight w:val="none"/>
          <w:lang w:eastAsia="zh-CN"/>
        </w:rPr>
        <w:t xml:space="preserve">清洁消杀</w:t>
      </w:r>
      <w:r>
        <w:rPr>
          <w:rFonts w:hint="eastAsia" w:ascii="Times New Roman" w:hAnsi="Times New Roman"/>
          <w:color w:val="auto"/>
          <w:szCs w:val="21"/>
          <w:highlight w:val="none"/>
        </w:rPr>
        <w:t xml:space="preserve">质量标准执行）</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（19）驻守科室（手术室、门诊手术室、ICU、供应室、检验科）的</w:t>
      </w:r>
      <w:r>
        <w:rPr>
          <w:rFonts w:hint="eastAsia" w:ascii="Times New Roman" w:hAnsi="Times New Roman"/>
          <w:color w:val="auto"/>
          <w:szCs w:val="21"/>
          <w:highlight w:val="none"/>
          <w:lang w:eastAsia="zh-CN"/>
        </w:rPr>
        <w:t xml:space="preserve">清洁消杀</w:t>
      </w:r>
      <w:r>
        <w:rPr>
          <w:rFonts w:hint="eastAsia" w:ascii="Times New Roman" w:hAnsi="Times New Roman"/>
          <w:color w:val="auto"/>
          <w:szCs w:val="21"/>
          <w:highlight w:val="none"/>
        </w:rPr>
        <w:t xml:space="preserve">及所有运送服务。</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（20）重点科室（手术室、门诊手术室）的清洁消毒按手术室相关标准严格执行。</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（21）重视员工管理与服务规范培训，引导员工妥善处理与院方、患者及家属的沟通协作，服务热情周到、文明规范、态度优良，医患综合满意度需达到 90% 以上。</w:t>
      </w:r>
      <w:r/>
    </w:p>
    <w:p>
      <w:pPr>
        <w:ind w:right="-176" w:firstLine="422"/>
        <w:spacing w:line="390" w:lineRule="exact"/>
        <w:rPr>
          <w:rFonts w:hint="default" w:ascii="Times New Roman" w:hAnsi="Times New Roman"/>
          <w:color w:val="auto"/>
          <w:szCs w:val="21"/>
          <w:highlight w:val="none"/>
          <w:lang w:val="en-US" w:eastAsia="zh-CN"/>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22</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清洁要求：</w:t>
      </w:r>
      <w:r/>
    </w:p>
    <w:tbl>
      <w:tblPr>
        <w:tblStyle w:val="685"/>
        <w:tblW w:w="9218" w:type="dxa"/>
        <w:jc w:val="center"/>
        <w:tblLayout w:type="fixed"/>
        <w:tblCellMar>
          <w:left w:w="108" w:type="dxa"/>
          <w:top w:w="0" w:type="dxa"/>
          <w:right w:w="108" w:type="dxa"/>
          <w:bottom w:w="0" w:type="dxa"/>
        </w:tblCellMar>
        <w:tblLook w:val="04A0" w:firstRow="1" w:lastRow="0" w:firstColumn="1" w:lastColumn="0" w:noHBand="0" w:noVBand="1"/>
      </w:tblPr>
      <w:tblGrid>
        <w:gridCol w:w="804"/>
        <w:gridCol w:w="3159"/>
        <w:gridCol w:w="1945"/>
        <w:gridCol w:w="3294"/>
        <w:gridCol w:w="16"/>
      </w:tblGrid>
      <w:tr>
        <w:trPr>
          <w:gridAfter w:val="1"/>
          <w:jc w:val="center"/>
          <w:trHeight w:val="278"/>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区域</w:t>
            </w:r>
            <w:r/>
          </w:p>
        </w:tc>
        <w:tc>
          <w:tcPr>
            <w:tcBorders>
              <w:top w:val="single" w:color="auto"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具体位置</w:t>
            </w:r>
            <w:r/>
          </w:p>
        </w:tc>
        <w:tc>
          <w:tcPr>
            <w:tcBorders>
              <w:top w:val="single" w:color="auto" w:sz="4" w:space="0"/>
              <w:left w:val="none" w:color="000000"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作业频次</w:t>
            </w:r>
            <w:r/>
          </w:p>
        </w:tc>
        <w:tc>
          <w:tcPr>
            <w:tcBorders>
              <w:top w:val="single" w:color="auto"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作业要求</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大堂及走廊</w:t>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湿拖地面</w:t>
            </w:r>
            <w:r/>
          </w:p>
        </w:tc>
        <w:tc>
          <w:tcPr>
            <w:tcBorders>
              <w:top w:val="none" w:color="000000" w:sz="4" w:space="0"/>
              <w:left w:val="none" w:color="000000"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每天2次（巡视）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无污迹、无废弃物</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墙面掸尘</w:t>
            </w:r>
            <w:r/>
          </w:p>
        </w:tc>
        <w:tc>
          <w:tcPr>
            <w:tcBorders>
              <w:top w:val="none" w:color="000000" w:sz="4" w:space="0"/>
              <w:left w:val="none" w:color="000000"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无污迹、无蛛网、无尘土</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擦门玻璃</w:t>
            </w:r>
            <w:r/>
          </w:p>
        </w:tc>
        <w:tc>
          <w:tcPr>
            <w:tcBorders>
              <w:top w:val="none" w:color="000000" w:sz="4" w:space="0"/>
              <w:left w:val="none" w:color="000000"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每周2次（巡视）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光洁、无污迹、无水迹、无手印</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各种标牌</w:t>
            </w:r>
            <w:r/>
          </w:p>
        </w:tc>
        <w:tc>
          <w:tcPr>
            <w:tcBorders>
              <w:top w:val="none" w:color="000000" w:sz="4" w:space="0"/>
              <w:left w:val="none" w:color="000000"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光洁、无灰尘、无污迹</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消防设备</w:t>
            </w:r>
            <w:r/>
          </w:p>
        </w:tc>
        <w:tc>
          <w:tcPr>
            <w:tcBorders>
              <w:top w:val="none" w:color="000000" w:sz="4" w:space="0"/>
              <w:left w:val="none" w:color="000000"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每月2次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无积尘、无蛛网</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扶手</w:t>
            </w:r>
            <w:r/>
          </w:p>
        </w:tc>
        <w:tc>
          <w:tcPr>
            <w:tcBorders>
              <w:top w:val="none" w:color="000000" w:sz="4" w:space="0"/>
              <w:left w:val="none" w:color="000000"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每周1次</w:t>
            </w:r>
            <w:r/>
          </w:p>
        </w:tc>
        <w:tc>
          <w:tcPr>
            <w:tcBorders>
              <w:top w:val="none" w:color="000000" w:sz="4" w:space="0"/>
              <w:left w:val="single" w:color="auto" w:sz="4" w:space="0"/>
              <w:bottom w:val="none" w:color="000000" w:sz="4" w:space="0"/>
              <w:right w:val="single" w:color="auto" w:sz="4" w:space="0"/>
            </w:tcBorders>
            <w:tcW w:w="3294" w:type="dxa"/>
            <w:vAlign w:val="center"/>
            <w:vMerge w:val="restart"/>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清洁、无尘土、无蛛网、无污迹、光亮</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电器开关</w:t>
            </w:r>
            <w:r/>
          </w:p>
        </w:tc>
        <w:tc>
          <w:tcPr>
            <w:tcBorders>
              <w:top w:val="none" w:color="000000" w:sz="4" w:space="0"/>
              <w:left w:val="none" w:color="000000" w:sz="4" w:space="0"/>
              <w:bottom w:val="none" w:color="000000"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每周1次</w:t>
            </w:r>
            <w:r/>
          </w:p>
        </w:tc>
        <w:tc>
          <w:tcPr>
            <w:tcBorders>
              <w:top w:val="none" w:color="000000" w:sz="4" w:space="0"/>
              <w:left w:val="single" w:color="auto" w:sz="4" w:space="0"/>
              <w:bottom w:val="none" w:color="000000" w:sz="4" w:space="0"/>
              <w:right w:val="single" w:color="auto" w:sz="4" w:space="0"/>
            </w:tcBorders>
            <w:tcW w:w="329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烟灰桶擦拭</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每天两次（巡视）</w:t>
            </w:r>
            <w:r/>
          </w:p>
        </w:tc>
        <w:tc>
          <w:tcPr>
            <w:tcBorders>
              <w:top w:val="single" w:color="auto"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光洁、无污迹</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公共椅子</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清洁、无尘迹</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地面机洗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每日1次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保持光亮，延长使用寿命</w:t>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灯具、音响、烟感、监视器、通风口、管道、空调、风扇等高处设备擦洗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每月1次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高处标牌、壁挂物擦拭</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每月2次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清洁、无尘迹</w:t>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消防栓、消防器擦拭、开水机、冰箱内部清洗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清洁、无尘迹</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负责报修工作（水电器维修等）</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随时</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地面巡视</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每天四次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无污迹、无废弃物</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楼梯</w:t>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轿厢壁、门</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每周2～3次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光亮，无污迹、无灰尘</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地面、沟槽</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干净，无污迹、无废弃物</w:t>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灯具、音响、烟感、监视器、通风口、管道、空调、风扇等高处设备擦洗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每月1次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无积灰、无蜘蛛网</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负责报修工作（水电器维修等）</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随时</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便池面盆、涮洗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每天1～6次（巡视）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无污迹、光亮</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卫生间、污物间</w:t>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纸篓倾倒</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每天两次（巡视）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无污迹、倾倒及时</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台盆、龙头、台面、镜子的清洁</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每天1～2次（巡视）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无污迹、光亮</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隔断、墙面、开关面板等</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每周一次（巡视）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清洁、无尘迹</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污物池</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每天2～4次（巡视）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无污垢、无外溢</w:t>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清洁消杀</w:t>
            </w:r>
            <w:r>
              <w:rPr>
                <w:rFonts w:hint="eastAsia" w:ascii="宋体" w:hAnsi="宋体" w:cs="宋体"/>
                <w:color w:val="auto"/>
                <w:szCs w:val="21"/>
                <w:highlight w:val="none"/>
              </w:rPr>
              <w:t xml:space="preserve">工具清洗消毒</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每天2次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干净，标识鲜明、分类使用，摆放整齐、规范</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地面</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随时保持</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无纸屑杂物、积水</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天花板、吸顶灯具</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无积灰、无蜘蛛网</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负责报修工作（水电器维修等）</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随时</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灯具、音响、烟感、监视器、通风口、管道、空调、风扇等高处设备擦洗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每月1次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无积灰、无蜘蛛网</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湿拖地面</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每天两次（巡视）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干净、无污迹、无纸屑杂物</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科室、病房</w:t>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门框、标示牌等（擦拭）</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每周一次（巡视）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干净、无尘、无污渍</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家具（桌椅、橱柜等）、台面擦拭</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每天2次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干净、无尘、无污渍</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墙面、窗台、窗框（擦拭）、踢脚线</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洁净、光亮</w:t>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区域内电脑、电话、仪器（含各种医用器材）、低处电器表面清洗或擦拭</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干净、无尘、无污渍</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收集区域内垃圾、更换垃圾袋</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每天2～3次（巡视）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无漫溢、纸篓外壳干净</w:t>
            </w:r>
            <w:r/>
          </w:p>
        </w:tc>
      </w:tr>
      <w:tr>
        <w:trPr>
          <w:gridAfter w:val="1"/>
          <w:jc w:val="center"/>
          <w:trHeight w:val="329"/>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病房家具擦拭消毒</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无尘，洁净、符合卫生标准</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设备带、床头</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无垃圾、无灰尘</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床单元终末处理</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病人出院</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符合卫生标准</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病房卫生间</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每天1～2次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参照卫生间</w:t>
            </w:r>
            <w:r>
              <w:rPr>
                <w:rFonts w:hint="eastAsia" w:ascii="宋体" w:hAnsi="宋体" w:cs="宋体"/>
                <w:color w:val="auto"/>
                <w:szCs w:val="21"/>
                <w:highlight w:val="none"/>
                <w:lang w:eastAsia="zh-CN"/>
              </w:rPr>
              <w:t xml:space="preserve">清洁消杀</w:t>
            </w:r>
            <w:r>
              <w:rPr>
                <w:rFonts w:hint="eastAsia" w:ascii="宋体" w:hAnsi="宋体" w:cs="宋体"/>
                <w:color w:val="auto"/>
                <w:szCs w:val="21"/>
                <w:highlight w:val="none"/>
              </w:rPr>
              <w:t xml:space="preserve">要求</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阳台不锈钢护栏、晾衣架、脸盆架</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每周2～3次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光亮、无锈剂、无积尘</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地面机洗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每月1次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保持光亮，延长使用寿命</w:t>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科室、病房计划性</w:t>
            </w:r>
            <w:r>
              <w:rPr>
                <w:rFonts w:hint="eastAsia" w:ascii="宋体" w:hAnsi="宋体" w:cs="宋体"/>
                <w:color w:val="auto"/>
                <w:szCs w:val="21"/>
                <w:highlight w:val="none"/>
                <w:lang w:eastAsia="zh-CN"/>
              </w:rPr>
              <w:t xml:space="preserve">清洁消杀</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无垃圾、无堆积物、玻璃干净明亮、四壁无蛛网、纱窗无积灰</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负责报修工作（水电器维修等）</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随时</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天花板、吸顶灯具</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无积灰、无蜘蛛网</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墙面、门（门框）</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无灰尘、无污迹、无蜘蛛网</w:t>
            </w:r>
            <w:r/>
          </w:p>
        </w:tc>
      </w:tr>
      <w:tr>
        <w:trPr>
          <w:gridAfter w:val="1"/>
          <w:jc w:val="center"/>
          <w:trHeight w:val="375"/>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开水炉、台面、微波炉</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每天2～3次（巡视）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干净、无油污、无积垢</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水池</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每天2～3次（巡视）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关亮、无剩饭菜、无污垢</w:t>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盥洗室、开水间</w:t>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地面</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每天4～5次（巡视）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无垃圾、无积灰、无污迹、无积水、无杂物</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收集区域内垃圾、更换垃圾袋</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每天两次（巡视）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无污垢、无异味，垃圾袋更换及时</w:t>
            </w:r>
            <w:r/>
          </w:p>
        </w:tc>
      </w:tr>
      <w:tr>
        <w:trPr>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地面机洗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每月1次</w:t>
            </w:r>
            <w:r/>
          </w:p>
        </w:tc>
        <w:tc>
          <w:tcPr>
            <w:gridSpan w:val="2"/>
            <w:tcBorders>
              <w:top w:val="none" w:color="000000"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保持光亮，延长使用寿命</w:t>
            </w:r>
            <w:r/>
          </w:p>
        </w:tc>
      </w:tr>
      <w:tr>
        <w:trPr>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非医疗不锈钢物体表面闪钢保养</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每周1次</w:t>
            </w:r>
            <w:r/>
          </w:p>
        </w:tc>
        <w:tc>
          <w:tcPr>
            <w:gridSpan w:val="2"/>
            <w:tcBorders>
              <w:top w:val="none" w:color="000000"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保持光亮如新</w:t>
            </w:r>
            <w:r/>
          </w:p>
        </w:tc>
      </w:tr>
      <w:tr>
        <w:trPr>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负责报修工作（水电器维修等）</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随时</w:t>
            </w:r>
            <w:r/>
          </w:p>
        </w:tc>
        <w:tc>
          <w:tcPr>
            <w:gridSpan w:val="2"/>
            <w:tcBorders>
              <w:top w:val="none" w:color="000000"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449"/>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天花板、吸顶灯具、空调风口</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每周一次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无积灰、无蜘蛛网</w:t>
            </w:r>
            <w:r/>
          </w:p>
        </w:tc>
      </w:tr>
      <w:tr>
        <w:trPr>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墙面、门（门框）、窗（窗框、窗台）</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每周一次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无灰尘、无污迹、无蜘蛛网</w:t>
            </w:r>
            <w:r/>
          </w:p>
        </w:tc>
      </w:tr>
      <w:tr>
        <w:trPr>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玻璃、镜面</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每天1次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光亮，无污渍、无水迹、无手印</w:t>
            </w:r>
            <w:r/>
          </w:p>
        </w:tc>
      </w:tr>
      <w:tr>
        <w:trPr>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室内家具、设施、医疗设备表面</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ind w:firstLine="420"/>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每天1次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无污迹、无灰尘</w:t>
            </w:r>
            <w:r/>
          </w:p>
        </w:tc>
      </w:tr>
      <w:tr>
        <w:trPr>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非医疗不锈钢物体表面闪钢保养</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每周1次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无污迹、无灰尘</w:t>
            </w:r>
            <w:r/>
          </w:p>
        </w:tc>
      </w:tr>
      <w:tr>
        <w:trPr>
          <w:jc w:val="center"/>
          <w:trHeight w:val="278"/>
        </w:trPr>
        <w:tc>
          <w:tcPr>
            <w:tcBorders>
              <w:top w:val="single" w:color="auto"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治疗室、值班房、库房</w:t>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废纸篓</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每天2次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无漫溢、纸篓外壳干净</w:t>
            </w:r>
            <w:r/>
          </w:p>
        </w:tc>
      </w:tr>
      <w:tr>
        <w:trPr>
          <w:jc w:val="center"/>
          <w:trHeight w:val="449"/>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湿拖地面</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每天2次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无垃圾、无积灰、无污迹、无药渍</w:t>
            </w:r>
            <w:r/>
          </w:p>
        </w:tc>
      </w:tr>
      <w:tr>
        <w:trPr>
          <w:jc w:val="center"/>
          <w:trHeight w:val="547"/>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轮椅、推车等医用车辆</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每周一次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无积灰，车轮无头发、杂物缠绕并加以维护</w:t>
            </w:r>
            <w:r/>
          </w:p>
        </w:tc>
      </w:tr>
      <w:tr>
        <w:trPr>
          <w:jc w:val="center"/>
          <w:trHeight w:val="547"/>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灯具、音响、烟感、监视器、通风口、管道、空调、风扇等高处设备擦洗</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每月1次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无灰尘、无污迹、无蜘蛛网</w:t>
            </w:r>
            <w:r/>
          </w:p>
        </w:tc>
      </w:tr>
      <w:tr>
        <w:trPr>
          <w:jc w:val="center"/>
          <w:trHeight w:val="27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负责报修工作（水电器维修等）</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随时</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278"/>
        </w:trPr>
        <w:tc>
          <w:tcPr>
            <w:tcBorders>
              <w:top w:val="single" w:color="auto"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外环境</w:t>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路面</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随时保持</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无纸屑杂物、污迹</w:t>
            </w:r>
            <w:r/>
          </w:p>
        </w:tc>
      </w:tr>
      <w:tr>
        <w:trPr>
          <w:jc w:val="center"/>
          <w:trHeight w:val="27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绿化带内</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随时保持</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无纸屑杂物</w:t>
            </w:r>
            <w:r/>
          </w:p>
        </w:tc>
      </w:tr>
      <w:tr>
        <w:trPr>
          <w:jc w:val="center"/>
          <w:trHeight w:val="27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各种标牌</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每周1次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光洁、无污迹</w:t>
            </w:r>
            <w:r/>
          </w:p>
        </w:tc>
      </w:tr>
      <w:tr>
        <w:trPr>
          <w:jc w:val="center"/>
          <w:trHeight w:val="27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烟灰桶、垃圾桶擦拭</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每天两次（巡视）</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光洁、无污迹</w:t>
            </w:r>
            <w:r/>
          </w:p>
        </w:tc>
      </w:tr>
      <w:tr>
        <w:trPr>
          <w:jc w:val="center"/>
          <w:trHeight w:val="287"/>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雨水沟、雨棚</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每季度一次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无杂物</w:t>
            </w:r>
            <w:r/>
          </w:p>
        </w:tc>
      </w:tr>
    </w:tbl>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686"/>
        <w:rPr>
          <w:rFonts w:hint="eastAsia" w:ascii="Times New Roman" w:hAnsi="Times New Roman"/>
          <w:color w:val="auto"/>
          <w:szCs w:val="21"/>
          <w:highlight w:val="none"/>
        </w:rPr>
      </w:pPr>
      <w:r>
        <w:rPr>
          <w:rFonts w:hint="eastAsia" w:ascii="Times New Roman" w:hAnsi="Times New Roman"/>
          <w:color w:val="auto"/>
          <w:szCs w:val="21"/>
          <w:highlight w:val="none"/>
        </w:rPr>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运送服务范围</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服务范围：全院运送服务（含景德路门诊部、制剂楼、彩香教学基地、彩香路海关门面房、市血站、市立医院南区、市疾控、区疾控、附一院、市五院等外送服务）</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4.1送各类标本</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4.2送资料/报刊杂志/复印/感染报告/送物品申领单</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4.3领办公用品</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4.4领医疗用品和医疗消耗品（含酒精发放）</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4.5临时领办公用品</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4.6临时领医疗用品和医疗消耗品</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4.7常规收送血尿便标本</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4.8急送各种标本</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4.9取常规化验结果</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4.10急取化验结果</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4.11收送检查预约单并预约</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4.12送行动不便的病人院内做检查</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4.13为病人导检</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4.14取功能科检查结果（放射科取片）</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4.15设备借用</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4.16设备送/报修</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4.17擦拭消毒治疗车</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4.18擦拭消毒平车，轮椅</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4.19清洁平车和轮椅轱辘上的毛发并上润滑油（2周一次）</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4.20夜间临时用药取送，夜间抢救仪器、设备等物资借用</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5</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运送服务主要工作要求</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5.1设立24小时的调度中心，保证24小时/天，365天/年的连续服务，相关人员配置对讲机和耳机。 </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5.2医院负责提供运送用工具，中标人应合理调配并负责管理与保养。 </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5.3要求启用信息化软件对运送的数据进行定期汇总和统计，要求有定位、评价、数据汇总、能用技术手段提高运送效率，能随时提供相应的数据，为院方的决策进行支持。 </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5.4运送准确率、及时率不低于99%。 </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5.5统一工作服、劳动防护用品（如：一次性手套、口罩）。 </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5.6定期给医院后勤及相关科室提供相关工作报表等，并对相关工作流程及时与院方沟通并调整，提出合理化建议，并顺应医院的管理和运行模式。 </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5.7送各种检查申请单及会诊单要实行专人接收签收制度，不可顺带运送，以防漏送或遗失。 </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5.8为了确保运送工作的正常开展，成立应急小组，制定可行的应急方案。</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6</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服务方需承担的相关费用（包括但不限于以下内容）</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w:t>
      </w:r>
      <w:r>
        <w:rPr>
          <w:rFonts w:hint="eastAsia" w:ascii="Times New Roman" w:hAnsi="Times New Roman"/>
          <w:color w:val="auto"/>
          <w:szCs w:val="21"/>
          <w:highlight w:val="none"/>
          <w:lang w:eastAsia="zh-CN"/>
        </w:rPr>
        <w:t xml:space="preserve">清洁消杀</w:t>
      </w:r>
      <w:r>
        <w:rPr>
          <w:rFonts w:hint="eastAsia" w:ascii="Times New Roman" w:hAnsi="Times New Roman"/>
          <w:color w:val="auto"/>
          <w:szCs w:val="21"/>
          <w:highlight w:val="none"/>
        </w:rPr>
        <w:t xml:space="preserve">工作所需的清洁剂、洗涤剂、樟脑球</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（2）擦拭用消毒剂，含物表、地面</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（3）地面养护费</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（4）地面养护材料</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（5）工作工具（含生活垃圾袋）</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（6）工作的办公用品</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（7）工作服</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（8）服务使用布类的洗涤、烘干</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（9）运送工作所需的全部工具</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（10）离世患者遗体运送费（按年平均200件测算）</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（11）驻守科室延时加班费（按年平均7000小时测算）</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（12）全院集水坑清洗（按全院75个集水坑每年清洗2次测算）</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（13）外科病房楼病区内PVC地面深度清洁及打蜡一次（按外科病房楼17个病区，每个病区PVC地面面积约2000平方米测算）</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7</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服务方需提供必备的专业工具清单。</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8</w:t>
      </w:r>
      <w:r>
        <w:rPr>
          <w:rFonts w:hint="eastAsia" w:ascii="Times New Roman" w:hAnsi="Times New Roman"/>
          <w:color w:val="auto"/>
          <w:szCs w:val="21"/>
          <w:highlight w:val="none"/>
          <w:lang w:eastAsia="zh-CN"/>
        </w:rPr>
        <w:t xml:space="preserve">、清洁消杀</w:t>
      </w:r>
      <w:r>
        <w:rPr>
          <w:rFonts w:hint="eastAsia" w:ascii="Times New Roman" w:hAnsi="Times New Roman"/>
          <w:color w:val="auto"/>
          <w:szCs w:val="21"/>
          <w:highlight w:val="none"/>
        </w:rPr>
        <w:t xml:space="preserve">消耗品1年的大约使用量，该表内使用数量仅为医院根据以往使用情况所做的预估数量，各服务方报价时须考虑医院门诊量的增加而造成</w:t>
      </w:r>
      <w:r>
        <w:rPr>
          <w:rFonts w:hint="eastAsia" w:ascii="Times New Roman" w:hAnsi="Times New Roman"/>
          <w:color w:val="auto"/>
          <w:szCs w:val="21"/>
          <w:highlight w:val="none"/>
          <w:lang w:eastAsia="zh-CN"/>
        </w:rPr>
        <w:t xml:space="preserve">清洁消杀</w:t>
      </w:r>
      <w:r>
        <w:rPr>
          <w:rFonts w:hint="eastAsia" w:ascii="Times New Roman" w:hAnsi="Times New Roman"/>
          <w:color w:val="auto"/>
          <w:szCs w:val="21"/>
          <w:highlight w:val="none"/>
        </w:rPr>
        <w:t xml:space="preserve">耗品消耗量的增加。</w:t>
      </w:r>
      <w:r/>
    </w:p>
    <w:tbl>
      <w:tblPr>
        <w:tblStyle w:val="685"/>
        <w:tblW w:w="6679" w:type="dxa"/>
        <w:tblInd w:w="817" w:type="dxa"/>
        <w:tblLayout w:type="fixed"/>
        <w:tblCellMar>
          <w:left w:w="0" w:type="dxa"/>
          <w:top w:w="0" w:type="dxa"/>
          <w:right w:w="0" w:type="dxa"/>
          <w:bottom w:w="0" w:type="dxa"/>
        </w:tblCellMar>
        <w:tblLook w:val="04A0" w:firstRow="1" w:lastRow="0" w:firstColumn="1" w:lastColumn="0" w:noHBand="0" w:noVBand="1"/>
      </w:tblPr>
      <w:tblGrid>
        <w:gridCol w:w="789"/>
        <w:gridCol w:w="3699"/>
        <w:gridCol w:w="1059"/>
        <w:gridCol w:w="1132"/>
      </w:tblGrid>
      <w:tr>
        <w:trPr>
          <w:trHeight w:val="90"/>
        </w:trPr>
        <w:tc>
          <w:tcPr>
            <w:shd w:val="clear" w:color="auto" w:fill="e0e0e0"/>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序号</w:t>
            </w:r>
            <w:r/>
          </w:p>
        </w:tc>
        <w:tc>
          <w:tcPr>
            <w:shd w:val="clear" w:color="auto" w:fill="e0e0e0"/>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名称</w:t>
            </w:r>
            <w:r/>
          </w:p>
        </w:tc>
        <w:tc>
          <w:tcPr>
            <w:shd w:val="clear" w:color="auto" w:fill="e0e0e0"/>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单位</w:t>
            </w:r>
            <w:r/>
          </w:p>
        </w:tc>
        <w:tc>
          <w:tcPr>
            <w:shd w:val="clear" w:color="auto" w:fill="e0e0e0"/>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数量</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洗衣粉</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包</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中性全能清洁剂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玻璃清洁剂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浴厕清洁剂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百洁布</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起蜡水</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液体底蜡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20L/包</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液体面蜡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20L/包</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纱手套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橡胶手套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生活垃圾袋120×130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100000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生活垃圾袋100×120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80000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生活垃圾袋80×120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48000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生活垃圾袋60×70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85000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生活垃圾袋45×50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960000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生活垃圾袋70×80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72000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auto"/>
                <w:spacing w:val="-16"/>
                <w:szCs w:val="21"/>
                <w:highlight w:val="none"/>
              </w:rPr>
            </w:pPr>
            <w:r>
              <w:rPr>
                <w:rFonts w:hint="eastAsia" w:ascii="宋体" w:hAnsi="宋体" w:cs="宋体"/>
                <w:color w:val="auto"/>
                <w:spacing w:val="-16"/>
                <w:szCs w:val="21"/>
                <w:highlight w:val="none"/>
              </w:rPr>
              <w:t xml:space="preserve">生活垃圾袋80×100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120000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肥皂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箱</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50cm平板拖布</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40cm平板拖布</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手夹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把</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皮老虎</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强力去污粉</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袋</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厕刷（软）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厕刷（硬）</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全自动洗地机清洁垫20寸</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片</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全自动洗地机清洁垫17寸</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片</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云石铲刀</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把</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不锈钢铲刀</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把</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玻璃刮刀30CM</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推水刮</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喷嘴</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微纤红毛巾（重污染区）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微纤蓝毛巾（污染区）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微纤绿毛巾（半污染区）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微纤白毛巾（清洁区）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红色小方巾（一桶一巾）</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扫把簸箕</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皮老虎</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湿拖手柄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湿拖头</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尘推手柄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44寸尘推框连罩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16寸尘推框连罩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44寸尘推罩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16寸尘推罩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清洁消杀</w:t>
            </w:r>
            <w:r>
              <w:rPr>
                <w:rFonts w:hint="eastAsia" w:ascii="宋体" w:hAnsi="宋体" w:cs="宋体"/>
                <w:color w:val="auto"/>
                <w:szCs w:val="21"/>
                <w:highlight w:val="none"/>
              </w:rPr>
              <w:t xml:space="preserve">车标准型</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36</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双桶榨水车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垃圾清运车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塑料提桶（红色）</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塑料双格桶（灰色）</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25L水桶（红色）</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45L塑料箱连盖</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18</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手提清洁篮</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36</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高处除尘扫</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微纤魔术平板拖</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平板拖湿拖铝杆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微纤平拖头</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海绵头地推器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300</w:t>
            </w:r>
            <w:r/>
          </w:p>
        </w:tc>
      </w:tr>
      <w:tr>
        <w:trPr>
          <w:trHeight w:val="326"/>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厕刷连底座</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40</w:t>
            </w:r>
            <w:r/>
          </w:p>
        </w:tc>
      </w:tr>
    </w:tbl>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9</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所有工作应符合以下规范：</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（1）院内感染控制规范；</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（2）医疗诊疗常规；</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（3）政府环保规范；</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（4）生活垃圾清运规范；</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（5）医疗废弃物清运规范；</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10</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服务要求：</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（1）服务方全年365天24小时不间断提供服务，包括处理各项突发事件及紧急任务；</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（2）工作过程中因服务方责任所造成的经济损失由服务方按实际金额赔偿；</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（3）我院有权利对服务方的工作每月实施考核，具体考核方案双方另行约定。</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11</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服务公司管理及工作人员要求：</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人员要求：人员岗位须相对较固定，不得兼职其他岗位，不得泄露患者信息。不得在院内、特别是工作时间赌博、不得私自收取患者及家属钱物、不得与患者及家属发生争吵或不理不睬、不得在非吸烟区吸烟等。不能胜任本职工作的需调整。</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（2）员工需统一着装上岗</w:t>
      </w:r>
      <w:r/>
    </w:p>
    <w:p>
      <w:pPr>
        <w:ind w:firstLine="422"/>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（3）不同工作工种人员每月综合工资需在投标文件中注明。</w:t>
      </w:r>
      <w:r>
        <w:rPr>
          <w:rFonts w:hint="eastAsia" w:ascii="Times New Roman" w:hAnsi="Times New Roman"/>
          <w:color w:val="auto"/>
          <w:szCs w:val="21"/>
          <w:highlight w:val="none"/>
          <w:lang w:val="zh-CN"/>
        </w:rPr>
        <w:t xml:space="preserve">服务方对报价中的工作量和服务的报价应包括完成本项工作所需的一切费用，（包括工资、奖金、社保、节假日和非工作时间的加班费等费用、专用设备、消毒清洁设备、工具、消毒清洁易耗品、办公设备、服装、胸卡、通讯、保险、各种税费、利润、政策性文件规定及合同包含的所有风险、责任等的费用。</w:t>
      </w:r>
      <w:r>
        <w:rPr>
          <w:rFonts w:hint="eastAsia" w:ascii="宋体" w:hAnsi="宋体"/>
          <w:color w:val="auto"/>
          <w:szCs w:val="21"/>
          <w:highlight w:val="none"/>
        </w:rPr>
        <w:t xml:space="preserve">服务期内如遇国家最低工资标准和社会保险缴费基数调整，由中标人负责，采购人不再给予中标人相应调整。</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（4）服务方的现行营运状况要求：具有科学合理的组织架构，严格的管理细则和岗位责任制度。具有提供完善的</w:t>
      </w:r>
      <w:r>
        <w:rPr>
          <w:rFonts w:hint="eastAsia" w:ascii="Times New Roman" w:hAnsi="Times New Roman"/>
          <w:color w:val="auto"/>
          <w:szCs w:val="21"/>
          <w:highlight w:val="none"/>
          <w:lang w:eastAsia="zh-CN"/>
        </w:rPr>
        <w:t xml:space="preserve">清洁消杀</w:t>
      </w:r>
      <w:r>
        <w:rPr>
          <w:rFonts w:hint="eastAsia" w:ascii="Times New Roman" w:hAnsi="Times New Roman"/>
          <w:color w:val="auto"/>
          <w:szCs w:val="21"/>
          <w:highlight w:val="none"/>
        </w:rPr>
        <w:t xml:space="preserve">管理和保障服务的能力，并具有一定的企业规模。</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（5）应配备相应的管理人员。</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（6）服务方应针对本次投标项目特点编写公司拟采取的管理方案、验收标准。包括组织计划、人员安排、时间安排、设备工具的安排等，遇重大、紧急事项的应急措施等。</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（7）管理方案的内容要求具体如下：</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7.1拟采取的管理及服务方式。包括：组织架构、机构设置、信息反馈渠道等；</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7.2各项后勤支持管理服务具体方案设计。包括：环境</w:t>
      </w:r>
      <w:r>
        <w:rPr>
          <w:rFonts w:hint="eastAsia" w:ascii="Times New Roman" w:hAnsi="Times New Roman"/>
          <w:color w:val="auto"/>
          <w:szCs w:val="21"/>
          <w:highlight w:val="none"/>
          <w:lang w:eastAsia="zh-CN"/>
        </w:rPr>
        <w:t xml:space="preserve">清洁消杀</w:t>
      </w:r>
      <w:r>
        <w:rPr>
          <w:rFonts w:hint="eastAsia" w:ascii="Times New Roman" w:hAnsi="Times New Roman"/>
          <w:color w:val="auto"/>
          <w:szCs w:val="21"/>
          <w:highlight w:val="none"/>
        </w:rPr>
        <w:t xml:space="preserve">等；</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7.3提供详细的室内地面保养方式、程序、各程序使用养护剂品牌；</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7.4管理人员配备和其他员工的配备；须明确列出各区域工作人员数量及工作职责；</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7.5管理质量和考核计划；</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7.6医院</w:t>
      </w:r>
      <w:r>
        <w:rPr>
          <w:rFonts w:hint="eastAsia" w:ascii="Times New Roman" w:hAnsi="Times New Roman"/>
          <w:color w:val="auto"/>
          <w:szCs w:val="21"/>
          <w:highlight w:val="none"/>
          <w:lang w:eastAsia="zh-CN"/>
        </w:rPr>
        <w:t xml:space="preserve">清洁消杀</w:t>
      </w:r>
      <w:r>
        <w:rPr>
          <w:rFonts w:hint="eastAsia" w:ascii="Times New Roman" w:hAnsi="Times New Roman"/>
          <w:color w:val="auto"/>
          <w:szCs w:val="21"/>
          <w:highlight w:val="none"/>
        </w:rPr>
        <w:t xml:space="preserve">档案的建立与保存；</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7.7可提供给医院后勤保障部门的文件资料清单；</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7.8服务公司为医院提供的设备清单（包括：</w:t>
      </w:r>
      <w:r>
        <w:rPr>
          <w:rFonts w:hint="eastAsia" w:ascii="Times New Roman" w:hAnsi="Times New Roman"/>
          <w:color w:val="auto"/>
          <w:szCs w:val="21"/>
          <w:highlight w:val="none"/>
          <w:lang w:eastAsia="zh-CN"/>
        </w:rPr>
        <w:t xml:space="preserve">清洁消杀</w:t>
      </w:r>
      <w:r>
        <w:rPr>
          <w:rFonts w:hint="eastAsia" w:ascii="Times New Roman" w:hAnsi="Times New Roman"/>
          <w:color w:val="auto"/>
          <w:szCs w:val="21"/>
          <w:highlight w:val="none"/>
        </w:rPr>
        <w:t xml:space="preserve">服务设备、办公设备）以及为医院提供使用的清洁剂、消毒剂、地面保养剂的品牌；</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（8）服务方的从业人员要求：公司进行岗前培训，服务人员100%经过岗前培训合格才能上岗，应具有相关的健康证，后续持续开展年度培训计划。</w:t>
      </w:r>
      <w:r/>
    </w:p>
    <w:p>
      <w:pPr>
        <w:ind w:right="-176" w:firstLine="422"/>
        <w:spacing w:line="39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（9）工作人员调动、变更、离职应向甲方报备并增补同等资质条件人员，确保现场服务人数与投标响应文件一致。</w:t>
      </w:r>
      <w:r/>
    </w:p>
    <w:p>
      <w:pPr>
        <w:ind w:firstLine="422"/>
        <w:spacing w:line="400" w:lineRule="exact"/>
        <w:rPr>
          <w:rFonts w:hint="eastAsia" w:ascii="宋体" w:hAnsi="宋体"/>
          <w:color w:val="auto"/>
          <w:szCs w:val="21"/>
          <w:highlight w:val="none"/>
        </w:rPr>
      </w:pPr>
      <w:r>
        <w:rPr>
          <w:rFonts w:hint="eastAsia" w:ascii="Times New Roman" w:hAnsi="Times New Roman"/>
          <w:color w:val="auto"/>
          <w:szCs w:val="21"/>
          <w:highlight w:val="none"/>
        </w:rPr>
        <w:t xml:space="preserve">（</w:t>
      </w:r>
      <w:r>
        <w:rPr>
          <w:rFonts w:hint="eastAsia" w:ascii="Times New Roman" w:hAnsi="Times New Roman"/>
          <w:color w:val="auto"/>
          <w:szCs w:val="21"/>
          <w:highlight w:val="none"/>
          <w:lang w:val="en-US" w:eastAsia="zh-CN"/>
        </w:rPr>
        <w:t xml:space="preserve">四</w:t>
      </w:r>
      <w:r>
        <w:rPr>
          <w:rFonts w:hint="eastAsia" w:ascii="Times New Roman" w:hAnsi="Times New Roman"/>
          <w:color w:val="auto"/>
          <w:szCs w:val="21"/>
          <w:highlight w:val="none"/>
        </w:rPr>
        <w:t xml:space="preserve">）</w:t>
      </w:r>
      <w:r>
        <w:rPr>
          <w:rFonts w:hint="eastAsia" w:ascii="宋体" w:hAnsi="宋体"/>
          <w:color w:val="auto"/>
          <w:szCs w:val="21"/>
          <w:highlight w:val="none"/>
          <w:lang w:val="en-US" w:eastAsia="zh-CN"/>
        </w:rPr>
        <w:t xml:space="preserve">考核要求：</w:t>
      </w:r>
      <w:r>
        <w:rPr>
          <w:rFonts w:hint="eastAsia" w:ascii="宋体" w:hAnsi="宋体"/>
          <w:color w:val="auto"/>
          <w:szCs w:val="21"/>
          <w:highlight w:val="none"/>
        </w:rPr>
        <w:t xml:space="preserve">医院对服务方进行月度考核，考核结果与当月度费用结算挂钩。</w:t>
      </w:r>
      <w:r/>
    </w:p>
    <w:tbl>
      <w:tblPr>
        <w:tblStyle w:val="685"/>
        <w:tblpPr w:horzAnchor="page" w:tblpX="1719" w:vertAnchor="text" w:tblpY="337" w:leftFromText="180" w:topFromText="0" w:rightFromText="180" w:bottomFromText="0"/>
        <w:tblW w:w="8504" w:type="dxa"/>
        <w:tblInd w:w="0" w:type="dxa"/>
        <w:tblLayout w:type="fixed"/>
        <w:tblCellMar>
          <w:left w:w="108" w:type="dxa"/>
          <w:top w:w="0" w:type="dxa"/>
          <w:right w:w="108" w:type="dxa"/>
          <w:bottom w:w="0" w:type="dxa"/>
        </w:tblCellMar>
        <w:tblLook w:val="04A0" w:firstRow="1" w:lastRow="0" w:firstColumn="1" w:lastColumn="0" w:noHBand="0" w:noVBand="1"/>
      </w:tblPr>
      <w:tblGrid>
        <w:gridCol w:w="786"/>
        <w:gridCol w:w="2635"/>
        <w:gridCol w:w="677"/>
        <w:gridCol w:w="3230"/>
        <w:gridCol w:w="1176"/>
      </w:tblGrid>
      <w:tr>
        <w:trPr>
          <w:trHeight w:val="230"/>
        </w:trPr>
        <w:tc>
          <w:tcPr>
            <w:gridSpan w:val="5"/>
            <w:tcBorders>
              <w:top w:val="none" w:color="000000" w:sz="4" w:space="0"/>
              <w:left w:val="none" w:color="000000" w:sz="4" w:space="0"/>
              <w:bottom w:val="none" w:color="000000" w:sz="4" w:space="0"/>
              <w:right w:val="none" w:color="000000" w:sz="4" w:space="0"/>
            </w:tcBorders>
            <w:tcW w:w="8504"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苏州市中医医院社会化部门月度考核表</w:t>
            </w:r>
            <w:r/>
          </w:p>
        </w:tc>
      </w:tr>
      <w:tr>
        <w:trPr>
          <w:trHeight w:val="179"/>
        </w:trPr>
        <w:tc>
          <w:tcPr>
            <w:gridSpan w:val="5"/>
            <w:tcBorders>
              <w:top w:val="none" w:color="000000" w:sz="4" w:space="0"/>
              <w:left w:val="none" w:color="000000" w:sz="4" w:space="0"/>
              <w:bottom w:val="none" w:color="000000" w:sz="4" w:space="0"/>
              <w:right w:val="none" w:color="000000" w:sz="4" w:space="0"/>
            </w:tcBorders>
            <w:tcW w:w="8504" w:type="dxa"/>
            <w:vAlign w:val="center"/>
            <w:textDirection w:val="lrTb"/>
            <w:noWrap/>
          </w:tcPr>
          <w:p>
            <w:pPr>
              <w:jc w:val="righ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年     月   </w:t>
            </w:r>
            <w:r/>
          </w:p>
        </w:tc>
      </w:tr>
      <w:tr>
        <w:trPr>
          <w:trHeight w:val="363"/>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扣分项</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说明</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得分</w:t>
            </w:r>
            <w:r/>
          </w:p>
        </w:tc>
      </w:tr>
      <w:tr>
        <w:trPr>
          <w:trHeight w:val="9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管理人员、工作人员是否穿戴规范，配置是否到位，服从科室安排</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经抽查发现不符合规范或人员配置不到位的，每一人扣2分，扣完为止，月底合计得分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485"/>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清洁消杀</w:t>
            </w:r>
            <w:r>
              <w:rPr>
                <w:rFonts w:hint="eastAsia" w:ascii="宋体" w:hAnsi="宋体" w:cs="宋体"/>
                <w:color w:val="auto"/>
                <w:szCs w:val="21"/>
                <w:highlight w:val="none"/>
              </w:rPr>
              <w:t xml:space="preserve">用品是否齐全、规范、污洗间是否整洁</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经抽查发现不齐全、不整洁的每一次扣2分，扣完为止，月底合计得分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527"/>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日常巡视巡检、培训制度落实</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经抽查发现未按合同约定开展巡视巡察和培训的，每一次扣2分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433"/>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清洁消杀</w:t>
            </w:r>
            <w:r>
              <w:rPr>
                <w:rFonts w:hint="eastAsia" w:ascii="宋体" w:hAnsi="宋体" w:cs="宋体"/>
                <w:color w:val="auto"/>
                <w:szCs w:val="21"/>
                <w:highlight w:val="none"/>
              </w:rPr>
              <w:t xml:space="preserve">服务质量</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经抽查发现</w:t>
            </w:r>
            <w:r>
              <w:rPr>
                <w:rFonts w:hint="eastAsia" w:ascii="宋体" w:hAnsi="宋体" w:cs="宋体"/>
                <w:color w:val="auto"/>
                <w:szCs w:val="21"/>
                <w:highlight w:val="none"/>
                <w:lang w:eastAsia="zh-CN"/>
              </w:rPr>
              <w:t xml:space="preserve">清洁消杀</w:t>
            </w:r>
            <w:r>
              <w:rPr>
                <w:rFonts w:hint="eastAsia" w:ascii="宋体" w:hAnsi="宋体" w:cs="宋体"/>
                <w:color w:val="auto"/>
                <w:szCs w:val="21"/>
                <w:highlight w:val="none"/>
              </w:rPr>
              <w:t xml:space="preserve">质量不达标且未立行立改的，每一次扣2分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49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是否按院感规范进行日常清洁消毒、终末消毒工作</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经抽查发现清洁消毒不到位的，每一次扣2分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51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non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运送服务是否及时响应，夜间服务热线是否畅通、及时、高效</w:t>
            </w:r>
            <w:r/>
          </w:p>
        </w:tc>
        <w:tc>
          <w:tcPr>
            <w:tcBorders>
              <w:top w:val="single" w:color="000000" w:sz="4" w:space="0"/>
              <w:left w:val="single" w:color="000000" w:sz="4" w:space="0"/>
              <w:bottom w:val="non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non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当月运送服务未及时响应的，每一次扣2分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512"/>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是否按规范进行生活（医疗）垃圾清运、处置和台账记录</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经抽查发现不规范的，每一次扣2分，扣完为止，月底合计得分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518"/>
        </w:trPr>
        <w:tc>
          <w:tcPr>
            <w:tcBorders>
              <w:top w:val="single" w:color="000000" w:sz="4" w:space="0"/>
              <w:left w:val="single" w:color="000000" w:sz="4" w:space="0"/>
              <w:bottom w:val="non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其他被投诉或不良</w:t>
            </w:r>
            <w:r>
              <w:rPr>
                <w:rFonts w:hint="eastAsia" w:ascii="宋体" w:hAnsi="宋体" w:cs="宋体"/>
                <w:color w:val="auto"/>
                <w:szCs w:val="21"/>
                <w:highlight w:val="none"/>
                <w:lang w:eastAsia="zh-CN"/>
              </w:rPr>
              <w:t xml:space="preserve">清洁消杀</w:t>
            </w:r>
            <w:r>
              <w:rPr>
                <w:rFonts w:hint="eastAsia" w:ascii="宋体" w:hAnsi="宋体" w:cs="宋体"/>
                <w:color w:val="auto"/>
                <w:szCs w:val="21"/>
                <w:highlight w:val="none"/>
              </w:rPr>
              <w:t xml:space="preserve">事故</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经核实当月每发生一次扣2分，扣完为止，月底合计得分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加分项</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648"/>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医院收到有关</w:t>
            </w:r>
            <w:r>
              <w:rPr>
                <w:rFonts w:hint="eastAsia" w:ascii="宋体" w:hAnsi="宋体" w:cs="宋体"/>
                <w:color w:val="auto"/>
                <w:szCs w:val="21"/>
                <w:highlight w:val="none"/>
                <w:lang w:eastAsia="zh-CN"/>
              </w:rPr>
              <w:t xml:space="preserve">清洁消杀</w:t>
            </w:r>
            <w:r>
              <w:rPr>
                <w:rFonts w:hint="eastAsia" w:ascii="宋体" w:hAnsi="宋体" w:cs="宋体"/>
                <w:color w:val="auto"/>
                <w:szCs w:val="21"/>
                <w:highlight w:val="none"/>
              </w:rPr>
              <w:t xml:space="preserve">工作人员的表扬信、锦旗或发生拾金不昧、见义勇为、助人为乐等行为</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经核实属实的，当月每收到一次加2分，月底合计得分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562"/>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推出创新举措</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受到广泛好评并连续推行3个月以上的，每一项加5分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当月合计得分</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100</w:t>
            </w:r>
            <w:r/>
          </w:p>
        </w:tc>
        <w:tc>
          <w:tcPr>
            <w:tcBorders>
              <w:top w:val="single" w:color="000000" w:sz="4" w:space="0"/>
              <w:left w:val="none" w:color="000000" w:sz="4" w:space="0"/>
              <w:bottom w:val="single" w:color="000000" w:sz="4" w:space="0"/>
              <w:right w:val="single" w:color="000000" w:sz="4" w:space="0"/>
            </w:tcBorders>
            <w:tcW w:w="3230" w:type="dxa"/>
            <w:vAlign w:val="center"/>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340"/>
        </w:trPr>
        <w:tc>
          <w:tcPr>
            <w:gridSpan w:val="5"/>
            <w:tcBorders>
              <w:top w:val="none" w:color="000000" w:sz="4" w:space="0"/>
              <w:left w:val="none" w:color="000000" w:sz="4" w:space="0"/>
              <w:bottom w:val="none" w:color="000000" w:sz="4" w:space="0"/>
              <w:right w:val="none" w:color="000000" w:sz="4" w:space="0"/>
            </w:tcBorders>
            <w:tcW w:w="8504" w:type="dxa"/>
            <w:vAlign w:val="center"/>
            <w:textDirection w:val="lrTb"/>
            <w:noWrap/>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 医院考核部门：后勤保障部                              被考核单位负责人：                                                                                                                  </w:t>
            </w:r>
            <w:r/>
          </w:p>
        </w:tc>
      </w:tr>
    </w:tbl>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注：</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1.扣分项、加分项由后勤保障部进行相应记录。</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2.本表一式两份，每个项目竣工审计，统计分值后由考核部门、被考核单位双方签字确认后留存。</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被考核单位与医院结算相关费用时，以该考核分为依据。该考核分≥90分，则结算费用的100%;85≤考核分＜90分，每低1分，则结算费用扣除1％。80≤考核分＜85分，每低1分，则结算费用扣除2％。该考核分＜80分，视为不合格。</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4.累计三次考核不合格，</w:t>
      </w:r>
      <w:r>
        <w:rPr>
          <w:rFonts w:hint="eastAsia" w:ascii="Times New Roman" w:hAnsi="Times New Roman"/>
          <w:color w:val="auto"/>
          <w:szCs w:val="21"/>
          <w:highlight w:val="none"/>
          <w:lang w:val="en-US" w:eastAsia="zh-CN"/>
        </w:rPr>
        <w:t xml:space="preserve">采购人</w:t>
      </w:r>
      <w:r>
        <w:rPr>
          <w:rFonts w:hint="eastAsia" w:ascii="Times New Roman" w:hAnsi="Times New Roman"/>
          <w:color w:val="auto"/>
          <w:szCs w:val="21"/>
          <w:highlight w:val="none"/>
        </w:rPr>
        <w:t xml:space="preserve">有权单方面解除合同。</w:t>
      </w:r>
      <w:r/>
    </w:p>
    <w:p>
      <w:pPr>
        <w:rPr>
          <w:rFonts w:ascii="Times New Roman" w:hAnsi="Times New Roman"/>
          <w:b/>
          <w:bCs/>
          <w:color w:val="auto"/>
          <w:szCs w:val="21"/>
          <w:highlight w:val="none"/>
        </w:rPr>
      </w:pPr>
      <w:r>
        <w:rPr>
          <w:rFonts w:ascii="Times New Roman" w:hAnsi="Times New Roman"/>
          <w:b/>
          <w:bCs/>
          <w:color w:val="auto"/>
          <w:szCs w:val="21"/>
          <w:highlight w:val="none"/>
        </w:rPr>
      </w:r>
      <w:r/>
    </w:p>
    <w:p>
      <w:pPr>
        <w:pStyle w:val="686"/>
        <w:rPr>
          <w:color w:val="auto"/>
          <w:highlight w:val="none"/>
        </w:rPr>
      </w:pPr>
      <w:r>
        <w:rPr>
          <w:color w:val="auto"/>
          <w:highlight w:val="none"/>
        </w:rPr>
      </w:r>
      <w:r/>
    </w:p>
    <w:p>
      <w:pPr>
        <w:ind w:firstLine="422"/>
        <w:spacing w:line="400" w:lineRule="exact"/>
        <w:rPr>
          <w:rFonts w:ascii="Times New Roman" w:hAnsi="Times New Roman"/>
          <w:b/>
          <w:bCs/>
          <w:color w:val="auto"/>
          <w:szCs w:val="21"/>
          <w:highlight w:val="none"/>
        </w:rPr>
      </w:pPr>
      <w:r>
        <w:rPr>
          <w:rFonts w:ascii="Times New Roman" w:hAnsi="Times New Roman"/>
          <w:b/>
          <w:bCs/>
          <w:color w:val="auto"/>
          <w:szCs w:val="21"/>
          <w:highlight w:val="none"/>
        </w:rPr>
        <w:t xml:space="preserve">采购包7：变配电系统管理及维护服务</w:t>
      </w:r>
      <w:r/>
    </w:p>
    <w:p>
      <w:pPr>
        <w:ind w:firstLine="420"/>
        <w:keepLines w:val="0"/>
        <w:keepNext w:val="0"/>
        <w:pageBreakBefore w:val="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一</w:t>
      </w:r>
      <w:r>
        <w:rPr>
          <w:rFonts w:hint="eastAsia" w:ascii="宋体" w:hAnsi="宋体" w:cs="宋体"/>
          <w:color w:val="auto"/>
          <w:szCs w:val="21"/>
          <w:highlight w:val="none"/>
          <w:lang w:val="zh-CN"/>
        </w:rPr>
        <w:t xml:space="preserve">）服务范围：一期、二期配电房及制剂楼、彩香教学基地，原公安局用地配电服务</w:t>
      </w:r>
      <w:r/>
    </w:p>
    <w:p>
      <w:pPr>
        <w:ind w:firstLine="420"/>
        <w:keepLines w:val="0"/>
        <w:keepNext w:val="0"/>
        <w:pageBreakBefore w:val="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）服务期限：2026年8月1日—2027年7月31日</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（三）项目范围</w:t>
      </w:r>
      <w:r/>
    </w:p>
    <w:p>
      <w:pPr>
        <w:ind w:firstLine="420"/>
        <w:keepLines w:val="0"/>
        <w:keepNext w:val="0"/>
        <w:pageBreakBefore w:val="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苏州市中医医院10KV变配电系统主要由：高压进线电缆、高压柜侧、变压器侧、低压柜侧、直流屏、信号屏、柴油发电机组等组成。</w:t>
      </w:r>
      <w:r/>
    </w:p>
    <w:p>
      <w:pPr>
        <w:ind w:firstLine="420"/>
        <w:keepLines w:val="0"/>
        <w:keepNext w:val="0"/>
        <w:pageBreakBefore w:val="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苏州市中医医院二期10KV变配电系统主要由：高压柜侧、变压器侧、低压柜侧、柴油发电机组等组成。</w:t>
      </w:r>
      <w:r/>
    </w:p>
    <w:p>
      <w:pPr>
        <w:ind w:firstLine="420"/>
        <w:keepLines w:val="0"/>
        <w:keepNext w:val="0"/>
        <w:pageBreakBefore w:val="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本项目管理范围包括但不限于下述地点：</w:t>
      </w:r>
      <w:r/>
    </w:p>
    <w:p>
      <w:pPr>
        <w:ind w:firstLine="420"/>
        <w:keepLines w:val="0"/>
        <w:keepNext w:val="0"/>
        <w:pageBreakBefore w:val="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1、医院一期（杨素路18号）10KV高压供电线路、变电所、输出母线、柴油发电机房的管理、数据分析、设备维护；</w:t>
      </w:r>
      <w:r/>
    </w:p>
    <w:p>
      <w:pPr>
        <w:ind w:firstLine="420"/>
        <w:keepLines w:val="0"/>
        <w:keepNext w:val="0"/>
        <w:pageBreakBefore w:val="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2、医院二期（杨素路18号）变电所、输出母线、柴油发电机房的管理、数据分析、设备维护保养等服务。</w:t>
      </w:r>
      <w:r/>
    </w:p>
    <w:p>
      <w:pPr>
        <w:ind w:firstLine="420"/>
        <w:keepLines w:val="0"/>
        <w:keepNext w:val="0"/>
        <w:pageBreakBefore w:val="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3、老医院制剂楼（西百花巷36-1号）区域内的电力维护及保养等服务。</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彩香教学基地（彩香一村四区45幢北）区域内的电力维护及保养等服务。</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原公安局（吴中西路888号）区域内的变电所管理，数据分析，电力设备维护及保养等服务。</w:t>
      </w:r>
      <w:r/>
    </w:p>
    <w:p>
      <w:pPr>
        <w:ind w:firstLine="420"/>
        <w:keepLines w:val="0"/>
        <w:keepNext w:val="0"/>
        <w:pageBreakBefore w:val="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）苏州市中医院，苏州市杨素路18号院区变配电系统主要设备表（包括但不限于）</w:t>
      </w:r>
      <w:r/>
    </w:p>
    <w:tbl>
      <w:tblPr>
        <w:tblStyle w:val="685"/>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754"/>
        <w:gridCol w:w="2152"/>
        <w:gridCol w:w="3119"/>
        <w:gridCol w:w="850"/>
        <w:gridCol w:w="851"/>
      </w:tblGrid>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标的物名称</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品牌、规格</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生产厂家</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数量</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H1高压中置柜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H2高压中置柜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H3高压中置柜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H4高压中置柜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H5高压中置柜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H6高压中置柜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H7高压中置柜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H8高压中置柜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H9高压中置柜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H10高压中置柜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信号箱</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GXL-II</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直流屏</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PZDW22-40AH/110V</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干式变压器</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SCB10-2000KVA</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江苏华鹏变压器有限公司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23</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24</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25</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26</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27</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14#低压配线柜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28</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29</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18#低压配线柜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32</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33</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34</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35</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36</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23#低压配线柜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37</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24#低压配线柜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38</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25#低压配线柜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39</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26#低压配线柜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40</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27#低压配线柜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41</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28#低压配线柜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42</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29#低压配线柜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43</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44</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45</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32#低压配线柜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46</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33#低压配线柜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47</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34#低压配线柜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48</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35#低压配线柜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49</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36#低压配线柜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50</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37#低压配线柜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51</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38#低压配线柜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52</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39#低压配线柜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53</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40#低压配线柜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54</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发电机</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240kW</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康明斯</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55</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发电机</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240kW</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康明斯</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bl>
    <w:p>
      <w:pPr>
        <w:ind w:left="420"/>
        <w:jc w:val="center"/>
        <w:keepLines w:val="0"/>
        <w:keepNext w:val="0"/>
        <w:pageBreakBefore w:val="0"/>
        <w:spacing w:after="120"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中医医院制剂楼主要设备清单</w:t>
      </w:r>
      <w:r>
        <w:rPr>
          <w:rFonts w:hint="eastAsia" w:ascii="宋体" w:hAnsi="宋体" w:cs="宋体"/>
          <w:color w:val="auto"/>
          <w:szCs w:val="21"/>
          <w:highlight w:val="none"/>
          <w:lang w:val="zh-CN"/>
        </w:rPr>
        <w:t xml:space="preserve">（包括但不限于）</w:t>
      </w:r>
      <w:r/>
    </w:p>
    <w:tbl>
      <w:tblPr>
        <w:tblStyle w:val="685"/>
        <w:tblW w:w="0" w:type="auto"/>
        <w:jc w:val="center"/>
        <w:tblLayout w:type="fixed"/>
        <w:tblCellMar>
          <w:left w:w="108" w:type="dxa"/>
          <w:top w:w="0" w:type="dxa"/>
          <w:right w:w="108" w:type="dxa"/>
          <w:bottom w:w="0" w:type="dxa"/>
        </w:tblCellMar>
        <w:tblLook w:val="04A0" w:firstRow="1" w:lastRow="0" w:firstColumn="1" w:lastColumn="0" w:noHBand="0" w:noVBand="1"/>
      </w:tblPr>
      <w:tblGrid>
        <w:gridCol w:w="1787"/>
        <w:gridCol w:w="4040"/>
        <w:gridCol w:w="1559"/>
        <w:gridCol w:w="1510"/>
      </w:tblGrid>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名 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一、10KV高压部分</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进线柜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 </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出线柜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 </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二、0.4KV低压部分</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进线柜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 </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计量柜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 </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电容柜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 </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出线柜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联络柜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 </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三、干式变压器</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400KVA/10KV</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 </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四、安装</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2*400KVA变电所安装</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组</w:t>
            </w:r>
            <w:r/>
          </w:p>
        </w:tc>
      </w:tr>
    </w:tbl>
    <w:p>
      <w:pPr>
        <w:jc w:val="center"/>
        <w:keepLines w:val="0"/>
        <w:keepNext w:val="0"/>
        <w:pageBreakBefore w:val="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二期配电间设备清单</w:t>
      </w:r>
      <w:r>
        <w:rPr>
          <w:rFonts w:hint="eastAsia" w:ascii="宋体" w:hAnsi="宋体" w:cs="宋体"/>
          <w:color w:val="auto"/>
          <w:szCs w:val="21"/>
          <w:highlight w:val="none"/>
          <w:lang w:val="zh-CN"/>
        </w:rPr>
        <w:t xml:space="preserve">（包括但不限于）</w:t>
      </w:r>
      <w:r/>
    </w:p>
    <w:tbl>
      <w:tblPr>
        <w:tblStyle w:val="685"/>
        <w:tblW w:w="9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0"/>
        <w:gridCol w:w="368"/>
        <w:gridCol w:w="616"/>
        <w:gridCol w:w="1293"/>
        <w:gridCol w:w="1470"/>
        <w:gridCol w:w="780"/>
        <w:gridCol w:w="1560"/>
        <w:gridCol w:w="295"/>
        <w:gridCol w:w="629"/>
        <w:gridCol w:w="532"/>
        <w:gridCol w:w="744"/>
        <w:gridCol w:w="417"/>
      </w:tblGrid>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标的物名称</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品牌、规格</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数量</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H11高压中置柜</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KYN28-24</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H12高压中置柜</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KYN28-24</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H21高压中置柜</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KYN28-24</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H22高压中置柜</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KYN28-24</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干式变压器</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SCBH15-2000KVA</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1#低压配线柜</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14</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18</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14#低压配线柜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23</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18#低压配线柜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24</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25</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26</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27</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28</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23#低压配线柜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29</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24#低压配线柜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25#低压配线柜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26#低压配线柜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32</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27#低压配线柜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33</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28#低压配线柜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34</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29#低压配线柜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35</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30#低压配线柜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36</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37</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32#低压配线柜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38</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33#低压配线柜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39</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34#低压配线柜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40</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35#低压配线柜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41</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36#低压配线柜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42</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37#低压配线柜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43</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38#低压配线柜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44</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39#低压配线柜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45</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40#低压配线柜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46</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41#低压配线柜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47</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42#低压配线柜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48</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43#低压配线柜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49</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发电机</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1200kW</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702"/>
        </w:trPr>
        <w:tc>
          <w:tcPr>
            <w:gridSpan w:val="12"/>
            <w:shd w:val="clear" w:color="auto" w:fill="auto"/>
            <w:tcBorders>
              <w:top w:val="none" w:color="000000" w:sz="4" w:space="0"/>
              <w:left w:val="none" w:color="000000" w:sz="4" w:space="0"/>
              <w:bottom w:val="single" w:color="000000" w:sz="8" w:space="0"/>
              <w:right w:val="none" w:color="000000" w:sz="4" w:space="0"/>
            </w:tcBorders>
            <w:tcW w:w="9074" w:type="dxa"/>
            <w:vAlign w:val="center"/>
            <w:textDirection w:val="lrTb"/>
            <w:noWrap/>
          </w:tcPr>
          <w:p>
            <w:pPr>
              <w:jc w:val="center"/>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color w:val="auto"/>
                <w:szCs w:val="21"/>
                <w:highlight w:val="none"/>
                <w:lang w:bidi="ar"/>
              </w:rPr>
              <w:t xml:space="preserve">沧浪公安分局变电所电气设备清单</w:t>
            </w:r>
            <w:r>
              <w:rPr>
                <w:rFonts w:hint="eastAsia" w:ascii="宋体" w:hAnsi="宋体" w:cs="宋体"/>
                <w:color w:val="auto"/>
                <w:szCs w:val="21"/>
                <w:highlight w:val="none"/>
                <w:lang w:val="zh-CN"/>
              </w:rPr>
              <w:t xml:space="preserve">（包括但不限于）</w:t>
            </w:r>
            <w:r/>
          </w:p>
        </w:tc>
      </w:tr>
      <w:tr>
        <w:trPr>
          <w:jc w:val="center"/>
          <w:trHeight w:val="702"/>
        </w:trPr>
        <w:tc>
          <w:tcPr>
            <w:gridSpan w:val="2"/>
            <w:shd w:val="clear" w:color="auto" w:fill="auto"/>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设备名称</w:t>
            </w:r>
            <w:r/>
          </w:p>
        </w:tc>
        <w:tc>
          <w:tcPr>
            <w:gridSpan w:val="2"/>
            <w:shd w:val="clear" w:color="auto" w:fill="auto"/>
            <w:tcBorders>
              <w:top w:val="single" w:color="000000" w:sz="8"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品牌、规格</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生产厂家</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数量</w:t>
            </w:r>
            <w:r/>
          </w:p>
        </w:tc>
      </w:tr>
      <w:tr>
        <w:trPr>
          <w:jc w:val="center"/>
          <w:trHeight w:val="498"/>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干式变压器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SCB10-1000KVA/10</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西安天虹电器有限公司</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620"/>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干式变压器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SCB10-200KVA/10</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西安天虹电器有限公司</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212"/>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#1高压进线柜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KYN28</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恒凯电气</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8"/>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计量柜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KYN28</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恒凯电气</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7"/>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PT及避雷器柜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KYN28</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恒凯电气</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8"/>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#1主变开关柜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KYN28</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恒凯电气</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90"/>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#2高压进线柜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XGN</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恒凯电气</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90"/>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#1主变开关柜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XGN</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恒凯电气</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20"/>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1DP1低压进线柜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170"/>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1DP2照明馈线柜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183"/>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1DP3照明馈线柜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75"/>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1DP4双电源切换动力计量柜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293"/>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1DP5动力馈线柜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239"/>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14</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1DP6无功补偿柜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293"/>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1DP7无功补偿柜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7"/>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2DP1低压计量柜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88"/>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2DP2进线及馈线柜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06"/>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18</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2DP3无功补偿柜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286"/>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直流屏</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bl>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彩香教学基地设备清单</w:t>
      </w:r>
      <w:r>
        <w:rPr>
          <w:rFonts w:hint="eastAsia" w:ascii="宋体" w:hAnsi="宋体" w:cs="宋体"/>
          <w:color w:val="auto"/>
          <w:szCs w:val="21"/>
          <w:highlight w:val="none"/>
          <w:lang w:val="zh-CN"/>
        </w:rPr>
        <w:t xml:space="preserve">（包括但不限于）</w:t>
      </w:r>
      <w:r/>
    </w:p>
    <w:tbl>
      <w:tblPr>
        <w:tblStyle w:val="685"/>
        <w:tblW w:w="9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746"/>
        <w:gridCol w:w="1699"/>
        <w:gridCol w:w="2959"/>
        <w:gridCol w:w="873"/>
        <w:gridCol w:w="1118"/>
      </w:tblGrid>
      <w:tr>
        <w:trPr>
          <w:jc w:val="center"/>
          <w:trHeight w:val="340"/>
        </w:trPr>
        <w:tc>
          <w:tcPr>
            <w:tcW w:w="76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74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标的物名称</w:t>
            </w:r>
            <w:r/>
          </w:p>
        </w:tc>
        <w:tc>
          <w:tcPr>
            <w:tcW w:w="169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品牌、规格</w:t>
            </w:r>
            <w:r/>
          </w:p>
        </w:tc>
        <w:tc>
          <w:tcPr>
            <w:tcW w:w="29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生产厂家</w:t>
            </w:r>
            <w:r/>
          </w:p>
        </w:tc>
        <w:tc>
          <w:tcPr>
            <w:tcW w:w="87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W w:w="111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数量</w:t>
            </w:r>
            <w:r/>
          </w:p>
        </w:tc>
      </w:tr>
      <w:tr>
        <w:trPr>
          <w:jc w:val="center"/>
          <w:trHeight w:val="340"/>
        </w:trPr>
        <w:tc>
          <w:tcPr>
            <w:tcW w:w="76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74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1#低压总柜</w:t>
            </w:r>
            <w:r/>
          </w:p>
        </w:tc>
        <w:tc>
          <w:tcPr>
            <w:tcW w:w="169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GCD</w:t>
            </w:r>
            <w:r/>
          </w:p>
        </w:tc>
        <w:tc>
          <w:tcPr>
            <w:tcW w:w="29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苏州恒通开关有限公司</w:t>
            </w:r>
            <w:r/>
          </w:p>
        </w:tc>
        <w:tc>
          <w:tcPr>
            <w:tcW w:w="87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1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6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74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2#低压配线柜</w:t>
            </w:r>
            <w:r/>
          </w:p>
        </w:tc>
        <w:tc>
          <w:tcPr>
            <w:tcW w:w="1699"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GCD</w:t>
            </w:r>
            <w:r/>
          </w:p>
        </w:tc>
        <w:tc>
          <w:tcPr>
            <w:tcW w:w="29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苏州恒通开关有限公司</w:t>
            </w:r>
            <w:r/>
          </w:p>
        </w:tc>
        <w:tc>
          <w:tcPr>
            <w:tcW w:w="87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1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6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74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3#低压配线柜</w:t>
            </w:r>
            <w:r/>
          </w:p>
        </w:tc>
        <w:tc>
          <w:tcPr>
            <w:tcW w:w="1699"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GCD</w:t>
            </w:r>
            <w:r/>
          </w:p>
        </w:tc>
        <w:tc>
          <w:tcPr>
            <w:tcW w:w="29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苏州恒通开关有限公司</w:t>
            </w:r>
            <w:r/>
          </w:p>
        </w:tc>
        <w:tc>
          <w:tcPr>
            <w:tcW w:w="87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1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340"/>
        </w:trPr>
        <w:tc>
          <w:tcPr>
            <w:tcW w:w="76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746"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4#低压配线柜</w:t>
            </w:r>
            <w:r/>
          </w:p>
        </w:tc>
        <w:tc>
          <w:tcPr>
            <w:tcW w:w="1699" w:type="dxa"/>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GCD</w:t>
            </w:r>
            <w:r/>
          </w:p>
        </w:tc>
        <w:tc>
          <w:tcPr>
            <w:tcW w:w="2959"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苏州恒通开关有限公司</w:t>
            </w:r>
            <w:r/>
          </w:p>
        </w:tc>
        <w:tc>
          <w:tcPr>
            <w:tcW w:w="873"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118"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bl>
    <w:p>
      <w:pPr>
        <w:ind w:firstLine="420"/>
        <w:spacing w:line="400" w:lineRule="exact"/>
        <w:rPr>
          <w:rFonts w:hint="eastAsia" w:ascii="Times New Roman" w:hAnsi="Times New Roman"/>
          <w:b/>
          <w:bCs/>
          <w:color w:val="auto"/>
          <w:szCs w:val="21"/>
          <w:highlight w:val="none"/>
          <w:lang w:val="zh-CN"/>
        </w:rPr>
      </w:pPr>
      <w:r>
        <w:rPr>
          <w:rFonts w:hint="eastAsia" w:ascii="Times New Roman" w:hAnsi="Times New Roman"/>
          <w:b/>
          <w:bCs/>
          <w:color w:val="auto"/>
          <w:szCs w:val="21"/>
          <w:highlight w:val="none"/>
          <w:lang w:val="zh-CN"/>
        </w:rPr>
        <w:t xml:space="preserve">（五）变配电系统日常管理方案及要求</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1、管理内容</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（1）变配电设备及线路24小时不间断的运行监测、管理；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（2）设备及线路24小时不定期的维护保养，设备故障抢修；</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（3）定期预防性试验、绝缘用具检测；定期热成像试验；</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（4）建立运行档案资料及运行分析报告；</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（5）进行电能监测，提供合理优化方案，降低电能损耗；</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（6）柴油发电机系统的定期巡视、运行监测、管理，发电机年度大保养工作。</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2、维保及预防性试验项目</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（1）柜体、外壳、元件连接铜排除尘。高压电缆沟下检查，封堵电缆口，清除杂物，半个月为1次维保周期，所有设备运行状况必须记录在案，确保供电设施设备工况良好。</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（2）一次系统紧固件重新紧固，如发现热退火螺丝要进行更换。插件连接部分加凡士林，一年为1次维保周期，所有设备运行状况必须记录在案，确保供电设施设备工况良好。</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二次系统紧固件重新紧固，检查连接确保紧固、可靠，变压器风扇、温控检查、测试，电容器检查、测试，插件连接部分加凡士林，一年为1次维保周期，所有设备运行状况必须记录在案，确保供电设施设备工况良好。</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（4）检查中发现设备设施有缺陷或隐患的必须及时向院方以书面形式提出。</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（5）按照供电部门要求：对高压进线、高压配电柜、变压器、高压电缆、中置柜等需要进行预防性试验的供电设备设施进行预防性试验，2年周期内免费试验一次，提供供电部门认可的检测报告一份。</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（6）每半年对安全用具进行免费检测，如绝缘手套、绝缘靴、高低压绝缘垫、接地线等。</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（7）做好柴油发电机组的巡视、试运行、厂家月检、年度大保养工作（本项目含保养所需润滑油、冷冻液、过滤器等耗材费用）。</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3、定期试验项目及周期</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（1）验电笔按绝缘安全工器具试验项目、周期和要求规定，1年周期内试验一次。</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（2）短路接地线、400V短路接地线按绝缘安全工器具试验项目、周期和要求规定，1年周期内试验一次。</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（3）绝缘地毯（胶垫）按绝缘安全工器具试验项目、周期和要求规定，半年周期内试验一次。</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（4）绝缘鞋、绝缘手套按绝缘安全工器具试验项目、周期和要求规定，半年周期内试验一次。</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（5）试验合格贴好标签、签名、日期及试验报告，院方确认人签名。绝缘安全工器具有缺陷或隐患的维保单位以书面形式提出。 </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4、能耗监测平台管理要求</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（1）运行数据管理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通过变电站各种设备的实时运行数据，实时掌握电气设备的运行状态，排除安全隐患、提高使用寿命。</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（2）月能耗报表上报</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根据能耗监测平台数据，每月分析各分类分项数据、各建筑能耗数据、同比环比能耗，并提出可行性的节能措施，形成月能耗报表，上报医院。</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（3）平台维护</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负责能耗监测平台的软硬件维护，出现故障及时解决。</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5、服务员工要求</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（1）服务员工统一着装，佩证上岗，在工作中礼貌用语，保证文明和安全施工。</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（2）变配电系统定期维修护过程中做好相应防护措施，服务企业对自身人员的安全负责，院方免责。</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（3）服务人员必须符合劳动部门有关用工规定，持证上岗，院方有权对此进行审核并提出整改意见。服务企业必须严格按劳动法用工，因违反劳动法用工所引发的劳动纠纷由服务企业承担完全责任。</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（4）服务人员应具有江苏省应急管理厅及相关部门颁发的高压电工资格证书。</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（5）提供驻场服务：确保白天3人在岗、夜间2人在岗服务。</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（6）强化专业技能培训，规范巡检与记录。培训每季度不得少于一次。</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（7）严格安全管理与操作规范，服务人员必须主动学习，听从院方后勤部门工作安排。</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（8）服务人员必须主动细化设备预防性维护。</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lang w:val="zh-CN"/>
        </w:rPr>
        <w:t xml:space="preserve">服务条款综合说明</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（1）院方提供管理所需的值班场所及水、电的供应。</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（2）服务维护工作必须通过国家电力部门的检查。如检查不合格的，扣除全部维保费用，由此造成的损失由服务单位全部承担。</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维修更换的配件必须与原品牌、型号一致，并经院方相关管理人员签字确认（若原厂配件停产，双方协商解决），更换的配件（价值超过500元人民币）由院方承担，所有的维修、更换都需经过院方确认，院方确认无误后由院方付款。</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（4）服务单位要有固定的具有相关资质的项目经理与院方进行交接，并提供固定的联系方式（含电子邮箱、地址、电话、传真）。</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服务单位执行定期测试任务时，必须持有致院方的联系单（写明维保内容、执行情况、维保人、时间等），经院方签字确认后作为合同考核及付款凭证，未经院方确认的，视为无效维护，不计入考核和付款凭证。</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（6）服务单位设备预防性试验结束后，十五个工作日内必须提供国家电力部门认可的设备预防性试验服务合格报告。</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7）服务单位在投标文件中应参照《中华人民共和国公共安全行业标准》制定详细的安全施工计划书和岗位职责，在施工中应严格按相关规定执行，如有施工安全、质量问题，由此引发的损失及责任全部由服务单位自行承担。</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8）如服务单位在接到医院两次下达整改通知后未能及时前来检测或维护、维修，或两次以上未能修复的，院方有权请第三方介入维修，由此引起的费用由维保单位支付，院方有权在当年维保费中扣除。由此故障造成的损失由服务单位全部承担。</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（9）服务单位应对服务范围内的设备、材料、工具及成品做好保护工作，并保证工作区域的整洁。</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（10）服务单位须在文件中应制定相应的应急方案，并作出实质性阐述以证明能够满足响应时间的要求。</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11）服务单位应对管理的工作做好记录，其内容为：用电统计数据及分析、漏电监测数据、设备的维护保养记录、配电间日巡视记录、柴油发电机各项巡检记录、每次的抢修记录、每月开机记录、耗材等一并形成档案，档案规范整洁并满足三甲医院标准要求。该档案在合同结束时，需要移交给院方。</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（12）服务单位应提供在服务期间与院方的综合协调方案。</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13）服务单位在合同期满后，所有变配电系统必须保证正常运行，并出具所在科室及部门负责人确认签字单方可交付。如有设备未恢复正常，院方有权委派具有资质的单位进行维修或更换，费用从服务合同中扣除。</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（14）服务单位需定期安排巡视人员巡视整个医院的配电系统，制定相对应的负荷管理方案，尽量降低医院的能耗。</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15）服务单位所聘人员必须符合劳动部门有关用工规定，并经服务单位相关专业考核合格后持证上岗，院方有权对此进行审核并提出整改意见。服务单位必须严格按劳动法用工，因违反劳动法用工所引发的劳动纠纷由服务单位承担完全责任。</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16）服务单位需提供24小时全天候服务，如发生停电故障现场值班人员应于10分钟内响应，迅速排查故障原因，现场值班人员无法解决的，应立即上报公司，服务单位应于30分钟内响应，委派专业技术力量进行维修。对于信息系统、消控中心、电梯、ICU、手术室、急诊科等重要医疗区域，服务单位必须提供更快、更好、更优质的服务，确保全天候正常用电。</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（17）服务单位提供一期、二期配电房及原公安局，医院制剂楼、彩香教学基地的配电远程监控系统改造，实现变电站的数字化管理。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（18）服务方有责任配合医院接受上级领导部门的监督、检查，并提供必需的材料。服务单位应参照医院后勤社会化管理部门接受医院的统一管理并进行考核，考核结果与每月费用结算挂钩，考核办法另行约定。</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（19）服务期内如遇国家最低工资标准和社会保险缴费基数调整，由中标人负责，采购人不再给予中标人相应调整。</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（六）服务企业责任及赔偿制度</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1、对医院变电站负责，当发生操作失误造成的设备损失由服务方100％赔偿。</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2、当发生因服务方投入的设备质量造成的设备损失由服务方按100％的价格赔偿。</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3、当配电间内发生因短路、过载等其他原因造成的设备损失由服务方按70％的价格赔偿。</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4、当配电间内发生电气故障，因人为因素导致未及时送电的，扣除当月服务费用，发生1次以上，院方有权终止协议。</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（七）服务人员人数配置</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本项目配置项目经理1人，负责医院日常的事务对接与联系。医院本部一期、二期配电房白天不少于3个人，晚上不少于2个人，负责医院配电房的日常巡检、维护及值班。老院制剂楼、彩香教学基地，原公安局实现无人值守，变电站实现标准的数字化管理，服务方每十天派专人负责巡检。服务单位每月派专人巡检彩香教学基地配电柜一次。原公安局配电所一次。医院本部一期配电房内建设数字化监控，大屏展示，用于值班人员实时监测四个配电房内的设备运行状态（要求四个配电房内的数据能统一展示在同一平台上）。</w:t>
      </w:r>
      <w:r/>
    </w:p>
    <w:p>
      <w:pPr>
        <w:ind w:firstLine="420"/>
        <w:spacing w:line="400" w:lineRule="exact"/>
        <w:rPr>
          <w:rFonts w:ascii="Times New Roman" w:hAnsi="Times New Roman"/>
          <w:color w:val="auto"/>
          <w:szCs w:val="21"/>
          <w:highlight w:val="none"/>
        </w:rPr>
      </w:pPr>
      <w:r>
        <w:rPr>
          <w:rFonts w:hint="eastAsia" w:ascii="宋体" w:hAnsi="宋体"/>
          <w:color w:val="auto"/>
          <w:szCs w:val="21"/>
          <w:highlight w:val="none"/>
          <w:lang w:val="en-US" w:eastAsia="zh-CN"/>
        </w:rPr>
        <w:t xml:space="preserve">（八）考核要求：</w:t>
      </w:r>
      <w:r>
        <w:rPr>
          <w:rFonts w:hint="eastAsia" w:ascii="宋体" w:hAnsi="宋体"/>
          <w:color w:val="auto"/>
          <w:szCs w:val="21"/>
          <w:highlight w:val="none"/>
        </w:rPr>
        <w:t xml:space="preserve">医院对服务方进行月度考核，考核结果与当月度费用结算挂钩。</w:t>
      </w:r>
      <w:r/>
    </w:p>
    <w:p>
      <w:pPr>
        <w:jc w:val="center"/>
        <w:keepLines w:val="0"/>
        <w:keepNext w:val="0"/>
        <w:pageBreakBefore w:val="0"/>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苏州市中医医院社会化部门月度考核表</w:t>
      </w:r>
      <w:r>
        <w:rPr>
          <w:rFonts w:hint="eastAsia" w:ascii="宋体" w:hAnsi="宋体" w:cs="宋体"/>
          <w:color w:val="auto"/>
          <w:szCs w:val="21"/>
          <w:highlight w:val="none"/>
        </w:rPr>
        <w:tab/>
      </w:r>
      <w:r/>
    </w:p>
    <w:tbl>
      <w:tblPr>
        <w:tblStyle w:val="685"/>
        <w:tblW w:w="8522"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612"/>
        <w:gridCol w:w="3760"/>
        <w:gridCol w:w="612"/>
        <w:gridCol w:w="2925"/>
        <w:gridCol w:w="613"/>
      </w:tblGrid>
      <w:tr>
        <w:trPr>
          <w:jc w:val="center"/>
          <w:trHeight w:val="521"/>
          <w:tblHead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keepLines w:val="0"/>
              <w:keepNext w:val="0"/>
              <w:pageBreakBefore w:val="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扣分项</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center"/>
              <w:keepLines w:val="0"/>
              <w:keepNext w:val="0"/>
              <w:pageBreakBefore w:val="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说明</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得分</w:t>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200"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3" w:line="400" w:lineRule="exact"/>
              <w:rPr>
                <w:rFonts w:ascii="宋体" w:hAnsi="宋体" w:cs="宋体"/>
                <w:color w:val="auto"/>
                <w:szCs w:val="21"/>
                <w:highlight w:val="none"/>
              </w:rPr>
            </w:pPr>
            <w:r>
              <w:rPr>
                <w:rFonts w:hint="eastAsia" w:ascii="宋体" w:hAnsi="宋体" w:cs="宋体"/>
                <w:color w:val="auto"/>
                <w:szCs w:val="21"/>
                <w:highlight w:val="none"/>
              </w:rPr>
              <w:t xml:space="preserve">配电工作人员配比是否到位，到岗</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before="3" w:line="400" w:lineRule="exact"/>
              <w:rPr>
                <w:rFonts w:ascii="宋体" w:hAnsi="宋体" w:cs="宋体"/>
                <w:color w:val="auto"/>
                <w:szCs w:val="21"/>
                <w:highlight w:val="none"/>
              </w:rPr>
            </w:pPr>
            <w:r>
              <w:rPr>
                <w:rFonts w:hint="eastAsia" w:ascii="宋体" w:hAnsi="宋体" w:cs="宋体"/>
                <w:color w:val="auto"/>
                <w:szCs w:val="21"/>
                <w:highlight w:val="none"/>
              </w:rPr>
              <w:t xml:space="preserve">经查工作人员配备不到位，扣10分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200"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80"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配电工作人员是否穿戴工作服，佩戴工作胸牌卡</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before="20" w:line="400" w:lineRule="exact"/>
              <w:rPr>
                <w:rFonts w:ascii="宋体" w:hAnsi="宋体" w:cs="宋体"/>
                <w:color w:val="auto"/>
                <w:szCs w:val="21"/>
                <w:highlight w:val="none"/>
              </w:rPr>
            </w:pPr>
            <w:r>
              <w:rPr>
                <w:rFonts w:hint="eastAsia" w:ascii="宋体" w:hAnsi="宋体" w:cs="宋体"/>
                <w:color w:val="auto"/>
                <w:szCs w:val="21"/>
                <w:highlight w:val="none"/>
              </w:rPr>
              <w:t xml:space="preserve">经查工作人员未按规范着装，每一人扣2分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200"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60"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180" w:line="400" w:lineRule="exact"/>
              <w:rPr>
                <w:rFonts w:ascii="宋体" w:hAnsi="宋体" w:cs="宋体"/>
                <w:color w:val="auto"/>
                <w:szCs w:val="21"/>
                <w:highlight w:val="none"/>
              </w:rPr>
            </w:pPr>
            <w:r>
              <w:rPr>
                <w:rFonts w:hint="eastAsia" w:ascii="宋体" w:hAnsi="宋体" w:cs="宋体"/>
                <w:color w:val="auto"/>
                <w:szCs w:val="21"/>
                <w:highlight w:val="none"/>
              </w:rPr>
              <w:t xml:space="preserve">配电工作人员上岗证是否挂墙公示</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经查工作人员未持证上岗或上岗证未挂墙公示，人证不符合，扣10分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80"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41" w:line="400" w:lineRule="exact"/>
              <w:rPr>
                <w:rFonts w:ascii="宋体" w:hAnsi="宋体" w:cs="宋体"/>
                <w:color w:val="auto"/>
                <w:szCs w:val="21"/>
                <w:highlight w:val="none"/>
              </w:rPr>
            </w:pPr>
            <w:r>
              <w:rPr>
                <w:rFonts w:hint="eastAsia" w:ascii="宋体" w:hAnsi="宋体" w:cs="宋体"/>
                <w:color w:val="auto"/>
                <w:szCs w:val="21"/>
                <w:highlight w:val="none"/>
              </w:rPr>
              <w:t xml:space="preserve">各类检测记录，保养记录，检测记录，运行记录，测试记录是否齐全</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抽查记录不全，每次扣2分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41"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41"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141" w:line="400" w:lineRule="exact"/>
              <w:rPr>
                <w:rFonts w:ascii="宋体" w:hAnsi="宋体" w:cs="宋体"/>
                <w:color w:val="auto"/>
                <w:szCs w:val="21"/>
                <w:highlight w:val="none"/>
              </w:rPr>
            </w:pPr>
            <w:r>
              <w:rPr>
                <w:rFonts w:hint="eastAsia" w:ascii="宋体" w:hAnsi="宋体" w:cs="宋体"/>
                <w:color w:val="auto"/>
                <w:szCs w:val="21"/>
                <w:highlight w:val="none"/>
              </w:rPr>
              <w:t xml:space="preserve">消防设备是否齐全且在有效期内</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经查器材不全或超出有效期，每次扣2分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21"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01"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101" w:line="400" w:lineRule="exact"/>
              <w:rPr>
                <w:rFonts w:ascii="宋体" w:hAnsi="宋体" w:cs="宋体"/>
                <w:color w:val="auto"/>
                <w:szCs w:val="21"/>
                <w:highlight w:val="none"/>
              </w:rPr>
            </w:pPr>
            <w:r>
              <w:rPr>
                <w:rFonts w:hint="eastAsia" w:ascii="宋体" w:hAnsi="宋体" w:cs="宋体"/>
                <w:color w:val="auto"/>
                <w:szCs w:val="21"/>
                <w:highlight w:val="none"/>
              </w:rPr>
              <w:t xml:space="preserve">当月是否发生因不当操作导致停电事故</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因操作不当引起事故 。当月扣20分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201"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201" w:line="400" w:lineRule="exact"/>
              <w:rPr>
                <w:rFonts w:ascii="宋体" w:hAnsi="宋体" w:cs="宋体"/>
                <w:color w:val="auto"/>
                <w:szCs w:val="21"/>
                <w:highlight w:val="none"/>
              </w:rPr>
            </w:pPr>
            <w:r>
              <w:rPr>
                <w:rFonts w:hint="eastAsia" w:ascii="宋体" w:hAnsi="宋体" w:cs="宋体"/>
                <w:color w:val="auto"/>
                <w:szCs w:val="21"/>
                <w:highlight w:val="none"/>
              </w:rPr>
              <w:t xml:space="preserve">防护用品，操作用品是否齐全</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经查防护，操作用品不全，每次扣2分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81" w:line="40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101" w:line="400" w:lineRule="exact"/>
              <w:rPr>
                <w:rFonts w:ascii="宋体" w:hAnsi="宋体" w:cs="宋体"/>
                <w:color w:val="auto"/>
                <w:szCs w:val="21"/>
                <w:highlight w:val="none"/>
              </w:rPr>
            </w:pPr>
            <w:r>
              <w:rPr>
                <w:rFonts w:hint="eastAsia" w:ascii="宋体" w:hAnsi="宋体" w:cs="宋体"/>
                <w:color w:val="auto"/>
                <w:szCs w:val="21"/>
                <w:highlight w:val="none"/>
              </w:rPr>
              <w:t xml:space="preserve">工作场所是否有安全隐患，是否按要求做好培训及应急演练</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未按要求落实，经查扣20分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01"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keepLines w:val="0"/>
              <w:keepNext w:val="0"/>
              <w:pageBreakBefore w:val="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加分项</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center"/>
              <w:keepLines w:val="0"/>
              <w:keepNext w:val="0"/>
              <w:pageBreakBefore w:val="0"/>
              <w:spacing w:line="400" w:lineRule="exact"/>
              <w:rPr>
                <w:rFonts w:ascii="宋体" w:hAnsi="宋体" w:cs="宋体"/>
                <w:b/>
                <w:color w:val="auto"/>
                <w:szCs w:val="21"/>
                <w:highlight w:val="none"/>
              </w:rPr>
            </w:pPr>
            <w:r>
              <w:rPr>
                <w:rFonts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b/>
                <w:color w:val="auto"/>
                <w:szCs w:val="21"/>
                <w:highlight w:val="none"/>
              </w:rPr>
            </w:pPr>
            <w:r>
              <w:rPr>
                <w:rFonts w:ascii="宋体" w:hAnsi="宋体" w:cs="宋体"/>
                <w:b/>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221"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115" w:line="400" w:lineRule="exact"/>
              <w:rPr>
                <w:rFonts w:ascii="宋体" w:hAnsi="宋体" w:cs="宋体"/>
                <w:color w:val="auto"/>
                <w:szCs w:val="21"/>
                <w:highlight w:val="none"/>
              </w:rPr>
            </w:pPr>
            <w:r>
              <w:rPr>
                <w:rFonts w:hint="eastAsia" w:ascii="宋体" w:hAnsi="宋体" w:cs="宋体"/>
                <w:color w:val="auto"/>
                <w:szCs w:val="21"/>
                <w:highlight w:val="none"/>
              </w:rPr>
              <w:t xml:space="preserve">医院收到有关配电工作人员的表扬信、锦旗，或人员发生拾金不昧、见义勇为、助人为乐等行为</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before="21" w:line="400" w:lineRule="exact"/>
              <w:rPr>
                <w:rFonts w:ascii="宋体" w:hAnsi="宋体" w:cs="宋体"/>
                <w:color w:val="auto"/>
                <w:szCs w:val="21"/>
                <w:highlight w:val="none"/>
              </w:rPr>
            </w:pPr>
            <w:r>
              <w:rPr>
                <w:rFonts w:hint="eastAsia" w:ascii="宋体" w:hAnsi="宋体" w:cs="宋体"/>
                <w:color w:val="auto"/>
                <w:szCs w:val="21"/>
                <w:highlight w:val="none"/>
              </w:rPr>
              <w:t xml:space="preserve">经核实属实的，当月每收到一次加2分，月底合计得分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80"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200" w:line="400" w:lineRule="exact"/>
              <w:rPr>
                <w:rFonts w:ascii="宋体" w:hAnsi="宋体" w:cs="宋体"/>
                <w:color w:val="auto"/>
                <w:szCs w:val="21"/>
                <w:highlight w:val="none"/>
              </w:rPr>
            </w:pPr>
            <w:r>
              <w:rPr>
                <w:rFonts w:hint="eastAsia" w:ascii="宋体" w:hAnsi="宋体" w:cs="宋体"/>
                <w:color w:val="auto"/>
                <w:szCs w:val="21"/>
                <w:highlight w:val="none"/>
              </w:rPr>
              <w:t xml:space="preserve">推出创新举措</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受到广泛好评并连续推行3个月以上的，每一项加5分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b/>
                <w:color w:val="auto"/>
                <w:szCs w:val="21"/>
                <w:highlight w:val="none"/>
              </w:rPr>
            </w:pPr>
            <w:r>
              <w:rPr>
                <w:rFonts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keepLines w:val="0"/>
              <w:keepNext w:val="0"/>
              <w:pageBreakBefore w:val="0"/>
              <w:spacing w:before="21" w:line="400" w:lineRule="exact"/>
              <w:rPr>
                <w:rFonts w:ascii="宋体" w:hAnsi="宋体" w:cs="宋体"/>
                <w:b/>
                <w:color w:val="auto"/>
                <w:szCs w:val="21"/>
                <w:highlight w:val="none"/>
              </w:rPr>
            </w:pPr>
            <w:r>
              <w:rPr>
                <w:rFonts w:hint="eastAsia" w:ascii="宋体" w:hAnsi="宋体" w:cs="宋体"/>
                <w:b/>
                <w:color w:val="auto"/>
                <w:szCs w:val="21"/>
                <w:highlight w:val="none"/>
              </w:rPr>
              <w:t xml:space="preserve">当月合计得分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 w:line="400" w:lineRule="exact"/>
              <w:rPr>
                <w:rFonts w:ascii="宋体" w:hAnsi="宋体" w:cs="宋体"/>
                <w:b/>
                <w:color w:val="auto"/>
                <w:szCs w:val="21"/>
                <w:highlight w:val="none"/>
              </w:rPr>
            </w:pPr>
            <w:r>
              <w:rPr>
                <w:rFonts w:hint="eastAsia" w:ascii="宋体" w:hAnsi="宋体" w:cs="宋体"/>
                <w:b/>
                <w:color w:val="auto"/>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center"/>
              <w:keepLines w:val="0"/>
              <w:keepNext w:val="0"/>
              <w:pageBreakBefore w:val="0"/>
              <w:spacing w:line="400" w:lineRule="exact"/>
              <w:rPr>
                <w:rFonts w:ascii="宋体" w:hAnsi="宋体" w:cs="宋体"/>
                <w:b/>
                <w:color w:val="auto"/>
                <w:szCs w:val="21"/>
                <w:highlight w:val="none"/>
              </w:rPr>
            </w:pPr>
            <w:r>
              <w:rPr>
                <w:rFonts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b/>
                <w:color w:val="auto"/>
                <w:szCs w:val="21"/>
                <w:highlight w:val="none"/>
              </w:rPr>
            </w:pPr>
            <w:r>
              <w:rPr>
                <w:rFonts w:ascii="宋体" w:hAnsi="宋体" w:cs="宋体"/>
                <w:b/>
                <w:color w:val="auto"/>
                <w:szCs w:val="21"/>
                <w:highlight w:val="none"/>
              </w:rPr>
            </w:r>
            <w:r/>
          </w:p>
        </w:tc>
      </w:tr>
    </w:tbl>
    <w:p>
      <w:pPr>
        <w:ind w:firstLine="21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医院考核部门：后勤保障部                    被考核单位：</w:t>
      </w:r>
      <w:r/>
    </w:p>
    <w:p>
      <w:pPr>
        <w:ind w:firstLine="422"/>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注：</w:t>
      </w:r>
      <w:r/>
    </w:p>
    <w:p>
      <w:pPr>
        <w:ind w:firstLine="422"/>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1.医院后勤保障部人员对服务单位进行抽查，并提出整改意见。</w:t>
      </w:r>
      <w:r/>
    </w:p>
    <w:p>
      <w:pPr>
        <w:ind w:firstLine="422"/>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2.扣分项、加分项由后勤保障部进行相应记录。</w:t>
      </w:r>
      <w:r/>
    </w:p>
    <w:p>
      <w:pPr>
        <w:ind w:firstLine="422"/>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3.被考核单位与医院结算相关费用时，以该考核分为依据。该考核分≥90分，则结算费用的100%;85≤考核分&lt;90分，每低1分，则结算费用扣除1%。80≤考核分&lt;85分，每低1分，则结算费用扣除2%。该考核分&lt;80分，视为不合格。</w:t>
      </w:r>
      <w:r/>
    </w:p>
    <w:p>
      <w:pPr>
        <w:ind w:firstLine="422"/>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4.累计三次考核不合格，</w:t>
      </w:r>
      <w:r>
        <w:rPr>
          <w:rFonts w:hint="eastAsia" w:ascii="宋体" w:hAnsi="宋体"/>
          <w:b w:val="0"/>
          <w:bCs w:val="0"/>
          <w:color w:val="auto"/>
          <w:szCs w:val="21"/>
          <w:highlight w:val="none"/>
          <w:lang w:val="en-US" w:eastAsia="zh-CN"/>
        </w:rPr>
        <w:t xml:space="preserve">采购人</w:t>
      </w:r>
      <w:r>
        <w:rPr>
          <w:rFonts w:hint="eastAsia" w:ascii="宋体" w:hAnsi="宋体"/>
          <w:b w:val="0"/>
          <w:bCs w:val="0"/>
          <w:color w:val="auto"/>
          <w:szCs w:val="21"/>
          <w:highlight w:val="none"/>
        </w:rPr>
        <w:t xml:space="preserve">有权单方面解除合同。</w:t>
      </w:r>
      <w:r/>
    </w:p>
    <w:p>
      <w:pPr>
        <w:ind w:left="1" w:right="-176" w:firstLine="449"/>
        <w:spacing w:line="39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1" w:right="-176" w:firstLine="449"/>
        <w:spacing w:line="39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四、报价要求：人民币报价</w:t>
      </w:r>
      <w:r/>
    </w:p>
    <w:p>
      <w:pPr>
        <w:ind w:firstLine="48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1、投标总价一次报定。</w:t>
      </w:r>
      <w:r/>
    </w:p>
    <w:p>
      <w:pPr>
        <w:ind w:firstLine="48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2、投标人应对所投项目的全部内容进行报价，只投其中部分内容者，其标书将被拒绝；</w:t>
      </w:r>
      <w:r/>
    </w:p>
    <w:p>
      <w:pPr>
        <w:ind w:firstLine="480"/>
        <w:spacing w:line="400" w:lineRule="exact"/>
        <w:rPr>
          <w:rFonts w:hint="eastAsia" w:ascii="宋体" w:hAnsi="宋体"/>
          <w:color w:val="auto"/>
          <w:szCs w:val="21"/>
          <w:highlight w:val="none"/>
        </w:rPr>
      </w:pPr>
      <w:r>
        <w:rPr>
          <w:rFonts w:hint="eastAsia" w:ascii="宋体" w:hAnsi="宋体" w:cs="宋体"/>
          <w:color w:val="auto"/>
          <w:szCs w:val="21"/>
          <w:highlight w:val="none"/>
        </w:rPr>
        <w:t xml:space="preserve">3、报价应包括：报价包括在承包期内完成服务内容所需要的一切费用，人工（包括工资、奖金、社保、</w:t>
      </w:r>
      <w:r>
        <w:rPr>
          <w:rFonts w:hint="eastAsia"/>
          <w:color w:val="auto"/>
          <w:szCs w:val="21"/>
          <w:highlight w:val="none"/>
        </w:rPr>
        <w:t xml:space="preserve">节假日及临时加班</w:t>
      </w:r>
      <w:r>
        <w:rPr>
          <w:rFonts w:hint="eastAsia" w:ascii="宋体" w:hAnsi="宋体" w:cs="宋体"/>
          <w:color w:val="auto"/>
          <w:szCs w:val="21"/>
          <w:highlight w:val="none"/>
        </w:rPr>
        <w:t xml:space="preserve">等费用）、包括但不限于所有耗材、</w:t>
      </w:r>
      <w:r>
        <w:rPr>
          <w:rFonts w:hint="eastAsia" w:ascii="宋体" w:hAnsi="宋体"/>
          <w:color w:val="auto"/>
          <w:szCs w:val="21"/>
          <w:highlight w:val="none"/>
        </w:rPr>
        <w:t xml:space="preserve">保安各类日常费用及对讲机费用、</w:t>
      </w:r>
      <w:r>
        <w:rPr>
          <w:rFonts w:hint="eastAsia" w:ascii="宋体" w:hAnsi="宋体" w:cs="宋体"/>
          <w:color w:val="auto"/>
          <w:szCs w:val="21"/>
          <w:highlight w:val="none"/>
        </w:rPr>
        <w:t xml:space="preserve">专用设备、工具、易耗品、通讯、通讯器材、服装、胸卡、办公设备、巡检器材、各种税费、保险、劳保、员工餐费、管理、维护、利润、税金及政策性文件规定及合同包含的所有风险、责任等费用。投标报价为最终报价，除非因特殊原因并经买卖双方协商同意，投标人不得再要求追加任何费用。服务期内如遇国家最低工资标准和社会保险缴费基数调整，由中标人负责，采购人不再给予中标人相应调整。</w:t>
      </w:r>
      <w:r/>
    </w:p>
    <w:p>
      <w:pPr>
        <w:ind w:firstLine="422"/>
        <w:spacing w:line="400" w:lineRule="exact"/>
        <w:rPr>
          <w:rFonts w:hint="eastAsia" w:ascii="宋体" w:hAnsi="宋体"/>
          <w:b/>
          <w:bCs/>
          <w:color w:val="auto"/>
          <w:szCs w:val="21"/>
          <w:highlight w:val="none"/>
        </w:rPr>
      </w:pPr>
      <w:r>
        <w:rPr>
          <w:rFonts w:hint="eastAsia" w:ascii="宋体" w:hAnsi="宋体" w:cs="宋体"/>
          <w:b/>
          <w:bCs/>
          <w:color w:val="auto"/>
          <w:szCs w:val="21"/>
          <w:highlight w:val="none"/>
        </w:rPr>
        <w:t xml:space="preserve">五、其他说明：</w:t>
      </w:r>
      <w:r/>
    </w:p>
    <w:p>
      <w:pPr>
        <w:ind w:firstLine="420"/>
        <w:spacing w:line="400" w:lineRule="exact"/>
        <w:rPr>
          <w:rFonts w:hint="eastAsia" w:ascii="宋体" w:hAnsi="宋体" w:cs="宋体"/>
          <w:color w:val="auto"/>
          <w:szCs w:val="21"/>
          <w:highlight w:val="none"/>
        </w:rPr>
      </w:pPr>
      <w:r>
        <w:rPr>
          <w:rFonts w:ascii="宋体" w:hAnsi="宋体"/>
          <w:color w:val="auto"/>
          <w:szCs w:val="21"/>
          <w:highlight w:val="none"/>
        </w:rPr>
        <w:t xml:space="preserve">1</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中标单位须按照本招标采购文件的要求对该上述项目进行服务工作。</w:t>
      </w:r>
      <w:r>
        <w:rPr>
          <w:rFonts w:hint="eastAsia" w:ascii="宋体" w:hAnsi="宋体" w:cs="宋体"/>
          <w:color w:val="auto"/>
          <w:szCs w:val="21"/>
          <w:highlight w:val="none"/>
        </w:rPr>
        <w:t xml:space="preserve">中标单位对服务缺陷不予更正，招标人有权另请其他单位更正，所发生的费用在服务费中扣除。</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、投标人必须承诺招标文件中提出的全部服务要求；</w:t>
      </w:r>
      <w:r>
        <w:rPr>
          <w:rFonts w:hint="eastAsia" w:ascii="宋体" w:hAnsi="宋体"/>
          <w:color w:val="auto"/>
          <w:szCs w:val="21"/>
          <w:highlight w:val="none"/>
          <w:lang w:eastAsia="zh-CN"/>
        </w:rPr>
        <w:t xml:space="preserve">如果</w:t>
      </w:r>
      <w:r>
        <w:rPr>
          <w:rFonts w:hint="eastAsia" w:ascii="宋体" w:hAnsi="宋体"/>
          <w:color w:val="auto"/>
          <w:szCs w:val="21"/>
          <w:highlight w:val="none"/>
        </w:rPr>
        <w:t xml:space="preserve">其中某些条款不响应时，应在文件中逐条列出，未列出的视同响应。</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s="宋体"/>
          <w:color w:val="auto"/>
          <w:szCs w:val="21"/>
          <w:highlight w:val="none"/>
        </w:rPr>
        <w:t xml:space="preserve">、如遇采购单位有重大基建等特殊情况（工作量减少或增加幅度较大时），采购单位将提前三个月告知乙方，合同内容经双方协商调整。</w:t>
      </w:r>
      <w:r/>
    </w:p>
    <w:p>
      <w:pPr>
        <w:ind w:firstLine="420"/>
        <w:spacing w:line="400" w:lineRule="exact"/>
        <w:rPr>
          <w:rFonts w:hint="eastAsia" w:ascii="宋体" w:hAnsi="宋体" w:cs="宋体"/>
          <w:color w:val="auto"/>
          <w:szCs w:val="21"/>
          <w:highlight w:val="none"/>
        </w:rPr>
      </w:pPr>
      <w:r>
        <w:rPr>
          <w:rFonts w:ascii="宋体" w:hAnsi="宋体"/>
          <w:color w:val="auto"/>
          <w:szCs w:val="21"/>
          <w:highlight w:val="none"/>
        </w:rPr>
        <w:t xml:space="preserve">4</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投标人须严格按照国家和政府规定给所有的员工缴纳各种社会保险（包括养老、医疗、工伤、生</w:t>
      </w:r>
      <w:r>
        <w:rPr>
          <w:rFonts w:hint="eastAsia" w:ascii="宋体" w:hAnsi="宋体"/>
          <w:color w:val="auto"/>
          <w:szCs w:val="21"/>
          <w:highlight w:val="none"/>
          <w:lang w:eastAsia="zh-CN"/>
        </w:rPr>
        <w:t xml:space="preserve">育保</w:t>
      </w:r>
      <w:r>
        <w:rPr>
          <w:rFonts w:hint="eastAsia" w:ascii="宋体" w:hAnsi="宋体"/>
          <w:color w:val="auto"/>
          <w:szCs w:val="21"/>
          <w:highlight w:val="none"/>
        </w:rPr>
        <w:t xml:space="preserve">险、失业保险等）。负责其招聘员工的一切工资、福利；如发生工伤、疾病乃至死亡的一切责任及费用由中标人全部负责；应严格遵守国家有关的法律、法规及行业标准，否则采购人有权终止合同。</w:t>
      </w:r>
      <w:r>
        <w:rPr>
          <w:rFonts w:hint="eastAsia" w:ascii="宋体" w:hAnsi="宋体" w:cs="宋体"/>
          <w:color w:val="auto"/>
          <w:szCs w:val="21"/>
          <w:highlight w:val="none"/>
        </w:rPr>
        <w:t xml:space="preserve">投标人要充分考虑所有工作人员的值休、轮休、法定假日休息以及岗位顶班、日常机动人员的配备，以上所有费用均计入总价。</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u w:val="single"/>
        </w:rPr>
        <w:t xml:space="preserve">5、投标报价中人员的工资、社保等标准，不得低于苏州市政府文件最新规定的最低标准，否则视为无效投标</w:t>
      </w:r>
      <w:r>
        <w:rPr>
          <w:rFonts w:hint="eastAsia" w:ascii="宋体" w:hAnsi="宋体" w:cs="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、招标人不接受投标人任何因遗漏报价而发生的费用追加，因投标人违反《</w:t>
      </w:r>
      <w:r>
        <w:rPr>
          <w:rFonts w:hint="eastAsia" w:ascii="宋体" w:hAnsi="宋体"/>
          <w:color w:val="auto"/>
          <w:szCs w:val="21"/>
          <w:highlight w:val="none"/>
          <w:lang w:eastAsia="zh-CN"/>
        </w:rPr>
        <w:t xml:space="preserve">中华人民共和国劳动法</w:t>
      </w:r>
      <w:r>
        <w:rPr>
          <w:rFonts w:hint="eastAsia" w:ascii="宋体" w:hAnsi="宋体"/>
          <w:color w:val="auto"/>
          <w:szCs w:val="21"/>
          <w:highlight w:val="none"/>
        </w:rPr>
        <w:t xml:space="preserve">》等法律法规而造成采购人的连带责任和损失全部由中标方承担。</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、投标人应在投标文件中说明，如能中标，在服务过程中需要采购人配合的工作和需要提供的条件。</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w:t>
      </w:r>
      <w:r>
        <w:rPr>
          <w:rFonts w:hint="eastAsia" w:ascii="宋体" w:hAnsi="宋体"/>
          <w:color w:val="auto"/>
          <w:szCs w:val="21"/>
          <w:highlight w:val="none"/>
          <w:lang w:val="zh-CN"/>
        </w:rPr>
        <w:t xml:space="preserve">凡涉及采购文件的补充说明和修改，均以中国政府采购网、江苏政府采购网、苏州政府采购网所发布的公告为准。</w:t>
      </w:r>
      <w:bookmarkEnd w:id="11"/>
      <w:r/>
      <w:bookmarkEnd w:id="12"/>
      <w:r/>
      <w:r/>
    </w:p>
    <w:p>
      <w:pPr>
        <w:jc w:val="center"/>
        <w:spacing w:line="400" w:lineRule="exact"/>
        <w:rPr>
          <w:rFonts w:hint="eastAsia" w:ascii="宋体" w:hAnsi="宋体"/>
          <w:color w:val="auto"/>
          <w:sz w:val="36"/>
          <w:szCs w:val="36"/>
          <w:highlight w:val="none"/>
        </w:rPr>
      </w:pPr>
      <w:r>
        <w:rPr>
          <w:rFonts w:ascii="宋体" w:hAnsi="宋体"/>
          <w:color w:val="auto"/>
          <w:sz w:val="36"/>
          <w:szCs w:val="36"/>
          <w:highlight w:val="none"/>
        </w:rPr>
        <w:br w:type="page" w:clear="all"/>
      </w:r>
      <w:bookmarkStart w:id="13" w:name="_Hlk131153011"/>
      <w:r/>
      <w:bookmarkStart w:id="14" w:name="_Hlk99527961"/>
      <w:r>
        <w:rPr>
          <w:rFonts w:hint="eastAsia" w:ascii="宋体" w:hAnsi="宋体"/>
          <w:color w:val="auto"/>
          <w:sz w:val="36"/>
          <w:szCs w:val="36"/>
          <w:highlight w:val="none"/>
        </w:rPr>
        <w:t xml:space="preserve">第五章 合同主要条款</w:t>
      </w:r>
      <w:r/>
    </w:p>
    <w:p>
      <w:pPr>
        <w:jc w:val="center"/>
        <w:rPr>
          <w:rFonts w:hint="eastAsia" w:ascii="宋体" w:hAnsi="宋体"/>
          <w:b/>
          <w:bCs/>
          <w:color w:val="auto"/>
          <w:szCs w:val="21"/>
          <w:highlight w:val="none"/>
        </w:rPr>
      </w:pPr>
      <w:r>
        <w:rPr>
          <w:rFonts w:hint="eastAsia" w:ascii="宋体" w:hAnsi="宋体"/>
          <w:b/>
          <w:bCs/>
          <w:color w:val="auto"/>
          <w:szCs w:val="21"/>
          <w:highlight w:val="none"/>
        </w:rPr>
        <w:t xml:space="preserve">采购包1</w:t>
      </w:r>
      <w:r>
        <w:rPr>
          <w:rFonts w:ascii="宋体" w:hAnsi="宋体"/>
          <w:b/>
          <w:bCs/>
          <w:color w:val="auto"/>
          <w:szCs w:val="21"/>
          <w:highlight w:val="none"/>
        </w:rPr>
        <w:t xml:space="preserve"> </w:t>
      </w:r>
      <w:r>
        <w:rPr>
          <w:rFonts w:hint="eastAsia" w:ascii="宋体" w:hAnsi="宋体"/>
          <w:b/>
          <w:bCs/>
          <w:color w:val="auto"/>
          <w:szCs w:val="21"/>
          <w:highlight w:val="none"/>
        </w:rPr>
        <w:t xml:space="preserve">合同主要条款</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合同编号：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r>
        <w:rPr>
          <w:rFonts w:ascii="宋体" w:hAnsi="宋体"/>
          <w:color w:val="auto"/>
          <w:szCs w:val="21"/>
          <w:highlight w:val="none"/>
        </w:rPr>
        <w:t xml:space="preserve">     </w:t>
      </w:r>
      <w:r/>
    </w:p>
    <w:p>
      <w:pPr>
        <w:spacing w:line="360" w:lineRule="exact"/>
        <w:rPr>
          <w:rFonts w:hint="eastAsia"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根据苏州市政府采购招标编号为</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的招标文件及该文件的投标文件和中标通知书，甲乙双方就甲方聘用乙方从事医院保安服务及车辆管理服务工作，签订本合同书。</w:t>
      </w:r>
      <w:r>
        <w:rPr>
          <w:rFonts w:ascii="宋体" w:hAnsi="宋体"/>
          <w:color w:val="auto"/>
          <w:szCs w:val="21"/>
          <w:highlight w:val="none"/>
        </w:rPr>
        <w:t xml:space="preserve">  </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lang w:val="zh-CN"/>
        </w:rPr>
        <w:t xml:space="preserve">一、合同内容：</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乙方负责苏州市中医医院区域的</w:t>
      </w:r>
      <w:r>
        <w:rPr>
          <w:rFonts w:hint="eastAsia" w:ascii="宋体" w:hAnsi="宋体"/>
          <w:color w:val="auto"/>
          <w:szCs w:val="21"/>
          <w:highlight w:val="none"/>
          <w:u w:val="single"/>
        </w:rPr>
        <w:t xml:space="preserve">医院保安服务及车辆管理服务以及每月提交月度工作分析报告</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管理时间自</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日至</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日。在协议有效期内一方不得擅自变更或中止此项协议，如未经双方同意，擅自变更或中止此项的一方要负违约责任。此项协议需终止或续签，应在协议期内提前半个月通知对方。</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、下列文件为本合同不可分割部分：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）中标通知书；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）乙方的投标文件；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）乙方在招投标过程中所作的其它承诺、声明、书面澄清等；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olor w:val="auto"/>
          <w:szCs w:val="21"/>
          <w:highlight w:val="none"/>
        </w:rPr>
        <w:t xml:space="preserve">）采购文件及其附件；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）合同附件。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以上与本合同具有同等法律效力</w:t>
      </w:r>
      <w:r/>
    </w:p>
    <w:p>
      <w:pPr>
        <w:pStyle w:val="696"/>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二、合同价格及费用结算：</w:t>
      </w:r>
      <w:r/>
    </w:p>
    <w:p>
      <w:pPr>
        <w:pStyle w:val="696"/>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、合同总价：</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以上价格包括在承包期内完成服务内容所需要的一切费用，人工（包括工资、奖金、社保、加班费</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rPr>
        <w:t xml:space="preserve">当地最低工资基数上调等费用）、包括但不限于所有耗材、保安各类日常费用及对讲机费用、专用设备、工具、易耗品、通讯、通讯器材、服装、胸卡、办公设备、巡检器材、各种税费、保险、劳保、员工餐费、管理、维护、利润、税金及政策性文件规定及合同包含的所有风险、责任等费用。投标报价为最终报价，除非因特殊原因并经买卖双方协商同意，投标人不得再要求追加任何费用。</w:t>
      </w:r>
      <w:r/>
    </w:p>
    <w:p>
      <w:pPr>
        <w:pStyle w:val="696"/>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、保安服务及车辆管理服务付款步骤：</w:t>
      </w:r>
      <w:r/>
    </w:p>
    <w:p>
      <w:pPr>
        <w:pStyle w:val="696"/>
        <w:ind w:firstLine="435"/>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）经甲方依据考核细则考核后</w:t>
      </w:r>
      <w:r>
        <w:rPr>
          <w:rFonts w:hint="eastAsia" w:hAnsi="宋体" w:eastAsia="宋体"/>
          <w:color w:val="auto"/>
          <w:sz w:val="21"/>
          <w:szCs w:val="21"/>
          <w:highlight w:val="none"/>
          <w:lang w:val="en-US" w:eastAsia="zh-CN"/>
        </w:rPr>
        <w:t xml:space="preserve">按月支付</w:t>
      </w:r>
      <w:r>
        <w:rPr>
          <w:rFonts w:hint="eastAsia" w:hAnsi="宋体" w:eastAsia="宋体"/>
          <w:color w:val="auto"/>
          <w:sz w:val="21"/>
          <w:szCs w:val="21"/>
          <w:highlight w:val="none"/>
        </w:rPr>
        <w:t xml:space="preserve">，乙方出具合格的发票，经甲、乙双方确认的服务合同履约报告，甲方支付相应费用。</w:t>
      </w:r>
      <w:r/>
    </w:p>
    <w:p>
      <w:pPr>
        <w:pStyle w:val="696"/>
        <w:ind w:firstLine="435"/>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）如中标人对服务缺陷不予更正，招标人有权另请其他单位更正</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lang w:val="en-US" w:eastAsia="zh-CN"/>
        </w:rPr>
        <w:t xml:space="preserve">更正费用在月度费用中扣除</w:t>
      </w:r>
      <w:r>
        <w:rPr>
          <w:rFonts w:hint="eastAsia" w:hAnsi="宋体" w:eastAsia="宋体"/>
          <w:color w:val="auto"/>
          <w:sz w:val="21"/>
          <w:szCs w:val="21"/>
          <w:highlight w:val="none"/>
        </w:rPr>
        <w:t xml:space="preserve">。</w:t>
      </w:r>
      <w:r/>
    </w:p>
    <w:p>
      <w:pPr>
        <w:pStyle w:val="696"/>
        <w:ind w:firstLine="435"/>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）甲方支付合同项下费用外不再承担其它任何费用（包括个人）。</w:t>
      </w:r>
      <w:r/>
    </w:p>
    <w:p>
      <w:pPr>
        <w:pStyle w:val="696"/>
        <w:ind w:firstLine="435"/>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4</w:t>
      </w:r>
      <w:r>
        <w:rPr>
          <w:rFonts w:hint="eastAsia" w:hAnsi="宋体" w:eastAsia="宋体"/>
          <w:color w:val="auto"/>
          <w:sz w:val="21"/>
          <w:szCs w:val="21"/>
          <w:highlight w:val="none"/>
        </w:rPr>
        <w:t xml:space="preserve">）确因甲方工作需要，乙方应无条件配合甲方完成一些突击工作。如：安排服务人员（内部）临时加班。</w:t>
      </w:r>
      <w:r/>
    </w:p>
    <w:p>
      <w:pPr>
        <w:pStyle w:val="696"/>
        <w:ind w:firstLine="435"/>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5</w:t>
      </w:r>
      <w:r>
        <w:rPr>
          <w:rFonts w:hint="eastAsia" w:hAnsi="宋体" w:eastAsia="宋体"/>
          <w:color w:val="auto"/>
          <w:sz w:val="21"/>
          <w:szCs w:val="21"/>
          <w:highlight w:val="none"/>
        </w:rPr>
        <w:t xml:space="preserve">）甲方对乙方的服务工作进行考核，每月考核结果与服务费用挂钩，考核细则另行书面商定。</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结算时须提供以下材料：</w:t>
      </w:r>
      <w:r>
        <w:rPr>
          <w:rFonts w:hAnsi="宋体" w:eastAsia="宋体"/>
          <w:color w:val="auto"/>
          <w:sz w:val="21"/>
          <w:szCs w:val="21"/>
          <w:highlight w:val="none"/>
        </w:rPr>
        <w:t xml:space="preserve"> </w:t>
      </w:r>
      <w:r/>
    </w:p>
    <w:p>
      <w:pPr>
        <w:pStyle w:val="696"/>
        <w:ind w:firstLine="420"/>
        <w:spacing w:line="400" w:lineRule="exact"/>
        <w:rPr>
          <w:rFonts w:hint="eastAsia" w:hAnsi="宋体" w:eastAsia="宋体"/>
          <w:color w:val="auto"/>
          <w:sz w:val="21"/>
          <w:szCs w:val="21"/>
          <w:highlight w:val="none"/>
          <w:lang w:val="en-US" w:eastAsia="zh-CN"/>
        </w:rPr>
      </w:pPr>
      <w:r>
        <w:rPr>
          <w:rFonts w:hAnsi="宋体" w:eastAsia="宋体"/>
          <w:color w:val="auto"/>
          <w:sz w:val="21"/>
          <w:szCs w:val="21"/>
          <w:highlight w:val="none"/>
        </w:rPr>
        <w:t xml:space="preserve">A</w:t>
      </w:r>
      <w:r>
        <w:rPr>
          <w:rFonts w:hint="eastAsia" w:hAnsi="宋体" w:eastAsia="宋体"/>
          <w:color w:val="auto"/>
          <w:sz w:val="21"/>
          <w:szCs w:val="21"/>
          <w:highlight w:val="none"/>
        </w:rPr>
        <w:t xml:space="preserve">、考核结果表</w:t>
      </w:r>
      <w:r>
        <w:rPr>
          <w:rFonts w:hint="eastAsia" w:hAnsi="宋体" w:eastAsia="宋体"/>
          <w:color w:val="auto"/>
          <w:sz w:val="21"/>
          <w:szCs w:val="21"/>
          <w:highlight w:val="none"/>
          <w:lang w:eastAsia="zh-CN"/>
        </w:rPr>
        <w:t xml:space="preserve">。</w:t>
      </w:r>
      <w:r/>
    </w:p>
    <w:p>
      <w:pPr>
        <w:ind w:firstLine="420"/>
        <w:spacing w:line="400" w:lineRule="exact"/>
        <w:tabs>
          <w:tab w:val="left" w:pos="0" w:leader="none"/>
        </w:tabs>
        <w:rPr>
          <w:rFonts w:hint="eastAsia" w:ascii="宋体" w:hAnsi="宋体"/>
          <w:color w:val="auto"/>
          <w:szCs w:val="21"/>
          <w:highlight w:val="none"/>
        </w:rPr>
      </w:pPr>
      <w:r>
        <w:rPr>
          <w:rFonts w:ascii="宋体" w:hAnsi="宋体"/>
          <w:color w:val="auto"/>
          <w:szCs w:val="21"/>
          <w:highlight w:val="none"/>
        </w:rPr>
        <w:t xml:space="preserve">B</w:t>
      </w:r>
      <w:r>
        <w:rPr>
          <w:rFonts w:hint="eastAsia" w:ascii="宋体" w:hAnsi="宋体"/>
          <w:color w:val="auto"/>
          <w:szCs w:val="21"/>
          <w:highlight w:val="none"/>
        </w:rPr>
        <w:t xml:space="preserve">、合格销售发票。</w:t>
      </w:r>
      <w:r/>
    </w:p>
    <w:p>
      <w:pPr>
        <w:ind w:firstLine="420"/>
        <w:spacing w:line="400" w:lineRule="exact"/>
        <w:tabs>
          <w:tab w:val="left" w:pos="0" w:leader="none"/>
        </w:tabs>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、乙方有责任配合甲方接受上级领导部门的监督、检查，并提供必须的材料。甲方有权对乙方进行月度考核，考核结果与当月度费用结算挂钩。具体考核方法和标准</w:t>
      </w:r>
      <w:r>
        <w:rPr>
          <w:rFonts w:hint="eastAsia" w:ascii="宋体" w:hAnsi="宋体"/>
          <w:color w:val="auto"/>
          <w:szCs w:val="21"/>
          <w:highlight w:val="none"/>
          <w:lang w:val="en-US" w:eastAsia="zh-CN"/>
        </w:rPr>
        <w:t xml:space="preserve">见招标文件</w:t>
      </w:r>
      <w:r>
        <w:rPr>
          <w:rFonts w:hint="eastAsia" w:ascii="宋体" w:hAnsi="宋体"/>
          <w:color w:val="auto"/>
          <w:szCs w:val="21"/>
          <w:highlight w:val="none"/>
        </w:rPr>
        <w:t xml:space="preserve">。除合同约定外，甲方不再向乙方额外支付其他费用。</w:t>
      </w:r>
      <w:r/>
    </w:p>
    <w:p>
      <w:pPr>
        <w:pStyle w:val="696"/>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三、服务质量与检验：</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pStyle w:val="696"/>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四、甲、乙双方的责任</w:t>
      </w:r>
      <w:r/>
    </w:p>
    <w:p>
      <w:pPr>
        <w:pStyle w:val="696"/>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、甲方责任：</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）为乙方提供办公用房及通讯设施（</w:t>
      </w: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部市内固定电话），并指定专人作为甲方联系人予以协调工作。加强与乙方沟通，交流情况，互通信息。</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）甲方应教育所属人员尊重乙方工作人员的劳动成果，积极配合乙方工作人员履行好合同所规定的职责和义务。</w:t>
      </w:r>
      <w:r/>
    </w:p>
    <w:p>
      <w:pPr>
        <w:pStyle w:val="696"/>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、乙方责任：</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）乙方在从事医院保安服务及车辆管理服务工作中应当做到文明工作、安全生产，采取必要的安全防范措施，合同期内若发生安全事故由乙方承担，与甲方无关。</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）乙方应及时调整不适应工作需求的医院保安服务及车辆管理服务人员及其员工。如甲方认为该员工不能胜任本职工作的，必须调整。</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pStyle w:val="696"/>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五、违约责任</w:t>
      </w:r>
      <w:r/>
    </w:p>
    <w:p>
      <w:pPr>
        <w:pStyle w:val="696"/>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、违约责任</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合同一方不履行合同义务或者履行合同义务不符合约定的，应当承担继续履行、采取补救措施或者赔偿损失等违约责任。</w:t>
      </w:r>
      <w:r/>
    </w:p>
    <w:p>
      <w:pPr>
        <w:pStyle w:val="696"/>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、甲方违约责任</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）在合同生效后，甲方要求解除合同的，应向乙方偿付合同总价款</w:t>
      </w: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的违约金，违约金不足以补偿损失的，乙方有权要求甲方补足。</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）甲方逾期付款的应按照逾期付款金额的每天万分之四支付逾期付款违约金。</w:t>
      </w:r>
      <w:r/>
    </w:p>
    <w:p>
      <w:pPr>
        <w:pStyle w:val="696"/>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、乙方违约责任</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乙方不能履行合同从而影响甲方按期正常使用的，甲方有权解除合同，乙方向甲方偿付合同总价款</w:t>
      </w: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的违约金，违约金不足以补偿损失的甲方有权要求乙方补足。</w:t>
      </w:r>
      <w:r/>
    </w:p>
    <w:p>
      <w:pPr>
        <w:pStyle w:val="696"/>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4</w:t>
      </w:r>
      <w:r>
        <w:rPr>
          <w:rFonts w:hint="eastAsia" w:hAnsi="宋体" w:eastAsia="宋体"/>
          <w:color w:val="auto"/>
          <w:sz w:val="21"/>
          <w:szCs w:val="21"/>
          <w:highlight w:val="none"/>
        </w:rPr>
        <w:t xml:space="preserve">、不可抗力</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）因不可抗力不能履行合同的，根据不可抗力的影响，部分或者全部免除责任。但合同一方迟延履行后发生不可抗力的，不能免除责任。</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）合同一方因不可抗力不能履行合同的，应当及时通知对方，以减轻可能给对方造成的损失，并应当在合理期限内提供证明。</w:t>
      </w:r>
      <w:r/>
    </w:p>
    <w:p>
      <w:pPr>
        <w:pStyle w:val="696"/>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六、合同的解除和转让</w:t>
      </w:r>
      <w:r/>
    </w:p>
    <w:p>
      <w:pPr>
        <w:pStyle w:val="696"/>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、合同的解除</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）有下列情形之一，合同一方可以解除合同：</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①</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因不可抗力致使不能实现合同目的，未受不可抗力影响的一方有权解除合同；</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②</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因合同一方违约导致合同不能履行，另一方有权解除合同；</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）有权解除合同的一方，应当在违约事实或不可抗力发生之后三十天内书面通知对方以主张解除合同，合同在书面通知到达对方时解除。</w:t>
      </w:r>
      <w:r/>
    </w:p>
    <w:p>
      <w:pPr>
        <w:pStyle w:val="696"/>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、合同的转让</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合同不得转让。</w:t>
      </w:r>
      <w:r/>
    </w:p>
    <w:p>
      <w:pPr>
        <w:pStyle w:val="696"/>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七、合同的生效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1、本合同在双方签字盖章后生效。</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八、争议解决</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甲乙双方因合同发生争议，应在代理机构的主持下进行调解，协商不成，任何一方可以向甲方所在地人民法院起诉。</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lang w:val="en-US" w:eastAsia="zh-CN"/>
        </w:rPr>
        <w:t xml:space="preserve">九</w:t>
      </w:r>
      <w:r>
        <w:rPr>
          <w:rFonts w:hint="eastAsia" w:ascii="宋体" w:hAnsi="宋体"/>
          <w:b/>
          <w:color w:val="auto"/>
          <w:szCs w:val="21"/>
          <w:highlight w:val="none"/>
        </w:rPr>
        <w:t xml:space="preserve">、附则</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、合同份数</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lang w:val="en-US" w:eastAsia="zh-CN"/>
        </w:rPr>
        <w:t xml:space="preserve">五</w:t>
      </w:r>
      <w:r>
        <w:rPr>
          <w:rFonts w:hint="eastAsia" w:ascii="宋体" w:hAnsi="宋体"/>
          <w:color w:val="auto"/>
          <w:szCs w:val="21"/>
          <w:highlight w:val="none"/>
        </w:rPr>
        <w:t xml:space="preserve">份，甲乙双方各执</w:t>
      </w:r>
      <w:r>
        <w:rPr>
          <w:rFonts w:hint="eastAsia" w:ascii="宋体" w:hAnsi="宋体"/>
          <w:color w:val="auto"/>
          <w:szCs w:val="21"/>
          <w:highlight w:val="none"/>
          <w:lang w:val="en-US" w:eastAsia="zh-CN"/>
        </w:rPr>
        <w:t xml:space="preserve">两份</w:t>
      </w:r>
      <w:r>
        <w:rPr>
          <w:rFonts w:hint="eastAsia" w:ascii="宋体" w:hAnsi="宋体"/>
          <w:color w:val="auto"/>
          <w:szCs w:val="21"/>
          <w:highlight w:val="none"/>
        </w:rPr>
        <w:t xml:space="preserve">，采购代理机构一份。</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、未尽事宜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本合同未尽事宜应</w:t>
      </w:r>
      <w:r>
        <w:rPr>
          <w:rFonts w:hint="eastAsia" w:ascii="宋体" w:hAnsi="宋体"/>
          <w:color w:val="auto"/>
          <w:szCs w:val="21"/>
          <w:highlight w:val="none"/>
          <w:lang w:eastAsia="zh-CN"/>
        </w:rPr>
        <w:t xml:space="preserve">按照《中华人民共和国</w:t>
      </w:r>
      <w:r>
        <w:rPr>
          <w:rFonts w:hint="eastAsia" w:ascii="宋体" w:hAnsi="宋体"/>
          <w:color w:val="auto"/>
          <w:szCs w:val="21"/>
          <w:highlight w:val="none"/>
        </w:rPr>
        <w:t xml:space="preserve">民法典》、《中华人民共和国政府采购法》以及其同相关法律、法规之规定解释。</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甲</w:t>
      </w:r>
      <w:r>
        <w:rPr>
          <w:rFonts w:ascii="宋体" w:hAnsi="宋体"/>
          <w:color w:val="auto"/>
          <w:szCs w:val="21"/>
          <w:highlight w:val="none"/>
        </w:rPr>
        <w:t xml:space="preserve"> </w:t>
      </w:r>
      <w:r>
        <w:rPr>
          <w:rFonts w:hint="eastAsia" w:ascii="宋体" w:hAnsi="宋体"/>
          <w:color w:val="auto"/>
          <w:szCs w:val="21"/>
          <w:highlight w:val="none"/>
        </w:rPr>
        <w:t xml:space="preserve">方：（公章或合同章）</w:t>
      </w:r>
      <w:r>
        <w:rPr>
          <w:rFonts w:ascii="宋体" w:hAnsi="宋体"/>
          <w:color w:val="auto"/>
          <w:szCs w:val="21"/>
          <w:highlight w:val="none"/>
        </w:rPr>
        <w:t xml:space="preserve">                  </w:t>
      </w:r>
      <w:r>
        <w:rPr>
          <w:rFonts w:hint="eastAsia" w:ascii="宋体" w:hAnsi="宋体"/>
          <w:color w:val="auto"/>
          <w:szCs w:val="21"/>
          <w:highlight w:val="none"/>
        </w:rPr>
        <w:t xml:space="preserve">乙</w:t>
      </w:r>
      <w:r>
        <w:rPr>
          <w:rFonts w:ascii="宋体" w:hAnsi="宋体"/>
          <w:color w:val="auto"/>
          <w:szCs w:val="21"/>
          <w:highlight w:val="none"/>
        </w:rPr>
        <w:t xml:space="preserve"> </w:t>
      </w:r>
      <w:r>
        <w:rPr>
          <w:rFonts w:hint="eastAsia" w:ascii="宋体" w:hAnsi="宋体"/>
          <w:color w:val="auto"/>
          <w:szCs w:val="21"/>
          <w:highlight w:val="none"/>
        </w:rPr>
        <w:t xml:space="preserve">方：（公章或合同章）</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甲方代表签字：</w:t>
      </w:r>
      <w:r>
        <w:rPr>
          <w:rFonts w:ascii="宋体" w:hAnsi="宋体"/>
          <w:color w:val="auto"/>
          <w:szCs w:val="21"/>
          <w:highlight w:val="none"/>
        </w:rPr>
        <w:t xml:space="preserve">                </w:t>
      </w:r>
      <w:r>
        <w:rPr>
          <w:rFonts w:hint="eastAsia" w:ascii="宋体" w:hAnsi="宋体"/>
          <w:color w:val="auto"/>
          <w:szCs w:val="21"/>
          <w:highlight w:val="none"/>
        </w:rPr>
        <w:t xml:space="preserve">乙方代表签字：</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合同签订日期：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jc w:val="center"/>
        <w:spacing w:line="400" w:lineRule="exact"/>
        <w:rPr>
          <w:rFonts w:hint="eastAsia" w:ascii="宋体" w:hAnsi="宋体"/>
          <w:b/>
          <w:bCs/>
          <w:color w:val="auto"/>
          <w:szCs w:val="28"/>
          <w:highlight w:val="none"/>
        </w:rPr>
      </w:pPr>
      <w:r>
        <w:rPr>
          <w:rFonts w:ascii="宋体" w:hAnsi="宋体"/>
          <w:b/>
          <w:bCs/>
          <w:color w:val="auto"/>
          <w:szCs w:val="28"/>
          <w:highlight w:val="none"/>
        </w:rPr>
        <w:br w:type="page" w:clear="all"/>
      </w:r>
      <w:r>
        <w:rPr>
          <w:rFonts w:hint="eastAsia" w:ascii="宋体" w:hAnsi="宋体"/>
          <w:b/>
          <w:bCs/>
          <w:color w:val="auto"/>
          <w:szCs w:val="28"/>
          <w:highlight w:val="none"/>
        </w:rPr>
        <w:t xml:space="preserve">采购包2</w:t>
      </w:r>
      <w:r>
        <w:rPr>
          <w:rFonts w:ascii="宋体" w:hAnsi="宋体"/>
          <w:b/>
          <w:bCs/>
          <w:color w:val="auto"/>
          <w:szCs w:val="28"/>
          <w:highlight w:val="none"/>
        </w:rPr>
        <w:t xml:space="preserve"> </w:t>
      </w:r>
      <w:r>
        <w:rPr>
          <w:rFonts w:hint="eastAsia" w:ascii="宋体" w:hAnsi="宋体"/>
          <w:b/>
          <w:bCs/>
          <w:color w:val="auto"/>
          <w:szCs w:val="28"/>
          <w:highlight w:val="none"/>
        </w:rPr>
        <w:t xml:space="preserve">合同主要条款</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合同编号：</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根据苏州政府采购编号</w:t>
      </w:r>
      <w:r>
        <w:rPr>
          <w:rFonts w:ascii="宋体" w:hAnsi="宋体"/>
          <w:color w:val="auto"/>
          <w:szCs w:val="21"/>
          <w:highlight w:val="none"/>
          <w:u w:val="single"/>
        </w:rPr>
        <w:t xml:space="preserve">            </w:t>
      </w:r>
      <w:r>
        <w:rPr>
          <w:rFonts w:hint="eastAsia" w:ascii="宋体" w:hAnsi="宋体"/>
          <w:color w:val="auto"/>
          <w:szCs w:val="21"/>
          <w:highlight w:val="none"/>
        </w:rPr>
        <w:t xml:space="preserve">号采购文件及中标人的投标文件、中标通知书、中标人在招投标过程中所作的其它承诺、声明、书面澄清等，甲乙双方就此次中标的标的物的购销事宜，签订本合同书。</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一、合同内容：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乙方为甲方提供</w:t>
      </w:r>
      <w:r>
        <w:rPr>
          <w:rFonts w:hint="eastAsia" w:ascii="宋体" w:hAnsi="宋体"/>
          <w:b/>
          <w:bCs/>
          <w:color w:val="auto"/>
          <w:szCs w:val="21"/>
          <w:highlight w:val="none"/>
          <w:u w:val="single"/>
        </w:rPr>
        <w:t xml:space="preserve">消防设备维保服务以及每月提交月度工作分析报告</w:t>
      </w:r>
      <w:r>
        <w:rPr>
          <w:rFonts w:hint="eastAsia" w:ascii="宋体" w:hAnsi="宋体"/>
          <w:color w:val="auto"/>
          <w:szCs w:val="21"/>
          <w:highlight w:val="none"/>
        </w:rPr>
        <w:t xml:space="preserve">。</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、维保时间自</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日至</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每满一年对乙方工作考核一次，若考核不合格则甲方有权终止此项合同。在合同有效期内一方不得擅自变更或中止此项合同，如未经双方同意，擅自变更或中止此项合同的一方要负违约责任。此项合同需终止或续签，应在合同期内提前半个月通知对方。</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、下列文件为本合同不可分割部分：</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）中标通知书；</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）乙方的投标文件；</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）乙方在招投标过程中所作的其它承诺、声明、书面澄清等；</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olor w:val="auto"/>
          <w:szCs w:val="21"/>
          <w:highlight w:val="none"/>
        </w:rPr>
        <w:t xml:space="preserve">）采购文件及其附件；</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）合同附件。</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以上与本合同具有同等法律效力</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二、合同价格及费用结算：</w:t>
      </w:r>
      <w:r/>
    </w:p>
    <w:p>
      <w:pPr>
        <w:pStyle w:val="696"/>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、合同总价：</w:t>
      </w:r>
      <w:r>
        <w:rPr>
          <w:rFonts w:hAnsi="宋体" w:eastAsia="宋体"/>
          <w:color w:val="auto"/>
          <w:sz w:val="21"/>
          <w:szCs w:val="21"/>
          <w:highlight w:val="none"/>
          <w:u w:val="single"/>
        </w:rPr>
        <w:t xml:space="preserve">                 </w:t>
      </w:r>
      <w:r>
        <w:rPr>
          <w:rFonts w:hint="eastAsia" w:hAnsi="宋体" w:eastAsia="宋体"/>
          <w:color w:val="auto"/>
          <w:sz w:val="21"/>
          <w:szCs w:val="21"/>
          <w:highlight w:val="none"/>
        </w:rPr>
        <w:t xml:space="preserve">，以上价格应包括在承包期内完成服务内容所需要的一切费用，包括但不限于所有耗品、耗材、通讯器材、服装、胸卡、办公设备、巡检器材、各种税费、人工、保险、劳保、当地最低工资基数上调、管理、维护、利润、税金及合同包含的所有风险、责任等各项应有费用。</w:t>
      </w:r>
      <w:r/>
    </w:p>
    <w:p>
      <w:pPr>
        <w:pStyle w:val="696"/>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、消防维保付款步骤：</w:t>
      </w:r>
      <w:r>
        <w:rPr>
          <w:rFonts w:hAnsi="宋体" w:eastAsia="宋体"/>
          <w:color w:val="auto"/>
          <w:sz w:val="21"/>
          <w:szCs w:val="21"/>
          <w:highlight w:val="none"/>
        </w:rPr>
        <w:t xml:space="preserve"> </w:t>
      </w:r>
      <w:r/>
    </w:p>
    <w:p>
      <w:pPr>
        <w:pStyle w:val="696"/>
        <w:ind w:firstLine="435"/>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）经甲方依据考核细则考核后</w:t>
      </w:r>
      <w:r>
        <w:rPr>
          <w:rFonts w:hint="eastAsia" w:hAnsi="宋体" w:eastAsia="宋体"/>
          <w:color w:val="auto"/>
          <w:sz w:val="21"/>
          <w:szCs w:val="21"/>
          <w:highlight w:val="none"/>
          <w:lang w:val="en-US" w:eastAsia="zh-CN"/>
        </w:rPr>
        <w:t xml:space="preserve">按月支付</w:t>
      </w:r>
      <w:r>
        <w:rPr>
          <w:rFonts w:hint="eastAsia" w:hAnsi="宋体" w:eastAsia="宋体"/>
          <w:color w:val="auto"/>
          <w:sz w:val="21"/>
          <w:szCs w:val="21"/>
          <w:highlight w:val="none"/>
        </w:rPr>
        <w:t xml:space="preserve">，乙方出具合格的发票，经甲、乙双方确认的服务合同履约报告，甲方支付相应费用。</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）如中标人对服务缺陷不予更正，招标人有权另请其他单位更正</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lang w:val="en-US" w:eastAsia="zh-CN"/>
        </w:rPr>
        <w:t xml:space="preserve">更正费用在月度费用中扣除</w:t>
      </w:r>
      <w:r>
        <w:rPr>
          <w:rFonts w:hint="eastAsia" w:hAnsi="宋体" w:eastAsia="宋体"/>
          <w:color w:val="auto"/>
          <w:sz w:val="21"/>
          <w:szCs w:val="21"/>
          <w:highlight w:val="none"/>
        </w:rPr>
        <w:t xml:space="preserve">。</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）甲方支付合同项下费用外不再承担其它任何费用（包括个人）。乙方如因社保、医保或工资等问题与员工发生纠纷，应自行解决，不得牵涉到医院。</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4</w:t>
      </w:r>
      <w:r>
        <w:rPr>
          <w:rFonts w:hint="eastAsia" w:hAnsi="宋体" w:eastAsia="宋体"/>
          <w:color w:val="auto"/>
          <w:sz w:val="21"/>
          <w:szCs w:val="21"/>
          <w:highlight w:val="none"/>
        </w:rPr>
        <w:t xml:space="preserve">）确因甲方工作需要，乙方应无条件配合甲方完成一些突击工作。如：安排服务人员（内部）临时加班。相关费用均已包含在本次投标价中，不再另外支付。</w:t>
      </w:r>
      <w:r/>
    </w:p>
    <w:p>
      <w:pPr>
        <w:pStyle w:val="696"/>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乙方有责任配合甲方接受上级领导部门的监督、检查，并提供必须的材料。甲方有权对乙方进行月度考核，考核结果与当月度费用结算挂钩。具体考核方法和标准见招标文件。除合同约定外，甲方不再向乙方额外支付其他费用。</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三、服务质量与检验：</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四、甲、乙双方的责任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（一）甲方责任：</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、为乙方提供办公用房、办公家具、设备</w:t>
      </w:r>
      <w:r>
        <w:rPr>
          <w:rFonts w:ascii="宋体" w:hAnsi="宋体"/>
          <w:color w:val="auto"/>
          <w:szCs w:val="21"/>
          <w:highlight w:val="none"/>
        </w:rPr>
        <w:t xml:space="preserve"> </w:t>
      </w:r>
      <w:r>
        <w:rPr>
          <w:rFonts w:hint="eastAsia" w:ascii="宋体" w:hAnsi="宋体"/>
          <w:color w:val="auto"/>
          <w:szCs w:val="21"/>
          <w:highlight w:val="none"/>
        </w:rPr>
        <w:t xml:space="preserve">及通讯、网络设施；并指定专人作为甲方联系人予以协调工作。加强与乙方</w:t>
      </w:r>
      <w:r>
        <w:rPr>
          <w:rFonts w:hint="eastAsia" w:ascii="宋体" w:hAnsi="宋体"/>
          <w:color w:val="auto"/>
          <w:szCs w:val="21"/>
          <w:highlight w:val="none"/>
          <w:lang w:eastAsia="zh-CN"/>
        </w:rPr>
        <w:t xml:space="preserve">沟通</w:t>
      </w:r>
      <w:r>
        <w:rPr>
          <w:rFonts w:hint="eastAsia" w:ascii="宋体" w:hAnsi="宋体"/>
          <w:color w:val="auto"/>
          <w:szCs w:val="21"/>
          <w:highlight w:val="none"/>
        </w:rPr>
        <w:t xml:space="preserve">，交流情况，互通信息。</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、甲方应教育所属人员尊重乙方工作人员的劳动成果，积极配合乙方工作人员履行好合同所规定的职责和义务。</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（二）乙方责任：</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、乙方在从事服务工作中应当做到文明工作、安全生产，采取必要的安全防范措施。</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、乙方应及时调整不适应工作需求的服务人员及其员工。如甲方认为该员工不能胜任本职工作的，必须调整。</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五、违约责任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（一）违约责任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合同一方不履行合同义务或者履行合同义务不符合约定的，应当承担继续履行、采取补救措施或者赔偿损失等违约责任。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（二）甲方违约责任</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、在合同生效后，甲方要求解除合同的，应向乙方偿付合同总价款</w:t>
      </w:r>
      <w:r>
        <w:rPr>
          <w:rFonts w:ascii="宋体" w:hAnsi="宋体"/>
          <w:color w:val="auto"/>
          <w:szCs w:val="21"/>
          <w:highlight w:val="none"/>
        </w:rPr>
        <w:t xml:space="preserve">1%</w:t>
      </w:r>
      <w:r>
        <w:rPr>
          <w:rFonts w:hint="eastAsia" w:ascii="宋体" w:hAnsi="宋体"/>
          <w:color w:val="auto"/>
          <w:szCs w:val="21"/>
          <w:highlight w:val="none"/>
        </w:rPr>
        <w:t xml:space="preserve">的违约金，违约金不足以补偿损失的，乙方有权要求甲方补足。</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、甲方逾期付款的应按照逾期付款金额的每天万分之四支付逾期付款违约金。</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、乙方违约责任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乙方不能履行合同从而影响甲方按期正常使用的，甲方有权解除合同，乙方向甲方偿付合同总价款</w:t>
      </w:r>
      <w:r>
        <w:rPr>
          <w:rFonts w:ascii="宋体" w:hAnsi="宋体"/>
          <w:color w:val="auto"/>
          <w:szCs w:val="21"/>
          <w:highlight w:val="none"/>
        </w:rPr>
        <w:t xml:space="preserve">1%</w:t>
      </w:r>
      <w:r>
        <w:rPr>
          <w:rFonts w:hint="eastAsia" w:ascii="宋体" w:hAnsi="宋体"/>
          <w:color w:val="auto"/>
          <w:szCs w:val="21"/>
          <w:highlight w:val="none"/>
        </w:rPr>
        <w:t xml:space="preserve">的违约金，违约金不足以补偿损失的甲方有权要求乙方补足。</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、不可抗力</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）因不可抗力不能履行合同的，根据不可抗力的影响，部分或者全部免除责任。但合同一方迟延履行后发生不可抗力的，不能免除责任。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）合同一方因不可抗力不能履行合同的，应当及时通知对方，以减轻可能给对方造成的损失，并应当在合理期限内提供证明。</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六、合同的解除和转让</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（一）合同的解除</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、有下列情形之一，合同一方可以解除合同：</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）因不可抗力致使不能实现合同目的，未受不可抗力影响的一方有权解除合同；</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）因合同一方违约导致合同不能履行，另一方有权解除合同；</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、有权解除合同的一方，应当在违约事实或不可抗力发生之后三十天内书面通知对方以主张解除合同，合同在书面通知到达对方时解除。</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（二）合同的转让</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合同的全部不得转让。</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七、合同生效及其它：</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、合同经甲乙双方代表签字并加盖公章（或合同章）即生效。</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、合同在执行过程中出现的未尽事宜，双方在不违背本合同和采购文件的原则下协商解决，协商结果以书面形式盖章记录在案，作为本合同的附件，与本合同具有同等效力，但需向采购代理方提交二份备存。</w:t>
      </w:r>
      <w:r/>
    </w:p>
    <w:p>
      <w:pPr>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八、争议解决</w:t>
      </w:r>
      <w:r/>
    </w:p>
    <w:p>
      <w:pPr>
        <w:ind w:firstLine="420"/>
        <w:spacing w:line="400" w:lineRule="exact"/>
        <w:rPr>
          <w:rFonts w:hint="eastAsia"/>
          <w:color w:val="auto"/>
          <w:highlight w:val="none"/>
        </w:rPr>
      </w:pPr>
      <w:r>
        <w:rPr>
          <w:rFonts w:hint="eastAsia" w:ascii="宋体" w:hAnsi="宋体"/>
          <w:color w:val="auto"/>
          <w:szCs w:val="21"/>
          <w:highlight w:val="none"/>
        </w:rPr>
        <w:t xml:space="preserve">甲乙双方因合同发生争议，应在代理机构的主持下进行调解，协商不成，任何一方可以向甲方所在地人民法院起诉。</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八、附则</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、合同份数</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lang w:val="en-US" w:eastAsia="zh-CN"/>
        </w:rPr>
        <w:t xml:space="preserve">五</w:t>
      </w:r>
      <w:r>
        <w:rPr>
          <w:rFonts w:hint="eastAsia" w:ascii="宋体" w:hAnsi="宋体"/>
          <w:color w:val="auto"/>
          <w:szCs w:val="21"/>
          <w:highlight w:val="none"/>
        </w:rPr>
        <w:t xml:space="preserve">份，甲乙双方各执</w:t>
      </w:r>
      <w:r>
        <w:rPr>
          <w:rFonts w:hint="eastAsia" w:ascii="宋体" w:hAnsi="宋体"/>
          <w:color w:val="auto"/>
          <w:szCs w:val="21"/>
          <w:highlight w:val="none"/>
          <w:lang w:val="en-US" w:eastAsia="zh-CN"/>
        </w:rPr>
        <w:t xml:space="preserve">两份</w:t>
      </w:r>
      <w:r>
        <w:rPr>
          <w:rFonts w:hint="eastAsia" w:ascii="宋体" w:hAnsi="宋体"/>
          <w:color w:val="auto"/>
          <w:szCs w:val="21"/>
          <w:highlight w:val="none"/>
        </w:rPr>
        <w:t xml:space="preserve">，采购代理机构一份。</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、未尽事宜</w:t>
      </w:r>
      <w:r/>
    </w:p>
    <w:p>
      <w:pPr>
        <w:ind w:right="-159"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本合同未尽事宜应按《中华人民共和国政府采购法》以及其同相关法律、法规之规定解释。</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甲</w:t>
      </w:r>
      <w:r>
        <w:rPr>
          <w:rFonts w:ascii="宋体" w:hAnsi="宋体"/>
          <w:color w:val="auto"/>
          <w:szCs w:val="21"/>
          <w:highlight w:val="none"/>
        </w:rPr>
        <w:t xml:space="preserve"> </w:t>
      </w:r>
      <w:r>
        <w:rPr>
          <w:rFonts w:hint="eastAsia" w:ascii="宋体" w:hAnsi="宋体"/>
          <w:color w:val="auto"/>
          <w:szCs w:val="21"/>
          <w:highlight w:val="none"/>
        </w:rPr>
        <w:t xml:space="preserve">方：（公章或合同章）</w:t>
      </w:r>
      <w:r>
        <w:rPr>
          <w:rFonts w:ascii="宋体" w:hAnsi="宋体"/>
          <w:color w:val="auto"/>
          <w:szCs w:val="21"/>
          <w:highlight w:val="none"/>
        </w:rPr>
        <w:t xml:space="preserve">       </w:t>
      </w:r>
      <w:r>
        <w:rPr>
          <w:rFonts w:hint="eastAsia" w:ascii="宋体" w:hAnsi="宋体"/>
          <w:color w:val="auto"/>
          <w:szCs w:val="21"/>
          <w:highlight w:val="none"/>
        </w:rPr>
        <w:t xml:space="preserve">乙</w:t>
      </w:r>
      <w:r>
        <w:rPr>
          <w:rFonts w:ascii="宋体" w:hAnsi="宋体"/>
          <w:color w:val="auto"/>
          <w:szCs w:val="21"/>
          <w:highlight w:val="none"/>
        </w:rPr>
        <w:t xml:space="preserve"> </w:t>
      </w:r>
      <w:r>
        <w:rPr>
          <w:rFonts w:hint="eastAsia" w:ascii="宋体" w:hAnsi="宋体"/>
          <w:color w:val="auto"/>
          <w:szCs w:val="21"/>
          <w:highlight w:val="none"/>
        </w:rPr>
        <w:t xml:space="preserve">方：（公章或合同章）</w:t>
      </w:r>
      <w:r/>
    </w:p>
    <w:p>
      <w:pPr>
        <w:ind w:right="-159"/>
        <w:spacing w:line="360" w:lineRule="atLeast"/>
        <w:rPr>
          <w:rFonts w:hint="eastAsia" w:ascii="宋体" w:hAnsi="宋体"/>
          <w:color w:val="auto"/>
          <w:szCs w:val="21"/>
          <w:highlight w:val="none"/>
        </w:rPr>
      </w:pPr>
      <w:r>
        <w:rPr>
          <w:rFonts w:ascii="宋体" w:hAnsi="宋体"/>
          <w:color w:val="auto"/>
          <w:szCs w:val="21"/>
          <w:highlight w:val="none"/>
        </w:rPr>
        <w:t xml:space="preserve">                                         </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甲方代表签字：</w:t>
      </w:r>
      <w:r>
        <w:rPr>
          <w:rFonts w:ascii="宋体" w:hAnsi="宋体"/>
          <w:color w:val="auto"/>
          <w:szCs w:val="21"/>
          <w:highlight w:val="none"/>
        </w:rPr>
        <w:t xml:space="preserve">          </w:t>
      </w:r>
      <w:r>
        <w:rPr>
          <w:rFonts w:hint="eastAsia" w:ascii="宋体" w:hAnsi="宋体"/>
          <w:color w:val="auto"/>
          <w:szCs w:val="21"/>
          <w:highlight w:val="none"/>
        </w:rPr>
        <w:t xml:space="preserve">乙方代表签字：</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合同签订日期：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rPr>
          <w:rFonts w:hint="eastAsia" w:ascii="宋体" w:hAnsi="宋体"/>
          <w:color w:val="auto"/>
          <w:highlight w:val="none"/>
        </w:rPr>
      </w:pPr>
      <w:r>
        <w:rPr>
          <w:rFonts w:hint="eastAsia" w:ascii="宋体" w:hAnsi="宋体"/>
          <w:color w:val="auto"/>
          <w:highlight w:val="none"/>
        </w:rPr>
      </w:r>
      <w:r/>
    </w:p>
    <w:p>
      <w:pPr>
        <w:jc w:val="left"/>
        <w:widowControl/>
        <w:rPr>
          <w:rFonts w:hint="eastAsia" w:ascii="宋体" w:hAnsi="宋体"/>
          <w:b/>
          <w:bCs/>
          <w:color w:val="auto"/>
          <w:szCs w:val="28"/>
          <w:highlight w:val="none"/>
        </w:rPr>
      </w:pPr>
      <w:r>
        <w:rPr>
          <w:rFonts w:hint="eastAsia" w:ascii="宋体" w:hAnsi="宋体"/>
          <w:b/>
          <w:bCs/>
          <w:color w:val="auto"/>
          <w:szCs w:val="28"/>
          <w:highlight w:val="none"/>
        </w:rPr>
        <w:br w:type="page" w:clear="all"/>
      </w:r>
      <w:r/>
    </w:p>
    <w:p>
      <w:pPr>
        <w:ind w:firstLine="380"/>
        <w:jc w:val="center"/>
        <w:spacing w:line="400" w:lineRule="exact"/>
        <w:rPr>
          <w:rFonts w:hint="eastAsia" w:ascii="宋体" w:hAnsi="宋体"/>
          <w:b/>
          <w:bCs/>
          <w:color w:val="auto"/>
          <w:szCs w:val="28"/>
          <w:highlight w:val="none"/>
        </w:rPr>
      </w:pPr>
      <w:r>
        <w:rPr>
          <w:rFonts w:hint="eastAsia" w:ascii="宋体" w:hAnsi="宋体"/>
          <w:b/>
          <w:bCs/>
          <w:color w:val="auto"/>
          <w:szCs w:val="28"/>
          <w:highlight w:val="none"/>
        </w:rPr>
        <w:t xml:space="preserve">采购包3  合同主要条款</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合同编号：</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根据苏州市政府采购招标编号为</w:t>
      </w:r>
      <w:r>
        <w:rPr>
          <w:rFonts w:ascii="宋体" w:hAnsi="宋体"/>
          <w:color w:val="auto"/>
          <w:szCs w:val="21"/>
          <w:highlight w:val="none"/>
          <w:u w:val="single"/>
        </w:rPr>
        <w:t xml:space="preserve">            </w:t>
      </w:r>
      <w:r>
        <w:rPr>
          <w:rFonts w:hint="eastAsia" w:ascii="宋体" w:hAnsi="宋体"/>
          <w:color w:val="auto"/>
          <w:szCs w:val="21"/>
          <w:highlight w:val="none"/>
        </w:rPr>
        <w:t xml:space="preserve">的招标文件及该文件的投标文件和中标通知书，甲乙双方就甲方聘用乙方从事</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工作，签订本合同书。</w:t>
      </w:r>
      <w:r>
        <w:rPr>
          <w:rFonts w:ascii="宋体" w:hAnsi="宋体"/>
          <w:color w:val="auto"/>
          <w:szCs w:val="21"/>
          <w:highlight w:val="non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一、合同内容：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乙方为甲方提供</w:t>
      </w:r>
      <w:r>
        <w:rPr>
          <w:rFonts w:hint="eastAsia" w:ascii="宋体" w:hAnsi="宋体"/>
          <w:color w:val="auto"/>
          <w:szCs w:val="21"/>
          <w:highlight w:val="none"/>
          <w:u w:val="single"/>
        </w:rPr>
        <w:t xml:space="preserve"> 电梯维护与保养服务以及每月提交月度工作分析报告</w:t>
      </w:r>
      <w:r>
        <w:rPr>
          <w:rFonts w:hint="eastAsia" w:ascii="宋体" w:hAnsi="宋体"/>
          <w:color w:val="auto"/>
          <w:szCs w:val="21"/>
          <w:highlight w:val="none"/>
        </w:rPr>
        <w:t xml:space="preserve">。</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、维保时间</w:t>
      </w:r>
      <w:r>
        <w:rPr>
          <w:rFonts w:hint="eastAsia" w:ascii="宋体" w:hAnsi="宋体"/>
          <w:color w:val="auto"/>
          <w:szCs w:val="21"/>
          <w:highlight w:val="none"/>
          <w:u w:val="single"/>
        </w:rPr>
        <w:t xml:space="preserve">自</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日至</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日</w:t>
      </w:r>
      <w:r>
        <w:rPr>
          <w:rFonts w:hint="eastAsia" w:ascii="宋体" w:hAnsi="宋体"/>
          <w:color w:val="auto"/>
          <w:szCs w:val="21"/>
          <w:highlight w:val="none"/>
        </w:rPr>
        <w:t xml:space="preserve">。每满一年对乙方工作考核一次，若考核不合格则甲方有权终止此项合同。在合同有效期内一方不得擅自变更或中止此项合同，如未经双方同意，擅自变更或中止此项合同的一方要负违约责任。此项合同需终止或续签，应在合同期内提前半个月通知对方。</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、下列文件为本合同不可分割部分：</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）中标通知书；</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）乙方的投标文件；</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）乙方在招投标过程中所作的其它承诺、声明、书面澄清等；</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olor w:val="auto"/>
          <w:szCs w:val="21"/>
          <w:highlight w:val="none"/>
        </w:rPr>
        <w:t xml:space="preserve">）采购文件及其附件；</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）合同附件。</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以上与本合同具有同等法律效力</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二、合同价格及费用结算：</w:t>
      </w:r>
      <w:r/>
    </w:p>
    <w:p>
      <w:pPr>
        <w:pStyle w:val="696"/>
        <w:ind w:firstLine="435"/>
        <w:spacing w:line="400" w:lineRule="exact"/>
        <w:rPr>
          <w:rFonts w:hint="eastAsia" w:hAnsi="宋体" w:eastAsia="宋体"/>
          <w:color w:val="auto"/>
          <w:sz w:val="21"/>
          <w:szCs w:val="21"/>
          <w:highlight w:val="none"/>
          <w:u w:val="singl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、合同总价：</w:t>
      </w:r>
      <w:r>
        <w:rPr>
          <w:rFonts w:hAnsi="宋体" w:eastAsia="宋体"/>
          <w:color w:val="auto"/>
          <w:sz w:val="21"/>
          <w:szCs w:val="21"/>
          <w:highlight w:val="none"/>
          <w:u w:val="single"/>
        </w:rPr>
        <w:t xml:space="preserve">                     </w:t>
      </w:r>
      <w:r>
        <w:rPr>
          <w:rFonts w:hint="eastAsia" w:hAnsi="宋体" w:eastAsia="宋体"/>
          <w:color w:val="auto"/>
          <w:sz w:val="21"/>
          <w:szCs w:val="21"/>
          <w:highlight w:val="none"/>
          <w:u w:val="single"/>
        </w:rPr>
        <w:t xml:space="preserve">元整（￥</w:t>
      </w:r>
      <w:r>
        <w:rPr>
          <w:rFonts w:hAnsi="宋体" w:eastAsia="宋体"/>
          <w:color w:val="auto"/>
          <w:sz w:val="21"/>
          <w:szCs w:val="21"/>
          <w:highlight w:val="none"/>
          <w:u w:val="single"/>
        </w:rPr>
        <w:t xml:space="preserve">       .00</w:t>
      </w:r>
      <w:r>
        <w:rPr>
          <w:rFonts w:hint="eastAsia" w:hAnsi="宋体" w:eastAsia="宋体"/>
          <w:color w:val="auto"/>
          <w:sz w:val="21"/>
          <w:szCs w:val="21"/>
          <w:highlight w:val="none"/>
          <w:u w:val="single"/>
        </w:rPr>
        <w:t xml:space="preserve">）</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以上价格应包括在承包期内完成服务内容所需要的一切费用，包括但不限于所有人工、工具、耗材、电梯维修配件备件、运输费、保险费、当地最低工资基数上调、定期检查费、清洗费、相关材料费、检验费、税金、巡检器材、各种税费、劳保、管理、维护、利润、税金及合同包含的所有风险、责任等各项应有费用。</w:t>
      </w:r>
      <w:r/>
    </w:p>
    <w:p>
      <w:pPr>
        <w:pStyle w:val="696"/>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、付款步骤：</w:t>
      </w:r>
      <w:r>
        <w:rPr>
          <w:rFonts w:hAnsi="宋体" w:eastAsia="宋体"/>
          <w:color w:val="auto"/>
          <w:sz w:val="21"/>
          <w:szCs w:val="21"/>
          <w:highlight w:val="none"/>
        </w:rPr>
        <w:t xml:space="preserve"> </w:t>
      </w:r>
      <w:r/>
    </w:p>
    <w:p>
      <w:pPr>
        <w:pStyle w:val="696"/>
        <w:ind w:firstLine="435"/>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）经甲方依据考核细则考核后</w:t>
      </w:r>
      <w:r>
        <w:rPr>
          <w:rFonts w:hint="eastAsia" w:hAnsi="宋体" w:eastAsia="宋体"/>
          <w:color w:val="auto"/>
          <w:sz w:val="21"/>
          <w:szCs w:val="21"/>
          <w:highlight w:val="none"/>
          <w:lang w:val="en-US" w:eastAsia="zh-CN"/>
        </w:rPr>
        <w:t xml:space="preserve">按月支付</w:t>
      </w:r>
      <w:r>
        <w:rPr>
          <w:rFonts w:hint="eastAsia" w:hAnsi="宋体" w:eastAsia="宋体"/>
          <w:color w:val="auto"/>
          <w:sz w:val="21"/>
          <w:szCs w:val="21"/>
          <w:highlight w:val="none"/>
        </w:rPr>
        <w:t xml:space="preserve">，乙方出具合格的发票，经甲、乙双方确认的服务合同履约报告，甲方支付相应费用。</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）如中标人对服务缺陷不予更正，招标人有权另请其他单位更正</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lang w:val="en-US" w:eastAsia="zh-CN"/>
        </w:rPr>
        <w:t xml:space="preserve">更正费用在月度费用中扣除</w:t>
      </w:r>
      <w:r>
        <w:rPr>
          <w:rFonts w:hint="eastAsia" w:hAnsi="宋体" w:eastAsia="宋体"/>
          <w:color w:val="auto"/>
          <w:sz w:val="21"/>
          <w:szCs w:val="21"/>
          <w:highlight w:val="none"/>
        </w:rPr>
        <w:t xml:space="preserve">。</w:t>
      </w:r>
      <w:r/>
    </w:p>
    <w:p>
      <w:pPr>
        <w:pStyle w:val="696"/>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乙方有责任配合甲方接受上级领导部门的监督、检查，并提供必须的材料。甲方有权对乙方进行月度考核，考核结果与当月度费用结算挂钩。具体考核方法和标准见招标文件。除合同约定外，甲方不再向乙方额外支付其他费用。</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三、服务质量与检验：</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待整个服务项目开始实施后，验收时甲乙双方派员一起当场对所提供的服务项目进行逐一验收，如发现整个服务项目与投标承诺有出入时，应作详细记录，由供方立即无条件更正，同时由供方承担因此而产生的一切后果；</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四、甲、乙双方的责任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（一）甲方责任：</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、为乙方提供办公用房、办公家具、设备</w:t>
      </w:r>
      <w:r>
        <w:rPr>
          <w:rFonts w:ascii="宋体" w:hAnsi="宋体"/>
          <w:color w:val="auto"/>
          <w:szCs w:val="21"/>
          <w:highlight w:val="none"/>
        </w:rPr>
        <w:t xml:space="preserve"> </w:t>
      </w:r>
      <w:r>
        <w:rPr>
          <w:rFonts w:hint="eastAsia" w:ascii="宋体" w:hAnsi="宋体"/>
          <w:color w:val="auto"/>
          <w:szCs w:val="21"/>
          <w:highlight w:val="none"/>
        </w:rPr>
        <w:t xml:space="preserve">及通讯、网络设施；并指定专人作为甲方联系人予以协调工作。加强与乙方</w:t>
      </w:r>
      <w:r>
        <w:rPr>
          <w:rFonts w:hint="eastAsia" w:ascii="宋体" w:hAnsi="宋体"/>
          <w:color w:val="auto"/>
          <w:szCs w:val="21"/>
          <w:highlight w:val="none"/>
          <w:lang w:eastAsia="zh-CN"/>
        </w:rPr>
        <w:t xml:space="preserve">沟通</w:t>
      </w:r>
      <w:r>
        <w:rPr>
          <w:rFonts w:hint="eastAsia" w:ascii="宋体" w:hAnsi="宋体"/>
          <w:color w:val="auto"/>
          <w:szCs w:val="21"/>
          <w:highlight w:val="none"/>
        </w:rPr>
        <w:t xml:space="preserve">，交流情况，互通信息。</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、甲方应教育所属人员尊重乙方工作人员的劳动成果，积极配合乙方工作人员履行好合同所规定的职责和义务。</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（二）乙方责任：</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、乙方在从事服务工作中应当做到文明工作、安全生产，采取必要的安全防范措施。</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、乙方应及时调整不适应工作需求的服务人员及其员工。如甲方认为该员工不能胜任本职工作的，必须调整。</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五、违约责任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（一）违约责任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合同一方不履行合同义务或者履行合同义务不符合约定的，应当承担继续履行、采取补救措施或者赔偿损失等违约责任。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（二）甲方违约责任</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、在合同生效后，甲方要求解除合同的，应向乙方偿付合同总价款</w:t>
      </w:r>
      <w:r>
        <w:rPr>
          <w:rFonts w:ascii="宋体" w:hAnsi="宋体"/>
          <w:color w:val="auto"/>
          <w:szCs w:val="21"/>
          <w:highlight w:val="none"/>
        </w:rPr>
        <w:t xml:space="preserve">1%</w:t>
      </w:r>
      <w:r>
        <w:rPr>
          <w:rFonts w:hint="eastAsia" w:ascii="宋体" w:hAnsi="宋体"/>
          <w:color w:val="auto"/>
          <w:szCs w:val="21"/>
          <w:highlight w:val="none"/>
        </w:rPr>
        <w:t xml:space="preserve">的违约金，违约金不足以补偿损失的，乙方有权要求甲方补足。</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、甲方逾期付款的应按照逾期付款金额的每天万分之四支付逾期付款违约金。</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、乙方违约责任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乙方不能履行合同从而影响甲方按期正常使用的，甲方有权解除合同，乙方向甲方偿付合同总价款</w:t>
      </w:r>
      <w:r>
        <w:rPr>
          <w:rFonts w:ascii="宋体" w:hAnsi="宋体"/>
          <w:color w:val="auto"/>
          <w:szCs w:val="21"/>
          <w:highlight w:val="none"/>
        </w:rPr>
        <w:t xml:space="preserve">1%</w:t>
      </w:r>
      <w:r>
        <w:rPr>
          <w:rFonts w:hint="eastAsia" w:ascii="宋体" w:hAnsi="宋体"/>
          <w:color w:val="auto"/>
          <w:szCs w:val="21"/>
          <w:highlight w:val="none"/>
        </w:rPr>
        <w:t xml:space="preserve">的违约金，违约金不足以补偿损失的甲方有权要求乙方补足。</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、不可抗力</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）因不可抗力不能履行合同的，根据不可抗力的影响，部分或者全部免除责任。但合同一方迟延履行后发生不可抗力的，不能免除责任。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）合同一方因不可抗力不能履行合同的，应当及时通知对方，以减轻可能给对方造成的损失，并应当在合理期限内提供证明。</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六、合同的解除和转让</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（一）合同的解除</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、有下列情形之一，合同一方可以解除合同：</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）因不可抗力致使不能实现合同目的，未受不可抗力影响的一方有权解除合同；</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）因合同一方违约导致合同不能履行，另一方有权解除合同；</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、有权解除合同的一方，应当在违约事实或不可抗力发生之后三十天内书面通知对方以主张解除合同，合同在书面通知到达对方时解除。</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（二）合同的转让</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合同的全部不得转让。</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七、合同生效及其它：</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、合同经甲乙双方代表签字并加盖公章（或合同章）后生效。</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、合同在执行过程中出现的未尽事宜，双方在不违背本合同和采购文件的原则下协商解决，协商结果以书面形式盖章记录在案，作为本合同的附件，与本合同具有同等效力，但需向采购代理方提交二份备存。</w:t>
      </w:r>
      <w:r/>
    </w:p>
    <w:p>
      <w:pPr>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八、争议解决</w:t>
      </w:r>
      <w:r/>
    </w:p>
    <w:p>
      <w:pPr>
        <w:ind w:firstLine="420"/>
        <w:spacing w:line="400" w:lineRule="exact"/>
        <w:rPr>
          <w:rFonts w:hint="eastAsia"/>
          <w:color w:val="auto"/>
          <w:highlight w:val="none"/>
        </w:rPr>
      </w:pPr>
      <w:r>
        <w:rPr>
          <w:rFonts w:hint="eastAsia" w:ascii="宋体" w:hAnsi="宋体"/>
          <w:color w:val="auto"/>
          <w:szCs w:val="21"/>
          <w:highlight w:val="none"/>
        </w:rPr>
        <w:t xml:space="preserve">甲乙双方因合同发生争议，应在代理机构的主持下进行调解，协商不成，任何一方可以向甲方所在地人民法院起诉。</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九</w:t>
      </w:r>
      <w:r>
        <w:rPr>
          <w:rFonts w:hint="eastAsia" w:ascii="宋体" w:hAnsi="宋体"/>
          <w:color w:val="auto"/>
          <w:szCs w:val="21"/>
          <w:highlight w:val="none"/>
        </w:rPr>
        <w:t xml:space="preserve">、附则</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、合同份数</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lang w:val="en-US" w:eastAsia="zh-CN"/>
        </w:rPr>
        <w:t xml:space="preserve">五</w:t>
      </w:r>
      <w:r>
        <w:rPr>
          <w:rFonts w:hint="eastAsia" w:ascii="宋体" w:hAnsi="宋体"/>
          <w:color w:val="auto"/>
          <w:szCs w:val="21"/>
          <w:highlight w:val="none"/>
        </w:rPr>
        <w:t xml:space="preserve">份，甲乙双方各执</w:t>
      </w:r>
      <w:r>
        <w:rPr>
          <w:rFonts w:hint="eastAsia" w:ascii="宋体" w:hAnsi="宋体"/>
          <w:color w:val="auto"/>
          <w:szCs w:val="21"/>
          <w:highlight w:val="none"/>
          <w:lang w:val="en-US" w:eastAsia="zh-CN"/>
        </w:rPr>
        <w:t xml:space="preserve">两份</w:t>
      </w:r>
      <w:r>
        <w:rPr>
          <w:rFonts w:hint="eastAsia" w:ascii="宋体" w:hAnsi="宋体"/>
          <w:color w:val="auto"/>
          <w:szCs w:val="21"/>
          <w:highlight w:val="none"/>
        </w:rPr>
        <w:t xml:space="preserve">，采购代理机构一份。</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、未尽事宜</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本合同未尽事宜应按《中华人民共和国政府采购法》以及</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相关法律、法规之规定解释。</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甲</w:t>
      </w:r>
      <w:r>
        <w:rPr>
          <w:rFonts w:ascii="宋体" w:hAnsi="宋体"/>
          <w:color w:val="auto"/>
          <w:szCs w:val="21"/>
          <w:highlight w:val="none"/>
        </w:rPr>
        <w:t xml:space="preserve"> </w:t>
      </w:r>
      <w:r>
        <w:rPr>
          <w:rFonts w:hint="eastAsia" w:ascii="宋体" w:hAnsi="宋体"/>
          <w:color w:val="auto"/>
          <w:szCs w:val="21"/>
          <w:highlight w:val="none"/>
        </w:rPr>
        <w:t xml:space="preserve">方：（公章或合同章）</w:t>
      </w:r>
      <w:r>
        <w:rPr>
          <w:rFonts w:ascii="宋体" w:hAnsi="宋体"/>
          <w:color w:val="auto"/>
          <w:szCs w:val="21"/>
          <w:highlight w:val="none"/>
        </w:rPr>
        <w:t xml:space="preserve">                                           </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甲方代表签字：</w:t>
      </w:r>
      <w:r>
        <w:rPr>
          <w:rFonts w:ascii="宋体" w:hAnsi="宋体"/>
          <w:color w:val="auto"/>
          <w:szCs w:val="21"/>
          <w:highlight w:val="none"/>
        </w:rPr>
        <w:t xml:space="preserve">    </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乙</w:t>
      </w:r>
      <w:r>
        <w:rPr>
          <w:rFonts w:ascii="宋体" w:hAnsi="宋体"/>
          <w:color w:val="auto"/>
          <w:szCs w:val="21"/>
          <w:highlight w:val="none"/>
        </w:rPr>
        <w:t xml:space="preserve"> </w:t>
      </w:r>
      <w:r>
        <w:rPr>
          <w:rFonts w:hint="eastAsia" w:ascii="宋体" w:hAnsi="宋体"/>
          <w:color w:val="auto"/>
          <w:szCs w:val="21"/>
          <w:highlight w:val="none"/>
        </w:rPr>
        <w:t xml:space="preserve">方：（公章或合同章）</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乙方代表签字：</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合同签订日期：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rPr>
          <w:rFonts w:hint="eastAsia" w:ascii="宋体" w:hAnsi="宋体"/>
          <w:color w:val="auto"/>
          <w:highlight w:val="none"/>
        </w:rPr>
      </w:pPr>
      <w:r>
        <w:rPr>
          <w:rFonts w:hint="eastAsia" w:ascii="宋体" w:hAnsi="宋体"/>
          <w:color w:val="auto"/>
          <w:highlight w:val="none"/>
        </w:rPr>
      </w:r>
      <w:r/>
    </w:p>
    <w:p>
      <w:pPr>
        <w:jc w:val="left"/>
        <w:widowControl/>
        <w:rPr>
          <w:rFonts w:hint="eastAsia" w:ascii="宋体" w:hAnsi="宋体"/>
          <w:b/>
          <w:bCs/>
          <w:color w:val="auto"/>
          <w:szCs w:val="28"/>
          <w:highlight w:val="none"/>
        </w:rPr>
      </w:pPr>
      <w:r>
        <w:rPr>
          <w:rFonts w:hint="eastAsia" w:ascii="宋体" w:hAnsi="宋体"/>
          <w:b/>
          <w:bCs/>
          <w:color w:val="auto"/>
          <w:szCs w:val="28"/>
          <w:highlight w:val="none"/>
        </w:rPr>
        <w:br w:type="page" w:clear="all"/>
      </w:r>
      <w:r/>
    </w:p>
    <w:p>
      <w:pPr>
        <w:jc w:val="center"/>
        <w:rPr>
          <w:rFonts w:hint="eastAsia" w:ascii="宋体" w:hAnsi="宋体"/>
          <w:b/>
          <w:bCs/>
          <w:color w:val="auto"/>
          <w:szCs w:val="28"/>
          <w:highlight w:val="none"/>
        </w:rPr>
      </w:pPr>
      <w:r>
        <w:rPr>
          <w:rFonts w:hint="eastAsia" w:ascii="宋体" w:hAnsi="宋体"/>
          <w:b/>
          <w:bCs/>
          <w:color w:val="auto"/>
          <w:szCs w:val="28"/>
          <w:highlight w:val="none"/>
        </w:rPr>
        <w:t xml:space="preserve">采购包4  合同主要条款</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合同编号：</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r/>
    </w:p>
    <w:p>
      <w:pPr>
        <w:spacing w:line="400" w:lineRule="exact"/>
        <w:rPr>
          <w:rFonts w:hint="eastAsia" w:ascii="宋体" w:hAnsi="宋体"/>
          <w:color w:val="auto"/>
          <w:szCs w:val="21"/>
          <w:highlight w:val="none"/>
        </w:rPr>
      </w:pPr>
      <w:r>
        <w:rPr>
          <w:rFonts w:ascii="宋体" w:hAnsi="宋体"/>
          <w:color w:val="auto"/>
          <w:szCs w:val="21"/>
          <w:highlight w:val="non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根据</w:t>
      </w:r>
      <w:r>
        <w:rPr>
          <w:rFonts w:ascii="宋体" w:hAnsi="宋体"/>
          <w:color w:val="auto"/>
          <w:szCs w:val="21"/>
          <w:highlight w:val="none"/>
          <w:u w:val="single"/>
        </w:rPr>
        <w:t xml:space="preserve">                  </w:t>
      </w:r>
      <w:r>
        <w:rPr>
          <w:rFonts w:hint="eastAsia" w:ascii="宋体" w:hAnsi="宋体"/>
          <w:color w:val="auto"/>
          <w:szCs w:val="21"/>
          <w:highlight w:val="none"/>
          <w:lang w:val="zh-CN"/>
        </w:rPr>
        <w:t xml:space="preserve">采购编号为</w:t>
      </w:r>
      <w:r>
        <w:rPr>
          <w:rFonts w:ascii="宋体" w:hAnsi="宋体"/>
          <w:color w:val="auto"/>
          <w:szCs w:val="21"/>
          <w:highlight w:val="none"/>
          <w:u w:val="single"/>
        </w:rPr>
        <w:t xml:space="preserve">                </w:t>
      </w:r>
      <w:r>
        <w:rPr>
          <w:rFonts w:hint="eastAsia" w:ascii="宋体" w:hAnsi="宋体"/>
          <w:color w:val="auto"/>
          <w:szCs w:val="21"/>
          <w:highlight w:val="none"/>
          <w:lang w:val="zh-CN"/>
        </w:rPr>
        <w:t xml:space="preserve">的采购文件及该文件的投标文件和中标通知书，甲乙双方就甲方聘用乙方人员从事</w:t>
      </w:r>
      <w:r>
        <w:rPr>
          <w:rFonts w:ascii="宋体" w:hAnsi="宋体"/>
          <w:color w:val="auto"/>
          <w:szCs w:val="21"/>
          <w:highlight w:val="none"/>
          <w:u w:val="single"/>
        </w:rPr>
        <w:t xml:space="preserve">               </w:t>
      </w:r>
      <w:r>
        <w:rPr>
          <w:rFonts w:hint="eastAsia" w:ascii="宋体" w:hAnsi="宋体"/>
          <w:color w:val="auto"/>
          <w:szCs w:val="21"/>
          <w:highlight w:val="none"/>
          <w:lang w:val="zh-CN"/>
        </w:rPr>
        <w:t xml:space="preserve">工作，签订本合同书。</w:t>
      </w:r>
      <w:r>
        <w:rPr>
          <w:rFonts w:ascii="宋体" w:hAnsi="宋体"/>
          <w:color w:val="auto"/>
          <w:szCs w:val="21"/>
          <w:highlight w:val="none"/>
        </w:rPr>
        <w:t xml:space="preserve">  </w:t>
      </w:r>
      <w:r/>
    </w:p>
    <w:p>
      <w:pPr>
        <w:ind w:firstLine="420"/>
        <w:spacing w:line="400" w:lineRule="exact"/>
        <w:rPr>
          <w:rFonts w:hint="eastAsia" w:ascii="宋体" w:hAnsi="宋体"/>
          <w:b/>
          <w:color w:val="auto"/>
          <w:szCs w:val="21"/>
          <w:highlight w:val="none"/>
        </w:rPr>
      </w:pPr>
      <w:r>
        <w:rPr>
          <w:rFonts w:ascii="宋体" w:hAnsi="宋体"/>
          <w:color w:val="auto"/>
          <w:szCs w:val="21"/>
          <w:highlight w:val="none"/>
          <w:lang w:val="zh-CN"/>
        </w:rPr>
        <w:t xml:space="preserve">  </w:t>
      </w:r>
      <w:r>
        <w:rPr>
          <w:rFonts w:hint="eastAsia" w:ascii="宋体" w:hAnsi="宋体"/>
          <w:b/>
          <w:color w:val="auto"/>
          <w:szCs w:val="21"/>
          <w:highlight w:val="none"/>
          <w:lang w:val="zh-CN"/>
        </w:rPr>
        <w:t xml:space="preserve">一、合同内容：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乙方为甲方提供</w:t>
      </w:r>
      <w:r>
        <w:rPr>
          <w:rFonts w:hint="eastAsia" w:ascii="宋体" w:hAnsi="宋体"/>
          <w:b/>
          <w:bCs/>
          <w:color w:val="auto"/>
          <w:szCs w:val="21"/>
          <w:highlight w:val="none"/>
          <w:u w:val="single"/>
        </w:rPr>
        <w:t xml:space="preserve">医用被服洗涤租赁服务以及每月提交月度工作分析报告</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、服务时间两年，自</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日至</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日。在合同有效期内一方不得擅自变更或中止此项合同，如未经双方同意，擅自变更或中止此项的一方要负违约责任</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、下列文件为本合同不可分割部分：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）中标通知书；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）乙方的投标文件；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）乙方在招投标过程中所作的其它承诺、声明、书面澄清等；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olor w:val="auto"/>
          <w:szCs w:val="21"/>
          <w:highlight w:val="none"/>
        </w:rPr>
        <w:t xml:space="preserve">）采购文件及其附件；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）合同附件。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以上与本合同具有同等法律效力</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二、合同价格及费用结算：</w:t>
      </w:r>
      <w:r/>
    </w:p>
    <w:p>
      <w:pPr>
        <w:pStyle w:val="924"/>
        <w:ind w:firstLine="420"/>
        <w:spacing w:line="400" w:lineRule="exact"/>
        <w:rPr>
          <w:rFonts w:hint="eastAsia" w:hAnsi="宋体" w:eastAsia="宋体"/>
          <w:color w:val="auto"/>
          <w:sz w:val="21"/>
          <w:szCs w:val="21"/>
          <w:highlight w:val="none"/>
          <w:u w:val="singl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、合同总价：</w:t>
      </w:r>
      <w:r>
        <w:rPr>
          <w:rFonts w:hAnsi="宋体" w:eastAsia="宋体"/>
          <w:color w:val="auto"/>
          <w:sz w:val="21"/>
          <w:szCs w:val="21"/>
          <w:highlight w:val="none"/>
          <w:u w:val="single"/>
        </w:rPr>
        <w:t xml:space="preserve">                                  </w:t>
      </w:r>
      <w:r>
        <w:rPr>
          <w:rFonts w:hint="eastAsia" w:hAnsi="宋体" w:eastAsia="宋体"/>
          <w:color w:val="auto"/>
          <w:sz w:val="21"/>
          <w:szCs w:val="21"/>
          <w:highlight w:val="none"/>
        </w:rPr>
        <w:t xml:space="preserve">元，甲方支付合同费用外，不再承担其它任何费用（包括个人）。投标报价一次报定，报价分洗涤总价、手术室包租赁价格、服务人员费用三部分组成。包括但不限于费用报价包含：洗涤费、打包费、运送费、人员工资、工资、奖金、节假日加班费用、社保、当地最低工资基数上调、意外险及各类保险、开票税金、利润等、管理费、设备损耗维护费以及合同包含的所有风险、责任等一切费用。同时，除非合同条款中另有规定，否则，投标人所报价格在合同实施期间不因市场变化因素而变动。</w:t>
      </w:r>
      <w:r/>
    </w:p>
    <w:p>
      <w:pPr>
        <w:pStyle w:val="924"/>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、付款步骤：</w:t>
      </w:r>
      <w:r/>
    </w:p>
    <w:p>
      <w:pPr>
        <w:pStyle w:val="924"/>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lang w:val="en-US" w:eastAsia="zh-CN"/>
        </w:rPr>
        <w:t xml:space="preserve">1</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rPr>
        <w:t xml:space="preserve">双方将上月洗涤物交接清单的数量进行汇总，核对制表，并经双方签字确认后，服务单位再开具发票送达采购方审批，审批完成后支付当月款项。</w:t>
      </w:r>
      <w:r>
        <w:rPr>
          <w:rFonts w:hAnsi="宋体" w:eastAsia="宋体"/>
          <w:color w:val="auto"/>
          <w:sz w:val="21"/>
          <w:szCs w:val="21"/>
          <w:highlight w:val="none"/>
        </w:rPr>
        <w:t xml:space="preserve"> </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）如中标人对服务缺陷不予更正，招标人有权另请其他单位更正</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lang w:val="en-US" w:eastAsia="zh-CN"/>
        </w:rPr>
        <w:t xml:space="preserve">更正费用在月度费用中扣除</w:t>
      </w:r>
      <w:r>
        <w:rPr>
          <w:rFonts w:hint="eastAsia" w:hAnsi="宋体" w:eastAsia="宋体"/>
          <w:color w:val="auto"/>
          <w:sz w:val="21"/>
          <w:szCs w:val="21"/>
          <w:highlight w:val="none"/>
        </w:rPr>
        <w:t xml:space="preserve">。</w:t>
      </w:r>
      <w:r/>
    </w:p>
    <w:p>
      <w:pPr>
        <w:pStyle w:val="924"/>
        <w:ind w:firstLine="420"/>
        <w:spacing w:line="400" w:lineRule="exact"/>
        <w:rPr>
          <w:rFonts w:hint="eastAsia" w:hAnsi="宋体" w:eastAsia="宋体"/>
          <w:color w:val="auto"/>
          <w:sz w:val="21"/>
          <w:szCs w:val="21"/>
          <w:highlight w:val="none"/>
          <w:u w:val="singl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乙方有责任配合甲方接受上级领导部门的监督、检查，并提供必须的材料。甲方有权对乙方进行月度考核，考核结果与当月度费用结算挂钩。具体考核方法和标准见招标文件。除合同约定外，甲方不再向乙方额外支付其他费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三、甲、乙双方的责任</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、甲方为乙方管理部门提供办公及发放场所，为乙方提供所需相关资料，并指定专人作为甲方联系人予以协调工作。加强与乙方</w:t>
      </w:r>
      <w:r>
        <w:rPr>
          <w:rFonts w:hint="eastAsia" w:ascii="宋体" w:hAnsi="宋体"/>
          <w:color w:val="auto"/>
          <w:szCs w:val="21"/>
          <w:highlight w:val="none"/>
          <w:lang w:eastAsia="zh-CN"/>
        </w:rPr>
        <w:t xml:space="preserve">沟通</w:t>
      </w:r>
      <w:r>
        <w:rPr>
          <w:rFonts w:hint="eastAsia" w:ascii="宋体" w:hAnsi="宋体"/>
          <w:color w:val="auto"/>
          <w:szCs w:val="21"/>
          <w:highlight w:val="none"/>
        </w:rPr>
        <w:t xml:space="preserve">，交流情况，互通信息。</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、甲方应教育所属人员尊重乙方工作人员的劳动成果，积极配合乙方工作人员履行好合同所规定的职责和义务。</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、乙方在从服务工作中应当做到文明工作，采取必要的安全防范措施，合同期内若发生安全事故由乙方承担，与甲方无关。</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、乙方应及时调整不适应工作需求的服务人员。如甲方认为该员工不能胜任本职工作的，必须调整。</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、乙方应严格按照省感染管理的有关规定，规范操作流程、</w:t>
      </w:r>
      <w:r>
        <w:rPr>
          <w:rFonts w:ascii="宋体" w:hAnsi="宋体"/>
          <w:color w:val="auto"/>
          <w:szCs w:val="21"/>
          <w:highlight w:val="none"/>
        </w:rPr>
        <w:t xml:space="preserve"> </w:t>
      </w:r>
      <w:r>
        <w:rPr>
          <w:rFonts w:hint="eastAsia" w:ascii="宋体" w:hAnsi="宋体"/>
          <w:color w:val="auto"/>
          <w:szCs w:val="21"/>
          <w:highlight w:val="none"/>
        </w:rPr>
        <w:t xml:space="preserve">分类洗涤、统一消毒，并保证质量。</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、乙方对各类洗涤物必须折叠整齐、平整、无污渍。对有熨烫要求的物品必须熨烫到位；对破损物品（缺</w:t>
      </w:r>
      <w:r>
        <w:rPr>
          <w:rFonts w:hint="eastAsia" w:ascii="宋体" w:hAnsi="宋体"/>
          <w:color w:val="auto"/>
          <w:szCs w:val="21"/>
          <w:highlight w:val="none"/>
          <w:lang w:eastAsia="zh-CN"/>
        </w:rPr>
        <w:t xml:space="preserve">纽扣</w:t>
      </w:r>
      <w:r>
        <w:rPr>
          <w:rFonts w:hint="eastAsia" w:ascii="宋体" w:hAnsi="宋体"/>
          <w:color w:val="auto"/>
          <w:szCs w:val="21"/>
          <w:highlight w:val="none"/>
        </w:rPr>
        <w:t xml:space="preserve">、少带子、脱线缝、撕裂……）必须缝补完好后方能发出。</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、对由洗涤不当引起的严重褪色、老化等，乙方必须作出说明，双方协商赔偿。</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9</w:t>
      </w:r>
      <w:r>
        <w:rPr>
          <w:rFonts w:hint="eastAsia" w:ascii="宋体" w:hAnsi="宋体"/>
          <w:color w:val="auto"/>
          <w:szCs w:val="21"/>
          <w:highlight w:val="none"/>
        </w:rPr>
        <w:t xml:space="preserve">、对因乙方洁净物没有及时到位，影响甲方正常工作的，乙方必须承担相应的赔偿责任。</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、考核要求：按附件中的考核标准实施。</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11</w:t>
      </w:r>
      <w:r>
        <w:rPr>
          <w:rFonts w:hint="eastAsia" w:ascii="宋体" w:hAnsi="宋体"/>
          <w:color w:val="auto"/>
          <w:szCs w:val="21"/>
          <w:highlight w:val="none"/>
        </w:rPr>
        <w:t xml:space="preserve">、甲方提供被服仓库及辅房，水电由甲方提供，作为双方的交接点。甲乙双方交接、清点，由甲方代表或护士长签字认可。</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12</w:t>
      </w:r>
      <w:r>
        <w:rPr>
          <w:rFonts w:hint="eastAsia" w:ascii="宋体" w:hAnsi="宋体"/>
          <w:color w:val="auto"/>
          <w:szCs w:val="21"/>
          <w:highlight w:val="none"/>
        </w:rPr>
        <w:t xml:space="preserve">、乙方为甲方提供人员及下收下送服务，具体人</w:t>
      </w:r>
      <w:r>
        <w:rPr>
          <w:rFonts w:hint="eastAsia" w:ascii="宋体" w:hAnsi="宋体"/>
          <w:color w:val="auto"/>
          <w:szCs w:val="21"/>
          <w:highlight w:val="none"/>
          <w:lang w:eastAsia="zh-CN"/>
        </w:rPr>
        <w:t xml:space="preserve">数由</w:t>
      </w:r>
      <w:r>
        <w:rPr>
          <w:rFonts w:hint="eastAsia" w:ascii="宋体" w:hAnsi="宋体"/>
          <w:color w:val="auto"/>
          <w:szCs w:val="21"/>
          <w:highlight w:val="none"/>
        </w:rPr>
        <w:t xml:space="preserve">甲乙双方协商确定，满足下收下送的实际需求，乙方免费修补所有洗涤物品。</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、乙方应对物流运送车辆每日消毒，避免交叉感染。</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其他未尽事宜，按招标文件要求为准。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四、违约责任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（一）违约责任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合同一方不履行合同义务或者履行合同义务不符合约定的，应当承担继续履行、采取补救措施或者赔偿损失等违约责任。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（二）甲方违约责任</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、在合同生效后，甲方要求解除合同的，应向乙方偿付合同总价款</w:t>
      </w:r>
      <w:r>
        <w:rPr>
          <w:rFonts w:ascii="宋体" w:hAnsi="宋体"/>
          <w:color w:val="auto"/>
          <w:szCs w:val="21"/>
          <w:highlight w:val="none"/>
        </w:rPr>
        <w:t xml:space="preserve">1%</w:t>
      </w:r>
      <w:r>
        <w:rPr>
          <w:rFonts w:hint="eastAsia" w:ascii="宋体" w:hAnsi="宋体"/>
          <w:color w:val="auto"/>
          <w:szCs w:val="21"/>
          <w:highlight w:val="none"/>
        </w:rPr>
        <w:t xml:space="preserve">的违约金，违约金不足以补偿损失的，乙方有权要求甲方补足。</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、甲方逾期付款的应按照逾期付款金额的每天万分之四支付逾期付款违约金。</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、乙方违约责任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乙方不能履行合同从而影响甲方按期正常使用的，甲方有权解除合同，乙方向甲方偿付合同总价款</w:t>
      </w:r>
      <w:r>
        <w:rPr>
          <w:rFonts w:ascii="宋体" w:hAnsi="宋体"/>
          <w:color w:val="auto"/>
          <w:szCs w:val="21"/>
          <w:highlight w:val="none"/>
        </w:rPr>
        <w:t xml:space="preserve">1%</w:t>
      </w:r>
      <w:r>
        <w:rPr>
          <w:rFonts w:hint="eastAsia" w:ascii="宋体" w:hAnsi="宋体"/>
          <w:color w:val="auto"/>
          <w:szCs w:val="21"/>
          <w:highlight w:val="none"/>
        </w:rPr>
        <w:t xml:space="preserve">的违约金，违约金不足以补偿损失的甲方有权要求乙方补足。</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、不可抗力</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）因不可抗力不能履行合同的，根据不可抗力的影响，部分或者全部免除责任。但合同一方迟延履行后发生不可抗力的，不能免除责任。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五、合同的解除和转让</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（一）合同的解除</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、有下列情形之一，合同一方可以解除合同：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）因不可抗力致使不能实现合同目的，未受不可抗力影响的一方有权解除合同；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）因合同一方违约导致合同不能履行，另一方有权解除合同；</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、有权解除合同的一方，应当在违约事实或不可抗力发生之后三十天内书面通知对方以主张解除合同，合同在书面通知到达对方时解除。</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（二）合同的转让</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合同的全部不得转让。</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六、合同生效及其它：</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、合同经甲乙双方代表签字并加盖公章（或合同章）后即生效。</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、合同在执行过程中出现的未尽事宜，双方在不违背本合同和采购文件的原则下协商解决，协商结果以书面形式盖章记录在案，作为本合同的附件，与本合同具有同等效力，但需向采购代理方提交二份备存。</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七</w:t>
      </w:r>
      <w:r>
        <w:rPr>
          <w:rFonts w:hint="eastAsia" w:ascii="宋体" w:hAnsi="宋体"/>
          <w:b w:val="0"/>
          <w:bCs w:val="0"/>
          <w:color w:val="auto"/>
          <w:szCs w:val="21"/>
          <w:highlight w:val="none"/>
        </w:rPr>
        <w:t xml:space="preserve">、争议解决</w:t>
      </w:r>
      <w:r/>
    </w:p>
    <w:p>
      <w:pPr>
        <w:ind w:firstLine="420"/>
        <w:spacing w:line="400" w:lineRule="exact"/>
        <w:rPr>
          <w:rFonts w:hint="eastAsia"/>
          <w:color w:val="auto"/>
          <w:highlight w:val="none"/>
        </w:rPr>
      </w:pPr>
      <w:r>
        <w:rPr>
          <w:rFonts w:hint="eastAsia" w:ascii="宋体" w:hAnsi="宋体"/>
          <w:color w:val="auto"/>
          <w:szCs w:val="21"/>
          <w:highlight w:val="none"/>
        </w:rPr>
        <w:t xml:space="preserve">甲乙双方因合同发生争议，应在代理机构的主持下进行调解，协商不成，任何一方可以向甲方所在地人民法院起诉。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八</w:t>
      </w:r>
      <w:r>
        <w:rPr>
          <w:rFonts w:hint="eastAsia" w:ascii="宋体" w:hAnsi="宋体"/>
          <w:color w:val="auto"/>
          <w:szCs w:val="21"/>
          <w:highlight w:val="none"/>
        </w:rPr>
        <w:t xml:space="preserve">、附则</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、合同份数</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lang w:val="en-US" w:eastAsia="zh-CN"/>
        </w:rPr>
        <w:t xml:space="preserve">五</w:t>
      </w:r>
      <w:r>
        <w:rPr>
          <w:rFonts w:hint="eastAsia" w:ascii="宋体" w:hAnsi="宋体"/>
          <w:color w:val="auto"/>
          <w:szCs w:val="21"/>
          <w:highlight w:val="none"/>
        </w:rPr>
        <w:t xml:space="preserve">份，甲乙双方各执</w:t>
      </w:r>
      <w:r>
        <w:rPr>
          <w:rFonts w:hint="eastAsia" w:ascii="宋体" w:hAnsi="宋体"/>
          <w:color w:val="auto"/>
          <w:szCs w:val="21"/>
          <w:highlight w:val="none"/>
          <w:lang w:val="en-US" w:eastAsia="zh-CN"/>
        </w:rPr>
        <w:t xml:space="preserve">两份</w:t>
      </w:r>
      <w:r>
        <w:rPr>
          <w:rFonts w:hint="eastAsia" w:ascii="宋体" w:hAnsi="宋体"/>
          <w:color w:val="auto"/>
          <w:szCs w:val="21"/>
          <w:highlight w:val="none"/>
        </w:rPr>
        <w:t xml:space="preserve">，采购代理机构一份。</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、未尽事宜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本合同未尽事宜应按《中华人民共和国政府采购法》以及</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相关法律、法规之规定解释。</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甲方（公章）：</w:t>
      </w:r>
      <w:r>
        <w:rPr>
          <w:rFonts w:ascii="宋体" w:hAnsi="宋体"/>
          <w:color w:val="auto"/>
          <w:szCs w:val="21"/>
          <w:highlight w:val="none"/>
        </w:rPr>
        <w:t xml:space="preserve">                             </w:t>
      </w:r>
      <w:r>
        <w:rPr>
          <w:rFonts w:hint="eastAsia" w:ascii="宋体" w:hAnsi="宋体"/>
          <w:color w:val="auto"/>
          <w:szCs w:val="21"/>
          <w:highlight w:val="none"/>
        </w:rPr>
        <w:t xml:space="preserve">乙方（公章）：</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法定代表人</w:t>
      </w:r>
      <w:r>
        <w:rPr>
          <w:rFonts w:ascii="宋体" w:hAnsi="宋体"/>
          <w:color w:val="auto"/>
          <w:szCs w:val="21"/>
          <w:highlight w:val="none"/>
        </w:rPr>
        <w:tab/>
      </w:r>
      <w:r>
        <w:rPr>
          <w:rFonts w:ascii="宋体" w:hAnsi="宋体"/>
          <w:color w:val="auto"/>
          <w:szCs w:val="21"/>
          <w:highlight w:val="none"/>
        </w:rPr>
        <w:t xml:space="preserve">                               </w:t>
      </w:r>
      <w:r>
        <w:rPr>
          <w:rFonts w:hint="eastAsia" w:ascii="宋体" w:hAnsi="宋体"/>
          <w:color w:val="auto"/>
          <w:szCs w:val="21"/>
          <w:highlight w:val="none"/>
        </w:rPr>
        <w:t xml:space="preserve">法定代表人</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或其</w:t>
      </w:r>
      <w:r>
        <w:rPr>
          <w:rFonts w:ascii="宋体" w:hAnsi="宋体"/>
          <w:color w:val="auto"/>
          <w:szCs w:val="21"/>
          <w:highlight w:val="none"/>
        </w:rPr>
        <w:t xml:space="preserve">                                       </w:t>
      </w:r>
      <w:r>
        <w:rPr>
          <w:rFonts w:hint="eastAsia" w:ascii="宋体" w:hAnsi="宋体"/>
          <w:color w:val="auto"/>
          <w:szCs w:val="21"/>
          <w:highlight w:val="none"/>
        </w:rPr>
        <w:t xml:space="preserve">或其</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授权委托人</w:t>
      </w:r>
      <w:r>
        <w:rPr>
          <w:rFonts w:ascii="宋体" w:hAnsi="宋体"/>
          <w:color w:val="auto"/>
          <w:szCs w:val="21"/>
          <w:highlight w:val="none"/>
        </w:rPr>
        <w:tab/>
      </w:r>
      <w:r>
        <w:rPr>
          <w:rFonts w:ascii="宋体" w:hAnsi="宋体"/>
          <w:color w:val="auto"/>
          <w:szCs w:val="21"/>
          <w:highlight w:val="none"/>
        </w:rPr>
        <w:t xml:space="preserve">                               </w:t>
      </w:r>
      <w:r>
        <w:rPr>
          <w:rFonts w:hint="eastAsia" w:ascii="宋体" w:hAnsi="宋体"/>
          <w:color w:val="auto"/>
          <w:szCs w:val="21"/>
          <w:highlight w:val="none"/>
        </w:rPr>
        <w:t xml:space="preserve">授权委托人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签订日期：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rPr>
          <w:rFonts w:ascii="宋体" w:hAnsi="宋体"/>
          <w:color w:val="auto"/>
          <w:szCs w:val="21"/>
          <w:highlight w:val="none"/>
        </w:rPr>
        <w:t xml:space="preserve">                            </w:t>
      </w:r>
      <w:r/>
    </w:p>
    <w:p>
      <w:pPr>
        <w:jc w:val="center"/>
        <w:spacing w:line="400" w:lineRule="exact"/>
        <w:rPr>
          <w:rFonts w:hint="eastAsia" w:ascii="宋体" w:hAnsi="宋体"/>
          <w:b/>
          <w:bCs/>
          <w:color w:val="auto"/>
          <w:szCs w:val="28"/>
          <w:highlight w:val="none"/>
        </w:rPr>
      </w:pPr>
      <w:r>
        <w:rPr>
          <w:rFonts w:ascii="宋体" w:hAnsi="宋体"/>
          <w:color w:val="auto"/>
          <w:szCs w:val="21"/>
          <w:highlight w:val="none"/>
        </w:rPr>
        <w:br w:type="page" w:clear="all"/>
      </w:r>
      <w:r>
        <w:rPr>
          <w:rFonts w:hint="eastAsia" w:ascii="宋体" w:hAnsi="宋体"/>
          <w:b/>
          <w:bCs/>
          <w:color w:val="auto"/>
          <w:szCs w:val="28"/>
          <w:highlight w:val="none"/>
        </w:rPr>
        <w:t xml:space="preserve">第五、六采购包  合同主要条款</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合同编号：</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根据苏州政府采购编号</w:t>
      </w:r>
      <w:r>
        <w:rPr>
          <w:rFonts w:ascii="宋体" w:hAnsi="宋体"/>
          <w:color w:val="auto"/>
          <w:szCs w:val="21"/>
          <w:highlight w:val="none"/>
          <w:u w:val="single"/>
        </w:rPr>
        <w:t xml:space="preserve">             </w:t>
      </w:r>
      <w:r>
        <w:rPr>
          <w:rFonts w:hint="eastAsia" w:ascii="宋体" w:hAnsi="宋体"/>
          <w:color w:val="auto"/>
          <w:szCs w:val="21"/>
          <w:highlight w:val="none"/>
        </w:rPr>
        <w:t xml:space="preserve">号招标文件及中标人的投标文件、中标通知书、中标人在招投标过程中所作的其它承诺、声明、书面澄清等，甲乙双方就此次中标的标的物的购销事宜，签订本合同书。</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一、合同内容：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乙方为甲方提供</w:t>
      </w:r>
      <w:r>
        <w:rPr>
          <w:rFonts w:hint="eastAsia" w:ascii="宋体" w:hAnsi="宋体"/>
          <w:b/>
          <w:bCs/>
          <w:color w:val="auto"/>
          <w:szCs w:val="21"/>
          <w:highlight w:val="none"/>
          <w:u w:val="single"/>
        </w:rPr>
        <w:t xml:space="preserve">医疗环境清洁消杀、垃圾清运等服务以及每月提交月度工作分析报告</w:t>
      </w:r>
      <w:r>
        <w:rPr>
          <w:rFonts w:hint="eastAsia" w:ascii="宋体" w:hAnsi="宋体"/>
          <w:color w:val="auto"/>
          <w:szCs w:val="21"/>
          <w:highlight w:val="none"/>
        </w:rPr>
        <w:t xml:space="preserve">。</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、维保时间自</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日至</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每满一年对乙方工作考核一次，若考核不合格则甲方有权终止此项合同。在合同有效期内一方不得擅自变更或中止此项合同，如未经双方同意，擅自变更或中止此项合同的一方要负违约责任。此项合同需终止或续签，应在合同期内提前半个月通知对方。</w:t>
      </w:r>
      <w:r/>
    </w:p>
    <w:p>
      <w:pPr>
        <w:ind w:left="1" w:right="-176" w:firstLine="449"/>
        <w:spacing w:line="390" w:lineRule="exact"/>
        <w:rPr>
          <w:color w:val="auto"/>
          <w:szCs w:val="21"/>
          <w:highlight w:val="none"/>
        </w:rPr>
      </w:pPr>
      <w:r>
        <w:rPr>
          <w:b/>
          <w:bCs/>
          <w:color w:val="auto"/>
          <w:szCs w:val="21"/>
          <w:highlight w:val="none"/>
        </w:rPr>
        <w:t xml:space="preserve">试用期：</w:t>
      </w:r>
      <w:r>
        <w:rPr>
          <w:color w:val="auto"/>
          <w:szCs w:val="21"/>
          <w:highlight w:val="none"/>
        </w:rPr>
        <w:t xml:space="preserve">在签订合同后</w:t>
      </w:r>
      <w:r>
        <w:rPr>
          <w:rFonts w:hint="eastAsia"/>
          <w:color w:val="auto"/>
          <w:szCs w:val="21"/>
          <w:highlight w:val="none"/>
        </w:rPr>
        <w:t xml:space="preserve">乙方</w:t>
      </w:r>
      <w:r>
        <w:rPr>
          <w:color w:val="auto"/>
          <w:szCs w:val="21"/>
          <w:highlight w:val="none"/>
        </w:rPr>
        <w:t xml:space="preserve">有一个月的试用期，若在试用期间</w:t>
      </w:r>
      <w:r>
        <w:rPr>
          <w:rFonts w:hint="eastAsia"/>
          <w:color w:val="auto"/>
          <w:szCs w:val="21"/>
          <w:highlight w:val="none"/>
        </w:rPr>
        <w:t xml:space="preserve">乙方</w:t>
      </w:r>
      <w:r>
        <w:rPr>
          <w:color w:val="auto"/>
          <w:szCs w:val="21"/>
          <w:highlight w:val="none"/>
        </w:rPr>
        <w:t xml:space="preserve">所提供的服务能达到招标文件规定的标准和其承诺，</w:t>
      </w:r>
      <w:r>
        <w:rPr>
          <w:rFonts w:hint="eastAsia"/>
          <w:color w:val="auto"/>
          <w:szCs w:val="21"/>
          <w:highlight w:val="none"/>
        </w:rPr>
        <w:t xml:space="preserve">则该合同继续进行；若</w:t>
      </w:r>
      <w:r>
        <w:rPr>
          <w:color w:val="auto"/>
          <w:szCs w:val="21"/>
          <w:highlight w:val="none"/>
        </w:rPr>
        <w:t xml:space="preserve">在此期间</w:t>
      </w:r>
      <w:r>
        <w:rPr>
          <w:rFonts w:hint="eastAsia"/>
          <w:color w:val="auto"/>
          <w:szCs w:val="21"/>
          <w:highlight w:val="none"/>
        </w:rPr>
        <w:t xml:space="preserve">内乙方</w:t>
      </w:r>
      <w:r>
        <w:rPr>
          <w:color w:val="auto"/>
          <w:szCs w:val="21"/>
          <w:highlight w:val="none"/>
        </w:rPr>
        <w:t xml:space="preserve">所提供的服务未能达到</w:t>
      </w:r>
      <w:r>
        <w:rPr>
          <w:rFonts w:hint="eastAsia"/>
          <w:color w:val="auto"/>
          <w:szCs w:val="21"/>
          <w:highlight w:val="none"/>
        </w:rPr>
        <w:t xml:space="preserve">采购</w:t>
      </w:r>
      <w:r>
        <w:rPr>
          <w:color w:val="auto"/>
          <w:szCs w:val="21"/>
          <w:highlight w:val="none"/>
        </w:rPr>
        <w:t xml:space="preserve">文件规定的标准或其投标承诺，则</w:t>
      </w:r>
      <w:r>
        <w:rPr>
          <w:rFonts w:hint="eastAsia"/>
          <w:color w:val="auto"/>
          <w:szCs w:val="21"/>
          <w:highlight w:val="none"/>
        </w:rPr>
        <w:t xml:space="preserve">甲方可以无条件终止合同。</w:t>
      </w:r>
      <w:r>
        <w:rPr>
          <w:color w:val="auto"/>
          <w:szCs w:val="21"/>
          <w:highlight w:val="none"/>
        </w:rPr>
        <w:t xml:space="preserve">试用期自</w:t>
      </w:r>
      <w:r>
        <w:rPr>
          <w:rFonts w:hint="eastAsia"/>
          <w:color w:val="auto"/>
          <w:szCs w:val="21"/>
          <w:highlight w:val="none"/>
        </w:rPr>
        <w:t xml:space="preserve">签订合同</w:t>
      </w:r>
      <w:r>
        <w:rPr>
          <w:color w:val="auto"/>
          <w:szCs w:val="21"/>
          <w:highlight w:val="none"/>
        </w:rPr>
        <w:t xml:space="preserve">之日起开始计算。</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、下列文件为本合同不可分割部分：</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）中标通知书；</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）乙方的投标文件；</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）乙方在招投标过程中所作的其它承诺、声明、书面澄清等；</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olor w:val="auto"/>
          <w:szCs w:val="21"/>
          <w:highlight w:val="none"/>
        </w:rPr>
        <w:t xml:space="preserve">）采购文件及其附件；</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）合同附件。</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以上与本合同具有同等法律效力</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二、合同价格及费用结算：</w:t>
      </w:r>
      <w:r/>
    </w:p>
    <w:p>
      <w:pPr>
        <w:ind w:firstLine="420"/>
        <w:spacing w:line="400" w:lineRule="exact"/>
        <w:rPr>
          <w:rFonts w:hint="eastAsia" w:ascii="宋体" w:hAnsi="宋体"/>
          <w:b/>
          <w:bCs/>
          <w:color w:val="auto"/>
          <w:szCs w:val="21"/>
          <w:highlight w:val="none"/>
        </w:rPr>
      </w:pPr>
      <w:r>
        <w:rPr>
          <w:rFonts w:hAnsi="宋体"/>
          <w:color w:val="auto"/>
          <w:szCs w:val="21"/>
          <w:highlight w:val="none"/>
        </w:rPr>
        <w:t xml:space="preserve">1</w:t>
      </w:r>
      <w:r>
        <w:rPr>
          <w:rFonts w:hint="eastAsia" w:hAnsi="宋体"/>
          <w:color w:val="auto"/>
          <w:szCs w:val="21"/>
          <w:highlight w:val="none"/>
        </w:rPr>
        <w:t xml:space="preserve">、合同总价：</w:t>
      </w:r>
      <w:r>
        <w:rPr>
          <w:rFonts w:hAnsi="宋体"/>
          <w:color w:val="auto"/>
          <w:szCs w:val="21"/>
          <w:highlight w:val="none"/>
          <w:u w:val="single"/>
        </w:rPr>
        <w:t xml:space="preserve">              </w:t>
      </w:r>
      <w:r>
        <w:rPr>
          <w:rFonts w:hint="eastAsia" w:hAnsi="宋体"/>
          <w:color w:val="auto"/>
          <w:szCs w:val="21"/>
          <w:highlight w:val="none"/>
        </w:rPr>
        <w:t xml:space="preserve">，价格</w:t>
      </w:r>
      <w:r>
        <w:rPr>
          <w:color w:val="auto"/>
          <w:szCs w:val="21"/>
          <w:highlight w:val="none"/>
        </w:rPr>
        <w:t xml:space="preserve">应包括完成本项工作所需的</w:t>
      </w:r>
      <w:r>
        <w:rPr>
          <w:rFonts w:hint="eastAsia"/>
          <w:color w:val="auto"/>
          <w:szCs w:val="21"/>
          <w:highlight w:val="none"/>
        </w:rPr>
        <w:t xml:space="preserve">一切费用，包括但不限于人工（包括工资、奖金、社保、节假日加班费</w:t>
      </w:r>
      <w:r>
        <w:rPr>
          <w:rFonts w:hint="eastAsia"/>
          <w:color w:val="auto"/>
          <w:szCs w:val="21"/>
          <w:highlight w:val="none"/>
          <w:lang w:eastAsia="zh-CN"/>
        </w:rPr>
        <w:t xml:space="preserve">、</w:t>
      </w:r>
      <w:r>
        <w:rPr>
          <w:rFonts w:hint="eastAsia" w:hAnsi="宋体" w:eastAsia="宋体"/>
          <w:color w:val="auto"/>
          <w:sz w:val="21"/>
          <w:szCs w:val="21"/>
          <w:highlight w:val="none"/>
        </w:rPr>
        <w:t xml:space="preserve">当地最低工资基数上调</w:t>
      </w:r>
      <w:r>
        <w:rPr>
          <w:rFonts w:hint="eastAsia" w:hAnsi="宋体"/>
          <w:color w:val="auto"/>
          <w:sz w:val="21"/>
          <w:szCs w:val="21"/>
          <w:highlight w:val="none"/>
          <w:lang w:val="en-US" w:eastAsia="zh-CN"/>
        </w:rPr>
        <w:t xml:space="preserve">等</w:t>
      </w:r>
      <w:r>
        <w:rPr>
          <w:rFonts w:hint="eastAsia"/>
          <w:color w:val="auto"/>
          <w:szCs w:val="21"/>
          <w:highlight w:val="none"/>
        </w:rPr>
        <w:t xml:space="preserve">）、专用设备、环境清洁设备</w:t>
      </w:r>
      <w:r>
        <w:rPr>
          <w:color w:val="auto"/>
          <w:szCs w:val="21"/>
          <w:highlight w:val="none"/>
        </w:rPr>
        <w:t xml:space="preserve">、</w:t>
      </w:r>
      <w:r>
        <w:rPr>
          <w:rFonts w:hint="eastAsia"/>
          <w:color w:val="auto"/>
          <w:szCs w:val="21"/>
          <w:highlight w:val="none"/>
        </w:rPr>
        <w:t xml:space="preserve">工具、环境清洁易耗品、办公设备、服装、胸卡、通讯、保险、各种税费、利润、政策性文件规定及合同包含的所有风险、责任等费用。</w:t>
      </w:r>
      <w:r/>
    </w:p>
    <w:p>
      <w:pPr>
        <w:pStyle w:val="696"/>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、服务付款步骤：</w:t>
      </w:r>
      <w:r>
        <w:rPr>
          <w:rFonts w:hAnsi="宋体" w:eastAsia="宋体"/>
          <w:color w:val="auto"/>
          <w:sz w:val="21"/>
          <w:szCs w:val="21"/>
          <w:highlight w:val="none"/>
        </w:rPr>
        <w:t xml:space="preserve"> </w:t>
      </w:r>
      <w:r/>
    </w:p>
    <w:p>
      <w:pPr>
        <w:pStyle w:val="696"/>
        <w:ind w:firstLine="435"/>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）经甲方依据考核细则考核后</w:t>
      </w:r>
      <w:r>
        <w:rPr>
          <w:rFonts w:hint="eastAsia" w:hAnsi="宋体" w:eastAsia="宋体"/>
          <w:color w:val="auto"/>
          <w:sz w:val="21"/>
          <w:szCs w:val="21"/>
          <w:highlight w:val="none"/>
          <w:lang w:val="en-US" w:eastAsia="zh-CN"/>
        </w:rPr>
        <w:t xml:space="preserve">按月支付</w:t>
      </w:r>
      <w:r>
        <w:rPr>
          <w:rFonts w:hint="eastAsia" w:hAnsi="宋体" w:eastAsia="宋体"/>
          <w:color w:val="auto"/>
          <w:sz w:val="21"/>
          <w:szCs w:val="21"/>
          <w:highlight w:val="none"/>
        </w:rPr>
        <w:t xml:space="preserve">，乙方出具合格的发票，经甲、乙双方确认的服务合同履约报告，甲方支付相应费用。</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）如中标人对服务缺陷不予更正，招标人有权另请其他单位更正</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lang w:val="en-US" w:eastAsia="zh-CN"/>
        </w:rPr>
        <w:t xml:space="preserve">更正费用在月度费用中扣除</w:t>
      </w:r>
      <w:r>
        <w:rPr>
          <w:rFonts w:hint="eastAsia" w:hAnsi="宋体" w:eastAsia="宋体"/>
          <w:color w:val="auto"/>
          <w:sz w:val="21"/>
          <w:szCs w:val="21"/>
          <w:highlight w:val="none"/>
        </w:rPr>
        <w:t xml:space="preserve">。</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）甲方支付合同项下费用外不再承担其它任何费用（除医疗废弃物垃圾袋、消毒片）。乙方如因社保、医保或工资等问题与员工发生纠纷，应自行解决，不得牵涉到医院。</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4</w:t>
      </w:r>
      <w:r>
        <w:rPr>
          <w:rFonts w:hint="eastAsia" w:hAnsi="宋体" w:eastAsia="宋体"/>
          <w:color w:val="auto"/>
          <w:sz w:val="21"/>
          <w:szCs w:val="21"/>
          <w:highlight w:val="none"/>
        </w:rPr>
        <w:t xml:space="preserve">）确因甲方工作需要，乙方应无条件配合甲方完成一些突击工作。如：安排服务人员（内部）临时加班。相关费用均已包含在本次投标价中，不再另外支付。</w:t>
      </w:r>
      <w:r/>
    </w:p>
    <w:p>
      <w:pPr>
        <w:pStyle w:val="696"/>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乙方有责任配合甲方接受上级领导部门的监督、检查，并提供必须的材料。甲方有权对乙方进行月度考核，考核结果与当月度费用结算挂钩。具体考核方法和标准见招标文件。除合同约定外，甲方不再向乙方额外支付其他费用。</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三、服务质量与检验：</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四、甲、乙双方的责任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（一）甲方责任：</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、为乙方提供办公用房、办公家具、设备</w:t>
      </w:r>
      <w:r>
        <w:rPr>
          <w:rFonts w:ascii="宋体" w:hAnsi="宋体"/>
          <w:color w:val="auto"/>
          <w:szCs w:val="21"/>
          <w:highlight w:val="none"/>
        </w:rPr>
        <w:t xml:space="preserve"> </w:t>
      </w:r>
      <w:r>
        <w:rPr>
          <w:rFonts w:hint="eastAsia" w:ascii="宋体" w:hAnsi="宋体"/>
          <w:color w:val="auto"/>
          <w:szCs w:val="21"/>
          <w:highlight w:val="none"/>
        </w:rPr>
        <w:t xml:space="preserve">及通讯、网络设施；并指定专人作为甲方联系人予以协调工作。加强与乙方</w:t>
      </w:r>
      <w:r>
        <w:rPr>
          <w:rFonts w:hint="eastAsia" w:ascii="宋体" w:hAnsi="宋体"/>
          <w:color w:val="auto"/>
          <w:szCs w:val="21"/>
          <w:highlight w:val="none"/>
          <w:lang w:eastAsia="zh-CN"/>
        </w:rPr>
        <w:t xml:space="preserve">沟通</w:t>
      </w:r>
      <w:r>
        <w:rPr>
          <w:rFonts w:hint="eastAsia" w:ascii="宋体" w:hAnsi="宋体"/>
          <w:color w:val="auto"/>
          <w:szCs w:val="21"/>
          <w:highlight w:val="none"/>
        </w:rPr>
        <w:t xml:space="preserve">，交流情况，互通信息。</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、甲方应教育所属人员尊重乙方工作人员的劳动成果，积极配合乙方工作人员履行好合同所规定的职责和义务。</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（二）乙方责任：</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、乙方在从事服务工作中应当做到文明工作、安全生产，采取必要的安全防范措施。</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、乙方应及时调整不适应工作需求的服务人员及其员工。如甲方认为该员工不能胜任本职工作的，必须调整。</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五、违约责任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（一）违约责任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合同一方不履行合同义务或者履行合同义务不符合约定的，应当承担继续履行、采取补救措施或者赔偿损失等违约责任。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（二）甲方违约责任</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、在合同生效后，甲方要求解除合同的，应向乙方偿付合同总价款</w:t>
      </w:r>
      <w:r>
        <w:rPr>
          <w:rFonts w:ascii="宋体" w:hAnsi="宋体"/>
          <w:color w:val="auto"/>
          <w:szCs w:val="21"/>
          <w:highlight w:val="none"/>
        </w:rPr>
        <w:t xml:space="preserve">1%</w:t>
      </w:r>
      <w:r>
        <w:rPr>
          <w:rFonts w:hint="eastAsia" w:ascii="宋体" w:hAnsi="宋体"/>
          <w:color w:val="auto"/>
          <w:szCs w:val="21"/>
          <w:highlight w:val="none"/>
        </w:rPr>
        <w:t xml:space="preserve">的违约金，违约金不足以补偿损失的，乙方有权要求甲方补足。</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、甲方逾期付款的应按照逾期付款金额的每天万分之四支付逾期付款违约金。</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、乙方违约责任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乙方不能履行合同从而影响甲方按期正常使用的，甲方有权解除合同，乙方向甲方偿付合同总价款</w:t>
      </w:r>
      <w:r>
        <w:rPr>
          <w:rFonts w:ascii="宋体" w:hAnsi="宋体"/>
          <w:color w:val="auto"/>
          <w:szCs w:val="21"/>
          <w:highlight w:val="none"/>
        </w:rPr>
        <w:t xml:space="preserve">1%</w:t>
      </w:r>
      <w:r>
        <w:rPr>
          <w:rFonts w:hint="eastAsia" w:ascii="宋体" w:hAnsi="宋体"/>
          <w:color w:val="auto"/>
          <w:szCs w:val="21"/>
          <w:highlight w:val="none"/>
        </w:rPr>
        <w:t xml:space="preserve">的违约金，违约金不足以补偿损失的甲方有权要求乙方补足。</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、不可抗力</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）因不可抗力不能履行合同的，根据不可抗力的影响，部分或者全部免除责任。但合同一方迟延履行后发生不可抗力的，不能免除责任。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）合同一方因不可抗力不能履行合同的，应当及时通知对方，以减轻可能给对方造成的损失，并应当在合理期限内提供证明。</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六、合同的解除和转让</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（一）合同的解除</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、有下列情形之一，合同一方可以解除合同：</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）因不可抗力致使不能实现合同目的，未受不可抗力影响的一方有权解除合同；</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）因合同一方违约导致合同不能履行，另一方有权解除合同；</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、有权解除合同的一方，应当在违约事实或不可抗力发生之后三十天内书面通知对方以主张解除合同，合同在书面通知到达对方时解除。</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（二）合同的转让</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合同的全部不得转让。</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七、合同生效及其它：</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、合同经甲乙双方代表签字并加盖公章（或合同章）即生效。</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、合同在执行过程中出现的未尽事宜，双方在不违背本合同和采购文件的原则下协商解决，协商结果以书面形式盖章记录在案，作为本合同的附件，与本合同具有同等效力，但需向采购代理方提交二份备存。</w:t>
      </w:r>
      <w:r/>
    </w:p>
    <w:p>
      <w:pPr>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八</w:t>
      </w:r>
      <w:r>
        <w:rPr>
          <w:rFonts w:hint="eastAsia" w:ascii="宋体" w:hAnsi="宋体"/>
          <w:b w:val="0"/>
          <w:bCs w:val="0"/>
          <w:color w:val="auto"/>
          <w:szCs w:val="21"/>
          <w:highlight w:val="none"/>
        </w:rPr>
        <w:t xml:space="preserve">、争议解决</w:t>
      </w:r>
      <w:r/>
    </w:p>
    <w:p>
      <w:pPr>
        <w:ind w:firstLine="420"/>
        <w:spacing w:line="400" w:lineRule="exact"/>
        <w:rPr>
          <w:rFonts w:hint="eastAsia"/>
          <w:color w:val="auto"/>
          <w:highlight w:val="none"/>
        </w:rPr>
      </w:pPr>
      <w:r>
        <w:rPr>
          <w:rFonts w:hint="eastAsia" w:ascii="宋体" w:hAnsi="宋体"/>
          <w:color w:val="auto"/>
          <w:szCs w:val="21"/>
          <w:highlight w:val="none"/>
        </w:rPr>
        <w:t xml:space="preserve">甲乙双方因合同发生争议，应在代理机构的主持下进行调解，协商不成，任何一方可以向甲方所在地人民法院起诉。</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九</w:t>
      </w:r>
      <w:r>
        <w:rPr>
          <w:rFonts w:hint="eastAsia" w:ascii="宋体" w:hAnsi="宋体"/>
          <w:color w:val="auto"/>
          <w:szCs w:val="21"/>
          <w:highlight w:val="none"/>
        </w:rPr>
        <w:t xml:space="preserve">、附则</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、合同份数</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lang w:val="en-US" w:eastAsia="zh-CN"/>
        </w:rPr>
        <w:t xml:space="preserve">五</w:t>
      </w:r>
      <w:r>
        <w:rPr>
          <w:rFonts w:hint="eastAsia" w:ascii="宋体" w:hAnsi="宋体"/>
          <w:color w:val="auto"/>
          <w:szCs w:val="21"/>
          <w:highlight w:val="none"/>
        </w:rPr>
        <w:t xml:space="preserve">份，甲乙双方各执</w:t>
      </w:r>
      <w:r>
        <w:rPr>
          <w:rFonts w:hint="eastAsia" w:ascii="宋体" w:hAnsi="宋体"/>
          <w:color w:val="auto"/>
          <w:szCs w:val="21"/>
          <w:highlight w:val="none"/>
          <w:lang w:val="en-US" w:eastAsia="zh-CN"/>
        </w:rPr>
        <w:t xml:space="preserve">两份</w:t>
      </w:r>
      <w:r>
        <w:rPr>
          <w:rFonts w:hint="eastAsia" w:ascii="宋体" w:hAnsi="宋体"/>
          <w:color w:val="auto"/>
          <w:szCs w:val="21"/>
          <w:highlight w:val="none"/>
        </w:rPr>
        <w:t xml:space="preserve">，采购代理机构一份。</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、未尽事宜</w:t>
      </w:r>
      <w:r/>
    </w:p>
    <w:p>
      <w:pPr>
        <w:ind w:right="-159"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本合同未尽事宜应按《中华人民共和国政府采购法》以及</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相关法律、法规之规定解释。</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甲</w:t>
      </w:r>
      <w:r>
        <w:rPr>
          <w:rFonts w:ascii="宋体" w:hAnsi="宋体"/>
          <w:color w:val="auto"/>
          <w:szCs w:val="21"/>
          <w:highlight w:val="none"/>
        </w:rPr>
        <w:t xml:space="preserve"> </w:t>
      </w:r>
      <w:r>
        <w:rPr>
          <w:rFonts w:hint="eastAsia" w:ascii="宋体" w:hAnsi="宋体"/>
          <w:color w:val="auto"/>
          <w:szCs w:val="21"/>
          <w:highlight w:val="none"/>
        </w:rPr>
        <w:t xml:space="preserve">方：（公章或合同章）</w:t>
      </w:r>
      <w:r>
        <w:rPr>
          <w:rFonts w:ascii="宋体" w:hAnsi="宋体"/>
          <w:color w:val="auto"/>
          <w:szCs w:val="21"/>
          <w:highlight w:val="none"/>
        </w:rPr>
        <w:t xml:space="preserve">                         </w:t>
      </w:r>
      <w:r>
        <w:rPr>
          <w:rFonts w:hint="eastAsia" w:ascii="宋体" w:hAnsi="宋体"/>
          <w:color w:val="auto"/>
          <w:szCs w:val="21"/>
          <w:highlight w:val="none"/>
        </w:rPr>
        <w:t xml:space="preserve">乙</w:t>
      </w:r>
      <w:r>
        <w:rPr>
          <w:rFonts w:ascii="宋体" w:hAnsi="宋体"/>
          <w:color w:val="auto"/>
          <w:szCs w:val="21"/>
          <w:highlight w:val="none"/>
        </w:rPr>
        <w:t xml:space="preserve"> </w:t>
      </w:r>
      <w:r>
        <w:rPr>
          <w:rFonts w:hint="eastAsia" w:ascii="宋体" w:hAnsi="宋体"/>
          <w:color w:val="auto"/>
          <w:szCs w:val="21"/>
          <w:highlight w:val="none"/>
        </w:rPr>
        <w:t xml:space="preserve">方：（公章或合同章）</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甲方代表签字：</w:t>
      </w:r>
      <w:r>
        <w:rPr>
          <w:rFonts w:ascii="宋体" w:hAnsi="宋体"/>
          <w:color w:val="auto"/>
          <w:szCs w:val="21"/>
          <w:highlight w:val="none"/>
        </w:rPr>
        <w:t xml:space="preserve">    </w:t>
      </w:r>
      <w:r>
        <w:rPr>
          <w:rFonts w:hint="eastAsia" w:ascii="宋体" w:hAnsi="宋体"/>
          <w:color w:val="auto"/>
          <w:szCs w:val="21"/>
          <w:highlight w:val="none"/>
        </w:rPr>
        <w:t xml:space="preserve">乙方代表签字：</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合同签订日期：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jc w:val="center"/>
        <w:rPr>
          <w:rFonts w:hint="eastAsia" w:ascii="宋体" w:hAnsi="宋体"/>
          <w:color w:val="auto"/>
          <w:highlight w:val="none"/>
        </w:rPr>
      </w:pPr>
      <w:r>
        <w:rPr>
          <w:rFonts w:hint="eastAsia" w:ascii="宋体" w:hAnsi="宋体"/>
          <w:b/>
          <w:bCs/>
          <w:color w:val="auto"/>
          <w:szCs w:val="28"/>
          <w:highlight w:val="none"/>
        </w:rPr>
        <w:br w:type="page" w:clear="all"/>
      </w:r>
      <w:bookmarkEnd w:id="13"/>
      <w:r/>
      <w:r/>
    </w:p>
    <w:p>
      <w:pPr>
        <w:ind w:firstLine="380"/>
        <w:jc w:val="center"/>
        <w:spacing w:line="400" w:lineRule="exact"/>
        <w:rPr>
          <w:rFonts w:hint="eastAsia" w:ascii="宋体" w:hAnsi="宋体"/>
          <w:b/>
          <w:bCs/>
          <w:color w:val="auto"/>
          <w:szCs w:val="28"/>
          <w:highlight w:val="none"/>
        </w:rPr>
      </w:pPr>
      <w:r>
        <w:rPr>
          <w:rFonts w:hint="eastAsia" w:ascii="宋体" w:hAnsi="宋体"/>
          <w:b/>
          <w:bCs/>
          <w:color w:val="auto"/>
          <w:szCs w:val="28"/>
          <w:highlight w:val="none"/>
        </w:rPr>
        <w:t xml:space="preserve">采购包7  合同主要条款</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合同编号：</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根据苏州市政府采购招标编号为</w:t>
      </w:r>
      <w:r>
        <w:rPr>
          <w:rFonts w:ascii="宋体" w:hAnsi="宋体"/>
          <w:color w:val="auto"/>
          <w:szCs w:val="21"/>
          <w:highlight w:val="none"/>
          <w:u w:val="single"/>
        </w:rPr>
        <w:t xml:space="preserve">            </w:t>
      </w:r>
      <w:r>
        <w:rPr>
          <w:rFonts w:hint="eastAsia" w:ascii="宋体" w:hAnsi="宋体"/>
          <w:color w:val="auto"/>
          <w:szCs w:val="21"/>
          <w:highlight w:val="none"/>
        </w:rPr>
        <w:t xml:space="preserve">的招标文件及该文件的投标文件和中标通知书，甲乙双方就甲方聘用乙方从事</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工作，签订本合同书。</w:t>
      </w:r>
      <w:r>
        <w:rPr>
          <w:rFonts w:ascii="宋体" w:hAnsi="宋体"/>
          <w:color w:val="auto"/>
          <w:szCs w:val="21"/>
          <w:highlight w:val="non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一、合同内容：</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乙方为甲方提供</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变配电系统管理及维护服务以及每月提交月度工作分析报告</w:t>
      </w:r>
      <w:r>
        <w:rPr>
          <w:rFonts w:hint="eastAsia" w:ascii="宋体" w:hAnsi="宋体"/>
          <w:color w:val="auto"/>
          <w:szCs w:val="21"/>
          <w:highlight w:val="none"/>
        </w:rPr>
        <w:t xml:space="preserve">。</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、维保时间</w:t>
      </w:r>
      <w:r>
        <w:rPr>
          <w:rFonts w:hint="eastAsia" w:ascii="宋体" w:hAnsi="宋体"/>
          <w:color w:val="auto"/>
          <w:szCs w:val="21"/>
          <w:highlight w:val="none"/>
          <w:u w:val="single"/>
        </w:rPr>
        <w:t xml:space="preserve">自</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日至</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日</w:t>
      </w:r>
      <w:r>
        <w:rPr>
          <w:rFonts w:hint="eastAsia" w:ascii="宋体" w:hAnsi="宋体"/>
          <w:color w:val="auto"/>
          <w:szCs w:val="21"/>
          <w:highlight w:val="none"/>
        </w:rPr>
        <w:t xml:space="preserve">。每满一年对乙方工作考核一次，若考核不合格则甲方有权终止此项合同。在合同有效期内一方不得擅自变更或中止此项合同，如未经双方同意，擅自变更或中止此项合同的一方要负违约责任。此项合同需终止或续签，应在合同期内提前半个月通知对方。</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、下列文件为本合同不可分割部分：</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）中标通知书；</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）乙方的投标文件；</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）乙方在招投标过程中所作的其它承诺、声明、书面澄清等；</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olor w:val="auto"/>
          <w:szCs w:val="21"/>
          <w:highlight w:val="none"/>
        </w:rPr>
        <w:t xml:space="preserve">）采购文件及其附件；</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）合同附件。</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以上与本合同具有同等法律效力</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二、合同价格及费用结算：</w:t>
      </w:r>
      <w:r/>
    </w:p>
    <w:p>
      <w:pPr>
        <w:pStyle w:val="696"/>
        <w:ind w:firstLine="435"/>
        <w:spacing w:line="400" w:lineRule="exact"/>
        <w:rPr>
          <w:rFonts w:hint="eastAsia" w:hAnsi="宋体" w:eastAsia="宋体"/>
          <w:color w:val="auto"/>
          <w:sz w:val="21"/>
          <w:szCs w:val="21"/>
          <w:highlight w:val="none"/>
          <w:u w:val="singl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、合同总价：</w:t>
      </w:r>
      <w:r>
        <w:rPr>
          <w:rFonts w:hAnsi="宋体" w:eastAsia="宋体"/>
          <w:color w:val="auto"/>
          <w:sz w:val="21"/>
          <w:szCs w:val="21"/>
          <w:highlight w:val="none"/>
          <w:u w:val="single"/>
        </w:rPr>
        <w:t xml:space="preserve">                     </w:t>
      </w:r>
      <w:r>
        <w:rPr>
          <w:rFonts w:hint="eastAsia" w:hAnsi="宋体" w:eastAsia="宋体"/>
          <w:color w:val="auto"/>
          <w:sz w:val="21"/>
          <w:szCs w:val="21"/>
          <w:highlight w:val="none"/>
          <w:u w:val="single"/>
        </w:rPr>
        <w:t xml:space="preserve">元整（￥</w:t>
      </w:r>
      <w:r>
        <w:rPr>
          <w:rFonts w:hAnsi="宋体" w:eastAsia="宋体"/>
          <w:color w:val="auto"/>
          <w:sz w:val="21"/>
          <w:szCs w:val="21"/>
          <w:highlight w:val="none"/>
          <w:u w:val="single"/>
        </w:rPr>
        <w:t xml:space="preserve">       .00</w:t>
      </w:r>
      <w:r>
        <w:rPr>
          <w:rFonts w:hint="eastAsia" w:hAnsi="宋体" w:eastAsia="宋体"/>
          <w:color w:val="auto"/>
          <w:sz w:val="21"/>
          <w:szCs w:val="21"/>
          <w:highlight w:val="none"/>
          <w:u w:val="single"/>
        </w:rPr>
        <w:t xml:space="preserve">）</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以上价格应包括在承包期内完成服务内容所需要的一切费用，包括但不限于所有耗品、耗材、通讯器材、服装、胸卡、办公设备、巡检器材、各种税费、人工、保险、当地最低工资基数上调、劳保、管理、维护、利润、税金及合同包含的所有风险、责任等各项应有费用。</w:t>
      </w:r>
      <w:r/>
    </w:p>
    <w:p>
      <w:pPr>
        <w:pStyle w:val="696"/>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、付款步骤：</w:t>
      </w:r>
      <w:r>
        <w:rPr>
          <w:rFonts w:hAnsi="宋体" w:eastAsia="宋体"/>
          <w:color w:val="auto"/>
          <w:sz w:val="21"/>
          <w:szCs w:val="21"/>
          <w:highlight w:val="none"/>
        </w:rPr>
        <w:t xml:space="preserve"> </w:t>
      </w:r>
      <w:r/>
    </w:p>
    <w:p>
      <w:pPr>
        <w:pStyle w:val="696"/>
        <w:ind w:firstLine="435"/>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）经甲方依据考核细则考核后</w:t>
      </w:r>
      <w:r>
        <w:rPr>
          <w:rFonts w:hint="eastAsia" w:hAnsi="宋体" w:eastAsia="宋体"/>
          <w:color w:val="auto"/>
          <w:sz w:val="21"/>
          <w:szCs w:val="21"/>
          <w:highlight w:val="none"/>
          <w:lang w:val="en-US" w:eastAsia="zh-CN"/>
        </w:rPr>
        <w:t xml:space="preserve">按月支付</w:t>
      </w:r>
      <w:r>
        <w:rPr>
          <w:rFonts w:hint="eastAsia" w:hAnsi="宋体" w:eastAsia="宋体"/>
          <w:color w:val="auto"/>
          <w:sz w:val="21"/>
          <w:szCs w:val="21"/>
          <w:highlight w:val="none"/>
        </w:rPr>
        <w:t xml:space="preserve">，乙方出具合格的发票，经甲、乙双方确认的服务合同履约报告，甲方支付相应费用。</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）如中标人对服务缺陷不予更正，招标人有权另请其他单位更正</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lang w:val="en-US" w:eastAsia="zh-CN"/>
        </w:rPr>
        <w:t xml:space="preserve">更正费用在月度费用中扣除</w:t>
      </w:r>
      <w:r>
        <w:rPr>
          <w:rFonts w:hint="eastAsia" w:hAnsi="宋体" w:eastAsia="宋体"/>
          <w:color w:val="auto"/>
          <w:sz w:val="21"/>
          <w:szCs w:val="21"/>
          <w:highlight w:val="none"/>
        </w:rPr>
        <w:t xml:space="preserve">。</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）甲方支付合同项下费用外不再承担其它任何费用（包括个人）。</w:t>
      </w:r>
      <w:r/>
    </w:p>
    <w:p>
      <w:pPr>
        <w:pStyle w:val="696"/>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乙方有责任配合甲方接受上级领导部门的监督、检查，并提供必须的材料。甲方有权对乙方进行月度考核，考核结果与当月度费用结算挂钩。具体考核方法和标准见招标文件。除合同约定外，甲方不再向乙方额外支付其他费用。</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三、服务质量与检验：</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待整个服务项目开始实施后，验收时甲乙双方派员一起当场对所提供的服务项目进行逐一验收，如发现整个服务项目与投标承诺有出入时，应作详细记录，由供方立即无条件更正，同时由供方承担因此而产生的一切后果；</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四、甲、乙双方的责任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（一）甲方责任：</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、为乙方提供办公用房、办公家具、设备</w:t>
      </w:r>
      <w:r>
        <w:rPr>
          <w:rFonts w:ascii="宋体" w:hAnsi="宋体"/>
          <w:color w:val="auto"/>
          <w:szCs w:val="21"/>
          <w:highlight w:val="none"/>
        </w:rPr>
        <w:t xml:space="preserve"> </w:t>
      </w:r>
      <w:r>
        <w:rPr>
          <w:rFonts w:hint="eastAsia" w:ascii="宋体" w:hAnsi="宋体"/>
          <w:color w:val="auto"/>
          <w:szCs w:val="21"/>
          <w:highlight w:val="none"/>
        </w:rPr>
        <w:t xml:space="preserve">及通讯、网络设施；并指定专人作为甲方联系人予以协调工作。加强与乙方</w:t>
      </w:r>
      <w:r>
        <w:rPr>
          <w:rFonts w:hint="eastAsia" w:ascii="宋体" w:hAnsi="宋体"/>
          <w:color w:val="auto"/>
          <w:szCs w:val="21"/>
          <w:highlight w:val="none"/>
          <w:lang w:eastAsia="zh-CN"/>
        </w:rPr>
        <w:t xml:space="preserve">沟通</w:t>
      </w:r>
      <w:r>
        <w:rPr>
          <w:rFonts w:hint="eastAsia" w:ascii="宋体" w:hAnsi="宋体"/>
          <w:color w:val="auto"/>
          <w:szCs w:val="21"/>
          <w:highlight w:val="none"/>
        </w:rPr>
        <w:t xml:space="preserve">，交流情况，互通信息。</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、甲方应教育所属人员尊重乙方工作人员的劳动成果，积极配合乙方工作人员履行好合同所规定的职责和义务。</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（二）乙方责任：</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、乙方在从事服务工作中应当做到文明工作、安全生产，采取必要的安全防范措施。</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、乙方应及时调整不适应工作需求的服务人员及其员工。如甲方认为该员工不能胜任本职工作的，必须调整。</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五、违约责任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（一）违约责任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合同一方不履行合同义务或者履行合同义务不符合约定的，应当承担继续履行、采取补救措施或者赔偿损失等违约责任。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（二）甲方违约责任</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、在合同生效后，甲方要求解除合同的，应向乙方偿付合同总价款</w:t>
      </w:r>
      <w:r>
        <w:rPr>
          <w:rFonts w:ascii="宋体" w:hAnsi="宋体"/>
          <w:color w:val="auto"/>
          <w:szCs w:val="21"/>
          <w:highlight w:val="none"/>
        </w:rPr>
        <w:t xml:space="preserve">1%</w:t>
      </w:r>
      <w:r>
        <w:rPr>
          <w:rFonts w:hint="eastAsia" w:ascii="宋体" w:hAnsi="宋体"/>
          <w:color w:val="auto"/>
          <w:szCs w:val="21"/>
          <w:highlight w:val="none"/>
        </w:rPr>
        <w:t xml:space="preserve">的违约金，违约金不足以补偿损失的，乙方有权要求甲方补足。</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、甲方逾期付款的应按照逾期付款金额的每天万分之四支付逾期付款违约金。</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、乙方违约责任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乙方不能履行合同从而影响甲方按期正常使用的，甲方有权解除合同，乙方向甲方偿付合同总价款</w:t>
      </w:r>
      <w:r>
        <w:rPr>
          <w:rFonts w:ascii="宋体" w:hAnsi="宋体"/>
          <w:color w:val="auto"/>
          <w:szCs w:val="21"/>
          <w:highlight w:val="none"/>
        </w:rPr>
        <w:t xml:space="preserve">1%</w:t>
      </w:r>
      <w:r>
        <w:rPr>
          <w:rFonts w:hint="eastAsia" w:ascii="宋体" w:hAnsi="宋体"/>
          <w:color w:val="auto"/>
          <w:szCs w:val="21"/>
          <w:highlight w:val="none"/>
        </w:rPr>
        <w:t xml:space="preserve">的违约金，违约金不足以补偿损失的甲方有权要求乙方补足。</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、不可抗力</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）因不可抗力不能履行合同的，根据不可抗力的影响，部分或者全部免除责任。但合同一方迟延履行后发生不可抗力的，不能免除责任。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）合同一方因不可抗力不能履行合同的，应当及时通知对方，以减轻可能给对方造成的损失，并应当在合理期限内提供证明。</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六、合同的解除和转让</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（一）合同的解除</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、有下列情形之一，合同一方可以解除合同：</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）因不可抗力致使不能实现合同目的，未受不可抗力影响的一方有权解除合同；</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）因合同一方违约导致合同不能履行，另一方有权解除合同；</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、有权解除合同的一方，应当在违约事实或不可抗力发生之后三十天内书面通知对方以主张解除合同，合同在书面通知到达对方时解除。</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（二）合同的转让</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合同的全部不得转让。</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七、合同生效及其它：</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、合同经甲乙双方代表签字并加盖公章（或合同章）后生效。</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、合同在执行过程中出现的未尽事宜，双方在不违背本合同和采购文件的原则下协商解决，协商结果以书面形式盖章记录在案，作为本合同的附件，与本合同具有同等效力，但需向采购代理方提交二份备存。</w:t>
      </w:r>
      <w:r/>
    </w:p>
    <w:p>
      <w:pPr>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八</w:t>
      </w:r>
      <w:r>
        <w:rPr>
          <w:rFonts w:hint="eastAsia" w:ascii="宋体" w:hAnsi="宋体"/>
          <w:b w:val="0"/>
          <w:bCs w:val="0"/>
          <w:color w:val="auto"/>
          <w:szCs w:val="21"/>
          <w:highlight w:val="none"/>
        </w:rPr>
        <w:t xml:space="preserve">、争议解决</w:t>
      </w:r>
      <w:r/>
    </w:p>
    <w:p>
      <w:pPr>
        <w:ind w:firstLine="420"/>
        <w:spacing w:line="400" w:lineRule="exact"/>
        <w:rPr>
          <w:rFonts w:hint="eastAsia"/>
          <w:color w:val="auto"/>
          <w:highlight w:val="none"/>
        </w:rPr>
      </w:pPr>
      <w:r>
        <w:rPr>
          <w:rFonts w:hint="eastAsia" w:ascii="宋体" w:hAnsi="宋体"/>
          <w:color w:val="auto"/>
          <w:szCs w:val="21"/>
          <w:highlight w:val="none"/>
        </w:rPr>
        <w:t xml:space="preserve">甲乙双方因合同发生争议，应在代理机构的主持下进行调解，协商不成，任何一方可以向甲方所在地人民法院起诉。</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九</w:t>
      </w:r>
      <w:r>
        <w:rPr>
          <w:rFonts w:hint="eastAsia" w:ascii="宋体" w:hAnsi="宋体"/>
          <w:color w:val="auto"/>
          <w:szCs w:val="21"/>
          <w:highlight w:val="none"/>
        </w:rPr>
        <w:t xml:space="preserve">、附则</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、合同份数</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lang w:val="en-US" w:eastAsia="zh-CN"/>
        </w:rPr>
        <w:t xml:space="preserve">五</w:t>
      </w:r>
      <w:r>
        <w:rPr>
          <w:rFonts w:hint="eastAsia" w:ascii="宋体" w:hAnsi="宋体"/>
          <w:color w:val="auto"/>
          <w:szCs w:val="21"/>
          <w:highlight w:val="none"/>
        </w:rPr>
        <w:t xml:space="preserve">份，甲乙双方各执</w:t>
      </w:r>
      <w:r>
        <w:rPr>
          <w:rFonts w:hint="eastAsia" w:ascii="宋体" w:hAnsi="宋体"/>
          <w:color w:val="auto"/>
          <w:szCs w:val="21"/>
          <w:highlight w:val="none"/>
          <w:lang w:val="en-US" w:eastAsia="zh-CN"/>
        </w:rPr>
        <w:t xml:space="preserve">两份</w:t>
      </w:r>
      <w:r>
        <w:rPr>
          <w:rFonts w:hint="eastAsia" w:ascii="宋体" w:hAnsi="宋体"/>
          <w:color w:val="auto"/>
          <w:szCs w:val="21"/>
          <w:highlight w:val="none"/>
        </w:rPr>
        <w:t xml:space="preserve">，采购代理机构一份。</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、未尽事宜</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本合同未尽事宜应按《中华人民共和国政府采购法》以及</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相关法律、法规之规定解释。</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甲</w:t>
      </w:r>
      <w:r>
        <w:rPr>
          <w:rFonts w:ascii="宋体" w:hAnsi="宋体"/>
          <w:color w:val="auto"/>
          <w:szCs w:val="21"/>
          <w:highlight w:val="none"/>
        </w:rPr>
        <w:t xml:space="preserve"> </w:t>
      </w:r>
      <w:r>
        <w:rPr>
          <w:rFonts w:hint="eastAsia" w:ascii="宋体" w:hAnsi="宋体"/>
          <w:color w:val="auto"/>
          <w:szCs w:val="21"/>
          <w:highlight w:val="none"/>
        </w:rPr>
        <w:t xml:space="preserve">方：（公章或合同章）</w:t>
      </w:r>
      <w:r>
        <w:rPr>
          <w:rFonts w:ascii="宋体" w:hAnsi="宋体"/>
          <w:color w:val="auto"/>
          <w:szCs w:val="21"/>
          <w:highlight w:val="none"/>
        </w:rPr>
        <w:t xml:space="preserve">                                           </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甲方代表签字：</w:t>
      </w:r>
      <w:r>
        <w:rPr>
          <w:rFonts w:ascii="宋体" w:hAnsi="宋体"/>
          <w:color w:val="auto"/>
          <w:szCs w:val="21"/>
          <w:highlight w:val="none"/>
        </w:rPr>
        <w:t xml:space="preserve">    </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乙</w:t>
      </w:r>
      <w:r>
        <w:rPr>
          <w:rFonts w:ascii="宋体" w:hAnsi="宋体"/>
          <w:color w:val="auto"/>
          <w:szCs w:val="21"/>
          <w:highlight w:val="none"/>
        </w:rPr>
        <w:t xml:space="preserve"> </w:t>
      </w:r>
      <w:r>
        <w:rPr>
          <w:rFonts w:hint="eastAsia" w:ascii="宋体" w:hAnsi="宋体"/>
          <w:color w:val="auto"/>
          <w:szCs w:val="21"/>
          <w:highlight w:val="none"/>
        </w:rPr>
        <w:t xml:space="preserve">方：（公章或合同章）</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乙方代表签字：</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合同签订日期：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ind w:firstLine="420"/>
        <w:jc w:val="center"/>
        <w:spacing w:line="400" w:lineRule="exact"/>
        <w:rPr>
          <w:rFonts w:hint="eastAsia" w:ascii="宋体" w:hAnsi="宋体"/>
          <w:b/>
          <w:bCs/>
          <w:color w:val="auto"/>
          <w:szCs w:val="21"/>
          <w:highlight w:val="none"/>
        </w:rPr>
      </w:pPr>
      <w:r>
        <w:rPr>
          <w:rFonts w:ascii="宋体" w:hAnsi="宋体"/>
          <w:color w:val="auto"/>
          <w:szCs w:val="21"/>
          <w:highlight w:val="none"/>
        </w:rPr>
        <w:br w:type="page" w:clear="all"/>
      </w:r>
      <w:bookmarkEnd w:id="14"/>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一、评标方法：</w:t>
      </w:r>
      <w:r/>
    </w:p>
    <w:p>
      <w:pPr>
        <w:pStyle w:val="69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2、综合评分的主要因素为：</w:t>
      </w:r>
      <w:r>
        <w:rPr>
          <w:rFonts w:hint="eastAsia" w:ascii="宋体" w:hAnsi="宋体"/>
          <w:color w:val="auto"/>
          <w:szCs w:val="21"/>
          <w:highlight w:val="none"/>
        </w:rPr>
        <w:t xml:space="preserve">价格、服务技术水平、履约能力、售后服务</w:t>
      </w:r>
      <w:r>
        <w:rPr>
          <w:rFonts w:hint="eastAsia" w:ascii="宋体" w:hAnsi="宋体"/>
          <w:color w:val="auto"/>
          <w:highlight w:val="none"/>
        </w:rPr>
        <w:t xml:space="preserve">等对采购文件的响应程度，以及相应的商务标和技术标比重或者分值等。</w:t>
      </w:r>
      <w:r/>
    </w:p>
    <w:p>
      <w:pPr>
        <w:ind w:firstLine="420"/>
        <w:spacing w:line="400" w:lineRule="exact"/>
        <w:rPr>
          <w:rFonts w:hint="eastAsia" w:ascii="宋体" w:hAnsi="宋体"/>
          <w:color w:val="auto"/>
          <w:szCs w:val="21"/>
          <w:highlight w:val="none"/>
        </w:rPr>
      </w:pPr>
      <w:r>
        <w:rPr>
          <w:rFonts w:hint="eastAsia" w:ascii="宋体" w:hAnsi="宋体"/>
          <w:color w:val="auto"/>
          <w:highlight w:val="none"/>
        </w:rPr>
        <w:t xml:space="preserve">3、</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696"/>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二、政策性文件加分说明：</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（一）专门面向中小企业采购的采购包：（第一、二、四、七采购包）</w:t>
      </w:r>
      <w:r/>
    </w:p>
    <w:p>
      <w:pPr>
        <w:ind w:firstLine="420"/>
        <w:jc w:val="left"/>
        <w:spacing w:line="380" w:lineRule="exact"/>
        <w:widowControl/>
        <w:rPr>
          <w:rFonts w:hint="eastAsia" w:ascii="宋体" w:hAnsi="宋体"/>
          <w:color w:val="auto"/>
          <w:highlight w:val="none"/>
        </w:rPr>
      </w:pPr>
      <w:r>
        <w:rPr>
          <w:rFonts w:hint="eastAsia" w:ascii="宋体" w:hAnsi="宋体"/>
          <w:color w:val="auto"/>
          <w:szCs w:val="21"/>
          <w:highlight w:val="none"/>
        </w:rPr>
        <w:t xml:space="preserve">本项目</w:t>
      </w:r>
      <w:r>
        <w:rPr>
          <w:rFonts w:hint="eastAsia" w:ascii="宋体" w:hAnsi="宋体"/>
          <w:color w:val="auto"/>
          <w:highlight w:val="none"/>
        </w:rPr>
        <w:t xml:space="preserve">第一、二、四、七采购包专门面向中小企业采购。</w:t>
      </w:r>
      <w:r>
        <w:rPr>
          <w:rFonts w:hint="eastAsia" w:ascii="宋体" w:hAnsi="宋体"/>
          <w:color w:val="auto"/>
          <w:szCs w:val="21"/>
          <w:highlight w:val="none"/>
        </w:rPr>
        <w:t xml:space="preserve">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u w:val="single"/>
        </w:rPr>
        <w:t xml:space="preserve">投标人应如实、完整填报《中小企业声明函》，否则为无效投标</w:t>
      </w:r>
      <w:r>
        <w:rPr>
          <w:rFonts w:hint="eastAsia" w:ascii="宋体" w:hAnsi="宋体"/>
          <w:color w:val="auto"/>
          <w:szCs w:val="21"/>
          <w:highlight w:val="none"/>
        </w:rPr>
        <w:t xml:space="preserve">。</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残疾人福利性单位填报《残疾人福利性单位声明函》、监狱企业提供由省级以上监狱管理局、戒毒管理局（含新疆生产建设兵团）出具的属于监狱企业的证明文件。</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投标人获得政府采购合同的，小微企业不得将合同分包给大中型企业，中型企业不得将合同分包给大型企业。</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投标人如属于监狱企业、残疾人企业的视同中小企业。</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如投标人提供虚假材料，将按“政府采购法”相关规定处理并由政府监管部门给予严肃处理。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（二）非专门面向中小企业采购的采购包：（采购包3、采购包5</w:t>
      </w:r>
      <w:r>
        <w:rPr>
          <w:rFonts w:hint="eastAsia" w:ascii="宋体" w:hAnsi="宋体"/>
          <w:color w:val="auto"/>
          <w:highlight w:val="none"/>
          <w:lang w:eastAsia="zh-CN"/>
        </w:rPr>
        <w:t xml:space="preserve">、</w:t>
      </w:r>
      <w:r>
        <w:rPr>
          <w:rFonts w:hint="eastAsia" w:ascii="宋体" w:hAnsi="宋体"/>
          <w:color w:val="auto"/>
          <w:highlight w:val="none"/>
        </w:rPr>
        <w:t xml:space="preserve">采购包6）</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项目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w:t>
      </w:r>
      <w:r>
        <w:rPr>
          <w:rFonts w:hint="eastAsia" w:ascii="宋体" w:hAnsi="宋体"/>
          <w:color w:val="auto"/>
          <w:highlight w:val="none"/>
        </w:rPr>
        <w:t xml:space="preserve">有关规定。在本次服务采购项目中，服务由小型或微型企业承接，即提供服务的人员为小型或微型企业依照《中华人民共和国民法典》订立劳动合同的从业人员，其</w:t>
      </w:r>
      <w:r>
        <w:rPr>
          <w:rFonts w:hint="eastAsia" w:ascii="宋体" w:hAnsi="宋体"/>
          <w:color w:val="auto"/>
          <w:highlight w:val="none"/>
          <w:u w:val="single"/>
        </w:rPr>
        <w:t xml:space="preserve">投标报价在评审时给予</w:t>
      </w:r>
      <w:r>
        <w:rPr>
          <w:rFonts w:ascii="宋体" w:hAnsi="宋体"/>
          <w:color w:val="auto"/>
          <w:highlight w:val="none"/>
          <w:u w:val="single"/>
        </w:rPr>
        <w:t xml:space="preserve">2</w:t>
      </w:r>
      <w:r>
        <w:rPr>
          <w:rFonts w:hint="eastAsia" w:ascii="宋体" w:hAnsi="宋体"/>
          <w:color w:val="auto"/>
          <w:highlight w:val="none"/>
          <w:u w:val="single"/>
        </w:rPr>
        <w:t xml:space="preserve">0%的扣除，用扣除后的价格参与价格评审</w:t>
      </w:r>
      <w:r>
        <w:rPr>
          <w:rFonts w:hint="eastAsia" w:ascii="宋体" w:hAnsi="宋体"/>
          <w:color w:val="auto"/>
          <w:highlight w:val="none"/>
        </w:rPr>
        <w:t xml:space="preserve">。</w:t>
      </w:r>
      <w:r>
        <w:rPr>
          <w:rFonts w:hint="eastAsia" w:ascii="宋体" w:hAnsi="宋体"/>
          <w:color w:val="auto"/>
          <w:szCs w:val="21"/>
          <w:highlight w:val="none"/>
        </w:rPr>
        <w:t xml:space="preserve">如扣除后的价格为最低投标报价的，则作为评审基准价，若最后中标，中标价格则以实际投标价格为准。</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残疾人企业和监狱企业视同小微企业，享受价格评审优惠政策。</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残疾人企业和监狱企业属于小型、微型企业的，不重复享受价格评审优惠政策。</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w:t>
      </w:r>
      <w:r>
        <w:rPr>
          <w:rFonts w:hint="eastAsia" w:ascii="宋体" w:hAnsi="宋体"/>
          <w:color w:val="auto"/>
          <w:szCs w:val="21"/>
          <w:highlight w:val="none"/>
          <w:lang w:eastAsia="zh-CN"/>
        </w:rPr>
        <w:t xml:space="preserve">《中华人民共和国政府采购法》</w:t>
      </w:r>
      <w:r>
        <w:rPr>
          <w:rFonts w:hint="eastAsia" w:ascii="宋体" w:hAnsi="宋体"/>
          <w:color w:val="auto"/>
          <w:szCs w:val="21"/>
          <w:highlight w:val="none"/>
        </w:rPr>
        <w:t xml:space="preserve">第七十七条第一款的规定追究法律责任。在投标文件中未提供相关材料、资料的，不享受评审优惠政策。</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如投标人提供虚假材料，将按</w:t>
      </w:r>
      <w:r>
        <w:rPr>
          <w:rFonts w:ascii="宋体" w:hAnsi="宋体"/>
          <w:color w:val="auto"/>
          <w:szCs w:val="21"/>
          <w:highlight w:val="none"/>
        </w:rPr>
        <w:t xml:space="preserve">“</w:t>
      </w:r>
      <w:r>
        <w:rPr>
          <w:rFonts w:hint="eastAsia" w:ascii="宋体" w:hAnsi="宋体"/>
          <w:color w:val="auto"/>
          <w:szCs w:val="21"/>
          <w:highlight w:val="none"/>
        </w:rPr>
        <w:t xml:space="preserve">政府采购法</w:t>
      </w:r>
      <w:r>
        <w:rPr>
          <w:rFonts w:ascii="宋体" w:hAnsi="宋体"/>
          <w:color w:val="auto"/>
          <w:szCs w:val="21"/>
          <w:highlight w:val="none"/>
        </w:rPr>
        <w:t xml:space="preserve">”</w:t>
      </w:r>
      <w:r>
        <w:rPr>
          <w:rFonts w:hint="eastAsia" w:ascii="宋体" w:hAnsi="宋体"/>
          <w:color w:val="auto"/>
          <w:szCs w:val="21"/>
          <w:highlight w:val="none"/>
        </w:rPr>
        <w:t xml:space="preserve">相关规定处理并由政府监管部门给予严肃处理。</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三、评分标准：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采购包1：保安服务及车辆管理服务</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（一）价格分：（15分）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以进入评标程序、满足采购文件要求且报价最低的投标报价为评标基准价（须未超过采购预算价和最高限价），其价格分为满分15分。其他投标人的价格分统一按照下列公式计算：</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投标报价得分=（评标基准价/投标报价）X价格权值X100（价格权值为15%）</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（二）服务技术方案（</w:t>
      </w:r>
      <w:r>
        <w:rPr>
          <w:rFonts w:hint="eastAsia" w:ascii="宋体" w:hAnsi="宋体"/>
          <w:b/>
          <w:bCs/>
          <w:color w:val="auto"/>
          <w:szCs w:val="21"/>
          <w:highlight w:val="none"/>
          <w:lang w:val="en-US" w:eastAsia="zh-CN"/>
        </w:rPr>
        <w:t xml:space="preserve">70</w:t>
      </w:r>
      <w:r>
        <w:rPr>
          <w:rFonts w:hint="eastAsia" w:ascii="宋体" w:hAnsi="宋体"/>
          <w:b/>
          <w:bCs/>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1、服务总体模式与项目管理运作设计方案（</w:t>
      </w:r>
      <w:r>
        <w:rPr>
          <w:rFonts w:hint="eastAsia" w:ascii="宋体" w:hAnsi="宋体"/>
          <w:b w:val="0"/>
          <w:bCs w:val="0"/>
          <w:color w:val="auto"/>
          <w:szCs w:val="21"/>
          <w:highlight w:val="none"/>
          <w:lang w:val="en-US" w:eastAsia="zh-CN"/>
        </w:rPr>
        <w:t xml:space="preserve">8</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服务总体模式与设计方案完整详细得</w:t>
      </w:r>
      <w:r>
        <w:rPr>
          <w:rFonts w:hint="eastAsia" w:ascii="宋体" w:hAnsi="宋体"/>
          <w:b w:val="0"/>
          <w:bCs w:val="0"/>
          <w:color w:val="auto"/>
          <w:szCs w:val="21"/>
          <w:highlight w:val="none"/>
          <w:lang w:val="en-US" w:eastAsia="zh-CN"/>
        </w:rPr>
        <w:t xml:space="preserve">8</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服务总体模式与设计方案简单基本满足本项目要求得</w:t>
      </w:r>
      <w:r>
        <w:rPr>
          <w:rFonts w:hint="eastAsia" w:ascii="宋体" w:hAnsi="宋体"/>
          <w:b w:val="0"/>
          <w:bCs w:val="0"/>
          <w:color w:val="auto"/>
          <w:szCs w:val="21"/>
          <w:highlight w:val="none"/>
          <w:lang w:val="en-US" w:eastAsia="zh-CN"/>
        </w:rPr>
        <w:t xml:space="preserve">5</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方案可操作性有缺陷的得</w:t>
      </w:r>
      <w:r>
        <w:rPr>
          <w:rFonts w:hint="eastAsia" w:ascii="宋体" w:hAnsi="宋体"/>
          <w:b w:val="0"/>
          <w:bCs w:val="0"/>
          <w:color w:val="auto"/>
          <w:szCs w:val="21"/>
          <w:highlight w:val="none"/>
          <w:lang w:val="en-US" w:eastAsia="zh-CN"/>
        </w:rPr>
        <w:t xml:space="preserve">2</w:t>
      </w:r>
      <w:r>
        <w:rPr>
          <w:rFonts w:hint="eastAsia" w:ascii="宋体" w:hAnsi="宋体"/>
          <w:b w:val="0"/>
          <w:bCs w:val="0"/>
          <w:color w:val="auto"/>
          <w:szCs w:val="21"/>
          <w:highlight w:val="none"/>
        </w:rPr>
        <w:t xml:space="preserve">分；无相关内容不得分；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2、服务管理工作组织计划方案及管理方案（18分）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（1）详细的岗位安排计划（</w:t>
      </w:r>
      <w:r>
        <w:rPr>
          <w:rFonts w:hint="eastAsia" w:ascii="宋体" w:hAnsi="宋体"/>
          <w:b w:val="0"/>
          <w:bCs w:val="0"/>
          <w:color w:val="auto"/>
          <w:szCs w:val="21"/>
          <w:highlight w:val="none"/>
          <w:lang w:val="en-US" w:eastAsia="zh-CN"/>
        </w:rPr>
        <w:t xml:space="preserve">6</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所设置的岗位能完全满足项目需求方案，方案完整合理得</w:t>
      </w:r>
      <w:r>
        <w:rPr>
          <w:rFonts w:hint="eastAsia" w:ascii="宋体" w:hAnsi="宋体"/>
          <w:b w:val="0"/>
          <w:bCs w:val="0"/>
          <w:color w:val="auto"/>
          <w:szCs w:val="21"/>
          <w:highlight w:val="none"/>
          <w:lang w:val="en-US" w:eastAsia="zh-CN"/>
        </w:rPr>
        <w:t xml:space="preserve">6</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所设置的岗位基本满足项目需求，方案可操作性一般的</w:t>
      </w:r>
      <w:r>
        <w:rPr>
          <w:rFonts w:hint="eastAsia" w:ascii="宋体" w:hAnsi="宋体"/>
          <w:b w:val="0"/>
          <w:bCs w:val="0"/>
          <w:color w:val="auto"/>
          <w:szCs w:val="21"/>
          <w:highlight w:val="none"/>
          <w:lang w:val="en-US" w:eastAsia="zh-CN"/>
        </w:rPr>
        <w:t xml:space="preserve">3</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所设置的岗位配置方案有缺陷的得</w:t>
      </w:r>
      <w:r>
        <w:rPr>
          <w:rFonts w:hint="eastAsia" w:ascii="宋体" w:hAnsi="宋体"/>
          <w:b w:val="0"/>
          <w:bCs w:val="0"/>
          <w:color w:val="auto"/>
          <w:szCs w:val="21"/>
          <w:highlight w:val="none"/>
          <w:lang w:val="en-US" w:eastAsia="zh-CN"/>
        </w:rPr>
        <w:t xml:space="preserve">1</w:t>
      </w:r>
      <w:r>
        <w:rPr>
          <w:rFonts w:hint="eastAsia" w:ascii="宋体" w:hAnsi="宋体"/>
          <w:b w:val="0"/>
          <w:bCs w:val="0"/>
          <w:color w:val="auto"/>
          <w:szCs w:val="21"/>
          <w:highlight w:val="none"/>
        </w:rPr>
        <w:t xml:space="preserve">分；无相关内容不得分；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（2）岗位管理方案比较（</w:t>
      </w:r>
      <w:r>
        <w:rPr>
          <w:rFonts w:hint="eastAsia" w:ascii="宋体" w:hAnsi="宋体"/>
          <w:b w:val="0"/>
          <w:bCs w:val="0"/>
          <w:color w:val="auto"/>
          <w:szCs w:val="21"/>
          <w:highlight w:val="none"/>
          <w:lang w:val="en-US" w:eastAsia="zh-CN"/>
        </w:rPr>
        <w:t xml:space="preserve">12</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2.1有各个岗位的具体工作职责方案（6分）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方案合理，科学，完整的得6分；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方案基本满足本项目要求的得3分；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方案可操作性有缺陷的得1分；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无相关内容不得分；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2.2岗位管理方案（</w:t>
      </w:r>
      <w:r>
        <w:rPr>
          <w:rFonts w:hint="eastAsia" w:ascii="宋体" w:hAnsi="宋体"/>
          <w:b w:val="0"/>
          <w:bCs w:val="0"/>
          <w:color w:val="auto"/>
          <w:szCs w:val="21"/>
          <w:highlight w:val="none"/>
          <w:lang w:val="en-US" w:eastAsia="zh-CN"/>
        </w:rPr>
        <w:t xml:space="preserve">6</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方案合理，科学，完整的得</w:t>
      </w:r>
      <w:r>
        <w:rPr>
          <w:rFonts w:hint="eastAsia" w:ascii="宋体" w:hAnsi="宋体"/>
          <w:b w:val="0"/>
          <w:bCs w:val="0"/>
          <w:color w:val="auto"/>
          <w:szCs w:val="21"/>
          <w:highlight w:val="none"/>
          <w:lang w:val="en-US" w:eastAsia="zh-CN"/>
        </w:rPr>
        <w:t xml:space="preserve">6</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方案基本满足本项目要求的得</w:t>
      </w:r>
      <w:r>
        <w:rPr>
          <w:rFonts w:hint="eastAsia" w:ascii="宋体" w:hAnsi="宋体"/>
          <w:b w:val="0"/>
          <w:bCs w:val="0"/>
          <w:color w:val="auto"/>
          <w:szCs w:val="21"/>
          <w:highlight w:val="none"/>
          <w:lang w:val="en-US" w:eastAsia="zh-CN"/>
        </w:rPr>
        <w:t xml:space="preserve">3</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方案可操作性有缺陷的得1分；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无相关内容不得分；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3、服务管理工作具体实施方案（</w:t>
      </w:r>
      <w:r>
        <w:rPr>
          <w:rFonts w:hint="eastAsia" w:ascii="宋体" w:hAnsi="宋体"/>
          <w:b w:val="0"/>
          <w:bCs w:val="0"/>
          <w:color w:val="auto"/>
          <w:szCs w:val="21"/>
          <w:highlight w:val="none"/>
          <w:lang w:val="en-US" w:eastAsia="zh-CN"/>
        </w:rPr>
        <w:t xml:space="preserve">18</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（1）服务人员的日常服务标准及考核监管措施（6分）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1.1有详细的、并适用本项目的日常服务标准方案（3分）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方案合理，科学，完整的得3分；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方案基本满足本项目要求的得1分；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方案可操作性有缺陷或无相关内容不得分；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1.2有可行的考核监管措施（3分）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方案合理，科学，完整的得3分；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方案基本满足本项目要求的得1分；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方案可操作性有缺陷或无相关内容不得分；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（2）消防安全管理及义务消防队、微型消防站共建方案（6分）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有针对本项目的消防安全管理措施</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可操作性的义务消防队组建与管理措施</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微型消防站共建方案</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方案内容合理完整，每项得2分；</w:t>
      </w:r>
      <w:r>
        <w:rPr>
          <w:rFonts w:hint="eastAsia" w:ascii="宋体" w:hAnsi="宋体"/>
          <w:b w:val="0"/>
          <w:bCs w:val="0"/>
          <w:color w:val="auto"/>
          <w:szCs w:val="21"/>
          <w:highlight w:val="none"/>
        </w:rPr>
        <w:t xml:space="preserve">方案可操作性有缺陷或无相关内容不得分；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（3）工作人员所用设备、器材的配备方案（</w:t>
      </w:r>
      <w:r>
        <w:rPr>
          <w:rFonts w:hint="eastAsia" w:ascii="宋体" w:hAnsi="宋体"/>
          <w:b w:val="0"/>
          <w:bCs w:val="0"/>
          <w:color w:val="auto"/>
          <w:szCs w:val="21"/>
          <w:highlight w:val="none"/>
          <w:lang w:val="en-US" w:eastAsia="zh-CN"/>
        </w:rPr>
        <w:t xml:space="preserve">6</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设备配备内容完整齐全的得</w:t>
      </w:r>
      <w:r>
        <w:rPr>
          <w:rFonts w:hint="eastAsia" w:ascii="宋体" w:hAnsi="宋体"/>
          <w:b w:val="0"/>
          <w:bCs w:val="0"/>
          <w:color w:val="auto"/>
          <w:szCs w:val="21"/>
          <w:highlight w:val="none"/>
          <w:lang w:val="en-US" w:eastAsia="zh-CN"/>
        </w:rPr>
        <w:t xml:space="preserve">6</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设备配备内容有缺陷基本满足本项目要求的</w:t>
      </w:r>
      <w:r>
        <w:rPr>
          <w:rFonts w:hint="eastAsia" w:ascii="宋体" w:hAnsi="宋体"/>
          <w:b w:val="0"/>
          <w:bCs w:val="0"/>
          <w:color w:val="auto"/>
          <w:szCs w:val="21"/>
          <w:highlight w:val="none"/>
          <w:lang w:val="en-US" w:eastAsia="zh-CN"/>
        </w:rPr>
        <w:t xml:space="preserve">3</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设备配备内容不符合本项目要求得0分；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4、人员配置合理性及人员素质比较（1</w:t>
      </w:r>
      <w:r>
        <w:rPr>
          <w:rFonts w:hint="eastAsia" w:ascii="宋体" w:hAnsi="宋体"/>
          <w:b w:val="0"/>
          <w:bCs w:val="0"/>
          <w:color w:val="auto"/>
          <w:szCs w:val="21"/>
          <w:highlight w:val="none"/>
          <w:lang w:val="en-US" w:eastAsia="zh-CN"/>
        </w:rPr>
        <w:t xml:space="preserve">0</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eastAsia="宋体"/>
          <w:color w:val="auto"/>
          <w:szCs w:val="21"/>
          <w:highlight w:val="none"/>
          <w:lang w:eastAsia="zh-CN"/>
        </w:rPr>
      </w:pPr>
      <w:r>
        <w:rPr>
          <w:rFonts w:hint="eastAsia" w:ascii="宋体" w:hAnsi="宋体"/>
          <w:b w:val="0"/>
          <w:bCs w:val="0"/>
          <w:color w:val="auto"/>
          <w:szCs w:val="21"/>
          <w:highlight w:val="none"/>
        </w:rPr>
        <w:t xml:space="preserve">（1）项目经理配置（5分）：</w:t>
      </w:r>
      <w:r>
        <w:rPr>
          <w:rFonts w:hint="eastAsia" w:ascii="宋体" w:hAnsi="宋体"/>
          <w:color w:val="auto"/>
          <w:szCs w:val="21"/>
          <w:highlight w:val="none"/>
          <w:lang w:val="en-US" w:eastAsia="zh-CN"/>
        </w:rPr>
        <w:t xml:space="preserve">具有</w:t>
      </w:r>
      <w:r>
        <w:rPr>
          <w:rFonts w:hint="eastAsia" w:ascii="宋体" w:hAnsi="宋体"/>
          <w:color w:val="auto"/>
          <w:szCs w:val="21"/>
          <w:highlight w:val="none"/>
        </w:rPr>
        <w:t xml:space="preserve">本科及以上学历</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人力资源和社会保障厅颁发的</w:t>
      </w:r>
      <w:r>
        <w:rPr>
          <w:rFonts w:hint="eastAsia" w:ascii="宋体" w:hAnsi="宋体"/>
          <w:color w:val="auto"/>
          <w:szCs w:val="21"/>
          <w:highlight w:val="none"/>
        </w:rPr>
        <w:t xml:space="preserve">保安员证书</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中级职称及以上、高级</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三</w:t>
      </w:r>
      <w:r>
        <w:rPr>
          <w:rFonts w:hint="eastAsia" w:ascii="宋体" w:hAnsi="宋体"/>
          <w:color w:val="auto"/>
          <w:szCs w:val="21"/>
          <w:highlight w:val="none"/>
        </w:rPr>
        <w:t xml:space="preserve">级）及以上“建（构）筑物消防员”或“消防设施操作员”证书</w:t>
      </w:r>
      <w:r>
        <w:rPr>
          <w:rFonts w:hint="eastAsia" w:ascii="宋体" w:hAnsi="宋体"/>
          <w:color w:val="auto"/>
          <w:szCs w:val="21"/>
          <w:highlight w:val="none"/>
          <w:lang w:val="en-US" w:eastAsia="zh-CN"/>
        </w:rPr>
        <w:t xml:space="preserve">、市级政府主管部门颁发的个人表彰证书，</w:t>
      </w:r>
      <w:r>
        <w:rPr>
          <w:rFonts w:hint="eastAsia" w:ascii="宋体" w:hAnsi="宋体"/>
          <w:color w:val="auto"/>
          <w:szCs w:val="21"/>
          <w:highlight w:val="none"/>
        </w:rPr>
        <w:t xml:space="preserve">有一个证书得1分。（投标文件中提供劳动合同及</w:t>
      </w:r>
      <w:r>
        <w:rPr>
          <w:rFonts w:hint="eastAsia" w:ascii="宋体" w:hAnsi="宋体"/>
          <w:color w:val="auto"/>
          <w:szCs w:val="21"/>
          <w:highlight w:val="none"/>
          <w:lang w:val="en-US" w:eastAsia="zh-CN"/>
        </w:rPr>
        <w:t xml:space="preserve">一个月</w:t>
      </w:r>
      <w:r>
        <w:rPr>
          <w:rFonts w:hint="eastAsia" w:ascii="宋体" w:hAnsi="宋体"/>
          <w:color w:val="auto"/>
          <w:szCs w:val="21"/>
          <w:highlight w:val="none"/>
        </w:rPr>
        <w:t xml:space="preserve">的社保证明复印件，材料提供不全或未提供不得分。）</w:t>
      </w:r>
      <w:r/>
    </w:p>
    <w:p>
      <w:pPr>
        <w:ind w:firstLine="420"/>
        <w:spacing w:line="400" w:lineRule="exact"/>
        <w:rPr>
          <w:rFonts w:hint="eastAsia" w:ascii="宋体" w:hAnsi="宋体"/>
          <w:color w:val="auto"/>
          <w:szCs w:val="21"/>
          <w:highlight w:val="none"/>
          <w:lang w:eastAsia="zh-CN"/>
        </w:rPr>
      </w:pPr>
      <w:r>
        <w:rPr>
          <w:rFonts w:hint="eastAsia" w:ascii="宋体" w:hAnsi="宋体"/>
          <w:color w:val="auto"/>
          <w:szCs w:val="21"/>
          <w:highlight w:val="none"/>
        </w:rPr>
        <w:t xml:space="preserve">（2）拟派保安主管素质比较（</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具有本科及以上学历，</w:t>
      </w:r>
      <w:r>
        <w:rPr>
          <w:rFonts w:hint="eastAsia" w:ascii="宋体" w:hAnsi="宋体"/>
          <w:color w:val="auto"/>
          <w:szCs w:val="21"/>
          <w:highlight w:val="none"/>
        </w:rPr>
        <w:t xml:space="preserve">人力资源和社会保障厅颁发的</w:t>
      </w:r>
      <w:r>
        <w:rPr>
          <w:rFonts w:hint="eastAsia" w:ascii="宋体" w:hAnsi="宋体"/>
          <w:color w:val="auto"/>
          <w:szCs w:val="21"/>
          <w:highlight w:val="none"/>
          <w:lang w:val="en-US" w:eastAsia="zh-CN"/>
        </w:rPr>
        <w:t xml:space="preserve">保</w:t>
      </w:r>
      <w:r>
        <w:rPr>
          <w:rFonts w:hint="eastAsia" w:ascii="宋体" w:hAnsi="宋体"/>
          <w:color w:val="auto"/>
          <w:szCs w:val="21"/>
          <w:highlight w:val="none"/>
        </w:rPr>
        <w:t xml:space="preserve">安员证书、</w:t>
      </w:r>
      <w:r>
        <w:rPr>
          <w:rFonts w:hint="eastAsia" w:ascii="宋体" w:hAnsi="宋体"/>
          <w:color w:val="auto"/>
          <w:szCs w:val="21"/>
          <w:highlight w:val="none"/>
          <w:lang w:val="en-US" w:eastAsia="zh-CN"/>
        </w:rPr>
        <w:t xml:space="preserve">四</w:t>
      </w:r>
      <w:r>
        <w:rPr>
          <w:rFonts w:hint="eastAsia" w:ascii="宋体" w:hAnsi="宋体"/>
          <w:color w:val="auto"/>
          <w:szCs w:val="21"/>
          <w:highlight w:val="none"/>
        </w:rPr>
        <w:t xml:space="preserve">级</w:t>
      </w:r>
      <w:r>
        <w:rPr>
          <w:rFonts w:hint="eastAsia" w:ascii="宋体" w:hAnsi="宋体"/>
          <w:color w:val="auto"/>
          <w:szCs w:val="21"/>
          <w:highlight w:val="none"/>
          <w:lang w:val="en-US" w:eastAsia="zh-CN"/>
        </w:rPr>
        <w:t xml:space="preserve">/中级工技能建（构）筑物消防员</w:t>
      </w:r>
      <w:r>
        <w:rPr>
          <w:rFonts w:hint="eastAsia" w:ascii="宋体" w:hAnsi="宋体"/>
          <w:color w:val="auto"/>
          <w:szCs w:val="21"/>
          <w:highlight w:val="none"/>
        </w:rPr>
        <w:t xml:space="preserve">及</w:t>
      </w:r>
      <w:r>
        <w:rPr>
          <w:rFonts w:hint="eastAsia" w:ascii="宋体" w:hAnsi="宋体"/>
          <w:color w:val="auto"/>
          <w:szCs w:val="21"/>
          <w:highlight w:val="none"/>
          <w:lang w:val="en-US" w:eastAsia="zh-CN"/>
        </w:rPr>
        <w:t xml:space="preserve">以上</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全国物业管理企业经理、市级政府主管部门颁发的个人表彰证书</w:t>
      </w:r>
      <w:r>
        <w:rPr>
          <w:rFonts w:hint="eastAsia" w:ascii="宋体" w:hAnsi="宋体"/>
          <w:color w:val="auto"/>
          <w:szCs w:val="21"/>
          <w:highlight w:val="none"/>
        </w:rPr>
        <w:t xml:space="preserve">，有一个证书得1分。</w:t>
      </w:r>
      <w:bookmarkStart w:id="16" w:name="_GoBack"/>
      <w:r/>
      <w:bookmarkEnd w:id="16"/>
      <w:r>
        <w:rPr>
          <w:rFonts w:hint="eastAsia" w:ascii="宋体" w:hAnsi="宋体"/>
          <w:color w:val="auto"/>
          <w:szCs w:val="21"/>
          <w:highlight w:val="none"/>
        </w:rPr>
        <w:t xml:space="preserve">（投标文件中提供劳动合同及</w:t>
      </w:r>
      <w:r>
        <w:rPr>
          <w:rFonts w:hint="eastAsia" w:ascii="宋体" w:hAnsi="宋体"/>
          <w:color w:val="auto"/>
          <w:szCs w:val="21"/>
          <w:highlight w:val="none"/>
          <w:lang w:val="en-US" w:eastAsia="zh-CN"/>
        </w:rPr>
        <w:t xml:space="preserve">一个月</w:t>
      </w:r>
      <w:r>
        <w:rPr>
          <w:rFonts w:hint="eastAsia" w:ascii="宋体" w:hAnsi="宋体"/>
          <w:color w:val="auto"/>
          <w:szCs w:val="21"/>
          <w:highlight w:val="none"/>
        </w:rPr>
        <w:t xml:space="preserve">的社保证明复印件，材料提供不全或未提供不得分。）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5、突发事件的应急措施及医患纠纷处置措施方案及经验（10分）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（1）一般突发事件应急措施方案比较（5分），包括：资产保护应急措施方案、特殊事故（情况）措施方案、治安应急措施方案、消防应急措施方案等。</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应急措施考虑全面，应对方案具备合理性、完善性、可操作性强的得5分；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应急措施考虑一般，方案简单，基本满足本项目要求的得3分；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应急措施考虑逻辑性差有缺陷，方案内容有缺陷的得1分；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无相关内容不得分。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（2）公共场所突发事件方案（5分）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由评委根据内容，对拟定的应对措施方案的具体性、针对性、可行性进行评定（5分）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突发情况考虑全面，应对方案具备合理性、完善性、可操作性强的得5分；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突发情况考虑一般，方案简单，基本满足本项目要求的得3分；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突发情况考虑逻辑性差有缺陷，方案内容有缺陷的得1分；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无相关内容不得分。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6、内部管理规章制度、培训管理办法及应急演练支持方案（</w:t>
      </w:r>
      <w:r>
        <w:rPr>
          <w:rFonts w:hint="eastAsia" w:ascii="宋体" w:hAnsi="宋体"/>
          <w:b w:val="0"/>
          <w:bCs w:val="0"/>
          <w:color w:val="auto"/>
          <w:szCs w:val="21"/>
          <w:highlight w:val="none"/>
          <w:lang w:val="en-US" w:eastAsia="zh-CN"/>
        </w:rPr>
        <w:t xml:space="preserve">6</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包括各类人员管理规章制度方案、服务人员安全文明规范方案、消防安全管理制度方案、服务档案管理制度方案、服务人员考核制度方案、详细的年度培训计划、培训管理办法及应急演练支持方案。</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上述方案内容完整、规范、清晰、可操作性强的得</w:t>
      </w:r>
      <w:r>
        <w:rPr>
          <w:rFonts w:hint="eastAsia" w:ascii="宋体" w:hAnsi="宋体"/>
          <w:b w:val="0"/>
          <w:bCs w:val="0"/>
          <w:color w:val="auto"/>
          <w:szCs w:val="21"/>
          <w:highlight w:val="none"/>
          <w:lang w:val="en-US" w:eastAsia="zh-CN"/>
        </w:rPr>
        <w:t xml:space="preserve">6</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上述方案内容基本满足本项目要求的得</w:t>
      </w:r>
      <w:r>
        <w:rPr>
          <w:rFonts w:hint="eastAsia" w:ascii="宋体" w:hAnsi="宋体"/>
          <w:b w:val="0"/>
          <w:bCs w:val="0"/>
          <w:color w:val="auto"/>
          <w:szCs w:val="21"/>
          <w:highlight w:val="none"/>
          <w:lang w:val="en-US" w:eastAsia="zh-CN"/>
        </w:rPr>
        <w:t xml:space="preserve">3</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上述方案内容逻辑性差有缺陷，缺乏可操作性得1分；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无相关内容不得分。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（三）投标人履约能力比较（</w:t>
      </w:r>
      <w:r>
        <w:rPr>
          <w:rFonts w:hint="eastAsia" w:ascii="宋体" w:hAnsi="宋体"/>
          <w:b/>
          <w:bCs/>
          <w:color w:val="auto"/>
          <w:szCs w:val="21"/>
          <w:highlight w:val="none"/>
          <w:lang w:val="en-US" w:eastAsia="zh-CN"/>
        </w:rPr>
        <w:t xml:space="preserve">15</w:t>
      </w:r>
      <w:r>
        <w:rPr>
          <w:rFonts w:hint="eastAsia" w:ascii="宋体" w:hAnsi="宋体"/>
          <w:b/>
          <w:bCs/>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w:t>
      </w:r>
      <w:r>
        <w:rPr>
          <w:rFonts w:hint="eastAsia" w:ascii="宋体" w:hAnsi="宋体"/>
          <w:b w:val="0"/>
          <w:bCs w:val="0"/>
          <w:color w:val="auto"/>
          <w:szCs w:val="21"/>
          <w:highlight w:val="none"/>
          <w:lang w:val="en-US" w:eastAsia="zh-CN"/>
        </w:rPr>
        <w:t xml:space="preserve">类似项目经验（6分）：类似项目</w:t>
      </w:r>
      <w:r>
        <w:rPr>
          <w:rFonts w:hint="eastAsia" w:ascii="宋体" w:hAnsi="宋体"/>
          <w:b w:val="0"/>
          <w:bCs w:val="0"/>
          <w:color w:val="auto"/>
          <w:szCs w:val="21"/>
          <w:highlight w:val="none"/>
        </w:rPr>
        <w:t xml:space="preserve">自2022年1月1日以来，投标人具有同类服务业绩比较，有一份得1分，最高6分。（投标文件中须提供同类项目合同复印件。）</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2、投标人认证证书比较，最高为6分。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（1）具有质量管理体系证书得2分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（2）具有环境管理体系认证证书得2分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（3）具有职业健康安全管理体系认证得2分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注：投标文件中须提供上述证书扫描件，同时提供在中国国家认证认可监督管理委员会官网查询页面截图，缺失、不符或不提供的对应内容不得分。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3、投标单位获得政府部门表彰或荣誉（3分）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自2022年1月1日以来国家级提供1份得3分，省级提供1份得2分，市级的提供1份得1分。限评1项，奖项数量不叠加，以最高级别奖项确定得分。</w:t>
      </w:r>
      <w:r/>
    </w:p>
    <w:p>
      <w:pPr>
        <w:ind w:firstLine="420"/>
        <w:spacing w:line="400" w:lineRule="exact"/>
        <w:rPr>
          <w:rFonts w:hint="eastAsia" w:ascii="宋体" w:hAnsi="宋体"/>
          <w:b/>
          <w:bCs/>
          <w:color w:val="auto"/>
          <w:szCs w:val="21"/>
          <w:highlight w:val="none"/>
        </w:rPr>
      </w:pPr>
      <w:r>
        <w:rPr>
          <w:rFonts w:hint="eastAsia" w:ascii="宋体" w:hAnsi="宋体"/>
          <w:b w:val="0"/>
          <w:bCs w:val="0"/>
          <w:color w:val="auto"/>
          <w:szCs w:val="21"/>
          <w:highlight w:val="none"/>
        </w:rPr>
        <w:t xml:space="preserve">注：投标文件中须提供获奖证书、批复、颁奖单位颁奖文件、网上公示截图（具有其中之一即可）等证明材料。以上材料提供扫描件，须能体现供应商名称，如无法体现，须另附颁奖单位的相关证明材料，未提供或提供不全的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采购包2：消防维保</w:t>
      </w:r>
      <w:r/>
    </w:p>
    <w:p>
      <w:pPr>
        <w:ind w:firstLine="413"/>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（一）价格（15分）</w:t>
      </w:r>
      <w:r/>
    </w:p>
    <w:p>
      <w:pPr>
        <w:ind w:firstLine="411"/>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以进入评标程序、满足招标文件要求且报价最低的投标报价为评标基准价（须未超过采购预算价和最高限价），其价格分为满分15分。不实质性响应招标文件要求的投标报价不进行价格计算，也不得标。其他投标人的价格分统一按照下列公式计算：</w:t>
      </w:r>
      <w:r/>
    </w:p>
    <w:p>
      <w:pPr>
        <w:ind w:firstLine="411"/>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投标报价得分=（评标基准价/投标报价）X价格权值X100（价格权值为15%）</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（二）实施方案、服务承诺、售后方案（70分）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1、综合消防维保方案（</w:t>
      </w:r>
      <w:r>
        <w:rPr>
          <w:rFonts w:ascii="宋体" w:hAnsi="宋体"/>
          <w:b/>
          <w:bCs/>
          <w:color w:val="auto"/>
          <w:szCs w:val="21"/>
          <w:highlight w:val="none"/>
        </w:rPr>
        <w:t xml:space="preserve">24</w:t>
      </w:r>
      <w:r>
        <w:rPr>
          <w:rFonts w:hint="eastAsia" w:ascii="宋体" w:hAnsi="宋体"/>
          <w:b/>
          <w:bCs/>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（1）对消防设施维护保养方案（</w:t>
      </w:r>
      <w:r>
        <w:rPr>
          <w:rFonts w:ascii="宋体" w:hAnsi="宋体"/>
          <w:color w:val="auto"/>
          <w:szCs w:val="21"/>
          <w:highlight w:val="none"/>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维护保养内容针对性满足本项目要求，具有可行性的得8分；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维护保养内容合理基本满足本项目要求，有一定可行性的得5分；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维护保养内容逻辑性较差有缺陷的，可行性较差的得2分。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其余情况不得分。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（2）维保作业方法流程（</w:t>
      </w:r>
      <w:r>
        <w:rPr>
          <w:rFonts w:ascii="宋体" w:hAnsi="宋体"/>
          <w:color w:val="auto"/>
          <w:szCs w:val="21"/>
          <w:highlight w:val="none"/>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方法流程针对性满足本项目要求，具有可行性的得8分；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方法流程合理基本满足本项目要求，有一定可行性的得5分；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方法流程逻辑性较差有缺陷的，可行性较差的得2分。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其余情况不得分。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（3）维保期间与其他单位、部门的综合协调方案（</w:t>
      </w:r>
      <w:r>
        <w:rPr>
          <w:rFonts w:ascii="宋体" w:hAnsi="宋体"/>
          <w:color w:val="auto"/>
          <w:szCs w:val="21"/>
          <w:highlight w:val="none"/>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综合协调方案针对性满足本项目要求，具有可行性的得8分；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综合协调方案合理基本满足本项目要求，有一定可行性的得5分；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综合协调方案较差有缺陷的，可行性较差的得2分。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其余情况不得分。</w:t>
      </w:r>
      <w:r/>
    </w:p>
    <w:p>
      <w:pPr>
        <w:ind w:firstLine="420"/>
        <w:spacing w:line="400" w:lineRule="exact"/>
        <w:rPr>
          <w:rFonts w:hint="eastAsia" w:ascii="宋体" w:hAnsi="宋体"/>
          <w:color w:val="auto"/>
          <w:szCs w:val="21"/>
          <w:highlight w:val="none"/>
        </w:rPr>
      </w:pPr>
      <w:r>
        <w:rPr>
          <w:rFonts w:hint="eastAsia" w:ascii="宋体" w:hAnsi="宋体"/>
          <w:b/>
          <w:bCs/>
          <w:color w:val="auto"/>
          <w:szCs w:val="21"/>
          <w:highlight w:val="none"/>
        </w:rPr>
        <w:t xml:space="preserve">2、设施偷盗处理恢复方案（</w:t>
      </w:r>
      <w:r>
        <w:rPr>
          <w:rFonts w:ascii="宋体" w:hAnsi="宋体"/>
          <w:b/>
          <w:bCs/>
          <w:color w:val="auto"/>
          <w:szCs w:val="21"/>
          <w:highlight w:val="none"/>
        </w:rPr>
        <w:t xml:space="preserve">5</w:t>
      </w:r>
      <w:r>
        <w:rPr>
          <w:rFonts w:hint="eastAsia" w:ascii="宋体" w:hAnsi="宋体"/>
          <w:b/>
          <w:bCs/>
          <w:color w:val="auto"/>
          <w:szCs w:val="21"/>
          <w:highlight w:val="none"/>
        </w:rPr>
        <w:t xml:space="preserve">分）</w:t>
      </w:r>
      <w:r>
        <w:rPr>
          <w:rFonts w:hint="eastAsia" w:ascii="宋体" w:hAnsi="宋体"/>
          <w:color w:val="auto"/>
          <w:szCs w:val="21"/>
          <w:highlight w:val="none"/>
        </w:rPr>
        <w:t xml:space="preserve">主要考察在管理范围内发现消防设施被偷盗时的处置以及偷盗发生后采取的措施；应根据被偷盗设施的种类及偷盗所产生的危害性，分别提供相应的处置方案。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处置方案针对性满足本项目要求，具有可行性的得</w:t>
      </w:r>
      <w:r>
        <w:rPr>
          <w:rFonts w:ascii="宋体" w:hAnsi="宋体"/>
          <w:color w:val="auto"/>
          <w:szCs w:val="21"/>
          <w:highlight w:val="none"/>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处置方案合理基本满足本项目要求，有一定可行性的得3分；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处置方案较差有缺陷的，可行性较差的得1分。</w:t>
      </w:r>
      <w:r/>
    </w:p>
    <w:p>
      <w:pPr>
        <w:ind w:firstLine="420"/>
        <w:spacing w:line="400" w:lineRule="exact"/>
        <w:rPr>
          <w:rFonts w:hint="eastAsia" w:ascii="宋体" w:hAnsi="宋体"/>
          <w:b/>
          <w:bCs/>
          <w:color w:val="auto"/>
          <w:szCs w:val="21"/>
          <w:highlight w:val="none"/>
        </w:rPr>
      </w:pPr>
      <w:r>
        <w:rPr>
          <w:rFonts w:hint="eastAsia" w:ascii="宋体" w:hAnsi="宋体"/>
          <w:color w:val="auto"/>
          <w:szCs w:val="21"/>
          <w:highlight w:val="none"/>
        </w:rPr>
        <w:t xml:space="preserve">其余情况不得分。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3、安全管理方案（1</w:t>
      </w:r>
      <w:r>
        <w:rPr>
          <w:rFonts w:ascii="宋体" w:hAnsi="宋体"/>
          <w:b/>
          <w:bCs/>
          <w:color w:val="auto"/>
          <w:szCs w:val="21"/>
          <w:highlight w:val="none"/>
        </w:rPr>
        <w:t xml:space="preserve">5</w:t>
      </w:r>
      <w:r>
        <w:rPr>
          <w:rFonts w:hint="eastAsia" w:ascii="宋体" w:hAnsi="宋体"/>
          <w:b/>
          <w:bCs/>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（1）主要考察正常营运及服务作业时和发生事故时的组织和安全防护措施（</w:t>
      </w:r>
      <w:r>
        <w:rPr>
          <w:rFonts w:ascii="宋体" w:hAnsi="宋体"/>
          <w:color w:val="auto"/>
          <w:szCs w:val="21"/>
          <w:highlight w:val="none"/>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防护措施针对性满足本项目要求，具有可行性的得</w:t>
      </w:r>
      <w:r>
        <w:rPr>
          <w:rFonts w:ascii="宋体" w:hAnsi="宋体"/>
          <w:color w:val="auto"/>
          <w:szCs w:val="21"/>
          <w:highlight w:val="none"/>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防护措施合理基本满足本项目要求，有一定可行性的得3分；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防护措施较差有缺陷的，可行性较差的得1分。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其余情况不得分。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（2）针对本项目质量安全事故的预防措施，编制应急预案（</w:t>
      </w:r>
      <w:r>
        <w:rPr>
          <w:rFonts w:ascii="宋体" w:hAnsi="宋体"/>
          <w:color w:val="auto"/>
          <w:szCs w:val="21"/>
          <w:highlight w:val="none"/>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预防措施针对性满足本项目要求，具有可行性的得</w:t>
      </w:r>
      <w:r>
        <w:rPr>
          <w:rFonts w:ascii="宋体" w:hAnsi="宋体"/>
          <w:color w:val="auto"/>
          <w:szCs w:val="21"/>
          <w:highlight w:val="none"/>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预防措施合理基本满足本项目要求，有一定可行性的得3分；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预防措施较差有缺陷的，可行性较差的得1分。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其余情况不得分。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（3）维保作业方法（5分）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方法针对性满足本项目要求，具有可行性的得</w:t>
      </w:r>
      <w:r>
        <w:rPr>
          <w:rFonts w:ascii="宋体" w:hAnsi="宋体"/>
          <w:color w:val="auto"/>
          <w:szCs w:val="21"/>
          <w:highlight w:val="none"/>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方法合理基本满足本项目要求，有一定可行性的得3分；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方法较差有缺陷的，可行性较差的得1分。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其余情况不得分。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4、售后服务方案比较（1</w:t>
      </w:r>
      <w:r>
        <w:rPr>
          <w:rFonts w:ascii="宋体" w:hAnsi="宋体"/>
          <w:b/>
          <w:bCs/>
          <w:color w:val="auto"/>
          <w:szCs w:val="21"/>
          <w:highlight w:val="none"/>
        </w:rPr>
        <w:t xml:space="preserve">6</w:t>
      </w:r>
      <w:r>
        <w:rPr>
          <w:rFonts w:hint="eastAsia" w:ascii="宋体" w:hAnsi="宋体"/>
          <w:b/>
          <w:bCs/>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（1）质量保障承诺（</w:t>
      </w:r>
      <w:r>
        <w:rPr>
          <w:rFonts w:ascii="宋体" w:hAnsi="宋体"/>
          <w:color w:val="auto"/>
          <w:szCs w:val="21"/>
          <w:highlight w:val="none"/>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承诺方案及实施方法针对性满足本项目要求，具有可行性的得</w:t>
      </w:r>
      <w:r>
        <w:rPr>
          <w:rFonts w:ascii="宋体" w:hAnsi="宋体"/>
          <w:color w:val="auto"/>
          <w:szCs w:val="21"/>
          <w:highlight w:val="none"/>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承诺方案及实施方法合理基本满足本项目要求，有一定可行性的得3分；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承诺方案及实施方法较差有缺陷的，可行性较差的得1分。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其余情况不得分。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（2）售后服务体系（5分）：主要考察规范性、服务响应时间及措施承诺。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响应时间最快，售后服务体系完善，响应措施完整的得5分；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响应时间合理，售后服务体系较完善，响应措施较完整的得3分；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响应时间长，售后服务体系简单，响应措施较欠缺的得1分。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其余情况不得分。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（3）专用车辆（6分）：针对本项目提供维修车辆的，每提供一辆得2分，投标文件中提供行驶证复印件，所有权不属于响应单位的不得分。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5、拟投入本项目人员比较（10分）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（1）项目负责人除了具备一级注册消防工程师外，还具有高级工程师证书，得3分；具有工程师证书的得1分；没有不得分。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（2）拟投入的项目团队中，技术负责人除了具备一级注册消防工程师外，还具有高级工程师证书，得3分；具有工程师证书的得1分；没有不得分。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（3）项目团队中，除项目负责人及技术负责人外，具有一级注册消防工程师或建构筑物中级消防员的，有一个得1分；最高4分，没有不得分。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注：投标文件中提供响应单位为其缴纳社保的证明，未提供社保证明的不得分。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（三）投标人履约能力（15分）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1、服务项目经验（</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分）：投标人自2022年1月1日以来从事消防设施维护保养服务的业绩评定，须提供服务期超过12个月的业绩合同业绩，提供一份得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分，最高</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分。提供合同复印件；未提供不得分。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2、质量管理体系（</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投标人具有有效期内的质量管理体系认证证书、环境管理体系认证证书、职业健康安全管理体系认证证书，有一项得1分，最高3分。（证书覆盖范围须包含消防设施的维保及检测、消防安全评估技术服务，并相应文件中须提供相关证明资料复印件，和有完整网站标识的查询截图，不提供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3、软件著作权情况（2分）：获得国家认可的有关消防信息化的软件著作权，每提供1份证书复印件得1分，最高2分。（响应文件中提供复印件；未提供复印件的不得分）。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4、投标人消防信息化服务能力情况（</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（1）具有自主研发的消防信息化平台的得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分，没有不得分；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（2）平台内容包括火灾自动报警信息妥善率、消防给水系统妥善率、维修管理系统，报警处理系统， 监控信息自动传输上报管理人员，提供平台</w:t>
      </w:r>
      <w:r>
        <w:rPr>
          <w:rFonts w:hint="eastAsia" w:ascii="宋体" w:hAnsi="宋体"/>
          <w:color w:val="auto"/>
          <w:szCs w:val="21"/>
          <w:highlight w:val="none"/>
          <w:lang w:eastAsia="zh-CN"/>
        </w:rPr>
        <w:t xml:space="preserve">视频</w:t>
      </w:r>
      <w:r>
        <w:rPr>
          <w:rFonts w:hint="eastAsia" w:ascii="宋体" w:hAnsi="宋体"/>
          <w:color w:val="auto"/>
          <w:szCs w:val="21"/>
          <w:highlight w:val="none"/>
        </w:rPr>
        <w:t xml:space="preserve">截图不少于5个版面，得2分；无不得分。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采购包3：电梯维保</w:t>
      </w:r>
      <w:r/>
    </w:p>
    <w:p>
      <w:pPr>
        <w:ind w:firstLine="422"/>
        <w:spacing w:line="400" w:lineRule="exact"/>
        <w:rPr>
          <w:b/>
          <w:bCs/>
          <w:color w:val="auto"/>
          <w:highlight w:val="none"/>
        </w:rPr>
      </w:pPr>
      <w:r/>
      <w:bookmarkStart w:id="15" w:name="_Hlk66354748"/>
      <w:r>
        <w:rPr>
          <w:rFonts w:hint="eastAsia"/>
          <w:b/>
          <w:bCs/>
          <w:color w:val="auto"/>
          <w:highlight w:val="none"/>
        </w:rPr>
        <w:t xml:space="preserve">（一）价格（</w:t>
      </w:r>
      <w:r>
        <w:rPr>
          <w:rFonts w:hint="eastAsia" w:ascii="宋体" w:hAnsi="宋体"/>
          <w:b/>
          <w:bCs/>
          <w:color w:val="auto"/>
          <w:szCs w:val="21"/>
          <w:highlight w:val="none"/>
        </w:rPr>
        <w:t xml:space="preserve">1</w:t>
      </w: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rPr>
        <w:t xml:space="preserve">分</w:t>
      </w:r>
      <w:r>
        <w:rPr>
          <w:rFonts w:hint="eastAsia"/>
          <w:b/>
          <w:bCs/>
          <w:color w:val="auto"/>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以进入评标程序、满足采购文件要求且报价最低的投标报价为评标基准价（须未超过采购预算价和最高限价），其价格分为满分</w:t>
      </w:r>
      <w:r>
        <w:rPr>
          <w:rFonts w:ascii="宋体" w:hAnsi="宋体"/>
          <w:color w:val="auto"/>
          <w:szCs w:val="21"/>
          <w:highlight w:val="none"/>
        </w:rPr>
        <w:t xml:space="preserve">1</w:t>
      </w:r>
      <w:r>
        <w:rPr>
          <w:rFonts w:hint="eastAsia" w:ascii="宋体" w:hAnsi="宋体"/>
          <w:color w:val="auto"/>
          <w:szCs w:val="21"/>
          <w:highlight w:val="none"/>
        </w:rPr>
        <w:t xml:space="preserve">0分。其他投标人的价格分统一按照下列公式计算：</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投标报价得分=（评标基准价/投标报价）X价格权值X100（价格权值为</w:t>
      </w:r>
      <w:r>
        <w:rPr>
          <w:rFonts w:ascii="宋体" w:hAnsi="宋体"/>
          <w:color w:val="auto"/>
          <w:szCs w:val="21"/>
          <w:highlight w:val="none"/>
        </w:rPr>
        <w:t xml:space="preserve">1</w:t>
      </w:r>
      <w:r>
        <w:rPr>
          <w:rFonts w:hint="eastAsia" w:ascii="宋体" w:hAnsi="宋体"/>
          <w:color w:val="auto"/>
          <w:szCs w:val="21"/>
          <w:highlight w:val="none"/>
        </w:rPr>
        <w:t xml:space="preserve">0%）</w:t>
      </w:r>
      <w:bookmarkEnd w:id="15"/>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（二）技术方案（</w:t>
      </w:r>
      <w:r>
        <w:rPr>
          <w:rFonts w:hint="eastAsia" w:ascii="宋体" w:hAnsi="宋体"/>
          <w:b/>
          <w:bCs/>
          <w:color w:val="auto"/>
          <w:szCs w:val="21"/>
          <w:highlight w:val="none"/>
          <w:lang w:val="en-US" w:eastAsia="zh-CN"/>
        </w:rPr>
        <w:t xml:space="preserve">46</w:t>
      </w:r>
      <w:r>
        <w:rPr>
          <w:rFonts w:hint="eastAsia" w:ascii="宋体" w:hAnsi="宋体"/>
          <w:b/>
          <w:bCs/>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1、根据投标单位提供的维保方案比较，包括情况介绍、难点问题分析及解决方法、方案的可操作性、实用性及针对性进行比较（10分）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情况介绍详尽清晰、难点问题分析全面及解决方法高效合理、方案的可操作性、实用性及针对性强得10分；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维保方案内容合理基本满足本项目要求，有一定可行性的得7分；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维保方案内容逻辑性较差有缺陷的，可行性较差的得4分。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其余情况不得分。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2、根据投标单位的维保管理制度比较，包括检查项目及维保要求、维保档案管理、管理制度的完善性及规范性进行比较（10分）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检查项目及维保要求详尽周全清晰、维保档案管理细致规范、管理制度完善规范高效为优秀，得10分；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维保管理制度内容合理基本满足本项目要求，有一定可行性的得7分；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维保管理制度内容逻辑性较差有缺陷的，可行性较差的得4分。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其余情况不得分。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3、维保响应时间、到达现场时间、维修时间比较（</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承诺</w:t>
      </w:r>
      <w:r>
        <w:rPr>
          <w:rFonts w:hint="eastAsia" w:ascii="宋体" w:hAnsi="宋体"/>
          <w:color w:val="auto"/>
          <w:szCs w:val="21"/>
          <w:highlight w:val="none"/>
          <w:lang w:val="en-US" w:eastAsia="zh-CN"/>
        </w:rPr>
        <w:t xml:space="preserve">时间</w:t>
      </w:r>
      <w:r>
        <w:rPr>
          <w:rFonts w:hint="eastAsia" w:ascii="宋体" w:hAnsi="宋体"/>
          <w:color w:val="auto"/>
          <w:szCs w:val="21"/>
          <w:highlight w:val="none"/>
        </w:rPr>
        <w:t xml:space="preserve">及</w:t>
      </w:r>
      <w:r>
        <w:rPr>
          <w:rFonts w:hint="eastAsia" w:ascii="宋体" w:hAnsi="宋体"/>
          <w:color w:val="auto"/>
          <w:szCs w:val="21"/>
          <w:highlight w:val="none"/>
          <w:lang w:val="en-US" w:eastAsia="zh-CN"/>
        </w:rPr>
        <w:t xml:space="preserve">实现方案</w:t>
      </w:r>
      <w:r>
        <w:rPr>
          <w:rFonts w:hint="eastAsia" w:ascii="宋体" w:hAnsi="宋体"/>
          <w:color w:val="auto"/>
          <w:szCs w:val="21"/>
          <w:highlight w:val="none"/>
        </w:rPr>
        <w:t xml:space="preserve">针对</w:t>
      </w:r>
      <w:r>
        <w:rPr>
          <w:rFonts w:hint="eastAsia" w:ascii="宋体" w:hAnsi="宋体"/>
          <w:color w:val="auto"/>
          <w:szCs w:val="21"/>
          <w:highlight w:val="none"/>
          <w:lang w:val="en-US" w:eastAsia="zh-CN"/>
        </w:rPr>
        <w:t xml:space="preserve">本项目，且</w:t>
      </w:r>
      <w:r>
        <w:rPr>
          <w:rFonts w:hint="eastAsia" w:ascii="宋体" w:hAnsi="宋体"/>
          <w:color w:val="auto"/>
          <w:szCs w:val="21"/>
          <w:highlight w:val="none"/>
        </w:rPr>
        <w:t xml:space="preserve">满足本项目要得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承诺</w:t>
      </w:r>
      <w:r>
        <w:rPr>
          <w:rFonts w:hint="eastAsia" w:ascii="宋体" w:hAnsi="宋体"/>
          <w:color w:val="auto"/>
          <w:szCs w:val="21"/>
          <w:highlight w:val="none"/>
          <w:lang w:val="en-US" w:eastAsia="zh-CN"/>
        </w:rPr>
        <w:t xml:space="preserve">时间</w:t>
      </w:r>
      <w:r>
        <w:rPr>
          <w:rFonts w:hint="eastAsia" w:ascii="宋体" w:hAnsi="宋体"/>
          <w:color w:val="auto"/>
          <w:szCs w:val="21"/>
          <w:highlight w:val="none"/>
        </w:rPr>
        <w:t xml:space="preserve">及</w:t>
      </w:r>
      <w:r>
        <w:rPr>
          <w:rFonts w:hint="eastAsia" w:ascii="宋体" w:hAnsi="宋体"/>
          <w:color w:val="auto"/>
          <w:szCs w:val="21"/>
          <w:highlight w:val="none"/>
          <w:lang w:val="en-US" w:eastAsia="zh-CN"/>
        </w:rPr>
        <w:t xml:space="preserve">实现方案</w:t>
      </w:r>
      <w:r>
        <w:rPr>
          <w:rFonts w:hint="eastAsia" w:ascii="宋体" w:hAnsi="宋体"/>
          <w:color w:val="auto"/>
          <w:szCs w:val="21"/>
          <w:highlight w:val="none"/>
        </w:rPr>
        <w:t xml:space="preserve">基本满足本项目要求，有一定可行性的得3分；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承诺</w:t>
      </w:r>
      <w:r>
        <w:rPr>
          <w:rFonts w:hint="eastAsia" w:ascii="宋体" w:hAnsi="宋体"/>
          <w:color w:val="auto"/>
          <w:szCs w:val="21"/>
          <w:highlight w:val="none"/>
          <w:lang w:val="en-US" w:eastAsia="zh-CN"/>
        </w:rPr>
        <w:t xml:space="preserve">时间</w:t>
      </w:r>
      <w:r>
        <w:rPr>
          <w:rFonts w:hint="eastAsia" w:ascii="宋体" w:hAnsi="宋体"/>
          <w:color w:val="auto"/>
          <w:szCs w:val="21"/>
          <w:highlight w:val="none"/>
        </w:rPr>
        <w:t xml:space="preserve">及</w:t>
      </w:r>
      <w:r>
        <w:rPr>
          <w:rFonts w:hint="eastAsia" w:ascii="宋体" w:hAnsi="宋体"/>
          <w:color w:val="auto"/>
          <w:szCs w:val="21"/>
          <w:highlight w:val="none"/>
          <w:lang w:val="en-US" w:eastAsia="zh-CN"/>
        </w:rPr>
        <w:t xml:space="preserve">实现方案</w:t>
      </w:r>
      <w:r>
        <w:rPr>
          <w:rFonts w:hint="eastAsia" w:ascii="宋体" w:hAnsi="宋体"/>
          <w:color w:val="auto"/>
          <w:szCs w:val="21"/>
          <w:highlight w:val="none"/>
        </w:rPr>
        <w:t xml:space="preserve">较差有缺陷的得1分。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其余情况不得分。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4、提供零部件（备件备品）的价格及优惠措施比较（10分）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提供零备件（备件备品）的价格最低且优惠措施最实在可行的，得10分；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提供零备件（备件备品）的价格较低且优惠措施最实在可行的，得7分；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提供零备件（备件备品）的价格较高且没有实质性优惠措施的，得4分；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其余情况不得分。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5、进退场交接措施和业主的配合方法比较（10分）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进退场交接措施科学、合理、考虑周全、操作性强、简单有效、规范、高效得10分；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进退场交接措施合理基本满足本项目要求，有一定可行性的得7分；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进退场交接措施内容逻辑性较差有缺陷的，可行性较差的得4分。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其余情况不得分。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（三）组织有效的管理机构及考核管理办法比较（</w:t>
      </w:r>
      <w:r>
        <w:rPr>
          <w:rFonts w:ascii="宋体" w:hAnsi="宋体"/>
          <w:b/>
          <w:bCs/>
          <w:color w:val="auto"/>
          <w:szCs w:val="21"/>
          <w:highlight w:val="none"/>
        </w:rPr>
        <w:t xml:space="preserve">10</w:t>
      </w:r>
      <w:r>
        <w:rPr>
          <w:rFonts w:hint="eastAsia" w:ascii="宋体" w:hAnsi="宋体"/>
          <w:b/>
          <w:bCs/>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1、内部管理架构（2分）：提供内部管理架构说明得2分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2、管理规章制度（4分）：具有岗位责任、管理维护运作制度及标准、管理人员考核标准，内容齐全得4分，每缺一项扣1分。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3、日常考核表单（</w:t>
      </w:r>
      <w:r>
        <w:rPr>
          <w:rFonts w:ascii="宋体" w:hAnsi="宋体"/>
          <w:color w:val="auto"/>
          <w:szCs w:val="21"/>
          <w:highlight w:val="none"/>
        </w:rPr>
        <w:t xml:space="preserve">4</w:t>
      </w:r>
      <w:r>
        <w:rPr>
          <w:rFonts w:hint="eastAsia" w:ascii="宋体" w:hAnsi="宋体"/>
          <w:color w:val="auto"/>
          <w:szCs w:val="21"/>
          <w:highlight w:val="none"/>
        </w:rPr>
        <w:t xml:space="preserve">分）：提供管理其它项目时已使用的列表。</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（四）拟投入本项目服务团队人员情况比较（10分）：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1、服务团队具有高级工程师职称的，每提供1人得2分，最高得4分。需提供证书及社保证明材料（退休人员可提供劳动合同及聘书）复印件，材料提供不全或未提供不得分。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2、服务团队具有工程师职称的，每提供1人得1分，最高得6分。需提供证书及社保证明材料（退休人员可提供劳动合同及聘书）复印件，材料提供不全或未提供不得分。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（五）投标人履约能力比较：（</w:t>
      </w:r>
      <w:r>
        <w:rPr>
          <w:rFonts w:hint="eastAsia" w:ascii="宋体" w:hAnsi="宋体"/>
          <w:b/>
          <w:bCs/>
          <w:color w:val="auto"/>
          <w:szCs w:val="21"/>
          <w:highlight w:val="none"/>
          <w:lang w:val="en-US" w:eastAsia="zh-CN"/>
        </w:rPr>
        <w:t xml:space="preserve">19</w:t>
      </w:r>
      <w:r>
        <w:rPr>
          <w:rFonts w:hint="eastAsia" w:ascii="宋体" w:hAnsi="宋体"/>
          <w:b/>
          <w:bCs/>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1、在养电梯维保数量比较：维保数量≥100台的得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分，50台≤维保数量＜100台的得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分，10台≤维保数量＜50台的得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分，＜10台得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分。需提供完整合同复印件。投标单位目前在保的维保数量可以多份合同累计。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2、维保单位具有电梯制造商或者电梯制造商提供技术服务支持，提供相关证明材料扫描件的得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、获得过政府部门颁发的电梯应急救援先进单位，提供证书复印件的得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分，同时提供证书官方网站查询页面截图，材料提供不全或未提供不得分。</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、政府部门颁发的电梯维保单位星级证书比较：五星级的得4分，四星级的得2分，三星级的得1分，其余不得分，提供证书复印件，同时提供证书官方网站查询页面截图，材料提供不全或未提供不得分。</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、具有有效期内的质量管理体系、环境管理体系认证，每提供1份证书扫描件及</w:t>
      </w:r>
      <w:r>
        <w:rPr>
          <w:rFonts w:hint="eastAsia"/>
          <w:bCs/>
          <w:color w:val="auto"/>
          <w:szCs w:val="21"/>
          <w:highlight w:val="none"/>
        </w:rPr>
        <w:t xml:space="preserve">中国认监委网站查询结果截图</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分，最高得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采购包4：被服洗涤</w:t>
      </w:r>
      <w:r/>
    </w:p>
    <w:p>
      <w:pPr>
        <w:ind w:firstLine="420"/>
        <w:spacing w:line="400" w:lineRule="exact"/>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 xml:space="preserve">（一）价格：</w:t>
      </w:r>
      <w:r>
        <w:rPr>
          <w:rFonts w:hint="default" w:ascii="Times New Roman" w:hAnsi="Times New Roman" w:eastAsia="宋体" w:cs="Times New Roman"/>
          <w:b/>
          <w:bCs/>
          <w:color w:val="auto"/>
          <w:highlight w:val="none"/>
          <w:lang w:val="en-US" w:eastAsia="zh-CN"/>
        </w:rPr>
        <w:t xml:space="preserve">15</w:t>
      </w:r>
      <w:r>
        <w:rPr>
          <w:rFonts w:hint="default" w:ascii="Times New Roman" w:hAnsi="Times New Roman" w:eastAsia="宋体" w:cs="Times New Roman"/>
          <w:b/>
          <w:bCs/>
          <w:color w:val="auto"/>
          <w:highlight w:val="none"/>
        </w:rPr>
        <w:t xml:space="preserve">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以进入评标程序、满足采购文件要求且报价最低的投标报价为评标基准价（须未超过采购预算价和最高限价），其价格分为满分</w:t>
      </w:r>
      <w:r>
        <w:rPr>
          <w:rFonts w:hint="default" w:ascii="Times New Roman" w:hAnsi="Times New Roman" w:eastAsia="宋体" w:cs="Times New Roman"/>
          <w:color w:val="auto"/>
          <w:highlight w:val="none"/>
          <w:lang w:val="en-US" w:eastAsia="zh-CN"/>
        </w:rPr>
        <w:t xml:space="preserve">15</w:t>
      </w:r>
      <w:r>
        <w:rPr>
          <w:rFonts w:hint="default" w:ascii="Times New Roman" w:hAnsi="Times New Roman" w:eastAsia="宋体" w:cs="Times New Roman"/>
          <w:color w:val="auto"/>
          <w:highlight w:val="none"/>
        </w:rPr>
        <w:t xml:space="preserve">分。其他投标人的价格分统一按照下列公式计算：</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投标报价得分=（评标基准价/投标报价）X价格权值X100（价格权值为</w:t>
      </w:r>
      <w:r>
        <w:rPr>
          <w:rFonts w:hint="default" w:ascii="Times New Roman" w:hAnsi="Times New Roman" w:eastAsia="宋体" w:cs="Times New Roman"/>
          <w:color w:val="auto"/>
          <w:highlight w:val="none"/>
          <w:lang w:val="en-US" w:eastAsia="zh-CN"/>
        </w:rPr>
        <w:t xml:space="preserve">15</w:t>
      </w:r>
      <w:r>
        <w:rPr>
          <w:rFonts w:hint="default" w:ascii="Times New Roman" w:hAnsi="Times New Roman" w:eastAsia="宋体" w:cs="Times New Roman"/>
          <w:color w:val="auto"/>
          <w:highlight w:val="none"/>
        </w:rPr>
        <w:t xml:space="preserve">%）</w:t>
      </w:r>
      <w:r/>
    </w:p>
    <w:p>
      <w:pPr>
        <w:ind w:firstLine="420"/>
        <w:spacing w:line="400" w:lineRule="exact"/>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 xml:space="preserve">（二）技术方案内容比较：</w:t>
      </w:r>
      <w:r>
        <w:rPr>
          <w:rFonts w:hint="eastAsia" w:ascii="Times New Roman" w:hAnsi="Times New Roman" w:eastAsia="宋体" w:cs="Times New Roman"/>
          <w:b/>
          <w:bCs/>
          <w:color w:val="auto"/>
          <w:highlight w:val="none"/>
          <w:lang w:val="en-US" w:eastAsia="zh-CN"/>
        </w:rPr>
        <w:t xml:space="preserve">63</w:t>
      </w:r>
      <w:r>
        <w:rPr>
          <w:rFonts w:hint="default" w:ascii="Times New Roman" w:hAnsi="Times New Roman" w:eastAsia="宋体" w:cs="Times New Roman"/>
          <w:b/>
          <w:bCs/>
          <w:color w:val="auto"/>
          <w:highlight w:val="none"/>
        </w:rPr>
        <w:t xml:space="preserve">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1、工作内容的安排和质量（</w:t>
      </w:r>
      <w:r>
        <w:rPr>
          <w:rFonts w:hint="eastAsia" w:ascii="Times New Roman" w:hAnsi="Times New Roman" w:eastAsia="宋体" w:cs="Times New Roman"/>
          <w:color w:val="auto"/>
          <w:highlight w:val="none"/>
          <w:lang w:val="en-US" w:eastAsia="zh-CN"/>
        </w:rPr>
        <w:t xml:space="preserve">54</w:t>
      </w:r>
      <w:r>
        <w:rPr>
          <w:rFonts w:hint="default" w:ascii="Times New Roman" w:hAnsi="Times New Roman" w:eastAsia="宋体" w:cs="Times New Roman"/>
          <w:color w:val="auto"/>
          <w:highlight w:val="none"/>
        </w:rPr>
        <w:t xml:space="preserve">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（1）服务方案比较（12分）：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工作方案完整详尽，完全符合采购要求，管理责任清晰分工明确科学得12分；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工作方案基本完整，但管理责任简单分工基本满足要求得8分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工作方案不够完整不够详细，管理责任不清晰得4分。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其余情况不得分。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（2）操作规程比较（12分）：提供回收、交接、洗涤、消毒等操作规程。</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操作规范内容详尽科学，完全符合质控标准得12分；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操作规范内容基本满足要求，基本符合质控标准得8分；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操作规范未阐述或不完全符合质控标准得4分；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其余情况不得分。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（3）工作人员排班计划比较（8分）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工作人员排班计划合理，组织管理体系科学，能够高效完成洗涤服务工作得8分；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工作人员排班计划，组织管理，基本能够完成洗涤服务工作得5分；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工作人员排班计划有缺陷不合理得2分；其余情况不得分。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（4）管理人员配置情况比较（2分）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管理人员拥有管理中高级职称或者本科学历以上的得2分，响应文件中需提供相关人员相应的证书复印件及响应单位为其缴纳的近期社保缴费证明，资料不全或未提供的不得分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（5）投入设备先进性比较（6分）：投标人具有全自动大型洗脱机、隧道式大型洗涤机组的，全套卫生隔离式洗涤机的，每具备一项先进设备得2分，提供设备图片及其他证明。 </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（6）管理的安全防范措施（</w:t>
      </w:r>
      <w:r>
        <w:rPr>
          <w:rFonts w:hint="eastAsia" w:ascii="Times New Roman" w:hAnsi="Times New Roman" w:eastAsia="宋体" w:cs="Times New Roman"/>
          <w:color w:val="auto"/>
          <w:highlight w:val="none"/>
          <w:lang w:val="en-US" w:eastAsia="zh-CN"/>
        </w:rPr>
        <w:t xml:space="preserve">12</w:t>
      </w:r>
      <w:r>
        <w:rPr>
          <w:rFonts w:hint="default" w:ascii="Times New Roman" w:hAnsi="Times New Roman" w:eastAsia="宋体" w:cs="Times New Roman"/>
          <w:color w:val="auto"/>
          <w:highlight w:val="none"/>
        </w:rPr>
        <w:t xml:space="preserve">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安全隐患分析合理，提供具体防范措施、具有合理化建议得</w:t>
      </w:r>
      <w:r>
        <w:rPr>
          <w:rFonts w:hint="eastAsia" w:ascii="Times New Roman" w:hAnsi="Times New Roman" w:eastAsia="宋体" w:cs="Times New Roman"/>
          <w:color w:val="auto"/>
          <w:highlight w:val="none"/>
          <w:lang w:val="en-US" w:eastAsia="zh-CN"/>
        </w:rPr>
        <w:t xml:space="preserve">12</w:t>
      </w:r>
      <w:r>
        <w:rPr>
          <w:rFonts w:hint="default" w:ascii="Times New Roman" w:hAnsi="Times New Roman" w:eastAsia="宋体" w:cs="Times New Roman"/>
          <w:color w:val="auto"/>
          <w:highlight w:val="none"/>
        </w:rPr>
        <w:t xml:space="preserve">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安全隐患分析和防范措施基本满足本项目要求得</w:t>
      </w:r>
      <w:r>
        <w:rPr>
          <w:rFonts w:hint="eastAsia" w:ascii="Times New Roman" w:hAnsi="Times New Roman" w:eastAsia="宋体" w:cs="Times New Roman"/>
          <w:color w:val="auto"/>
          <w:highlight w:val="none"/>
          <w:lang w:val="en-US" w:eastAsia="zh-CN"/>
        </w:rPr>
        <w:t xml:space="preserve">8</w:t>
      </w:r>
      <w:r>
        <w:rPr>
          <w:rFonts w:hint="default" w:ascii="Times New Roman" w:hAnsi="Times New Roman" w:eastAsia="宋体" w:cs="Times New Roman"/>
          <w:color w:val="auto"/>
          <w:highlight w:val="none"/>
        </w:rPr>
        <w:t xml:space="preserve">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安全隐患分析有缺陷，未能提供防范措施</w:t>
      </w:r>
      <w:r>
        <w:rPr>
          <w:rFonts w:hint="eastAsia" w:ascii="Times New Roman" w:hAnsi="Times New Roman" w:eastAsia="宋体" w:cs="Times New Roman"/>
          <w:color w:val="auto"/>
          <w:highlight w:val="none"/>
          <w:lang w:val="en-US" w:eastAsia="zh-CN"/>
        </w:rPr>
        <w:t xml:space="preserve">4</w:t>
      </w:r>
      <w:r>
        <w:rPr>
          <w:rFonts w:hint="default" w:ascii="Times New Roman" w:hAnsi="Times New Roman" w:eastAsia="宋体" w:cs="Times New Roman"/>
          <w:color w:val="auto"/>
          <w:highlight w:val="none"/>
        </w:rPr>
        <w:t xml:space="preserve">分。其余情况不得分。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（7）人员资质比较（2分）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操作人员中拥有洗衣师证书的，每提供1人得1分，最高2分，投标文件中提供相关证明材料复印件（2分），响应文件中需提供相关人员相应的证书复印件及响应单位为其缴纳的近期社保缴费证明，资料不全或未提供的不得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2、组织有效的管理机构及考核管理办法（9分）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（1）管理规章制度（6分）：管理维护运作制度及标准、管理人员考核制度及标准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管理维护运作制度和考核制度科学清晰完整得6分；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管理维护运作制度和考核制度基本满足本项目要求得4分；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管理维护运作制度和考核制度有缺陷得2分；其余情况不得分。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（2）日常考核表单（3分）：提供管理其它项目时已使用的例表</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表单内容详尽，考虑周全，考核方法科学得3分；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表单内容、考核方法基本满足本项目要求得2分；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表单内容和考核方法有缺陷得1分。其余情况不得分。</w:t>
      </w:r>
      <w:r/>
    </w:p>
    <w:p>
      <w:pPr>
        <w:ind w:firstLine="420"/>
        <w:spacing w:line="400" w:lineRule="exact"/>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 xml:space="preserve">（三）投标人专业程</w:t>
      </w:r>
      <w:r>
        <w:rPr>
          <w:rFonts w:hint="eastAsia" w:ascii="Times New Roman" w:hAnsi="Times New Roman" w:eastAsia="宋体" w:cs="Times New Roman"/>
          <w:b/>
          <w:bCs/>
          <w:color w:val="auto"/>
          <w:highlight w:val="none"/>
          <w:lang w:eastAsia="zh-CN"/>
        </w:rPr>
        <w:t xml:space="preserve">度和</w:t>
      </w:r>
      <w:r>
        <w:rPr>
          <w:rFonts w:hint="default" w:ascii="Times New Roman" w:hAnsi="Times New Roman" w:eastAsia="宋体" w:cs="Times New Roman"/>
          <w:b/>
          <w:bCs/>
          <w:color w:val="auto"/>
          <w:highlight w:val="none"/>
        </w:rPr>
        <w:t xml:space="preserve">履约能力比较：</w:t>
      </w:r>
      <w:r>
        <w:rPr>
          <w:rFonts w:hint="eastAsia" w:ascii="Times New Roman" w:hAnsi="Times New Roman" w:eastAsia="宋体" w:cs="Times New Roman"/>
          <w:b/>
          <w:bCs/>
          <w:color w:val="auto"/>
          <w:highlight w:val="none"/>
          <w:lang w:val="en-US" w:eastAsia="zh-CN"/>
        </w:rPr>
        <w:t xml:space="preserve">22</w:t>
      </w:r>
      <w:r>
        <w:rPr>
          <w:rFonts w:hint="default" w:ascii="Times New Roman" w:hAnsi="Times New Roman" w:eastAsia="宋体" w:cs="Times New Roman"/>
          <w:b/>
          <w:bCs/>
          <w:color w:val="auto"/>
          <w:highlight w:val="none"/>
        </w:rPr>
        <w:t xml:space="preserve">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1、排污达到项目所在地的环保相关标准，提供城镇污水排入排水管网许可证或污水处理协议得2分。（2分）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2、投标单位提供符合招标要求的布草相关检测报告，提供检测报告复印件得2分。（2分）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3、投标单位提供洗涤原材料合格检测报告，提供检测报告复印件得2分。（2分）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4、类似项目经验比较（10分）：202</w:t>
      </w:r>
      <w:r>
        <w:rPr>
          <w:rFonts w:hint="default" w:ascii="Times New Roman" w:hAnsi="Times New Roman" w:eastAsia="宋体" w:cs="Times New Roman"/>
          <w:color w:val="auto"/>
          <w:highlight w:val="none"/>
          <w:lang w:val="en-US" w:eastAsia="zh-CN"/>
        </w:rPr>
        <w:t xml:space="preserve">2</w:t>
      </w:r>
      <w:r>
        <w:rPr>
          <w:rFonts w:hint="default" w:ascii="Times New Roman" w:hAnsi="Times New Roman" w:eastAsia="宋体" w:cs="Times New Roman"/>
          <w:color w:val="auto"/>
          <w:highlight w:val="none"/>
        </w:rPr>
        <w:t xml:space="preserve">年1月1日至今，每提供1份类似业绩合同复印件得2分，共10分。</w:t>
      </w:r>
      <w:r/>
    </w:p>
    <w:p>
      <w:pPr>
        <w:ind w:firstLine="420"/>
        <w:spacing w:line="4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5、质量体系认证证书（</w:t>
      </w:r>
      <w:r>
        <w:rPr>
          <w:rFonts w:hint="eastAsia" w:ascii="Times New Roman" w:hAnsi="Times New Roman" w:eastAsia="宋体" w:cs="Times New Roman"/>
          <w:color w:val="auto"/>
          <w:highlight w:val="none"/>
          <w:lang w:val="en-US" w:eastAsia="zh-CN"/>
        </w:rPr>
        <w:t xml:space="preserve">6</w:t>
      </w:r>
      <w:r>
        <w:rPr>
          <w:rFonts w:hint="default" w:ascii="Times New Roman" w:hAnsi="Times New Roman" w:eastAsia="宋体" w:cs="Times New Roman"/>
          <w:color w:val="auto"/>
          <w:highlight w:val="none"/>
        </w:rPr>
        <w:t xml:space="preserve">分）</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highlight w:val="none"/>
        </w:rPr>
        <w:t xml:space="preserve">投标人具有有效期内的质量管理体系认证、环境管理体系认证、职业健康安全</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t xml:space="preserve">管理体系认证证书，每提供1份证书复印件得</w:t>
      </w:r>
      <w:r>
        <w:rPr>
          <w:rFonts w:hint="eastAsia" w:ascii="Times New Roman" w:hAnsi="Times New Roman" w:eastAsia="宋体" w:cs="Times New Roman"/>
          <w:color w:val="auto"/>
          <w:highlight w:val="none"/>
          <w:lang w:val="en-US" w:eastAsia="zh-CN"/>
        </w:rPr>
        <w:t xml:space="preserve">2</w:t>
      </w:r>
      <w:r>
        <w:rPr>
          <w:rFonts w:hint="default" w:ascii="Times New Roman" w:hAnsi="Times New Roman" w:eastAsia="宋体" w:cs="Times New Roman"/>
          <w:color w:val="auto"/>
          <w:highlight w:val="none"/>
        </w:rPr>
        <w:t xml:space="preserve">分。本项最高得</w:t>
      </w:r>
      <w:r>
        <w:rPr>
          <w:rFonts w:hint="eastAsia" w:ascii="Times New Roman" w:hAnsi="Times New Roman" w:eastAsia="宋体" w:cs="Times New Roman"/>
          <w:color w:val="auto"/>
          <w:highlight w:val="none"/>
          <w:lang w:val="en-US" w:eastAsia="zh-CN"/>
        </w:rPr>
        <w:t xml:space="preserve">6</w:t>
      </w:r>
      <w:r>
        <w:rPr>
          <w:rFonts w:hint="default" w:ascii="Times New Roman" w:hAnsi="Times New Roman" w:eastAsia="宋体" w:cs="Times New Roman"/>
          <w:color w:val="auto"/>
          <w:highlight w:val="none"/>
        </w:rPr>
        <w:t xml:space="preserve">分。投标文件中须提供证书扫描件，同时提供中国认监委网站查询结果截图。上述材料提供不全不得分。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采购包5：东楼医疗环境清洁消杀、垃圾运送服务</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（一）价格（</w:t>
      </w:r>
      <w:r>
        <w:rPr>
          <w:rFonts w:hint="eastAsia" w:ascii="宋体" w:hAnsi="宋体"/>
          <w:b/>
          <w:bCs/>
          <w:color w:val="auto"/>
          <w:szCs w:val="21"/>
          <w:highlight w:val="none"/>
          <w:lang w:val="en-US" w:eastAsia="zh-CN"/>
        </w:rPr>
        <w:t xml:space="preserve">15</w:t>
      </w:r>
      <w:r>
        <w:rPr>
          <w:rFonts w:hint="eastAsia" w:ascii="宋体" w:hAnsi="宋体"/>
          <w:b/>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以进入评标程序、满足采购文件要求且报价最低的投标报价为评标基准价（须未超过采购预算价和最高限价），其价格分为满分</w:t>
      </w:r>
      <w:r>
        <w:rPr>
          <w:rFonts w:hint="eastAsia" w:ascii="宋体" w:hAnsi="宋体"/>
          <w:bCs/>
          <w:color w:val="auto"/>
          <w:szCs w:val="21"/>
          <w:highlight w:val="none"/>
          <w:lang w:val="en-US" w:eastAsia="zh-CN"/>
        </w:rPr>
        <w:t xml:space="preserve">15</w:t>
      </w:r>
      <w:r>
        <w:rPr>
          <w:rFonts w:hint="eastAsia" w:ascii="宋体" w:hAnsi="宋体"/>
          <w:bCs/>
          <w:color w:val="auto"/>
          <w:szCs w:val="21"/>
          <w:highlight w:val="none"/>
        </w:rPr>
        <w:t xml:space="preserve">分。其他投标人的价格分统一按照下列公式计算：</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投标报价得分=（评标基准价/投标报价）X价格权值X100（价格权值为1</w:t>
      </w:r>
      <w:r>
        <w:rPr>
          <w:rFonts w:hint="eastAsia" w:ascii="宋体" w:hAnsi="宋体"/>
          <w:bCs/>
          <w:color w:val="auto"/>
          <w:szCs w:val="21"/>
          <w:highlight w:val="none"/>
          <w:lang w:val="en-US" w:eastAsia="zh-CN"/>
        </w:rPr>
        <w:t xml:space="preserve">5</w:t>
      </w:r>
      <w:r>
        <w:rPr>
          <w:rFonts w:hint="eastAsia" w:ascii="宋体" w:hAnsi="宋体"/>
          <w:bCs/>
          <w:color w:val="auto"/>
          <w:szCs w:val="21"/>
          <w:highlight w:val="none"/>
        </w:rPr>
        <w:t xml:space="preserve">%）</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（二）服务技术方案（</w:t>
      </w:r>
      <w:r>
        <w:rPr>
          <w:rFonts w:hint="eastAsia" w:ascii="宋体" w:hAnsi="宋体"/>
          <w:b/>
          <w:bCs/>
          <w:color w:val="auto"/>
          <w:szCs w:val="21"/>
          <w:highlight w:val="none"/>
          <w:lang w:val="en-US" w:eastAsia="zh-CN"/>
        </w:rPr>
        <w:t xml:space="preserve">75</w:t>
      </w:r>
      <w:r>
        <w:rPr>
          <w:rFonts w:hint="eastAsia" w:ascii="宋体" w:hAnsi="宋体"/>
          <w:b/>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1、环境清洁服务管理运作流程设计和工作组织实施方案（</w:t>
      </w:r>
      <w:r>
        <w:rPr>
          <w:rFonts w:hint="eastAsia" w:ascii="宋体" w:hAnsi="宋体"/>
          <w:bCs/>
          <w:color w:val="auto"/>
          <w:szCs w:val="21"/>
          <w:highlight w:val="none"/>
          <w:lang w:val="en-US" w:eastAsia="zh-CN"/>
        </w:rPr>
        <w:t xml:space="preserve">15</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评委根据各投标单位对本项目的管理工作的组织设计、实施方案进行综合评审。</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管理机构设立方案完善，运作流程清晰，有标准化的操作规范、工作流程和管理体系并提供文件支持，以上内容齐全方案详细得</w:t>
      </w:r>
      <w:r>
        <w:rPr>
          <w:rFonts w:hint="eastAsia" w:ascii="宋体" w:hAnsi="宋体"/>
          <w:bCs/>
          <w:color w:val="auto"/>
          <w:szCs w:val="21"/>
          <w:highlight w:val="none"/>
          <w:lang w:val="en-US" w:eastAsia="zh-CN"/>
        </w:rPr>
        <w:t xml:space="preserve">15</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以上内容基本满足本项目要求得</w:t>
      </w:r>
      <w:r>
        <w:rPr>
          <w:rFonts w:hint="eastAsia" w:ascii="宋体" w:hAnsi="宋体"/>
          <w:bCs/>
          <w:color w:val="auto"/>
          <w:szCs w:val="21"/>
          <w:highlight w:val="none"/>
          <w:lang w:val="en-US" w:eastAsia="zh-CN"/>
        </w:rPr>
        <w:t xml:space="preserve">10</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以上内容不全，有缺陷得</w:t>
      </w:r>
      <w:r>
        <w:rPr>
          <w:rFonts w:hint="eastAsia" w:ascii="宋体" w:hAnsi="宋体"/>
          <w:bCs/>
          <w:color w:val="auto"/>
          <w:szCs w:val="21"/>
          <w:highlight w:val="none"/>
          <w:lang w:val="en-US" w:eastAsia="zh-CN"/>
        </w:rPr>
        <w:t xml:space="preserve">5</w:t>
      </w:r>
      <w:r>
        <w:rPr>
          <w:rFonts w:hint="eastAsia" w:ascii="宋体" w:hAnsi="宋体"/>
          <w:bCs/>
          <w:color w:val="auto"/>
          <w:szCs w:val="21"/>
          <w:highlight w:val="none"/>
        </w:rPr>
        <w:t xml:space="preserve">分； </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其余情况不得分。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2、服务总体模式与项目具体工作需求分析（</w:t>
      </w:r>
      <w:r>
        <w:rPr>
          <w:rFonts w:hint="eastAsia" w:ascii="宋体" w:hAnsi="宋体"/>
          <w:bCs/>
          <w:color w:val="auto"/>
          <w:szCs w:val="21"/>
          <w:highlight w:val="none"/>
          <w:lang w:val="en-US" w:eastAsia="zh-CN"/>
        </w:rPr>
        <w:t xml:space="preserve">15</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服务总体模式清晰，配套措施完善，有各个区域详细的环境清洁工作分析以及解决方案，得</w:t>
      </w:r>
      <w:r>
        <w:rPr>
          <w:rFonts w:hint="eastAsia" w:ascii="宋体" w:hAnsi="宋体"/>
          <w:bCs/>
          <w:color w:val="auto"/>
          <w:szCs w:val="21"/>
          <w:highlight w:val="none"/>
          <w:lang w:val="en-US" w:eastAsia="zh-CN"/>
        </w:rPr>
        <w:t xml:space="preserve">15</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服务总体模式比较清晰，配套措施基本满足本项目要求，有基本的环境清洁工作分析以及解决方案得</w:t>
      </w:r>
      <w:r>
        <w:rPr>
          <w:rFonts w:hint="eastAsia" w:ascii="宋体" w:hAnsi="宋体"/>
          <w:bCs/>
          <w:color w:val="auto"/>
          <w:szCs w:val="21"/>
          <w:highlight w:val="none"/>
          <w:lang w:val="en-US" w:eastAsia="zh-CN"/>
        </w:rPr>
        <w:t xml:space="preserve">10</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服务总体模式和配套措施不够清晰，环境清洁工作分析以及解决方案有缺陷得</w:t>
      </w:r>
      <w:r>
        <w:rPr>
          <w:rFonts w:hint="eastAsia" w:ascii="宋体" w:hAnsi="宋体"/>
          <w:bCs/>
          <w:color w:val="auto"/>
          <w:szCs w:val="21"/>
          <w:highlight w:val="none"/>
          <w:lang w:val="en-US" w:eastAsia="zh-CN"/>
        </w:rPr>
        <w:t xml:space="preserve">5</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其余情况不得分。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3、投入设备、设施配置情况（</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评委根据各投标人投入本项目的设备设施配置情况综合评审后进行打分。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使用年限短且配置完善，工具有详细的品牌规格等说明（提供具体设备图片），符合院感染控制要求的得</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使用年限和配置基本满足本项目要求，提供具体设备图片得</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使用年限长且配置有缺陷，提供设备图片不齐全得</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其余情况不得分。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4、人员配置合理性（</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（1）管理人员配置（</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分）：具有类似管理类5年以上</w:t>
      </w:r>
      <w:r>
        <w:rPr>
          <w:rFonts w:hint="eastAsia" w:ascii="宋体" w:hAnsi="宋体"/>
          <w:bCs/>
          <w:color w:val="auto"/>
          <w:szCs w:val="21"/>
          <w:highlight w:val="none"/>
          <w:lang w:val="en-US" w:eastAsia="zh-CN"/>
        </w:rPr>
        <w:t xml:space="preserve">相关</w:t>
      </w:r>
      <w:r>
        <w:rPr>
          <w:rFonts w:hint="eastAsia" w:ascii="宋体" w:hAnsi="宋体"/>
          <w:bCs/>
          <w:color w:val="auto"/>
          <w:szCs w:val="21"/>
          <w:highlight w:val="none"/>
        </w:rPr>
        <w:t xml:space="preserve">服务管理工作经验，出示相关服务单位的证明文件并加盖公章</w:t>
      </w:r>
      <w:r>
        <w:rPr>
          <w:rFonts w:hint="eastAsia" w:ascii="宋体" w:hAnsi="宋体"/>
          <w:bCs/>
          <w:color w:val="auto"/>
          <w:szCs w:val="21"/>
          <w:highlight w:val="none"/>
          <w:lang w:val="en-US" w:eastAsia="zh-CN"/>
        </w:rPr>
        <w:t xml:space="preserve">得3分</w:t>
      </w:r>
      <w:r>
        <w:rPr>
          <w:rFonts w:hint="eastAsia" w:ascii="宋体" w:hAnsi="宋体"/>
          <w:bCs/>
          <w:color w:val="auto"/>
          <w:szCs w:val="21"/>
          <w:highlight w:val="none"/>
        </w:rPr>
        <w:t xml:space="preserve">；</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其余情况不得分。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（2）人员配置（</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分）：人员配置需满足招标文件要求。提供以往缴纳社保证明复印件。评委根据各投标单位的配备人员数量、年龄、工作经验进行打分。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有详细合理的人员配备方案且人员配备完全满足招标文件要求，用工完全符合苏州市劳动用工相关规定并能出具相关证明，具有工作经验的得</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分； </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人员配备方案比较合理，完全满足招标文件要求，用工完全符合苏州市劳动用工相关规定并能出具相关证明，无工作经验的得</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其余情况不得分。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5、人员培训、质量控制及支持方案（10分）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（1）包括岗前培训和在岗培训，培训方案完善且有针对性，有详细的培训计划并形成完整的培训体系并提供相关的文档记录等资料支持的得5分，培训方案基本满足本项目要求得3分，其余情况不得分；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（2）质量控制方案完整且有针对性，有详细的质量监控系统、完整的项目检查反馈体系及预防纠正措施方案并提供相关的文档记录等资料支持的得5分，质量控制方案基本满足本项目要求得3分，其余情况不得分；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6、交接过渡工作方案（8分）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各项管理规章制订严格，有完善的交接场验收方案的得8分；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方案操作性一般基本满足本项目要求得5分；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无方案不得分。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7、防止交叉感染措施方案（10分）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具备完善的交叉感染控制措施，并具有可操作性，能够为相关措施的正确执行提供保障得10分；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感染控制措施操作性一般基本满足本项目要求得7分；</w:t>
      </w:r>
      <w:r/>
    </w:p>
    <w:p>
      <w:pPr>
        <w:ind w:firstLine="420"/>
        <w:spacing w:line="400" w:lineRule="exact"/>
        <w:rPr>
          <w:rFonts w:hint="eastAsia" w:ascii="宋体" w:hAnsi="宋体"/>
          <w:bCs/>
          <w:color w:val="auto"/>
          <w:szCs w:val="21"/>
          <w:highlight w:val="none"/>
          <w:lang w:eastAsia="zh-CN"/>
        </w:rPr>
      </w:pPr>
      <w:r>
        <w:rPr>
          <w:rFonts w:hint="eastAsia" w:ascii="宋体" w:hAnsi="宋体"/>
          <w:bCs/>
          <w:color w:val="auto"/>
          <w:szCs w:val="21"/>
          <w:highlight w:val="none"/>
        </w:rPr>
        <w:t xml:space="preserve">交叉感染控制措施存在缺陷得4分</w:t>
      </w:r>
      <w:r>
        <w:rPr>
          <w:rFonts w:hint="eastAsia" w:ascii="宋体" w:hAnsi="宋体"/>
          <w:bCs/>
          <w:color w:val="auto"/>
          <w:szCs w:val="21"/>
          <w:highlight w:val="none"/>
          <w:lang w:eastAsia="zh-CN"/>
        </w:rPr>
        <w:t xml:space="preserve">；</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其余情况不得分。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8、服务保障及突发事件的应急措施（</w:t>
      </w:r>
      <w:r>
        <w:rPr>
          <w:rFonts w:hint="eastAsia" w:ascii="宋体" w:hAnsi="宋体"/>
          <w:bCs/>
          <w:color w:val="auto"/>
          <w:szCs w:val="21"/>
          <w:highlight w:val="none"/>
          <w:lang w:val="en-US" w:eastAsia="zh-CN"/>
        </w:rPr>
        <w:t xml:space="preserve">5</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服务管理各项承诺明确且具有可操作性和监督性，有详细的工作计划和项目初始化方案设计，有应对突发事件的具体措施的得</w:t>
      </w:r>
      <w:r>
        <w:rPr>
          <w:rFonts w:hint="eastAsia" w:ascii="宋体" w:hAnsi="宋体"/>
          <w:bCs/>
          <w:color w:val="auto"/>
          <w:szCs w:val="21"/>
          <w:highlight w:val="none"/>
          <w:lang w:val="en-US" w:eastAsia="zh-CN"/>
        </w:rPr>
        <w:t xml:space="preserve">5</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方案简单基本满足本项目要求得</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其余情况不得分。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（三）履约能力比较（10分）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1、管理体系认证（3分）：</w:t>
      </w:r>
      <w:r>
        <w:rPr>
          <w:rFonts w:ascii="宋体" w:hAnsi="宋体"/>
          <w:bCs/>
          <w:color w:val="auto"/>
          <w:szCs w:val="21"/>
          <w:highlight w:val="none"/>
        </w:rPr>
        <w:t xml:space="preserve"> </w:t>
      </w:r>
      <w:r>
        <w:rPr>
          <w:rFonts w:hint="eastAsia" w:hAnsi="宋体"/>
          <w:color w:val="auto"/>
          <w:szCs w:val="21"/>
          <w:highlight w:val="none"/>
        </w:rPr>
        <w:t xml:space="preserve">投标人具有有效期内的质量管理体系认证、</w:t>
      </w:r>
      <w:r>
        <w:rPr>
          <w:rFonts w:hint="eastAsia"/>
          <w:color w:val="auto"/>
          <w:highlight w:val="none"/>
        </w:rPr>
        <w:t xml:space="preserve">环境管理体系认证、职业健康安全管理体系认证</w:t>
      </w:r>
      <w:r>
        <w:rPr>
          <w:rFonts w:hint="eastAsia" w:ascii="宋体" w:hAnsi="宋体"/>
          <w:bCs/>
          <w:color w:val="auto"/>
          <w:szCs w:val="21"/>
          <w:highlight w:val="none"/>
        </w:rPr>
        <w:t xml:space="preserve">证书</w:t>
      </w:r>
      <w:r>
        <w:rPr>
          <w:rFonts w:hint="eastAsia"/>
          <w:color w:val="auto"/>
          <w:highlight w:val="none"/>
        </w:rPr>
        <w:t xml:space="preserve">，</w:t>
      </w:r>
      <w:r>
        <w:rPr>
          <w:rFonts w:hint="eastAsia" w:ascii="宋体" w:hAnsi="宋体"/>
          <w:bCs/>
          <w:color w:val="auto"/>
          <w:szCs w:val="21"/>
          <w:highlight w:val="none"/>
        </w:rPr>
        <w:t xml:space="preserve">每提供1份证书复印件得1分。</w:t>
      </w:r>
      <w:r>
        <w:rPr>
          <w:rFonts w:hint="eastAsia" w:hAnsi="宋体"/>
          <w:color w:val="auto"/>
          <w:szCs w:val="21"/>
          <w:highlight w:val="none"/>
        </w:rPr>
        <w:t xml:space="preserve">投标文件中须提供证书扫描件，</w:t>
      </w:r>
      <w:r>
        <w:rPr>
          <w:rFonts w:hint="eastAsia"/>
          <w:bCs/>
          <w:color w:val="auto"/>
          <w:szCs w:val="21"/>
          <w:highlight w:val="none"/>
        </w:rPr>
        <w:t xml:space="preserve">同时提供中国认监委网站查询结果截图</w:t>
      </w:r>
      <w:r>
        <w:rPr>
          <w:rFonts w:hint="eastAsia" w:hAnsi="宋体"/>
          <w:color w:val="auto"/>
          <w:szCs w:val="21"/>
          <w:highlight w:val="none"/>
        </w:rPr>
        <w:t xml:space="preserve">。上述材料提供不全不得分。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类似业绩（5分）：</w:t>
      </w:r>
      <w:r>
        <w:rPr>
          <w:rFonts w:hint="eastAsia" w:ascii="宋体" w:hAnsi="宋体"/>
          <w:bCs/>
          <w:color w:val="auto"/>
          <w:szCs w:val="21"/>
          <w:highlight w:val="none"/>
        </w:rPr>
        <w:t xml:space="preserve">投标单位</w:t>
      </w:r>
      <w:r>
        <w:rPr>
          <w:rFonts w:hint="eastAsia" w:ascii="宋体" w:hAnsi="宋体"/>
          <w:color w:val="auto"/>
          <w:szCs w:val="21"/>
          <w:highlight w:val="none"/>
        </w:rPr>
        <w:t xml:space="preserve">202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年1月1日</w:t>
      </w:r>
      <w:r>
        <w:rPr>
          <w:rFonts w:hint="eastAsia" w:ascii="宋体" w:hAnsi="宋体"/>
          <w:bCs/>
          <w:color w:val="auto"/>
          <w:szCs w:val="21"/>
          <w:highlight w:val="none"/>
        </w:rPr>
        <w:t xml:space="preserve">至今具有的类似业绩（以合同复印件为准）：每有 1 个类似业绩完整合同复印件得1分；最高得5分；无类似业绩不得分。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3、投标单位自主拥有医疗后勤管理类软件著作权证书（2分）：每提供1份证书复印件得1分。</w:t>
      </w:r>
      <w:r>
        <w:rPr>
          <w:rFonts w:hint="eastAsia" w:ascii="宋体" w:hAnsi="宋体"/>
          <w:color w:val="auto"/>
          <w:szCs w:val="21"/>
          <w:highlight w:val="none"/>
        </w:rPr>
        <w:t xml:space="preserve">同时提供证书官方网站查询页面截图,材料提供不全或未提供不得分。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采购包6：西楼医疗环境清洁消杀、垃圾运送服务</w:t>
      </w:r>
      <w:r/>
    </w:p>
    <w:p>
      <w:pPr>
        <w:ind w:firstLine="422"/>
        <w:spacing w:line="400" w:lineRule="exact"/>
        <w:rPr>
          <w:rFonts w:hint="eastAsia" w:hAnsi="宋体"/>
          <w:b/>
          <w:bCs/>
          <w:color w:val="auto"/>
          <w:szCs w:val="21"/>
          <w:highlight w:val="none"/>
        </w:rPr>
      </w:pPr>
      <w:r>
        <w:rPr>
          <w:rFonts w:hint="eastAsia" w:hAnsi="宋体"/>
          <w:b/>
          <w:bCs/>
          <w:color w:val="auto"/>
          <w:szCs w:val="21"/>
          <w:highlight w:val="none"/>
        </w:rPr>
        <w:t xml:space="preserve">（一）价格（</w:t>
      </w:r>
      <w:r>
        <w:rPr>
          <w:rFonts w:hint="eastAsia" w:hAnsi="宋体"/>
          <w:b/>
          <w:bCs/>
          <w:color w:val="auto"/>
          <w:szCs w:val="21"/>
          <w:highlight w:val="none"/>
          <w:lang w:val="en-US" w:eastAsia="zh-CN"/>
        </w:rPr>
        <w:t xml:space="preserve">15</w:t>
      </w:r>
      <w:r>
        <w:rPr>
          <w:rFonts w:hint="eastAsia" w:hAnsi="宋体"/>
          <w:b/>
          <w:bCs/>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以进入评标程序、满足采购文件要求且报价最低的投标报价为评标基准价（须未超过采购预算价和最高限价），其价格分为满分</w:t>
      </w:r>
      <w:r>
        <w:rPr>
          <w:rFonts w:hint="eastAsia" w:ascii="宋体" w:hAnsi="宋体"/>
          <w:color w:val="auto"/>
          <w:szCs w:val="21"/>
          <w:highlight w:val="none"/>
          <w:lang w:val="en-US" w:eastAsia="zh-CN"/>
        </w:rPr>
        <w:t xml:space="preserve">15</w:t>
      </w:r>
      <w:r>
        <w:rPr>
          <w:rFonts w:hint="eastAsia" w:ascii="宋体" w:hAnsi="宋体"/>
          <w:color w:val="auto"/>
          <w:szCs w:val="21"/>
          <w:highlight w:val="none"/>
        </w:rPr>
        <w:t xml:space="preserve">分。其他投标人的价格分统一按照下列公式计算：</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投标报价得分=（评标基准价/投标报价）X价格权值X100（价格权值为10%）</w:t>
      </w:r>
      <w:r/>
    </w:p>
    <w:p>
      <w:pPr>
        <w:ind w:firstLine="422"/>
        <w:spacing w:line="400" w:lineRule="exact"/>
        <w:rPr>
          <w:rFonts w:hint="eastAsia" w:hAnsi="宋体"/>
          <w:b/>
          <w:bCs/>
          <w:color w:val="auto"/>
          <w:szCs w:val="21"/>
          <w:highlight w:val="none"/>
        </w:rPr>
      </w:pPr>
      <w:r>
        <w:rPr>
          <w:rFonts w:hint="eastAsia" w:hAnsi="宋体"/>
          <w:b/>
          <w:bCs/>
          <w:color w:val="auto"/>
          <w:szCs w:val="21"/>
          <w:highlight w:val="none"/>
        </w:rPr>
        <w:t xml:space="preserve">（二）服务技术方案（</w:t>
      </w:r>
      <w:r>
        <w:rPr>
          <w:rFonts w:hint="eastAsia" w:hAnsi="宋体"/>
          <w:b/>
          <w:bCs/>
          <w:color w:val="auto"/>
          <w:szCs w:val="21"/>
          <w:highlight w:val="none"/>
          <w:lang w:val="en-US" w:eastAsia="zh-CN"/>
        </w:rPr>
        <w:t xml:space="preserve">77</w:t>
      </w:r>
      <w:r>
        <w:rPr>
          <w:rFonts w:hint="eastAsia" w:hAnsi="宋体"/>
          <w:b/>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1、环境清洁服务管理运作流程设计和工作组织实施方案（</w:t>
      </w:r>
      <w:r>
        <w:rPr>
          <w:rFonts w:hint="eastAsia" w:ascii="宋体" w:hAnsi="宋体"/>
          <w:bCs/>
          <w:color w:val="auto"/>
          <w:szCs w:val="21"/>
          <w:highlight w:val="none"/>
          <w:lang w:val="en-US" w:eastAsia="zh-CN"/>
        </w:rPr>
        <w:t xml:space="preserve">15</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评委根据各投标单位对本项目的管理工作的组织设计、实施方案进行综合评审。</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管理机构设立方案完善，运作流程清晰，有标准化的操作规范、工作流程和管理体系并提供文件支持，以上内容完整科学得</w:t>
      </w:r>
      <w:r>
        <w:rPr>
          <w:rFonts w:hint="eastAsia" w:ascii="宋体" w:hAnsi="宋体"/>
          <w:bCs/>
          <w:color w:val="auto"/>
          <w:szCs w:val="21"/>
          <w:highlight w:val="none"/>
          <w:lang w:val="en-US" w:eastAsia="zh-CN"/>
        </w:rPr>
        <w:t xml:space="preserve">15</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以上内容基本满足本项目要求得</w:t>
      </w:r>
      <w:r>
        <w:rPr>
          <w:rFonts w:hint="eastAsia" w:ascii="宋体" w:hAnsi="宋体"/>
          <w:bCs/>
          <w:color w:val="auto"/>
          <w:szCs w:val="21"/>
          <w:highlight w:val="none"/>
          <w:lang w:val="en-US" w:eastAsia="zh-CN"/>
        </w:rPr>
        <w:t xml:space="preserve">10</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以上内容不全有缺陷得</w:t>
      </w:r>
      <w:r>
        <w:rPr>
          <w:rFonts w:hint="eastAsia" w:ascii="宋体" w:hAnsi="宋体"/>
          <w:bCs/>
          <w:color w:val="auto"/>
          <w:szCs w:val="21"/>
          <w:highlight w:val="none"/>
          <w:lang w:val="en-US" w:eastAsia="zh-CN"/>
        </w:rPr>
        <w:t xml:space="preserve">5</w:t>
      </w:r>
      <w:r>
        <w:rPr>
          <w:rFonts w:hint="eastAsia" w:ascii="宋体" w:hAnsi="宋体"/>
          <w:bCs/>
          <w:color w:val="auto"/>
          <w:szCs w:val="21"/>
          <w:highlight w:val="none"/>
        </w:rPr>
        <w:t xml:space="preserve">分； </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其余情况不得分。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2、服务总体模式与项目具体工作需求分析（12分）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服务总体模式清晰，配套措施完善，有各个区域详细的环境清洁工作分析以及解决方案，得12分；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服务总体模式比较清晰，配套措施基本满足本项目要求，有基本的环境清洁工作分析以及解决方案得8分，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服务总体模式不够清晰，配套措施不够完善，无主要区域的环境清洁工作分析以及解决方案得4分；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其余情况不得分。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3、投入设备、设施配置情况（</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评委根据各投标人投入本项目的设备设施配置情况综合评审后进行打分。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使用年限短且配置完善，工具有详细的品牌规格等说明（提供具体设备图片），符合院感染控制要求的得</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使用年限和配置基本满足本项目要求，提供具体设备图片得</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使用年限长且配置有缺陷，提供设备图片不齐全得</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其余情况不得分。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4、人员配置合理性（</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（1）管理人员配置（</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分）：具有类似管理类5年以上</w:t>
      </w:r>
      <w:r>
        <w:rPr>
          <w:rFonts w:hint="eastAsia" w:ascii="宋体" w:hAnsi="宋体"/>
          <w:bCs/>
          <w:color w:val="auto"/>
          <w:szCs w:val="21"/>
          <w:highlight w:val="none"/>
          <w:lang w:val="en-US" w:eastAsia="zh-CN"/>
        </w:rPr>
        <w:t xml:space="preserve">相关</w:t>
      </w:r>
      <w:r>
        <w:rPr>
          <w:rFonts w:hint="eastAsia" w:ascii="宋体" w:hAnsi="宋体"/>
          <w:bCs/>
          <w:color w:val="auto"/>
          <w:szCs w:val="21"/>
          <w:highlight w:val="none"/>
        </w:rPr>
        <w:t xml:space="preserve">服务管理工作经验，出示相关服务单位的证明文件并加盖公章</w:t>
      </w:r>
      <w:r>
        <w:rPr>
          <w:rFonts w:hint="eastAsia" w:ascii="宋体" w:hAnsi="宋体"/>
          <w:bCs/>
          <w:color w:val="auto"/>
          <w:szCs w:val="21"/>
          <w:highlight w:val="none"/>
          <w:lang w:val="en-US" w:eastAsia="zh-CN"/>
        </w:rPr>
        <w:t xml:space="preserve">得3分</w:t>
      </w:r>
      <w:r>
        <w:rPr>
          <w:rFonts w:hint="eastAsia" w:ascii="宋体" w:hAnsi="宋体"/>
          <w:bCs/>
          <w:color w:val="auto"/>
          <w:szCs w:val="21"/>
          <w:highlight w:val="none"/>
        </w:rPr>
        <w:t xml:space="preserve">；</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其余情况不得分。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（2）人员配置（</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分）：人员配置需满足招标文件要求。提供以往缴纳社保证明复印件。评委根据各投标单位的配备人员数量、年龄、工作经验进行打分。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有详细合理的人员配备方案且人员配备完全满足招标文件要求，用工完全符合苏州市劳动用工相关规定并能出具相关证明，具有工作经验的得</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分； </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人员配备方案比较合理，完全满足招标文件要求，用工完全符合苏州市劳动用工相关规定并能出具相关证明，无工作经验的得</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其余情况不得分。</w:t>
      </w:r>
      <w:r/>
    </w:p>
    <w:p>
      <w:pPr>
        <w:ind w:firstLine="420"/>
        <w:spacing w:line="400" w:lineRule="exact"/>
        <w:rPr>
          <w:rFonts w:hint="eastAsia" w:hAnsi="宋体"/>
          <w:color w:val="auto"/>
          <w:szCs w:val="21"/>
          <w:highlight w:val="none"/>
        </w:rPr>
      </w:pPr>
      <w:r>
        <w:rPr>
          <w:rFonts w:hAnsi="宋体"/>
          <w:color w:val="auto"/>
          <w:szCs w:val="21"/>
          <w:highlight w:val="none"/>
        </w:rPr>
        <w:t xml:space="preserve">5</w:t>
      </w:r>
      <w:r>
        <w:rPr>
          <w:rFonts w:hint="eastAsia" w:hAnsi="宋体"/>
          <w:color w:val="auto"/>
          <w:szCs w:val="21"/>
          <w:highlight w:val="none"/>
        </w:rPr>
        <w:t xml:space="preserve">、人员培训、质量控制及支持方案（</w:t>
      </w:r>
      <w:r>
        <w:rPr>
          <w:rFonts w:hAnsi="宋体"/>
          <w:color w:val="auto"/>
          <w:szCs w:val="21"/>
          <w:highlight w:val="none"/>
        </w:rPr>
        <w:t xml:space="preserve">10</w:t>
      </w:r>
      <w:r>
        <w:rPr>
          <w:rFonts w:hint="eastAsia" w:hAnsi="宋体"/>
          <w:color w:val="auto"/>
          <w:szCs w:val="21"/>
          <w:highlight w:val="none"/>
        </w:rPr>
        <w:t xml:space="preserve">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1</w:t>
      </w:r>
      <w:r>
        <w:rPr>
          <w:rFonts w:hint="eastAsia" w:hAnsi="宋体"/>
          <w:color w:val="auto"/>
          <w:szCs w:val="21"/>
          <w:highlight w:val="none"/>
        </w:rPr>
        <w:t xml:space="preserve">）包括岗前培训和在岗培训，培训方案完善且有针对性，有详细的培训计划并形成完整的培训体系并提供相关的文档记录等资料支持的得</w:t>
      </w:r>
      <w:r>
        <w:rPr>
          <w:rFonts w:hAnsi="宋体"/>
          <w:color w:val="auto"/>
          <w:szCs w:val="21"/>
          <w:highlight w:val="none"/>
        </w:rPr>
        <w:t xml:space="preserve">5</w:t>
      </w:r>
      <w:r>
        <w:rPr>
          <w:rFonts w:hint="eastAsia" w:hAnsi="宋体"/>
          <w:color w:val="auto"/>
          <w:szCs w:val="21"/>
          <w:highlight w:val="none"/>
        </w:rPr>
        <w:t xml:space="preserve">分，培训方案方案基本满足本项目要求得</w:t>
      </w:r>
      <w:r>
        <w:rPr>
          <w:rFonts w:hAnsi="宋体"/>
          <w:color w:val="auto"/>
          <w:szCs w:val="21"/>
          <w:highlight w:val="none"/>
        </w:rPr>
        <w:t xml:space="preserve">3</w:t>
      </w:r>
      <w:r>
        <w:rPr>
          <w:rFonts w:hint="eastAsia" w:hAnsi="宋体"/>
          <w:color w:val="auto"/>
          <w:szCs w:val="21"/>
          <w:highlight w:val="none"/>
        </w:rPr>
        <w:t xml:space="preserve">分，</w:t>
      </w:r>
      <w:r>
        <w:rPr>
          <w:rFonts w:hint="eastAsia" w:ascii="宋体" w:hAnsi="宋体"/>
          <w:bCs/>
          <w:color w:val="auto"/>
          <w:szCs w:val="21"/>
          <w:highlight w:val="none"/>
        </w:rPr>
        <w:t xml:space="preserve">方案存在缺陷或无方案不得分。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2</w:t>
      </w:r>
      <w:r>
        <w:rPr>
          <w:rFonts w:hint="eastAsia" w:hAnsi="宋体"/>
          <w:color w:val="auto"/>
          <w:szCs w:val="21"/>
          <w:highlight w:val="none"/>
        </w:rPr>
        <w:t xml:space="preserve">）质量控制方案完整且有针对性，有详细的质量监控系统、完整的项目检查反馈体系及预防纠正措施方案并提供相关的文档记录等资料支持的得</w:t>
      </w:r>
      <w:r>
        <w:rPr>
          <w:rFonts w:hAnsi="宋体"/>
          <w:color w:val="auto"/>
          <w:szCs w:val="21"/>
          <w:highlight w:val="none"/>
        </w:rPr>
        <w:t xml:space="preserve">5</w:t>
      </w:r>
      <w:r>
        <w:rPr>
          <w:rFonts w:hint="eastAsia" w:hAnsi="宋体"/>
          <w:color w:val="auto"/>
          <w:szCs w:val="21"/>
          <w:highlight w:val="none"/>
        </w:rPr>
        <w:t xml:space="preserve">分，质量控制方案基本满足本项目要求得</w:t>
      </w:r>
      <w:r>
        <w:rPr>
          <w:rFonts w:hAnsi="宋体"/>
          <w:color w:val="auto"/>
          <w:szCs w:val="21"/>
          <w:highlight w:val="none"/>
        </w:rPr>
        <w:t xml:space="preserve">3</w:t>
      </w:r>
      <w:r>
        <w:rPr>
          <w:rFonts w:hint="eastAsia" w:hAnsi="宋体"/>
          <w:color w:val="auto"/>
          <w:szCs w:val="21"/>
          <w:highlight w:val="none"/>
        </w:rPr>
        <w:t xml:space="preserve">分，</w:t>
      </w:r>
      <w:r>
        <w:rPr>
          <w:rFonts w:hint="eastAsia" w:ascii="宋体" w:hAnsi="宋体"/>
          <w:bCs/>
          <w:color w:val="auto"/>
          <w:szCs w:val="21"/>
          <w:highlight w:val="none"/>
        </w:rPr>
        <w:t xml:space="preserve">方案存在缺陷或无方案不得分。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6、交接过渡工作方案（8分）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各项管理规章制订严格，有完善的交接场验收方案的得8分；方案基本满足本项目要求得4分；方案存在缺陷或无方案不得分。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7、防止交叉感染措施方案（12分）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具备完善的交叉感染控制措施，并具有可操作性，能够为相关措施的正确执行提供保障得12分；感染控制措施操作性基本满足本项目要求得8分；感染控制措施存在缺陷可操作性较差得4分；其余情况不得分。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8、服务保障及突发事件的应急措施（</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服务管理各项承诺明确且具有可操作性和监督性，有详细的工作计划和项目初始化方案设计，有应对突发事件的具体措施的得</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初始化方案简单具体应对措施操作性一般得</w:t>
      </w:r>
      <w:r>
        <w:rPr>
          <w:rFonts w:hint="eastAsia" w:ascii="宋体" w:hAnsi="宋体"/>
          <w:bCs/>
          <w:color w:val="auto"/>
          <w:szCs w:val="21"/>
          <w:highlight w:val="none"/>
          <w:lang w:val="en-US" w:eastAsia="zh-CN"/>
        </w:rPr>
        <w:t xml:space="preserve">5</w:t>
      </w:r>
      <w:r>
        <w:rPr>
          <w:rFonts w:hint="eastAsia" w:ascii="宋体" w:hAnsi="宋体"/>
          <w:bCs/>
          <w:color w:val="auto"/>
          <w:szCs w:val="21"/>
          <w:highlight w:val="none"/>
        </w:rPr>
        <w:t xml:space="preserve">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其余情况不得分。</w:t>
      </w:r>
      <w:r/>
    </w:p>
    <w:p>
      <w:pPr>
        <w:ind w:firstLine="422"/>
        <w:spacing w:line="400" w:lineRule="exact"/>
        <w:rPr>
          <w:rFonts w:hint="eastAsia" w:hAnsi="宋体"/>
          <w:b/>
          <w:bCs/>
          <w:color w:val="auto"/>
          <w:szCs w:val="21"/>
          <w:highlight w:val="none"/>
        </w:rPr>
      </w:pPr>
      <w:r>
        <w:rPr>
          <w:rFonts w:hint="eastAsia" w:hAnsi="宋体"/>
          <w:b/>
          <w:bCs/>
          <w:color w:val="auto"/>
          <w:szCs w:val="21"/>
          <w:highlight w:val="none"/>
        </w:rPr>
        <w:t xml:space="preserve">（三）履约能力比较（8分）</w:t>
      </w:r>
      <w:r/>
    </w:p>
    <w:p>
      <w:pPr>
        <w:ind w:firstLine="420"/>
        <w:spacing w:line="400" w:lineRule="exact"/>
        <w:rPr>
          <w:rFonts w:hint="eastAsia" w:hAnsi="宋体"/>
          <w:color w:val="auto"/>
          <w:szCs w:val="21"/>
          <w:highlight w:val="none"/>
        </w:rPr>
      </w:pPr>
      <w:r>
        <w:rPr>
          <w:rFonts w:hAnsi="宋体"/>
          <w:color w:val="auto"/>
          <w:szCs w:val="21"/>
          <w:highlight w:val="none"/>
        </w:rPr>
        <w:t xml:space="preserve">1</w:t>
      </w:r>
      <w:r>
        <w:rPr>
          <w:rFonts w:hint="eastAsia" w:hAnsi="宋体"/>
          <w:color w:val="auto"/>
          <w:szCs w:val="21"/>
          <w:highlight w:val="none"/>
        </w:rPr>
        <w:t xml:space="preserve">、管理体系认证（</w:t>
      </w:r>
      <w:r>
        <w:rPr>
          <w:rFonts w:hAnsi="宋体"/>
          <w:color w:val="auto"/>
          <w:szCs w:val="21"/>
          <w:highlight w:val="none"/>
        </w:rPr>
        <w:t xml:space="preserve">6</w:t>
      </w:r>
      <w:r>
        <w:rPr>
          <w:rFonts w:hint="eastAsia" w:hAnsi="宋体"/>
          <w:color w:val="auto"/>
          <w:szCs w:val="21"/>
          <w:highlight w:val="none"/>
        </w:rPr>
        <w:t xml:space="preserve">分）：投标人具有有效期内的质量管理体系认证、</w:t>
      </w:r>
      <w:r>
        <w:rPr>
          <w:rFonts w:hint="eastAsia"/>
          <w:color w:val="auto"/>
          <w:highlight w:val="none"/>
        </w:rPr>
        <w:t xml:space="preserve">环境管理体系认证、职业健康安全管理体系认证</w:t>
      </w:r>
      <w:r>
        <w:rPr>
          <w:rFonts w:hint="eastAsia" w:ascii="宋体" w:hAnsi="宋体"/>
          <w:bCs/>
          <w:color w:val="auto"/>
          <w:szCs w:val="21"/>
          <w:highlight w:val="none"/>
        </w:rPr>
        <w:t xml:space="preserve">证书</w:t>
      </w:r>
      <w:r>
        <w:rPr>
          <w:rFonts w:hint="eastAsia"/>
          <w:color w:val="auto"/>
          <w:highlight w:val="none"/>
        </w:rPr>
        <w:t xml:space="preserve">，</w:t>
      </w:r>
      <w:r>
        <w:rPr>
          <w:rFonts w:hint="eastAsia" w:ascii="宋体" w:hAnsi="宋体"/>
          <w:bCs/>
          <w:color w:val="auto"/>
          <w:szCs w:val="21"/>
          <w:highlight w:val="none"/>
        </w:rPr>
        <w:t xml:space="preserve">每提供1份证书复印件得</w:t>
      </w:r>
      <w:r>
        <w:rPr>
          <w:rFonts w:ascii="宋体" w:hAnsi="宋体"/>
          <w:bCs/>
          <w:color w:val="auto"/>
          <w:szCs w:val="21"/>
          <w:highlight w:val="none"/>
        </w:rPr>
        <w:t xml:space="preserve">2</w:t>
      </w:r>
      <w:r>
        <w:rPr>
          <w:rFonts w:hint="eastAsia" w:ascii="宋体" w:hAnsi="宋体"/>
          <w:bCs/>
          <w:color w:val="auto"/>
          <w:szCs w:val="21"/>
          <w:highlight w:val="none"/>
        </w:rPr>
        <w:t xml:space="preserve">分。</w:t>
      </w:r>
      <w:r>
        <w:rPr>
          <w:rFonts w:hint="eastAsia" w:hAnsi="宋体"/>
          <w:color w:val="auto"/>
          <w:szCs w:val="21"/>
          <w:highlight w:val="none"/>
        </w:rPr>
        <w:t xml:space="preserve">投标文件中须提供证书扫描件，</w:t>
      </w:r>
      <w:r>
        <w:rPr>
          <w:rFonts w:hint="eastAsia"/>
          <w:bCs/>
          <w:color w:val="auto"/>
          <w:szCs w:val="21"/>
          <w:highlight w:val="none"/>
        </w:rPr>
        <w:t xml:space="preserve">同时提供中国认监委网站查询结果截图</w:t>
      </w:r>
      <w:r>
        <w:rPr>
          <w:rFonts w:hint="eastAsia" w:hAnsi="宋体"/>
          <w:color w:val="auto"/>
          <w:szCs w:val="21"/>
          <w:highlight w:val="none"/>
        </w:rPr>
        <w:t xml:space="preserve">。上述材料提供不全不得分。本项最高得6分。</w:t>
      </w:r>
      <w:r/>
    </w:p>
    <w:p>
      <w:pPr>
        <w:ind w:firstLine="420"/>
        <w:spacing w:line="400" w:lineRule="exact"/>
        <w:rPr>
          <w:rFonts w:hint="eastAsia"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w:t>
      </w:r>
      <w:r>
        <w:rPr>
          <w:rFonts w:hint="eastAsia" w:hAnsi="宋体"/>
          <w:color w:val="auto"/>
          <w:szCs w:val="21"/>
          <w:highlight w:val="none"/>
          <w:lang w:val="en-US" w:eastAsia="zh-CN"/>
        </w:rPr>
        <w:t xml:space="preserve">类似业绩（2分）：</w:t>
      </w:r>
      <w:r>
        <w:rPr>
          <w:rFonts w:hint="eastAsia" w:ascii="宋体" w:hAnsi="宋体"/>
          <w:color w:val="auto"/>
          <w:szCs w:val="21"/>
          <w:highlight w:val="none"/>
        </w:rPr>
        <w:t xml:space="preserve">202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年1月1日至今具有环境清洁、运送等服务的类似业绩</w:t>
      </w:r>
      <w:r>
        <w:rPr>
          <w:rFonts w:hint="eastAsia" w:hAnsi="宋体"/>
          <w:color w:val="auto"/>
          <w:szCs w:val="21"/>
          <w:highlight w:val="none"/>
        </w:rPr>
        <w:t xml:space="preserve">，每提供一份合同复印件得2分，本项最高得2分。</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采购包7：变配电维保</w:t>
      </w:r>
      <w:r/>
    </w:p>
    <w:p>
      <w:pPr>
        <w:ind w:firstLine="420"/>
        <w:spacing w:line="400" w:lineRule="exact"/>
        <w:rPr>
          <w:rFonts w:hint="eastAsia" w:hAnsi="宋体"/>
          <w:b/>
          <w:bCs/>
          <w:color w:val="auto"/>
          <w:szCs w:val="21"/>
          <w:highlight w:val="none"/>
        </w:rPr>
      </w:pPr>
      <w:r>
        <w:rPr>
          <w:rFonts w:hint="eastAsia" w:hAnsi="宋体"/>
          <w:b/>
          <w:bCs/>
          <w:color w:val="auto"/>
          <w:szCs w:val="21"/>
          <w:highlight w:val="none"/>
        </w:rPr>
        <w:t xml:space="preserve">（一）价格（</w:t>
      </w:r>
      <w:r>
        <w:rPr>
          <w:rFonts w:hint="eastAsia" w:hAnsi="宋体"/>
          <w:b/>
          <w:bCs/>
          <w:color w:val="auto"/>
          <w:szCs w:val="21"/>
          <w:highlight w:val="none"/>
          <w:lang w:val="en-US" w:eastAsia="zh-CN"/>
        </w:rPr>
        <w:t xml:space="preserve">15</w:t>
      </w:r>
      <w:r>
        <w:rPr>
          <w:rFonts w:hint="eastAsia" w:hAnsi="宋体"/>
          <w:b/>
          <w:bCs/>
          <w:color w:val="auto"/>
          <w:szCs w:val="21"/>
          <w:highlight w:val="none"/>
        </w:rPr>
        <w:t xml:space="preserve">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以进入评标程序、满足采购文件要求且报价最低的投标报价为评标基准价（须未超过采购预算价和最高限价），其价格分为满分</w:t>
      </w:r>
      <w:r>
        <w:rPr>
          <w:rFonts w:hint="eastAsia" w:hAnsi="宋体"/>
          <w:color w:val="auto"/>
          <w:szCs w:val="21"/>
          <w:highlight w:val="none"/>
          <w:lang w:val="en-US" w:eastAsia="zh-CN"/>
        </w:rPr>
        <w:t xml:space="preserve">15</w:t>
      </w:r>
      <w:r>
        <w:rPr>
          <w:rFonts w:hint="eastAsia" w:hAnsi="宋体"/>
          <w:color w:val="auto"/>
          <w:szCs w:val="21"/>
          <w:highlight w:val="none"/>
        </w:rPr>
        <w:t xml:space="preserve">分。其他投标人的价格分统一按照下列公式计算：</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投标报价得分=（评标基准价/投标报价）X价格权值X100（价格权值为</w:t>
      </w:r>
      <w:r>
        <w:rPr>
          <w:rFonts w:hint="eastAsia" w:hAnsi="宋体"/>
          <w:color w:val="auto"/>
          <w:szCs w:val="21"/>
          <w:highlight w:val="none"/>
          <w:lang w:val="en-US" w:eastAsia="zh-CN"/>
        </w:rPr>
        <w:t xml:space="preserve">15</w:t>
      </w:r>
      <w:r>
        <w:rPr>
          <w:rFonts w:hint="eastAsia" w:hAnsi="宋体"/>
          <w:color w:val="auto"/>
          <w:szCs w:val="21"/>
          <w:highlight w:val="none"/>
        </w:rPr>
        <w:t xml:space="preserve">%）</w:t>
      </w:r>
      <w:r/>
    </w:p>
    <w:p>
      <w:pPr>
        <w:ind w:firstLine="420"/>
        <w:spacing w:line="400" w:lineRule="exact"/>
        <w:rPr>
          <w:rFonts w:hint="eastAsia" w:hAnsi="宋体"/>
          <w:b/>
          <w:bCs/>
          <w:color w:val="auto"/>
          <w:szCs w:val="21"/>
          <w:highlight w:val="none"/>
        </w:rPr>
      </w:pPr>
      <w:r>
        <w:rPr>
          <w:rFonts w:hint="eastAsia" w:hAnsi="宋体"/>
          <w:b/>
          <w:bCs/>
          <w:color w:val="auto"/>
          <w:szCs w:val="21"/>
          <w:highlight w:val="none"/>
        </w:rPr>
        <w:t xml:space="preserve">（二）技术及方案部分：（</w:t>
      </w:r>
      <w:r>
        <w:rPr>
          <w:rFonts w:hint="eastAsia" w:hAnsi="宋体"/>
          <w:b/>
          <w:bCs/>
          <w:color w:val="auto"/>
          <w:szCs w:val="21"/>
          <w:highlight w:val="none"/>
          <w:lang w:val="en-US" w:eastAsia="zh-CN"/>
        </w:rPr>
        <w:t xml:space="preserve">63</w:t>
      </w:r>
      <w:r>
        <w:rPr>
          <w:rFonts w:hint="eastAsia" w:hAnsi="宋体"/>
          <w:b/>
          <w:bCs/>
          <w:color w:val="auto"/>
          <w:szCs w:val="21"/>
          <w:highlight w:val="none"/>
        </w:rPr>
        <w:t xml:space="preserve">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1、变配电系统运行维护服务方案（10分）：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变配电系统运行维护服务方案符合国家电力部门的规范，符合本次采购要求，涵盖本次采购服务的各个环节，包含但不限于高压配电设备的维护保养、低压配电设备的维护保养、日常维护检修、每日巡检方案、与供电公司的对接与联络等，得10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变配电系统运行维护服务方案符合国家电力部门的规范，符合本次采购要求，涵盖主要环节得</w:t>
      </w:r>
      <w:r>
        <w:rPr>
          <w:rFonts w:hint="eastAsia" w:hAnsi="宋体"/>
          <w:color w:val="auto"/>
          <w:szCs w:val="21"/>
          <w:highlight w:val="none"/>
          <w:lang w:val="en-US" w:eastAsia="zh-CN"/>
        </w:rPr>
        <w:t xml:space="preserve">6</w:t>
      </w:r>
      <w:r>
        <w:rPr>
          <w:rFonts w:hint="eastAsia" w:hAnsi="宋体"/>
          <w:color w:val="auto"/>
          <w:szCs w:val="21"/>
          <w:highlight w:val="none"/>
        </w:rPr>
        <w:t xml:space="preserve">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变配电系统运行维护服务方案存在缺陷得</w:t>
      </w:r>
      <w:r>
        <w:rPr>
          <w:rFonts w:hint="eastAsia" w:hAnsi="宋体"/>
          <w:color w:val="auto"/>
          <w:szCs w:val="21"/>
          <w:highlight w:val="none"/>
          <w:lang w:val="en-US" w:eastAsia="zh-CN"/>
        </w:rPr>
        <w:t xml:space="preserve">2</w:t>
      </w:r>
      <w:r>
        <w:rPr>
          <w:rFonts w:hint="eastAsia" w:hAnsi="宋体"/>
          <w:color w:val="auto"/>
          <w:szCs w:val="21"/>
          <w:highlight w:val="none"/>
        </w:rPr>
        <w:t xml:space="preserve">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其余情况不得分。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2、工作人员安排计划（</w:t>
      </w:r>
      <w:r>
        <w:rPr>
          <w:rFonts w:hint="eastAsia" w:hAnsi="宋体"/>
          <w:color w:val="auto"/>
          <w:szCs w:val="21"/>
          <w:highlight w:val="none"/>
          <w:lang w:val="en-US" w:eastAsia="zh-CN"/>
        </w:rPr>
        <w:t xml:space="preserve">10</w:t>
      </w:r>
      <w:r>
        <w:rPr>
          <w:rFonts w:hint="eastAsia" w:hAnsi="宋体"/>
          <w:color w:val="auto"/>
          <w:szCs w:val="21"/>
          <w:highlight w:val="none"/>
        </w:rPr>
        <w:t xml:space="preserve">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人员配置安排计划合理，合理，组织管理体系科学，能够有效实施工作得</w:t>
      </w:r>
      <w:r>
        <w:rPr>
          <w:rFonts w:hint="eastAsia" w:hAnsi="宋体"/>
          <w:color w:val="auto"/>
          <w:szCs w:val="21"/>
          <w:highlight w:val="none"/>
          <w:lang w:val="en-US" w:eastAsia="zh-CN"/>
        </w:rPr>
        <w:t xml:space="preserve">10</w:t>
      </w:r>
      <w:r>
        <w:rPr>
          <w:rFonts w:hint="eastAsia" w:hAnsi="宋体"/>
          <w:color w:val="auto"/>
          <w:szCs w:val="21"/>
          <w:highlight w:val="none"/>
        </w:rPr>
        <w:t xml:space="preserve">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人员配置安排基本满足本项目要求得</w:t>
      </w:r>
      <w:r>
        <w:rPr>
          <w:rFonts w:hint="eastAsia" w:hAnsi="宋体"/>
          <w:color w:val="auto"/>
          <w:szCs w:val="21"/>
          <w:highlight w:val="none"/>
          <w:lang w:val="en-US" w:eastAsia="zh-CN"/>
        </w:rPr>
        <w:t xml:space="preserve">6</w:t>
      </w:r>
      <w:r>
        <w:rPr>
          <w:rFonts w:hint="eastAsia" w:hAnsi="宋体"/>
          <w:color w:val="auto"/>
          <w:szCs w:val="21"/>
          <w:highlight w:val="none"/>
        </w:rPr>
        <w:t xml:space="preserve">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人员配置逻辑性差有缺陷的得</w:t>
      </w:r>
      <w:r>
        <w:rPr>
          <w:rFonts w:hint="eastAsia" w:hAnsi="宋体"/>
          <w:color w:val="auto"/>
          <w:szCs w:val="21"/>
          <w:highlight w:val="none"/>
          <w:lang w:val="en-US" w:eastAsia="zh-CN"/>
        </w:rPr>
        <w:t xml:space="preserve">2</w:t>
      </w:r>
      <w:r>
        <w:rPr>
          <w:rFonts w:hint="eastAsia" w:hAnsi="宋体"/>
          <w:color w:val="auto"/>
          <w:szCs w:val="21"/>
          <w:highlight w:val="none"/>
        </w:rPr>
        <w:t xml:space="preserve">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其余情况不得分。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3、变配电系统运行维护服务管理制度（8分）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制度的检查项目及维保要求，建立维保档案管理，管理制度完善、规范的8分；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制度的检查项目及维保要求，建立维保档案管理，管理制度基本满足本项目要求的5分；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制度的检查项目及维保要求，建立维保档案管理，管理制度逻辑性差有缺陷的2分；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其余情况不得分。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4、电力数字化运维平台（6分）：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根据投标单位对自有数字化电力运维平台的功能阐述进行评价</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电力数字化运维平台描述完善、提供包含但不限于平台界面展示（截图）、系统功能文字陈述、医院现有数据的对接、数据储存等与本项目平台软件相关的难点分析和解决方案得6分，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电力数字化运维平台描述完善，基本满足本项目要求得3分，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电力数字化运维平台基本描述完善，但系统内容逻辑性差有缺陷的得1分。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无智能化软件不得分。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5、管理的安全防范措施比较（6分）：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安全防范措施最齐全，制度最完善得6分；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安全防范措施基本满足本项目要求得3分；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安全防范措施逻辑性差有缺陷得1分；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其余情况不得分。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6、应急预案及抢修组织措施、响应时间等比较（6分）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应急预案及抢修措施齐全，抢修时间合理、及时、响应方式具备科学性得6分；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应急预案及抢修措施基本满足本项目要求，响应时间其次得3分；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应急预案及抢修措施考虑逻辑性差有缺陷，响应时间慢得1分；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其余情况不得分。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7、根据提供的重大事件保障用电的保障方案（</w:t>
      </w:r>
      <w:r>
        <w:rPr>
          <w:rFonts w:hint="eastAsia" w:hAnsi="宋体"/>
          <w:color w:val="auto"/>
          <w:szCs w:val="21"/>
          <w:highlight w:val="none"/>
          <w:lang w:val="en-US" w:eastAsia="zh-CN"/>
        </w:rPr>
        <w:t xml:space="preserve">6</w:t>
      </w:r>
      <w:r>
        <w:rPr>
          <w:rFonts w:hint="eastAsia" w:hAnsi="宋体"/>
          <w:color w:val="auto"/>
          <w:szCs w:val="21"/>
          <w:highlight w:val="none"/>
        </w:rPr>
        <w:t xml:space="preserve">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保障方案科学、合理、考虑周全、操作性强、简单有效、规范、高效得</w:t>
      </w:r>
      <w:r>
        <w:rPr>
          <w:rFonts w:hint="eastAsia" w:hAnsi="宋体"/>
          <w:color w:val="auto"/>
          <w:szCs w:val="21"/>
          <w:highlight w:val="none"/>
          <w:lang w:val="en-US" w:eastAsia="zh-CN"/>
        </w:rPr>
        <w:t xml:space="preserve">6</w:t>
      </w:r>
      <w:r>
        <w:rPr>
          <w:rFonts w:hint="eastAsia" w:hAnsi="宋体"/>
          <w:color w:val="auto"/>
          <w:szCs w:val="21"/>
          <w:highlight w:val="none"/>
        </w:rPr>
        <w:t xml:space="preserve">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保障方案合理基本满足本项目要求，有一定可行性的得3分；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保障方案内容逻辑性较差有缺陷的，可行性较差的得1分。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其余情况不得分。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8、进退场交接措施和业主的配合方法比较（5分）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进退场交接措施科学、合理、考虑周全、操作性强、简单有效、规范、高效得5分；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进退场交接措施合理基本满足本项目要求，有一定可行性的得3分；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进退场交接措施内容逻辑性较差有缺陷的，可行性较差的得1分。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其余情况不得分。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9、管理规章制度：包含岗位责任、管理维护运作制度及标准、管理人员考核标准，每有一项内容得2分，满分6分。（6分）</w:t>
      </w:r>
      <w:r/>
    </w:p>
    <w:p>
      <w:pPr>
        <w:ind w:firstLine="420"/>
        <w:spacing w:line="400" w:lineRule="exact"/>
        <w:rPr>
          <w:rFonts w:hint="eastAsia" w:hAnsi="宋体"/>
          <w:b/>
          <w:bCs/>
          <w:color w:val="auto"/>
          <w:szCs w:val="21"/>
          <w:highlight w:val="none"/>
        </w:rPr>
      </w:pPr>
      <w:r>
        <w:rPr>
          <w:rFonts w:hint="eastAsia" w:hAnsi="宋体"/>
          <w:b/>
          <w:bCs/>
          <w:color w:val="auto"/>
          <w:szCs w:val="21"/>
          <w:highlight w:val="none"/>
        </w:rPr>
        <w:t xml:space="preserve">（三）配置人员情况（5分）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拟投入值班人员具备应急管理部门颁发的低压电工作业证的，每提供一人得1分，最高得5分。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注：以上人员须提供有效的证书复印件、劳动合同复印件及投标单位为其缴纳的社保证明，否则不得分。（5分）</w:t>
      </w:r>
      <w:r/>
    </w:p>
    <w:p>
      <w:pPr>
        <w:ind w:firstLine="420"/>
        <w:spacing w:line="400" w:lineRule="exact"/>
        <w:rPr>
          <w:rFonts w:hint="eastAsia" w:hAnsi="宋体"/>
          <w:b/>
          <w:bCs/>
          <w:color w:val="auto"/>
          <w:szCs w:val="21"/>
          <w:highlight w:val="none"/>
        </w:rPr>
      </w:pPr>
      <w:r>
        <w:rPr>
          <w:rFonts w:hint="eastAsia" w:hAnsi="宋体"/>
          <w:b/>
          <w:bCs/>
          <w:color w:val="auto"/>
          <w:szCs w:val="21"/>
          <w:highlight w:val="none"/>
        </w:rPr>
        <w:t xml:space="preserve">（四）投标人履约能力（</w:t>
      </w:r>
      <w:r>
        <w:rPr>
          <w:rFonts w:hint="eastAsia" w:hAnsi="宋体"/>
          <w:b/>
          <w:bCs/>
          <w:color w:val="auto"/>
          <w:szCs w:val="21"/>
          <w:highlight w:val="none"/>
          <w:lang w:val="en-US" w:eastAsia="zh-CN"/>
        </w:rPr>
        <w:t xml:space="preserve">17</w:t>
      </w:r>
      <w:r>
        <w:rPr>
          <w:rFonts w:hint="eastAsia" w:hAnsi="宋体"/>
          <w:b/>
          <w:bCs/>
          <w:color w:val="auto"/>
          <w:szCs w:val="21"/>
          <w:highlight w:val="none"/>
        </w:rPr>
        <w:t xml:space="preserve">分）</w:t>
      </w:r>
      <w:r/>
    </w:p>
    <w:p>
      <w:pPr>
        <w:ind w:firstLine="420"/>
        <w:spacing w:line="400" w:lineRule="exact"/>
        <w:rPr>
          <w:rFonts w:hint="eastAsia" w:hAnsi="宋体" w:eastAsia="宋体"/>
          <w:color w:val="auto"/>
          <w:szCs w:val="21"/>
          <w:highlight w:val="none"/>
          <w:lang w:eastAsia="zh-CN"/>
        </w:rPr>
      </w:pPr>
      <w:r>
        <w:rPr>
          <w:rFonts w:hint="eastAsia" w:hAnsi="宋体"/>
          <w:color w:val="auto"/>
          <w:szCs w:val="21"/>
          <w:highlight w:val="none"/>
        </w:rPr>
        <w:t xml:space="preserve">1、管理体系认证证书（6分）</w:t>
      </w:r>
      <w:r>
        <w:rPr>
          <w:rFonts w:hint="eastAsia" w:hAnsi="宋体"/>
          <w:color w:val="auto"/>
          <w:szCs w:val="21"/>
          <w:highlight w:val="none"/>
          <w:lang w:eastAsia="zh-CN"/>
        </w:rPr>
        <w:t xml:space="preserve">：</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具备有效期内的信息技术服务管理体系、能源管理体系认证、信息安全管理体系认证，以上体系认证范围需与电力领域相关，每项有效证书得2分，最高得6分。（提供证书复印件及中国认监委网站查询结果截图，未提供或提供不全或证书状态暂停的，不得分）</w:t>
      </w:r>
      <w:r/>
    </w:p>
    <w:p>
      <w:pPr>
        <w:ind w:firstLine="420"/>
        <w:spacing w:line="400" w:lineRule="exact"/>
        <w:rPr>
          <w:rFonts w:hint="eastAsia" w:hAnsi="宋体" w:eastAsia="宋体"/>
          <w:color w:val="auto"/>
          <w:szCs w:val="21"/>
          <w:highlight w:val="none"/>
          <w:lang w:eastAsia="zh-CN"/>
        </w:rPr>
      </w:pPr>
      <w:r>
        <w:rPr>
          <w:rFonts w:hint="eastAsia" w:hAnsi="宋体"/>
          <w:color w:val="auto"/>
          <w:szCs w:val="21"/>
          <w:highlight w:val="none"/>
        </w:rPr>
        <w:t xml:space="preserve">2、软件知识产权（6分）</w:t>
      </w:r>
      <w:r>
        <w:rPr>
          <w:rFonts w:hint="eastAsia" w:hAnsi="宋体"/>
          <w:color w:val="auto"/>
          <w:szCs w:val="21"/>
          <w:highlight w:val="none"/>
          <w:lang w:eastAsia="zh-CN"/>
        </w:rPr>
        <w:t xml:space="preserve">：</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具有有效期内的电力能源监测管理类软件、电力故障分析类软件、电力设备巡检类软件著作权登记证，每个得2分，最高6分。（提供软件著作权证书复印件）</w:t>
      </w:r>
      <w:r/>
    </w:p>
    <w:p>
      <w:pPr>
        <w:ind w:firstLine="420"/>
        <w:spacing w:line="400" w:lineRule="exact"/>
        <w:rPr>
          <w:rFonts w:hint="eastAsia" w:hAnsi="宋体" w:eastAsia="宋体"/>
          <w:color w:val="auto"/>
          <w:szCs w:val="21"/>
          <w:highlight w:val="none"/>
          <w:lang w:eastAsia="zh-CN"/>
        </w:rPr>
      </w:pPr>
      <w:r>
        <w:rPr>
          <w:rFonts w:hint="eastAsia" w:hAnsi="宋体"/>
          <w:color w:val="auto"/>
          <w:szCs w:val="21"/>
          <w:highlight w:val="none"/>
          <w:lang w:val="en-US" w:eastAsia="zh-CN"/>
        </w:rPr>
        <w:t xml:space="preserve">3</w:t>
      </w:r>
      <w:r>
        <w:rPr>
          <w:rFonts w:hint="eastAsia" w:hAnsi="宋体"/>
          <w:color w:val="auto"/>
          <w:szCs w:val="21"/>
          <w:highlight w:val="none"/>
        </w:rPr>
        <w:t xml:space="preserve">、维护经验（</w:t>
      </w:r>
      <w:r>
        <w:rPr>
          <w:rFonts w:hint="eastAsia" w:hAnsi="宋体"/>
          <w:color w:val="auto"/>
          <w:szCs w:val="21"/>
          <w:highlight w:val="none"/>
          <w:lang w:val="en-US" w:eastAsia="zh-CN"/>
        </w:rPr>
        <w:t xml:space="preserve">5</w:t>
      </w:r>
      <w:r>
        <w:rPr>
          <w:rFonts w:hint="eastAsia" w:hAnsi="宋体"/>
          <w:color w:val="auto"/>
          <w:szCs w:val="21"/>
          <w:highlight w:val="none"/>
        </w:rPr>
        <w:t xml:space="preserve">分）</w:t>
      </w:r>
      <w:r>
        <w:rPr>
          <w:rFonts w:hint="eastAsia" w:hAnsi="宋体"/>
          <w:color w:val="auto"/>
          <w:szCs w:val="21"/>
          <w:highlight w:val="none"/>
          <w:lang w:eastAsia="zh-CN"/>
        </w:rPr>
        <w:t xml:space="preserve">：</w:t>
      </w:r>
      <w:r/>
    </w:p>
    <w:p>
      <w:pPr>
        <w:ind w:firstLine="420"/>
        <w:spacing w:line="400" w:lineRule="exact"/>
        <w:rPr>
          <w:rFonts w:hint="eastAsia" w:hAnsi="宋体"/>
          <w:color w:val="auto"/>
          <w:szCs w:val="21"/>
          <w:highlight w:val="none"/>
        </w:rPr>
      </w:pPr>
      <w:r>
        <w:rPr>
          <w:rFonts w:hint="eastAsia" w:ascii="宋体" w:hAnsi="宋体"/>
          <w:color w:val="auto"/>
          <w:szCs w:val="21"/>
          <w:highlight w:val="none"/>
        </w:rPr>
        <w:t xml:space="preserve">202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年1月1日至今具有</w:t>
      </w:r>
      <w:r>
        <w:rPr>
          <w:rFonts w:hint="eastAsia" w:hAnsi="宋体"/>
          <w:color w:val="auto"/>
          <w:szCs w:val="21"/>
          <w:highlight w:val="none"/>
        </w:rPr>
        <w:t xml:space="preserve">同类项目</w:t>
      </w:r>
      <w:r>
        <w:rPr>
          <w:rFonts w:hint="eastAsia" w:hAnsi="宋体"/>
          <w:color w:val="auto"/>
          <w:szCs w:val="21"/>
          <w:highlight w:val="none"/>
          <w:lang w:val="en-US" w:eastAsia="zh-CN"/>
        </w:rPr>
        <w:t xml:space="preserve">服务</w:t>
      </w:r>
      <w:r>
        <w:rPr>
          <w:rFonts w:hint="eastAsia" w:hAnsi="宋体"/>
          <w:color w:val="auto"/>
          <w:szCs w:val="21"/>
          <w:highlight w:val="none"/>
        </w:rPr>
        <w:t xml:space="preserve">业绩进行评定，每提供一份合同复印件得</w:t>
      </w:r>
      <w:r>
        <w:rPr>
          <w:rFonts w:hint="eastAsia" w:hAnsi="宋体"/>
          <w:color w:val="auto"/>
          <w:szCs w:val="21"/>
          <w:highlight w:val="none"/>
          <w:lang w:val="en-US" w:eastAsia="zh-CN"/>
        </w:rPr>
        <w:t xml:space="preserve">1</w:t>
      </w:r>
      <w:r>
        <w:rPr>
          <w:rFonts w:hint="eastAsia" w:hAnsi="宋体"/>
          <w:color w:val="auto"/>
          <w:szCs w:val="21"/>
          <w:highlight w:val="none"/>
        </w:rPr>
        <w:t xml:space="preserve">分，本项最高得</w:t>
      </w:r>
      <w:r>
        <w:rPr>
          <w:rFonts w:hint="eastAsia" w:hAnsi="宋体"/>
          <w:color w:val="auto"/>
          <w:szCs w:val="21"/>
          <w:highlight w:val="none"/>
          <w:lang w:val="en-US" w:eastAsia="zh-CN"/>
        </w:rPr>
        <w:t xml:space="preserve">5</w:t>
      </w:r>
      <w:r>
        <w:rPr>
          <w:rFonts w:hint="eastAsia" w:hAnsi="宋体"/>
          <w:color w:val="auto"/>
          <w:szCs w:val="21"/>
          <w:highlight w:val="none"/>
        </w:rPr>
        <w:t xml:space="preserve">分。</w:t>
      </w:r>
      <w:r/>
    </w:p>
    <w:p>
      <w:pPr>
        <w:ind w:firstLine="420"/>
        <w:spacing w:line="400" w:lineRule="exact"/>
        <w:rPr>
          <w:b/>
          <w:bCs/>
          <w:color w:val="auto"/>
          <w:szCs w:val="21"/>
          <w:highlight w:val="none"/>
        </w:rPr>
      </w:pPr>
      <w:r>
        <w:rPr>
          <w:b/>
          <w:bCs/>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5481"/>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Arial">
    <w:panose1 w:val="020B0604020202020204"/>
  </w:font>
  <w:font w:name="等线 Light">
    <w:panose1 w:val="02010600030101010101"/>
  </w:font>
  <w:font w:name="等线">
    <w:panose1 w:val="02010600030101010101"/>
  </w:font>
  <w:font w:name="仿宋">
    <w:panose1 w:val="02010609060101010101"/>
  </w:font>
  <w:font w:name="楷体_GB2312">
    <w:panose1 w:val="02010609060101010101"/>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Style w:val="720"/>
      </w:rPr>
      <w:framePr w:wrap="around" w:vAnchor="text" w:hAnchor="margin" w:xAlign="center" w:y="1"/>
    </w:pPr>
    <w:r>
      <w:rPr>
        <w:rStyle w:val="720"/>
      </w:rPr>
      <w:fldChar w:fldCharType="begin"/>
    </w:r>
    <w:r>
      <w:rPr>
        <w:rStyle w:val="720"/>
      </w:rPr>
      <w:instrText xml:space="preserve"> PAGE </w:instrText>
    </w:r>
    <w:r>
      <w:rPr>
        <w:rStyle w:val="720"/>
      </w:rPr>
      <w:fldChar w:fldCharType="separate"/>
    </w:r>
    <w:r>
      <w:rPr>
        <w:rStyle w:val="720"/>
      </w:rPr>
      <w:t xml:space="preserve">35</w:t>
    </w:r>
    <w:r>
      <w:rPr>
        <w:rStyle w:val="720"/>
      </w:rPr>
      <w:fldChar w:fldCharType="end"/>
    </w:r>
    <w:r/>
  </w:p>
  <w:p>
    <w:pPr>
      <w:pStyle w:val="7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Style w:val="720"/>
      </w:rPr>
      <w:framePr w:wrap="around" w:vAnchor="text" w:hAnchor="margin" w:xAlign="center" w:y="1"/>
    </w:pPr>
    <w:r>
      <w:rPr>
        <w:rStyle w:val="720"/>
      </w:rPr>
      <w:fldChar w:fldCharType="begin"/>
    </w:r>
    <w:r>
      <w:rPr>
        <w:rStyle w:val="720"/>
      </w:rPr>
      <w:instrText xml:space="preserve"> PAGE </w:instrText>
    </w:r>
    <w:r>
      <w:rPr>
        <w:rStyle w:val="720"/>
      </w:rPr>
      <w:fldChar w:fldCharType="separate"/>
    </w:r>
    <w:r>
      <w:rPr>
        <w:rStyle w:val="720"/>
      </w:rPr>
      <w:t xml:space="preserve">- 1 -</w:t>
    </w:r>
    <w:r>
      <w:rPr>
        <w:rStyle w:val="720"/>
      </w:rPr>
      <w:fldChar w:fldCharType="end"/>
    </w:r>
    <w:r/>
  </w:p>
  <w:p>
    <w:pPr>
      <w:pStyle w:val="7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center"/>
    </w:pPr>
    <w:r>
      <w:rPr>
        <w:rFonts w:hint="eastAsia"/>
      </w:rPr>
      <w:t xml:space="preserve">第</w:t>
    </w:r>
    <w:r>
      <w:fldChar w:fldCharType="begin"/>
    </w:r>
    <w:r>
      <w:instrText xml:space="preserve">PAGE   \* MERGEFORMAT</w:instrText>
    </w:r>
    <w:r>
      <w:fldChar w:fldCharType="separate"/>
    </w:r>
    <w:r>
      <w:rPr>
        <w:lang w:val="zh-CN"/>
      </w:rPr>
      <w:t xml:space="preserve">55</w:t>
    </w:r>
    <w:r>
      <w:fldChar w:fldCharType="end"/>
    </w:r>
    <w:r>
      <w:rPr>
        <w:rFonts w:hint="eastAsia"/>
      </w:rPr>
      <w:t xml:space="preserve">页 共</w:t>
    </w:r>
    <w:r>
      <w:rPr>
        <w:rFonts w:hint="eastAsia"/>
        <w:lang w:val="en-US" w:eastAsia="zh-CN"/>
      </w:rPr>
      <w:t xml:space="preserve">144</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rPr>
        <w:rFonts w:hint="eastAsia" w:eastAsia="宋体"/>
        <w:u w:val="single"/>
        <w:lang w:eastAsia="zh-CN"/>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苏州卫康采购文件 </w:t>
    </w:r>
    <w:r>
      <w:rPr>
        <w:u w:val="single"/>
      </w:rPr>
      <w:t xml:space="preserve">             </w:t>
    </w:r>
    <w:r>
      <w:rPr>
        <w:rFonts w:hint="eastAsia"/>
        <w:u w:val="single"/>
        <w:lang w:eastAsia="zh-CN"/>
      </w:rPr>
      <w:t xml:space="preserve">JSZC-320500-SZWK-G2026-0106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78"/>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977"/>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next w:val="686"/>
    <w:uiPriority w:val="0"/>
    <w:qFormat/>
    <w:pPr>
      <w:jc w:val="both"/>
      <w:widowControl w:val="off"/>
    </w:pPr>
    <w:rPr>
      <w:rFonts w:hint="default" w:ascii="Calibri" w:hAnsi="Calibri" w:eastAsia="宋体" w:cs="Times New Roman"/>
      <w:sz w:val="21"/>
      <w:szCs w:val="22"/>
      <w:lang w:val="en-US" w:eastAsia="zh-CN" w:bidi="ar-SA"/>
    </w:rPr>
  </w:style>
  <w:style w:type="paragraph" w:styleId="675">
    <w:name w:val="Heading 1"/>
    <w:basedOn w:val="674"/>
    <w:next w:val="674"/>
    <w:link w:val="897"/>
    <w:uiPriority w:val="0"/>
    <w:qFormat/>
    <w:pPr>
      <w:keepLines/>
      <w:keepNext/>
      <w:spacing w:before="340" w:after="330" w:line="576" w:lineRule="auto"/>
      <w:outlineLvl w:val="0"/>
    </w:pPr>
    <w:rPr>
      <w:rFonts w:ascii="Times New Roman" w:hAnsi="Times New Roman" w:eastAsia="楷体_GB2312"/>
      <w:b/>
      <w:sz w:val="44"/>
      <w:szCs w:val="20"/>
    </w:rPr>
  </w:style>
  <w:style w:type="paragraph" w:styleId="676">
    <w:name w:val="Heading 2"/>
    <w:basedOn w:val="674"/>
    <w:next w:val="674"/>
    <w:link w:val="898"/>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677">
    <w:name w:val="Heading 3"/>
    <w:basedOn w:val="674"/>
    <w:next w:val="674"/>
    <w:link w:val="899"/>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678">
    <w:name w:val="Heading 4"/>
    <w:basedOn w:val="674"/>
    <w:next w:val="674"/>
    <w:link w:val="900"/>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679">
    <w:name w:val="Heading 5"/>
    <w:basedOn w:val="674"/>
    <w:next w:val="674"/>
    <w:link w:val="901"/>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680">
    <w:name w:val="Heading 6"/>
    <w:basedOn w:val="674"/>
    <w:next w:val="674"/>
    <w:link w:val="902"/>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681">
    <w:name w:val="Heading 7"/>
    <w:basedOn w:val="674"/>
    <w:next w:val="674"/>
    <w:link w:val="903"/>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682">
    <w:name w:val="Heading 8"/>
    <w:basedOn w:val="674"/>
    <w:next w:val="674"/>
    <w:link w:val="757"/>
    <w:uiPriority w:val="9"/>
    <w:unhideWhenUsed/>
    <w:qFormat/>
    <w:pPr>
      <w:keepLines/>
      <w:keepNext/>
      <w:spacing w:before="320" w:after="200"/>
      <w:outlineLvl w:val="7"/>
    </w:pPr>
    <w:rPr>
      <w:rFonts w:ascii="Arial" w:hAnsi="Arial" w:eastAsia="Arial" w:cs="Arial"/>
      <w:i/>
      <w:iCs/>
      <w:sz w:val="22"/>
    </w:rPr>
  </w:style>
  <w:style w:type="paragraph" w:styleId="683">
    <w:name w:val="Heading 9"/>
    <w:basedOn w:val="674"/>
    <w:next w:val="674"/>
    <w:link w:val="758"/>
    <w:uiPriority w:val="9"/>
    <w:unhideWhenUsed/>
    <w:qFormat/>
    <w:pPr>
      <w:keepLines/>
      <w:keepNext/>
      <w:spacing w:before="320" w:after="200"/>
      <w:outlineLvl w:val="8"/>
    </w:pPr>
    <w:rPr>
      <w:rFonts w:ascii="Arial" w:hAnsi="Arial" w:eastAsia="Arial" w:cs="Arial"/>
      <w:i/>
      <w:iCs/>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Body Text Indent"/>
    <w:basedOn w:val="674"/>
    <w:next w:val="674"/>
    <w:link w:val="908"/>
    <w:uiPriority w:val="0"/>
    <w:unhideWhenUsed/>
    <w:qFormat/>
    <w:pPr>
      <w:ind w:right="-159" w:firstLine="246"/>
      <w:spacing w:line="240" w:lineRule="atLeast"/>
    </w:pPr>
    <w:rPr>
      <w:rFonts w:ascii="Times New Roman" w:hAnsi="Times New Roman"/>
      <w:spacing w:val="20"/>
      <w:szCs w:val="24"/>
    </w:rPr>
  </w:style>
  <w:style w:type="paragraph" w:styleId="687">
    <w:name w:val="toc 7"/>
    <w:basedOn w:val="674"/>
    <w:next w:val="674"/>
    <w:uiPriority w:val="39"/>
    <w:unhideWhenUsed/>
    <w:qFormat/>
    <w:pPr>
      <w:ind w:left="1701"/>
      <w:spacing w:after="57"/>
    </w:pPr>
  </w:style>
  <w:style w:type="paragraph" w:styleId="688">
    <w:name w:val="Normal Indent"/>
    <w:basedOn w:val="674"/>
    <w:link w:val="904"/>
    <w:uiPriority w:val="0"/>
    <w:unhideWhenUsed/>
    <w:qFormat/>
    <w:pPr>
      <w:ind w:firstLine="420"/>
      <w:jc w:val="left"/>
    </w:pPr>
    <w:rPr>
      <w:rFonts w:ascii="楷体_GB2312" w:eastAsia="楷体_GB2312"/>
      <w:sz w:val="24"/>
      <w:szCs w:val="20"/>
    </w:rPr>
  </w:style>
  <w:style w:type="paragraph" w:styleId="689">
    <w:name w:val="Caption"/>
    <w:basedOn w:val="674"/>
    <w:next w:val="674"/>
    <w:uiPriority w:val="35"/>
    <w:semiHidden/>
    <w:unhideWhenUsed/>
    <w:qFormat/>
    <w:pPr>
      <w:spacing w:line="276" w:lineRule="auto"/>
    </w:pPr>
    <w:rPr>
      <w:b/>
      <w:bCs/>
      <w:color w:val="4f81bd"/>
      <w:sz w:val="18"/>
      <w:szCs w:val="18"/>
    </w:rPr>
  </w:style>
  <w:style w:type="paragraph" w:styleId="690">
    <w:name w:val="Document Map"/>
    <w:basedOn w:val="674"/>
    <w:link w:val="905"/>
    <w:uiPriority w:val="0"/>
    <w:unhideWhenUsed/>
    <w:qFormat/>
    <w:pPr>
      <w:jc w:val="left"/>
      <w:shd w:val="clear" w:color="auto" w:fill="000080"/>
      <w:widowControl/>
    </w:pPr>
    <w:rPr>
      <w:rFonts w:ascii="Times New Roman" w:hAnsi="Times New Roman"/>
      <w:sz w:val="24"/>
      <w:szCs w:val="24"/>
    </w:rPr>
  </w:style>
  <w:style w:type="paragraph" w:styleId="691">
    <w:name w:val="annotation text"/>
    <w:basedOn w:val="674"/>
    <w:link w:val="906"/>
    <w:uiPriority w:val="0"/>
    <w:unhideWhenUsed/>
    <w:qFormat/>
    <w:pPr>
      <w:jc w:val="left"/>
      <w:widowControl/>
    </w:pPr>
    <w:rPr>
      <w:rFonts w:ascii="Times New Roman" w:hAnsi="Times New Roman"/>
      <w:sz w:val="24"/>
      <w:szCs w:val="24"/>
    </w:rPr>
  </w:style>
  <w:style w:type="paragraph" w:styleId="692">
    <w:name w:val="Body Text"/>
    <w:basedOn w:val="674"/>
    <w:link w:val="907"/>
    <w:uiPriority w:val="99"/>
    <w:qFormat/>
    <w:pPr>
      <w:jc w:val="left"/>
      <w:spacing w:line="360" w:lineRule="auto"/>
      <w:widowControl/>
    </w:pPr>
    <w:rPr>
      <w:rFonts w:ascii="Times New Roman" w:hAnsi="Times New Roman"/>
      <w:sz w:val="24"/>
      <w:szCs w:val="20"/>
    </w:rPr>
  </w:style>
  <w:style w:type="paragraph" w:styleId="693">
    <w:name w:val="Block Text"/>
    <w:basedOn w:val="674"/>
    <w:uiPriority w:val="0"/>
    <w:unhideWhenUsed/>
    <w:qFormat/>
    <w:pPr>
      <w:ind w:left="630" w:right="-609" w:firstLine="420"/>
      <w:spacing w:line="360" w:lineRule="auto"/>
    </w:pPr>
    <w:rPr>
      <w:rFonts w:ascii="仿宋_GB2312" w:hAnsi="Times New Roman" w:eastAsia="仿宋_GB2312"/>
      <w:szCs w:val="20"/>
    </w:rPr>
  </w:style>
  <w:style w:type="paragraph" w:styleId="694">
    <w:name w:val="toc 5"/>
    <w:basedOn w:val="674"/>
    <w:next w:val="674"/>
    <w:uiPriority w:val="39"/>
    <w:unhideWhenUsed/>
    <w:qFormat/>
    <w:pPr>
      <w:ind w:left="1134"/>
      <w:spacing w:after="57"/>
    </w:pPr>
  </w:style>
  <w:style w:type="paragraph" w:styleId="695">
    <w:name w:val="toc 3"/>
    <w:basedOn w:val="674"/>
    <w:next w:val="674"/>
    <w:uiPriority w:val="39"/>
    <w:unhideWhenUsed/>
    <w:qFormat/>
    <w:pPr>
      <w:ind w:left="567"/>
      <w:spacing w:after="57"/>
    </w:pPr>
  </w:style>
  <w:style w:type="paragraph" w:styleId="696">
    <w:name w:val="Plain Text"/>
    <w:basedOn w:val="674"/>
    <w:link w:val="923"/>
    <w:uiPriority w:val="99"/>
    <w:qFormat/>
    <w:rPr>
      <w:rFonts w:ascii="宋体" w:hAnsi="Courier New" w:eastAsia="楷体_GB2312"/>
      <w:sz w:val="26"/>
      <w:szCs w:val="20"/>
    </w:rPr>
  </w:style>
  <w:style w:type="paragraph" w:styleId="697">
    <w:name w:val="toc 8"/>
    <w:basedOn w:val="674"/>
    <w:next w:val="674"/>
    <w:uiPriority w:val="39"/>
    <w:unhideWhenUsed/>
    <w:qFormat/>
    <w:pPr>
      <w:ind w:left="1984"/>
      <w:spacing w:after="57"/>
    </w:pPr>
  </w:style>
  <w:style w:type="paragraph" w:styleId="698">
    <w:name w:val="Date"/>
    <w:basedOn w:val="674"/>
    <w:next w:val="674"/>
    <w:link w:val="910"/>
    <w:uiPriority w:val="99"/>
    <w:unhideWhenUsed/>
    <w:qFormat/>
    <w:pPr>
      <w:ind w:left="100"/>
    </w:pPr>
    <w:rPr>
      <w:rFonts w:ascii="Times New Roman" w:hAnsi="Times New Roman"/>
      <w:b/>
      <w:bCs/>
      <w:spacing w:val="20"/>
      <w:szCs w:val="24"/>
    </w:rPr>
  </w:style>
  <w:style w:type="paragraph" w:styleId="699">
    <w:name w:val="Body Text Indent 2"/>
    <w:basedOn w:val="674"/>
    <w:link w:val="911"/>
    <w:uiPriority w:val="0"/>
    <w:unhideWhenUsed/>
    <w:qFormat/>
    <w:pPr>
      <w:ind w:firstLine="460"/>
      <w:jc w:val="left"/>
      <w:spacing w:line="360" w:lineRule="auto"/>
      <w:widowControl/>
    </w:pPr>
    <w:rPr>
      <w:rFonts w:ascii="Times New Roman" w:hAnsi="Times New Roman"/>
      <w:spacing w:val="20"/>
      <w:szCs w:val="24"/>
    </w:rPr>
  </w:style>
  <w:style w:type="paragraph" w:styleId="700">
    <w:name w:val="endnote text"/>
    <w:basedOn w:val="674"/>
    <w:link w:val="895"/>
    <w:uiPriority w:val="99"/>
    <w:semiHidden/>
    <w:unhideWhenUsed/>
    <w:qFormat/>
    <w:rPr>
      <w:sz w:val="20"/>
    </w:rPr>
  </w:style>
  <w:style w:type="paragraph" w:styleId="701">
    <w:name w:val="Balloon Text"/>
    <w:basedOn w:val="674"/>
    <w:link w:val="912"/>
    <w:uiPriority w:val="0"/>
    <w:unhideWhenUsed/>
    <w:qFormat/>
    <w:pPr>
      <w:jc w:val="left"/>
      <w:widowControl/>
    </w:pPr>
    <w:rPr>
      <w:rFonts w:ascii="Times New Roman" w:hAnsi="Times New Roman"/>
      <w:sz w:val="18"/>
      <w:szCs w:val="18"/>
    </w:rPr>
  </w:style>
  <w:style w:type="paragraph" w:styleId="702">
    <w:name w:val="Footer"/>
    <w:basedOn w:val="674"/>
    <w:link w:val="913"/>
    <w:uiPriority w:val="0"/>
    <w:unhideWhenUsed/>
    <w:qFormat/>
    <w:pPr>
      <w:jc w:val="left"/>
      <w:tabs>
        <w:tab w:val="center" w:pos="4153" w:leader="none"/>
        <w:tab w:val="right" w:pos="8306" w:leader="none"/>
      </w:tabs>
    </w:pPr>
    <w:rPr>
      <w:rFonts w:ascii="Times New Roman" w:hAnsi="Times New Roman"/>
      <w:sz w:val="18"/>
      <w:szCs w:val="18"/>
    </w:rPr>
  </w:style>
  <w:style w:type="paragraph" w:styleId="703">
    <w:name w:val="Header"/>
    <w:basedOn w:val="674"/>
    <w:link w:val="914"/>
    <w:uiPriority w:val="0"/>
    <w:unhideWhenUsed/>
    <w:qFormat/>
    <w:pPr>
      <w:jc w:val="center"/>
      <w:tabs>
        <w:tab w:val="center" w:pos="4153" w:leader="none"/>
        <w:tab w:val="right" w:pos="8306" w:leader="none"/>
      </w:tabs>
    </w:pPr>
    <w:rPr>
      <w:rFonts w:ascii="Times New Roman" w:hAnsi="Times New Roman"/>
      <w:sz w:val="18"/>
      <w:szCs w:val="18"/>
    </w:rPr>
  </w:style>
  <w:style w:type="paragraph" w:styleId="704">
    <w:name w:val="toc 1"/>
    <w:basedOn w:val="674"/>
    <w:next w:val="674"/>
    <w:uiPriority w:val="39"/>
    <w:unhideWhenUsed/>
    <w:qFormat/>
    <w:pPr>
      <w:spacing w:after="57"/>
    </w:pPr>
  </w:style>
  <w:style w:type="paragraph" w:styleId="705">
    <w:name w:val="toc 4"/>
    <w:basedOn w:val="674"/>
    <w:next w:val="674"/>
    <w:uiPriority w:val="39"/>
    <w:unhideWhenUsed/>
    <w:qFormat/>
    <w:pPr>
      <w:ind w:left="850"/>
      <w:spacing w:after="57"/>
    </w:pPr>
  </w:style>
  <w:style w:type="paragraph" w:styleId="706">
    <w:name w:val="Subtitle"/>
    <w:basedOn w:val="674"/>
    <w:next w:val="674"/>
    <w:link w:val="915"/>
    <w:uiPriority w:val="0"/>
    <w:qFormat/>
    <w:pPr>
      <w:ind w:left="1920" w:right="1920"/>
      <w:jc w:val="left"/>
      <w:keepLines/>
      <w:keepNext/>
      <w:spacing w:line="480" w:lineRule="auto"/>
      <w:widowControl/>
    </w:pPr>
    <w:rPr>
      <w:rFonts w:ascii="Times New Roman" w:hAnsi="Times New Roman" w:cs="宋体"/>
      <w:sz w:val="24"/>
      <w:szCs w:val="24"/>
    </w:rPr>
  </w:style>
  <w:style w:type="paragraph" w:styleId="707">
    <w:name w:val="footnote text"/>
    <w:basedOn w:val="674"/>
    <w:link w:val="894"/>
    <w:uiPriority w:val="99"/>
    <w:semiHidden/>
    <w:unhideWhenUsed/>
    <w:qFormat/>
    <w:pPr>
      <w:spacing w:after="40"/>
    </w:pPr>
    <w:rPr>
      <w:sz w:val="18"/>
    </w:rPr>
  </w:style>
  <w:style w:type="paragraph" w:styleId="708">
    <w:name w:val="toc 6"/>
    <w:basedOn w:val="674"/>
    <w:next w:val="674"/>
    <w:uiPriority w:val="39"/>
    <w:unhideWhenUsed/>
    <w:qFormat/>
    <w:pPr>
      <w:ind w:left="1417"/>
      <w:spacing w:after="57"/>
    </w:pPr>
  </w:style>
  <w:style w:type="paragraph" w:styleId="709">
    <w:name w:val="Body Text Indent 3"/>
    <w:basedOn w:val="674"/>
    <w:link w:val="916"/>
    <w:uiPriority w:val="99"/>
    <w:qFormat/>
    <w:pPr>
      <w:ind w:left="420"/>
      <w:spacing w:after="120"/>
    </w:pPr>
    <w:rPr>
      <w:rFonts w:ascii="Times New Roman" w:hAnsi="Times New Roman" w:eastAsia="楷体_GB2312"/>
      <w:sz w:val="16"/>
      <w:szCs w:val="16"/>
    </w:rPr>
  </w:style>
  <w:style w:type="paragraph" w:styleId="710">
    <w:name w:val="table of figures"/>
    <w:basedOn w:val="674"/>
    <w:next w:val="674"/>
    <w:uiPriority w:val="99"/>
    <w:unhideWhenUsed/>
    <w:qFormat/>
  </w:style>
  <w:style w:type="paragraph" w:styleId="711">
    <w:name w:val="toc 2"/>
    <w:basedOn w:val="674"/>
    <w:next w:val="674"/>
    <w:uiPriority w:val="39"/>
    <w:unhideWhenUsed/>
    <w:qFormat/>
    <w:pPr>
      <w:ind w:left="283"/>
      <w:spacing w:after="57"/>
    </w:pPr>
  </w:style>
  <w:style w:type="paragraph" w:styleId="712">
    <w:name w:val="toc 9"/>
    <w:basedOn w:val="674"/>
    <w:next w:val="674"/>
    <w:uiPriority w:val="39"/>
    <w:unhideWhenUsed/>
    <w:qFormat/>
    <w:pPr>
      <w:ind w:left="2268"/>
      <w:spacing w:after="57"/>
    </w:pPr>
  </w:style>
  <w:style w:type="paragraph" w:styleId="713">
    <w:name w:val="Body Text 2"/>
    <w:basedOn w:val="674"/>
    <w:link w:val="917"/>
    <w:uiPriority w:val="0"/>
    <w:unhideWhenUsed/>
    <w:qFormat/>
    <w:pPr>
      <w:jc w:val="left"/>
      <w:spacing w:after="120" w:line="480" w:lineRule="auto"/>
      <w:widowControl/>
    </w:pPr>
    <w:rPr>
      <w:rFonts w:ascii="Times New Roman" w:hAnsi="Times New Roman"/>
      <w:sz w:val="24"/>
      <w:szCs w:val="24"/>
    </w:rPr>
  </w:style>
  <w:style w:type="paragraph" w:styleId="714">
    <w:name w:val="Normal (Web)"/>
    <w:basedOn w:val="674"/>
    <w:uiPriority w:val="99"/>
    <w:unhideWhenUsed/>
    <w:qFormat/>
    <w:pPr>
      <w:jc w:val="left"/>
      <w:spacing w:before="100" w:beforeAutospacing="1" w:after="100" w:afterAutospacing="1"/>
      <w:widowControl/>
    </w:pPr>
    <w:rPr>
      <w:rFonts w:ascii="宋体" w:hAnsi="宋体" w:cs="宋体"/>
      <w:sz w:val="24"/>
      <w:szCs w:val="24"/>
    </w:rPr>
  </w:style>
  <w:style w:type="paragraph" w:styleId="715">
    <w:name w:val="Title"/>
    <w:basedOn w:val="674"/>
    <w:next w:val="674"/>
    <w:link w:val="918"/>
    <w:uiPriority w:val="0"/>
    <w:qFormat/>
    <w:pPr>
      <w:jc w:val="center"/>
      <w:spacing w:before="240" w:after="60"/>
      <w:widowControl/>
      <w:outlineLvl w:val="0"/>
    </w:pPr>
    <w:rPr>
      <w:rFonts w:ascii="Cambria" w:hAnsi="Cambria"/>
      <w:b/>
      <w:bCs/>
      <w:sz w:val="32"/>
      <w:szCs w:val="32"/>
    </w:rPr>
  </w:style>
  <w:style w:type="paragraph" w:styleId="716">
    <w:name w:val="annotation subject"/>
    <w:basedOn w:val="691"/>
    <w:next w:val="691"/>
    <w:link w:val="919"/>
    <w:uiPriority w:val="0"/>
    <w:unhideWhenUsed/>
    <w:qFormat/>
    <w:rPr>
      <w:b/>
      <w:bCs/>
    </w:rPr>
  </w:style>
  <w:style w:type="table" w:styleId="717">
    <w:name w:val="Table Grid"/>
    <w:basedOn w:val="685"/>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8">
    <w:name w:val="Strong"/>
    <w:uiPriority w:val="0"/>
    <w:qFormat/>
    <w:rPr>
      <w:b/>
    </w:rPr>
  </w:style>
  <w:style w:type="character" w:styleId="719">
    <w:name w:val="endnote reference"/>
    <w:uiPriority w:val="99"/>
    <w:semiHidden/>
    <w:unhideWhenUsed/>
    <w:qFormat/>
    <w:rPr>
      <w:vertAlign w:val="superscript"/>
    </w:rPr>
  </w:style>
  <w:style w:type="character" w:styleId="720">
    <w:name w:val="page number"/>
    <w:uiPriority w:val="99"/>
    <w:unhideWhenUsed/>
    <w:qFormat/>
  </w:style>
  <w:style w:type="character" w:styleId="721">
    <w:name w:val="Hyperlink"/>
    <w:uiPriority w:val="0"/>
    <w:unhideWhenUsed/>
    <w:qFormat/>
    <w:rPr>
      <w:color w:val="0000ff"/>
      <w:u w:val="single"/>
    </w:rPr>
  </w:style>
  <w:style w:type="character" w:styleId="722">
    <w:name w:val="annotation reference"/>
    <w:uiPriority w:val="0"/>
    <w:unhideWhenUsed/>
    <w:qFormat/>
    <w:rPr>
      <w:sz w:val="21"/>
      <w:szCs w:val="21"/>
    </w:rPr>
  </w:style>
  <w:style w:type="character" w:styleId="723">
    <w:name w:val="footnote reference"/>
    <w:uiPriority w:val="99"/>
    <w:unhideWhenUsed/>
    <w:qFormat/>
    <w:rPr>
      <w:vertAlign w:val="superscript"/>
    </w:rPr>
  </w:style>
  <w:style w:type="character" w:styleId="724" w:customStyle="1">
    <w:name w:val="Heading 8 Char"/>
    <w:basedOn w:val="684"/>
    <w:uiPriority w:val="9"/>
    <w:qFormat/>
    <w:rPr>
      <w:rFonts w:ascii="Arial" w:hAnsi="Arial" w:eastAsia="Arial" w:cs="Arial"/>
      <w:i/>
      <w:iCs/>
      <w:sz w:val="22"/>
      <w:szCs w:val="22"/>
    </w:rPr>
  </w:style>
  <w:style w:type="character" w:styleId="725" w:customStyle="1">
    <w:name w:val="Heading 9 Char"/>
    <w:basedOn w:val="684"/>
    <w:uiPriority w:val="9"/>
    <w:qFormat/>
    <w:rPr>
      <w:rFonts w:ascii="Arial" w:hAnsi="Arial" w:eastAsia="Arial" w:cs="Arial"/>
      <w:i/>
      <w:iCs/>
      <w:sz w:val="21"/>
      <w:szCs w:val="21"/>
    </w:rPr>
  </w:style>
  <w:style w:type="character" w:styleId="726" w:customStyle="1">
    <w:name w:val="Quote Char"/>
    <w:uiPriority w:val="29"/>
    <w:qFormat/>
    <w:rPr>
      <w:i/>
    </w:rPr>
  </w:style>
  <w:style w:type="character" w:styleId="727" w:customStyle="1">
    <w:name w:val="Intense Quote Char"/>
    <w:uiPriority w:val="30"/>
    <w:qFormat/>
    <w:rPr>
      <w:i/>
    </w:rPr>
  </w:style>
  <w:style w:type="table" w:styleId="728"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5 Dark"/>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6 Colorful"/>
    <w:basedOn w:val="6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7 Colorful"/>
    <w:basedOn w:val="6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0" w:customStyle="1">
    <w:name w:val="List Table 1 Light"/>
    <w:basedOn w:val="6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customStyle="1">
    <w:name w:val="List Table 2"/>
    <w:basedOn w:val="6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2" w:customStyle="1">
    <w:name w:val="List Table 3"/>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5 Dark"/>
    <w:basedOn w:val="6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5" w:customStyle="1">
    <w:name w:val="List Table 6 Colorful"/>
    <w:basedOn w:val="6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6" w:customStyle="1">
    <w:name w:val="List Table 7 Colorful"/>
    <w:basedOn w:val="6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7" w:customStyle="1">
    <w:name w:val="Footnote Text Char"/>
    <w:uiPriority w:val="99"/>
    <w:qFormat/>
    <w:rPr>
      <w:sz w:val="18"/>
    </w:rPr>
  </w:style>
  <w:style w:type="character" w:styleId="748" w:customStyle="1">
    <w:name w:val="Endnote Text Char"/>
    <w:uiPriority w:val="99"/>
    <w:qFormat/>
    <w:rPr>
      <w:sz w:val="20"/>
    </w:rPr>
  </w:style>
  <w:style w:type="paragraph" w:styleId="749" w:customStyle="1">
    <w:name w:val="TOC Heading"/>
    <w:uiPriority w:val="39"/>
    <w:unhideWhenUsed/>
    <w:qFormat/>
    <w:rPr>
      <w:rFonts w:hint="default" w:ascii="Calibri" w:hAnsi="Calibri" w:eastAsia="宋体" w:cs="Times New Roman"/>
    </w:rPr>
  </w:style>
  <w:style w:type="character" w:styleId="750" w:customStyle="1">
    <w:name w:val="Heading 1 Char"/>
    <w:uiPriority w:val="9"/>
    <w:qFormat/>
    <w:rPr>
      <w:rFonts w:ascii="Arial" w:hAnsi="Arial" w:eastAsia="Arial" w:cs="Arial"/>
      <w:sz w:val="40"/>
      <w:szCs w:val="40"/>
    </w:rPr>
  </w:style>
  <w:style w:type="character" w:styleId="751" w:customStyle="1">
    <w:name w:val="Heading 2 Char"/>
    <w:uiPriority w:val="9"/>
    <w:qFormat/>
    <w:rPr>
      <w:rFonts w:ascii="Arial" w:hAnsi="Arial" w:eastAsia="Arial" w:cs="Arial"/>
      <w:sz w:val="34"/>
    </w:rPr>
  </w:style>
  <w:style w:type="character" w:styleId="752" w:customStyle="1">
    <w:name w:val="Heading 3 Char"/>
    <w:uiPriority w:val="9"/>
    <w:qFormat/>
    <w:rPr>
      <w:rFonts w:ascii="Arial" w:hAnsi="Arial" w:eastAsia="Arial" w:cs="Arial"/>
      <w:sz w:val="30"/>
      <w:szCs w:val="30"/>
    </w:rPr>
  </w:style>
  <w:style w:type="character" w:styleId="753" w:customStyle="1">
    <w:name w:val="Heading 4 Char"/>
    <w:uiPriority w:val="9"/>
    <w:qFormat/>
    <w:rPr>
      <w:rFonts w:ascii="Arial" w:hAnsi="Arial" w:eastAsia="Arial" w:cs="Arial"/>
      <w:b/>
      <w:bCs/>
      <w:sz w:val="26"/>
      <w:szCs w:val="26"/>
    </w:rPr>
  </w:style>
  <w:style w:type="character" w:styleId="754" w:customStyle="1">
    <w:name w:val="Heading 5 Char"/>
    <w:uiPriority w:val="9"/>
    <w:qFormat/>
    <w:rPr>
      <w:rFonts w:ascii="Arial" w:hAnsi="Arial" w:eastAsia="Arial" w:cs="Arial"/>
      <w:b/>
      <w:bCs/>
      <w:sz w:val="24"/>
      <w:szCs w:val="24"/>
    </w:rPr>
  </w:style>
  <w:style w:type="character" w:styleId="755" w:customStyle="1">
    <w:name w:val="Heading 6 Char"/>
    <w:uiPriority w:val="9"/>
    <w:qFormat/>
    <w:rPr>
      <w:rFonts w:ascii="Arial" w:hAnsi="Arial" w:eastAsia="Arial" w:cs="Arial"/>
      <w:b/>
      <w:bCs/>
      <w:sz w:val="22"/>
      <w:szCs w:val="22"/>
    </w:rPr>
  </w:style>
  <w:style w:type="character" w:styleId="756" w:customStyle="1">
    <w:name w:val="Heading 7 Char"/>
    <w:uiPriority w:val="9"/>
    <w:qFormat/>
    <w:rPr>
      <w:rFonts w:ascii="Arial" w:hAnsi="Arial" w:eastAsia="Arial" w:cs="Arial"/>
      <w:b/>
      <w:bCs/>
      <w:i/>
      <w:iCs/>
      <w:sz w:val="22"/>
      <w:szCs w:val="22"/>
    </w:rPr>
  </w:style>
  <w:style w:type="character" w:styleId="757" w:customStyle="1">
    <w:name w:val="标题 8 字符"/>
    <w:link w:val="682"/>
    <w:uiPriority w:val="9"/>
    <w:qFormat/>
    <w:rPr>
      <w:rFonts w:ascii="Arial" w:hAnsi="Arial" w:eastAsia="Arial" w:cs="Arial"/>
      <w:i/>
      <w:iCs/>
      <w:sz w:val="22"/>
      <w:szCs w:val="22"/>
    </w:rPr>
  </w:style>
  <w:style w:type="character" w:styleId="758" w:customStyle="1">
    <w:name w:val="标题 9 字符"/>
    <w:link w:val="683"/>
    <w:uiPriority w:val="9"/>
    <w:qFormat/>
    <w:rPr>
      <w:rFonts w:ascii="Arial" w:hAnsi="Arial" w:eastAsia="Arial" w:cs="Arial"/>
      <w:i/>
      <w:iCs/>
      <w:sz w:val="21"/>
      <w:szCs w:val="21"/>
    </w:rPr>
  </w:style>
  <w:style w:type="paragraph" w:styleId="759">
    <w:name w:val="No Spacing"/>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character" w:styleId="760" w:customStyle="1">
    <w:name w:val="Title Char"/>
    <w:uiPriority w:val="10"/>
    <w:qFormat/>
    <w:rPr>
      <w:sz w:val="48"/>
      <w:szCs w:val="48"/>
    </w:rPr>
  </w:style>
  <w:style w:type="character" w:styleId="761" w:customStyle="1">
    <w:name w:val="Subtitle Char"/>
    <w:uiPriority w:val="11"/>
    <w:qFormat/>
    <w:rPr>
      <w:sz w:val="24"/>
      <w:szCs w:val="24"/>
    </w:rPr>
  </w:style>
  <w:style w:type="paragraph" w:styleId="762">
    <w:name w:val="Quote"/>
    <w:basedOn w:val="674"/>
    <w:next w:val="674"/>
    <w:link w:val="763"/>
    <w:uiPriority w:val="29"/>
    <w:qFormat/>
    <w:pPr>
      <w:ind w:left="720" w:right="720"/>
    </w:pPr>
    <w:rPr>
      <w:i/>
    </w:rPr>
  </w:style>
  <w:style w:type="character" w:styleId="763" w:customStyle="1">
    <w:name w:val="引用 字符"/>
    <w:link w:val="762"/>
    <w:uiPriority w:val="29"/>
    <w:qFormat/>
    <w:rPr>
      <w:i/>
    </w:rPr>
  </w:style>
  <w:style w:type="paragraph" w:styleId="764">
    <w:name w:val="Intense Quote"/>
    <w:basedOn w:val="674"/>
    <w:next w:val="674"/>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字符"/>
    <w:link w:val="764"/>
    <w:uiPriority w:val="30"/>
    <w:qFormat/>
    <w:rPr>
      <w:i/>
    </w:rPr>
  </w:style>
  <w:style w:type="character" w:styleId="766" w:customStyle="1">
    <w:name w:val="Header Char"/>
    <w:uiPriority w:val="99"/>
    <w:qFormat/>
  </w:style>
  <w:style w:type="character" w:styleId="767" w:customStyle="1">
    <w:name w:val="Footer Char"/>
    <w:uiPriority w:val="99"/>
    <w:qFormat/>
  </w:style>
  <w:style w:type="character" w:styleId="768" w:customStyle="1">
    <w:name w:val="Caption Char"/>
    <w:uiPriority w:val="99"/>
    <w:qFormat/>
  </w:style>
  <w:style w:type="table" w:styleId="76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2" w:customStyle="1">
    <w:name w:val="无格式表格 31"/>
    <w:uiPriority w:val="99"/>
    <w:qFormat/>
    <w:tblPr>
      <w:tblCellMar>
        <w:left w:w="0" w:type="dxa"/>
        <w:top w:w="0" w:type="dxa"/>
        <w:right w:w="0" w:type="dxa"/>
        <w:bottom w:w="0" w:type="dxa"/>
      </w:tblCellMar>
    </w:tblPr>
  </w:style>
  <w:style w:type="table" w:styleId="773" w:customStyle="1">
    <w:name w:val="无格式表格 41"/>
    <w:uiPriority w:val="99"/>
    <w:qFormat/>
    <w:tblPr>
      <w:tblCellMar>
        <w:left w:w="0" w:type="dxa"/>
        <w:top w:w="0" w:type="dxa"/>
        <w:right w:w="0" w:type="dxa"/>
        <w:bottom w:w="0" w:type="dxa"/>
      </w:tblCellMar>
    </w:tblPr>
  </w:style>
  <w:style w:type="table" w:styleId="774" w:customStyle="1">
    <w:name w:val="无格式表格 51"/>
    <w:uiPriority w:val="99"/>
    <w:qFormat/>
    <w:tblPr>
      <w:tblCellMar>
        <w:left w:w="0" w:type="dxa"/>
        <w:top w:w="0" w:type="dxa"/>
        <w:right w:w="0" w:type="dxa"/>
        <w:bottom w:w="0" w:type="dxa"/>
      </w:tblCellMar>
    </w:tblPr>
  </w:style>
  <w:style w:type="table" w:styleId="77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4" w:customStyle="1">
    <w:name w:val="清单表 1 浅色1"/>
    <w:uiPriority w:val="99"/>
    <w:qFormat/>
    <w:tblPr>
      <w:tblCellMar>
        <w:left w:w="0" w:type="dxa"/>
        <w:top w:w="0" w:type="dxa"/>
        <w:right w:w="0" w:type="dxa"/>
        <w:bottom w:w="0" w:type="dxa"/>
      </w:tblCellMar>
    </w:tblPr>
  </w:style>
  <w:style w:type="table" w:styleId="825" w:customStyle="1">
    <w:name w:val="List Table 1 Light - Accent 1"/>
    <w:uiPriority w:val="99"/>
    <w:qFormat/>
    <w:tblPr>
      <w:tblCellMar>
        <w:left w:w="0" w:type="dxa"/>
        <w:top w:w="0" w:type="dxa"/>
        <w:right w:w="0" w:type="dxa"/>
        <w:bottom w:w="0" w:type="dxa"/>
      </w:tblCellMar>
    </w:tblPr>
  </w:style>
  <w:style w:type="table" w:styleId="826" w:customStyle="1">
    <w:name w:val="List Table 1 Light - Accent 2"/>
    <w:uiPriority w:val="99"/>
    <w:qFormat/>
    <w:tblPr>
      <w:tblCellMar>
        <w:left w:w="0" w:type="dxa"/>
        <w:top w:w="0" w:type="dxa"/>
        <w:right w:w="0" w:type="dxa"/>
        <w:bottom w:w="0" w:type="dxa"/>
      </w:tblCellMar>
    </w:tblPr>
  </w:style>
  <w:style w:type="table" w:styleId="827" w:customStyle="1">
    <w:name w:val="List Table 1 Light - Accent 3"/>
    <w:uiPriority w:val="99"/>
    <w:qFormat/>
    <w:tblPr>
      <w:tblCellMar>
        <w:left w:w="0" w:type="dxa"/>
        <w:top w:w="0" w:type="dxa"/>
        <w:right w:w="0" w:type="dxa"/>
        <w:bottom w:w="0" w:type="dxa"/>
      </w:tblCellMar>
    </w:tblPr>
  </w:style>
  <w:style w:type="table" w:styleId="828" w:customStyle="1">
    <w:name w:val="List Table 1 Light - Accent 4"/>
    <w:uiPriority w:val="99"/>
    <w:qFormat/>
    <w:tblPr>
      <w:tblCellMar>
        <w:left w:w="0" w:type="dxa"/>
        <w:top w:w="0" w:type="dxa"/>
        <w:right w:w="0" w:type="dxa"/>
        <w:bottom w:w="0" w:type="dxa"/>
      </w:tblCellMar>
    </w:tblPr>
  </w:style>
  <w:style w:type="table" w:styleId="829" w:customStyle="1">
    <w:name w:val="List Table 1 Light - Accent 5"/>
    <w:uiPriority w:val="99"/>
    <w:qFormat/>
    <w:tblPr>
      <w:tblCellMar>
        <w:left w:w="0" w:type="dxa"/>
        <w:top w:w="0" w:type="dxa"/>
        <w:right w:w="0" w:type="dxa"/>
        <w:bottom w:w="0" w:type="dxa"/>
      </w:tblCellMar>
    </w:tblPr>
  </w:style>
  <w:style w:type="table" w:styleId="830" w:customStyle="1">
    <w:name w:val="List Table 1 Light - Accent 6"/>
    <w:uiPriority w:val="99"/>
    <w:qFormat/>
    <w:tblPr>
      <w:tblCellMar>
        <w:left w:w="0" w:type="dxa"/>
        <w:top w:w="0" w:type="dxa"/>
        <w:right w:w="0" w:type="dxa"/>
        <w:bottom w:w="0" w:type="dxa"/>
      </w:tblCellMar>
    </w:tblPr>
  </w:style>
  <w:style w:type="table" w:styleId="83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5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5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6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6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6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3" w:customStyle="1">
    <w:name w:val="Lined - Accent"/>
    <w:uiPriority w:val="99"/>
    <w:qFormat/>
    <w:rPr>
      <w:color w:val="404040"/>
    </w:rPr>
    <w:tblPr>
      <w:tblCellMar>
        <w:left w:w="0" w:type="dxa"/>
        <w:top w:w="0" w:type="dxa"/>
        <w:right w:w="0" w:type="dxa"/>
        <w:bottom w:w="0" w:type="dxa"/>
      </w:tblCellMar>
    </w:tblPr>
  </w:style>
  <w:style w:type="table" w:styleId="874" w:customStyle="1">
    <w:name w:val="Lined - Accent 1"/>
    <w:uiPriority w:val="99"/>
    <w:qFormat/>
    <w:rPr>
      <w:color w:val="404040"/>
    </w:rPr>
    <w:tblPr>
      <w:tblCellMar>
        <w:left w:w="0" w:type="dxa"/>
        <w:top w:w="0" w:type="dxa"/>
        <w:right w:w="0" w:type="dxa"/>
        <w:bottom w:w="0" w:type="dxa"/>
      </w:tblCellMar>
    </w:tblPr>
  </w:style>
  <w:style w:type="table" w:styleId="875" w:customStyle="1">
    <w:name w:val="Lined - Accent 2"/>
    <w:uiPriority w:val="99"/>
    <w:qFormat/>
    <w:rPr>
      <w:color w:val="404040"/>
    </w:rPr>
    <w:tblPr>
      <w:tblCellMar>
        <w:left w:w="0" w:type="dxa"/>
        <w:top w:w="0" w:type="dxa"/>
        <w:right w:w="0" w:type="dxa"/>
        <w:bottom w:w="0" w:type="dxa"/>
      </w:tblCellMar>
    </w:tblPr>
  </w:style>
  <w:style w:type="table" w:styleId="876" w:customStyle="1">
    <w:name w:val="Lined - Accent 3"/>
    <w:uiPriority w:val="99"/>
    <w:qFormat/>
    <w:rPr>
      <w:color w:val="404040"/>
    </w:rPr>
    <w:tblPr>
      <w:tblCellMar>
        <w:left w:w="0" w:type="dxa"/>
        <w:top w:w="0" w:type="dxa"/>
        <w:right w:w="0" w:type="dxa"/>
        <w:bottom w:w="0" w:type="dxa"/>
      </w:tblCellMar>
    </w:tblPr>
  </w:style>
  <w:style w:type="table" w:styleId="877" w:customStyle="1">
    <w:name w:val="Lined - Accent 4"/>
    <w:uiPriority w:val="99"/>
    <w:qFormat/>
    <w:rPr>
      <w:color w:val="404040"/>
    </w:rPr>
    <w:tblPr>
      <w:tblCellMar>
        <w:left w:w="0" w:type="dxa"/>
        <w:top w:w="0" w:type="dxa"/>
        <w:right w:w="0" w:type="dxa"/>
        <w:bottom w:w="0" w:type="dxa"/>
      </w:tblCellMar>
    </w:tblPr>
  </w:style>
  <w:style w:type="table" w:styleId="878" w:customStyle="1">
    <w:name w:val="Lined - Accent 5"/>
    <w:uiPriority w:val="99"/>
    <w:qFormat/>
    <w:rPr>
      <w:color w:val="404040"/>
    </w:rPr>
    <w:tblPr>
      <w:tblCellMar>
        <w:left w:w="0" w:type="dxa"/>
        <w:top w:w="0" w:type="dxa"/>
        <w:right w:w="0" w:type="dxa"/>
        <w:bottom w:w="0" w:type="dxa"/>
      </w:tblCellMar>
    </w:tblPr>
  </w:style>
  <w:style w:type="table" w:styleId="879" w:customStyle="1">
    <w:name w:val="Lined - Accent 6"/>
    <w:uiPriority w:val="99"/>
    <w:qFormat/>
    <w:rPr>
      <w:color w:val="404040"/>
    </w:rPr>
    <w:tblPr>
      <w:tblCellMar>
        <w:left w:w="0" w:type="dxa"/>
        <w:top w:w="0" w:type="dxa"/>
        <w:right w:w="0" w:type="dxa"/>
        <w:bottom w:w="0" w:type="dxa"/>
      </w:tblCellMar>
    </w:tblPr>
  </w:style>
  <w:style w:type="table" w:styleId="88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4" w:customStyle="1">
    <w:name w:val="脚注文本 字符"/>
    <w:link w:val="707"/>
    <w:uiPriority w:val="99"/>
    <w:qFormat/>
    <w:rPr>
      <w:sz w:val="18"/>
    </w:rPr>
  </w:style>
  <w:style w:type="character" w:styleId="895" w:customStyle="1">
    <w:name w:val="尾注文本 字符"/>
    <w:link w:val="700"/>
    <w:uiPriority w:val="99"/>
    <w:qFormat/>
    <w:rPr>
      <w:sz w:val="20"/>
    </w:rPr>
  </w:style>
  <w:style w:type="paragraph" w:styleId="896" w:customStyle="1">
    <w:name w:val="TOC 标题1"/>
    <w:uiPriority w:val="39"/>
    <w:unhideWhenUsed/>
    <w:qFormat/>
    <w:rPr>
      <w:rFonts w:hint="default" w:ascii="Calibri" w:hAnsi="Calibri" w:eastAsia="宋体" w:cs="Times New Roman"/>
      <w:lang w:val="en-US" w:eastAsia="zh-CN" w:bidi="ar-SA"/>
    </w:rPr>
  </w:style>
  <w:style w:type="character" w:styleId="897" w:customStyle="1">
    <w:name w:val="标题 1 字符1"/>
    <w:link w:val="675"/>
    <w:uiPriority w:val="0"/>
    <w:qFormat/>
    <w:rPr>
      <w:rFonts w:ascii="Times New Roman" w:hAnsi="Times New Roman" w:eastAsia="楷体_GB2312"/>
      <w:b/>
      <w:sz w:val="44"/>
    </w:rPr>
  </w:style>
  <w:style w:type="character" w:styleId="898" w:customStyle="1">
    <w:name w:val="标题 2 字符1"/>
    <w:link w:val="676"/>
    <w:uiPriority w:val="0"/>
    <w:semiHidden/>
    <w:qFormat/>
    <w:rPr>
      <w:rFonts w:ascii="等线 Light" w:hAnsi="等线 Light" w:eastAsia="等线 Light"/>
      <w:b/>
      <w:bCs/>
      <w:sz w:val="32"/>
      <w:szCs w:val="32"/>
    </w:rPr>
  </w:style>
  <w:style w:type="character" w:styleId="899" w:customStyle="1">
    <w:name w:val="标题 3 字符1"/>
    <w:link w:val="677"/>
    <w:uiPriority w:val="0"/>
    <w:qFormat/>
    <w:rPr>
      <w:rFonts w:ascii="Times New Roman" w:hAnsi="Times New Roman"/>
      <w:b/>
      <w:bCs/>
      <w:sz w:val="32"/>
      <w:szCs w:val="32"/>
    </w:rPr>
  </w:style>
  <w:style w:type="character" w:styleId="900" w:customStyle="1">
    <w:name w:val="标题 4 字符1"/>
    <w:link w:val="678"/>
    <w:uiPriority w:val="0"/>
    <w:semiHidden/>
    <w:qFormat/>
    <w:rPr>
      <w:rFonts w:ascii="宋体" w:hAnsi="宋体" w:eastAsia="等线"/>
      <w:b/>
      <w:bCs/>
      <w:sz w:val="24"/>
      <w:szCs w:val="24"/>
      <w:u w:val="single"/>
    </w:rPr>
  </w:style>
  <w:style w:type="character" w:styleId="901" w:customStyle="1">
    <w:name w:val="标题 5 字符1"/>
    <w:link w:val="679"/>
    <w:uiPriority w:val="0"/>
    <w:qFormat/>
    <w:rPr>
      <w:rFonts w:ascii="Times New Roman" w:hAnsi="Times New Roman"/>
      <w:b/>
      <w:bCs/>
      <w:sz w:val="28"/>
      <w:szCs w:val="28"/>
    </w:rPr>
  </w:style>
  <w:style w:type="character" w:styleId="902" w:customStyle="1">
    <w:name w:val="标题 6 字符1"/>
    <w:link w:val="680"/>
    <w:uiPriority w:val="0"/>
    <w:qFormat/>
    <w:rPr>
      <w:rFonts w:ascii="Arial" w:hAnsi="Arial" w:eastAsia="黑体"/>
      <w:b/>
      <w:bCs/>
      <w:sz w:val="24"/>
      <w:szCs w:val="24"/>
    </w:rPr>
  </w:style>
  <w:style w:type="character" w:styleId="903" w:customStyle="1">
    <w:name w:val="标题 7 字符1"/>
    <w:link w:val="681"/>
    <w:uiPriority w:val="0"/>
    <w:semiHidden/>
    <w:qFormat/>
    <w:rPr>
      <w:rFonts w:ascii="Times New Roman" w:hAnsi="Times New Roman"/>
      <w:b/>
      <w:bCs/>
      <w:sz w:val="24"/>
      <w:szCs w:val="24"/>
    </w:rPr>
  </w:style>
  <w:style w:type="character" w:styleId="904" w:customStyle="1">
    <w:name w:val="正文缩进 字符"/>
    <w:link w:val="688"/>
    <w:uiPriority w:val="0"/>
    <w:qFormat/>
    <w:rPr>
      <w:rFonts w:ascii="楷体_GB2312" w:eastAsia="楷体_GB2312"/>
      <w:sz w:val="24"/>
    </w:rPr>
  </w:style>
  <w:style w:type="character" w:styleId="905" w:customStyle="1">
    <w:name w:val="文档结构图 字符"/>
    <w:link w:val="690"/>
    <w:uiPriority w:val="0"/>
    <w:qFormat/>
    <w:rPr>
      <w:rFonts w:ascii="Times New Roman" w:hAnsi="Times New Roman"/>
      <w:sz w:val="24"/>
      <w:szCs w:val="24"/>
      <w:shd w:val="clear" w:color="auto" w:fill="000080"/>
    </w:rPr>
  </w:style>
  <w:style w:type="character" w:styleId="906" w:customStyle="1">
    <w:name w:val="批注文字 字符1"/>
    <w:link w:val="691"/>
    <w:uiPriority w:val="0"/>
    <w:qFormat/>
    <w:rPr>
      <w:rFonts w:ascii="Times New Roman" w:hAnsi="Times New Roman"/>
      <w:sz w:val="24"/>
      <w:szCs w:val="24"/>
    </w:rPr>
  </w:style>
  <w:style w:type="character" w:styleId="907" w:customStyle="1">
    <w:name w:val="正文文本 字符"/>
    <w:link w:val="692"/>
    <w:uiPriority w:val="99"/>
    <w:qFormat/>
    <w:rPr>
      <w:rFonts w:ascii="Times New Roman" w:hAnsi="Times New Roman"/>
      <w:sz w:val="24"/>
    </w:rPr>
  </w:style>
  <w:style w:type="character" w:styleId="908" w:customStyle="1">
    <w:name w:val="正文文本缩进 字符2"/>
    <w:link w:val="686"/>
    <w:uiPriority w:val="0"/>
    <w:qFormat/>
    <w:rPr>
      <w:rFonts w:ascii="Times New Roman" w:hAnsi="Times New Roman"/>
      <w:spacing w:val="20"/>
      <w:sz w:val="21"/>
      <w:szCs w:val="24"/>
    </w:rPr>
  </w:style>
  <w:style w:type="character" w:styleId="909" w:customStyle="1">
    <w:name w:val="纯文本 字符"/>
    <w:uiPriority w:val="0"/>
    <w:qFormat/>
    <w:rPr>
      <w:rFonts w:ascii="宋体" w:hAnsi="Courier New" w:eastAsia="楷体_GB2312"/>
      <w:sz w:val="26"/>
    </w:rPr>
  </w:style>
  <w:style w:type="character" w:styleId="910" w:customStyle="1">
    <w:name w:val="日期 字符"/>
    <w:link w:val="698"/>
    <w:uiPriority w:val="99"/>
    <w:qFormat/>
    <w:rPr>
      <w:rFonts w:ascii="Times New Roman" w:hAnsi="Times New Roman"/>
      <w:b/>
      <w:bCs/>
      <w:spacing w:val="20"/>
      <w:sz w:val="21"/>
      <w:szCs w:val="24"/>
    </w:rPr>
  </w:style>
  <w:style w:type="character" w:styleId="911" w:customStyle="1">
    <w:name w:val="正文文本缩进 2 字符2"/>
    <w:link w:val="699"/>
    <w:uiPriority w:val="0"/>
    <w:qFormat/>
    <w:rPr>
      <w:rFonts w:ascii="Times New Roman" w:hAnsi="Times New Roman"/>
      <w:spacing w:val="20"/>
      <w:sz w:val="21"/>
      <w:szCs w:val="24"/>
    </w:rPr>
  </w:style>
  <w:style w:type="character" w:styleId="912" w:customStyle="1">
    <w:name w:val="批注框文本 字符"/>
    <w:link w:val="701"/>
    <w:uiPriority w:val="0"/>
    <w:qFormat/>
    <w:rPr>
      <w:rFonts w:ascii="Times New Roman" w:hAnsi="Times New Roman"/>
      <w:sz w:val="18"/>
      <w:szCs w:val="18"/>
    </w:rPr>
  </w:style>
  <w:style w:type="character" w:styleId="913" w:customStyle="1">
    <w:name w:val="页脚 字符"/>
    <w:link w:val="702"/>
    <w:uiPriority w:val="99"/>
    <w:qFormat/>
    <w:rPr>
      <w:rFonts w:ascii="Times New Roman" w:hAnsi="Times New Roman"/>
      <w:sz w:val="18"/>
      <w:szCs w:val="18"/>
    </w:rPr>
  </w:style>
  <w:style w:type="character" w:styleId="914" w:customStyle="1">
    <w:name w:val="页眉 字符2"/>
    <w:link w:val="703"/>
    <w:uiPriority w:val="99"/>
    <w:qFormat/>
    <w:rPr>
      <w:rFonts w:ascii="Times New Roman" w:hAnsi="Times New Roman"/>
      <w:sz w:val="18"/>
      <w:szCs w:val="18"/>
    </w:rPr>
  </w:style>
  <w:style w:type="character" w:styleId="915" w:customStyle="1">
    <w:name w:val="副标题 字符2"/>
    <w:link w:val="706"/>
    <w:uiPriority w:val="0"/>
    <w:qFormat/>
    <w:rPr>
      <w:rFonts w:ascii="Times New Roman" w:hAnsi="Times New Roman" w:cs="宋体"/>
      <w:sz w:val="24"/>
      <w:szCs w:val="24"/>
    </w:rPr>
  </w:style>
  <w:style w:type="character" w:styleId="916" w:customStyle="1">
    <w:name w:val="正文文本缩进 3 字符"/>
    <w:link w:val="709"/>
    <w:uiPriority w:val="99"/>
    <w:qFormat/>
    <w:rPr>
      <w:rFonts w:ascii="Times New Roman" w:hAnsi="Times New Roman" w:eastAsia="楷体_GB2312"/>
      <w:sz w:val="16"/>
      <w:szCs w:val="16"/>
    </w:rPr>
  </w:style>
  <w:style w:type="character" w:styleId="917" w:customStyle="1">
    <w:name w:val="正文文本 2 字符"/>
    <w:link w:val="713"/>
    <w:uiPriority w:val="0"/>
    <w:qFormat/>
    <w:rPr>
      <w:rFonts w:ascii="Times New Roman" w:hAnsi="Times New Roman"/>
      <w:sz w:val="24"/>
      <w:szCs w:val="24"/>
    </w:rPr>
  </w:style>
  <w:style w:type="character" w:styleId="918" w:customStyle="1">
    <w:name w:val="标题 字符"/>
    <w:link w:val="715"/>
    <w:uiPriority w:val="0"/>
    <w:qFormat/>
    <w:rPr>
      <w:rFonts w:ascii="Cambria" w:hAnsi="Cambria"/>
      <w:b/>
      <w:bCs/>
      <w:sz w:val="32"/>
      <w:szCs w:val="32"/>
    </w:rPr>
  </w:style>
  <w:style w:type="character" w:styleId="919" w:customStyle="1">
    <w:name w:val="批注主题 字符2"/>
    <w:link w:val="716"/>
    <w:uiPriority w:val="0"/>
    <w:qFormat/>
    <w:rPr>
      <w:rFonts w:ascii="Times New Roman" w:hAnsi="Times New Roman"/>
      <w:b/>
      <w:bCs/>
      <w:sz w:val="24"/>
      <w:szCs w:val="24"/>
    </w:rPr>
  </w:style>
  <w:style w:type="paragraph" w:styleId="920" w:customStyle="1">
    <w:name w:val="正文首行缩进 21"/>
    <w:basedOn w:val="686"/>
    <w:link w:val="921"/>
    <w:uiPriority w:val="99"/>
    <w:unhideWhenUsed/>
    <w:qFormat/>
    <w:pPr>
      <w:ind w:left="420" w:right="0" w:firstLine="420"/>
      <w:jc w:val="left"/>
      <w:spacing w:after="120" w:line="240" w:lineRule="auto"/>
      <w:widowControl/>
    </w:pPr>
    <w:rPr>
      <w:sz w:val="24"/>
    </w:rPr>
  </w:style>
  <w:style w:type="character" w:styleId="921" w:customStyle="1">
    <w:name w:val="正文文本首行缩进 2 字符1"/>
    <w:link w:val="920"/>
    <w:uiPriority w:val="99"/>
    <w:qFormat/>
    <w:rPr>
      <w:rFonts w:ascii="Times New Roman" w:hAnsi="Times New Roman"/>
      <w:spacing w:val="20"/>
      <w:sz w:val="24"/>
      <w:szCs w:val="24"/>
    </w:rPr>
  </w:style>
  <w:style w:type="character" w:styleId="922" w:customStyle="1">
    <w:name w:val="已访问的超链接1"/>
    <w:uiPriority w:val="0"/>
    <w:unhideWhenUsed/>
    <w:qFormat/>
    <w:rPr>
      <w:color w:val="800080"/>
      <w:u w:val="single"/>
    </w:rPr>
  </w:style>
  <w:style w:type="character" w:styleId="923" w:customStyle="1">
    <w:name w:val="纯文本 字符2"/>
    <w:link w:val="696"/>
    <w:uiPriority w:val="99"/>
    <w:qFormat/>
    <w:rPr>
      <w:rFonts w:ascii="宋体" w:hAnsi="Courier New" w:eastAsia="楷体_GB2312"/>
      <w:sz w:val="26"/>
    </w:rPr>
  </w:style>
  <w:style w:type="paragraph" w:styleId="924" w:customStyle="1">
    <w:name w:val="纯文本2"/>
    <w:basedOn w:val="674"/>
    <w:uiPriority w:val="0"/>
    <w:qFormat/>
    <w:pPr>
      <w:jc w:val="left"/>
      <w:widowControl/>
    </w:pPr>
    <w:rPr>
      <w:rFonts w:ascii="宋体" w:hAnsi="Courier New" w:eastAsia="楷体_GB2312"/>
      <w:sz w:val="26"/>
      <w:szCs w:val="20"/>
    </w:rPr>
  </w:style>
  <w:style w:type="character" w:styleId="925" w:customStyle="1">
    <w:name w:val="标题 1 字符"/>
    <w:uiPriority w:val="9"/>
    <w:qFormat/>
    <w:rPr>
      <w:b/>
      <w:bCs/>
      <w:sz w:val="44"/>
      <w:szCs w:val="44"/>
    </w:rPr>
  </w:style>
  <w:style w:type="character" w:styleId="926" w:customStyle="1">
    <w:name w:val="标题 2 字符"/>
    <w:uiPriority w:val="9"/>
    <w:semiHidden/>
    <w:qFormat/>
    <w:rPr>
      <w:rFonts w:ascii="Cambria" w:hAnsi="Cambria" w:eastAsia="宋体" w:cs="Times New Roman"/>
      <w:b/>
      <w:bCs/>
      <w:sz w:val="32"/>
      <w:szCs w:val="32"/>
    </w:rPr>
  </w:style>
  <w:style w:type="character" w:styleId="927" w:customStyle="1">
    <w:name w:val="标题 3 字符"/>
    <w:uiPriority w:val="9"/>
    <w:semiHidden/>
    <w:qFormat/>
    <w:rPr>
      <w:b/>
      <w:bCs/>
      <w:sz w:val="32"/>
      <w:szCs w:val="32"/>
    </w:rPr>
  </w:style>
  <w:style w:type="character" w:styleId="928" w:customStyle="1">
    <w:name w:val="标题 4 字符"/>
    <w:uiPriority w:val="9"/>
    <w:semiHidden/>
    <w:qFormat/>
    <w:rPr>
      <w:rFonts w:ascii="Cambria" w:hAnsi="Cambria" w:eastAsia="宋体" w:cs="Times New Roman"/>
      <w:b/>
      <w:bCs/>
      <w:sz w:val="28"/>
      <w:szCs w:val="28"/>
    </w:rPr>
  </w:style>
  <w:style w:type="character" w:styleId="929" w:customStyle="1">
    <w:name w:val="标题 5 字符"/>
    <w:uiPriority w:val="9"/>
    <w:semiHidden/>
    <w:qFormat/>
    <w:rPr>
      <w:b/>
      <w:bCs/>
      <w:sz w:val="28"/>
      <w:szCs w:val="28"/>
    </w:rPr>
  </w:style>
  <w:style w:type="character" w:styleId="930" w:customStyle="1">
    <w:name w:val="标题 6 字符"/>
    <w:uiPriority w:val="9"/>
    <w:semiHidden/>
    <w:qFormat/>
    <w:rPr>
      <w:rFonts w:ascii="Cambria" w:hAnsi="Cambria" w:eastAsia="宋体" w:cs="Times New Roman"/>
      <w:b/>
      <w:bCs/>
      <w:sz w:val="24"/>
      <w:szCs w:val="24"/>
    </w:rPr>
  </w:style>
  <w:style w:type="character" w:styleId="931" w:customStyle="1">
    <w:name w:val="标题 7 字符"/>
    <w:uiPriority w:val="9"/>
    <w:semiHidden/>
    <w:qFormat/>
    <w:rPr>
      <w:b/>
      <w:bCs/>
      <w:sz w:val="24"/>
      <w:szCs w:val="24"/>
    </w:rPr>
  </w:style>
  <w:style w:type="paragraph" w:styleId="932" w:customStyle="1">
    <w:name w:val="msonormal"/>
    <w:basedOn w:val="674"/>
    <w:uiPriority w:val="0"/>
    <w:qFormat/>
    <w:pPr>
      <w:jc w:val="left"/>
      <w:spacing w:before="100" w:beforeAutospacing="1" w:after="100" w:afterAutospacing="1"/>
      <w:widowControl/>
    </w:pPr>
    <w:rPr>
      <w:rFonts w:ascii="宋体" w:hAnsi="宋体" w:cs="宋体"/>
      <w:sz w:val="24"/>
      <w:szCs w:val="24"/>
    </w:rPr>
  </w:style>
  <w:style w:type="character" w:styleId="933" w:customStyle="1">
    <w:name w:val="批注文字 字符"/>
    <w:uiPriority w:val="0"/>
    <w:qFormat/>
    <w:rPr>
      <w:sz w:val="21"/>
      <w:szCs w:val="22"/>
    </w:rPr>
  </w:style>
  <w:style w:type="character" w:styleId="934" w:customStyle="1">
    <w:name w:val="页眉 字符"/>
    <w:uiPriority w:val="0"/>
    <w:qFormat/>
    <w:rPr>
      <w:sz w:val="18"/>
      <w:szCs w:val="18"/>
    </w:rPr>
  </w:style>
  <w:style w:type="character" w:styleId="935" w:customStyle="1">
    <w:name w:val="正文文本缩进 字符"/>
    <w:uiPriority w:val="0"/>
    <w:qFormat/>
    <w:rPr>
      <w:sz w:val="21"/>
      <w:szCs w:val="22"/>
    </w:rPr>
  </w:style>
  <w:style w:type="character" w:styleId="936" w:customStyle="1">
    <w:name w:val="副标题 字符"/>
    <w:uiPriority w:val="0"/>
    <w:qFormat/>
    <w:rPr>
      <w:rFonts w:ascii="Cambria" w:hAnsi="Cambria" w:cs="Times New Roman"/>
      <w:b/>
      <w:bCs/>
      <w:sz w:val="32"/>
      <w:szCs w:val="32"/>
    </w:rPr>
  </w:style>
  <w:style w:type="character" w:styleId="937" w:customStyle="1">
    <w:name w:val="正文文本首行缩进 2 字符"/>
    <w:uiPriority w:val="99"/>
    <w:qFormat/>
  </w:style>
  <w:style w:type="character" w:styleId="938" w:customStyle="1">
    <w:name w:val="正文文本缩进 2 字符"/>
    <w:uiPriority w:val="0"/>
    <w:qFormat/>
    <w:rPr>
      <w:sz w:val="21"/>
      <w:szCs w:val="22"/>
    </w:rPr>
  </w:style>
  <w:style w:type="character" w:styleId="939" w:customStyle="1">
    <w:name w:val="批注主题 字符"/>
    <w:uiPriority w:val="0"/>
    <w:qFormat/>
    <w:rPr>
      <w:b/>
      <w:bCs/>
      <w:sz w:val="21"/>
      <w:szCs w:val="22"/>
    </w:rPr>
  </w:style>
  <w:style w:type="character" w:styleId="940" w:customStyle="1">
    <w:name w:val="列表段落 字符"/>
    <w:link w:val="941"/>
    <w:uiPriority w:val="34"/>
    <w:qFormat/>
    <w:rPr>
      <w:rFonts w:cs="Calibri"/>
      <w:sz w:val="21"/>
      <w:szCs w:val="22"/>
    </w:rPr>
  </w:style>
  <w:style w:type="paragraph" w:styleId="941">
    <w:name w:val="List Paragraph"/>
    <w:basedOn w:val="674"/>
    <w:link w:val="940"/>
    <w:uiPriority w:val="0"/>
    <w:qFormat/>
    <w:pPr>
      <w:ind w:firstLine="420"/>
    </w:pPr>
  </w:style>
  <w:style w:type="paragraph" w:styleId="942" w:customStyle="1">
    <w:name w:val="Plain Text1"/>
    <w:basedOn w:val="674"/>
    <w:uiPriority w:val="0"/>
    <w:qFormat/>
    <w:rPr>
      <w:rFonts w:ascii="宋体" w:hAnsi="Courier New" w:eastAsia="楷体_GB2312"/>
      <w:sz w:val="26"/>
      <w:szCs w:val="20"/>
    </w:rPr>
  </w:style>
  <w:style w:type="paragraph" w:styleId="943" w:customStyle="1">
    <w:name w:val="Char1 Char Char Char"/>
    <w:basedOn w:val="674"/>
    <w:uiPriority w:val="0"/>
    <w:qFormat/>
    <w:rPr>
      <w:rFonts w:ascii="Times New Roman" w:hAnsi="Times New Roman"/>
      <w:szCs w:val="24"/>
    </w:rPr>
  </w:style>
  <w:style w:type="paragraph" w:styleId="944" w:customStyle="1">
    <w:name w:val="符号列表"/>
    <w:basedOn w:val="674"/>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45" w:customStyle="1">
    <w:name w:val="xl71"/>
    <w:basedOn w:val="67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46" w:customStyle="1">
    <w:name w:val="段"/>
    <w:next w:val="674"/>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947" w:customStyle="1">
    <w:name w:val="纯文本3"/>
    <w:basedOn w:val="674"/>
    <w:uiPriority w:val="0"/>
    <w:qFormat/>
    <w:pPr>
      <w:jc w:val="left"/>
      <w:widowControl/>
    </w:pPr>
    <w:rPr>
      <w:rFonts w:ascii="宋体" w:hAnsi="Courier New" w:eastAsia="楷体_GB2312"/>
      <w:sz w:val="26"/>
      <w:szCs w:val="20"/>
    </w:rPr>
  </w:style>
  <w:style w:type="paragraph" w:styleId="948" w:customStyle="1">
    <w:name w:val="xl94"/>
    <w:basedOn w:val="67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49" w:customStyle="1">
    <w:name w:val="列出段落1"/>
    <w:basedOn w:val="674"/>
    <w:uiPriority w:val="0"/>
    <w:qFormat/>
    <w:pPr>
      <w:ind w:firstLine="420"/>
    </w:pPr>
  </w:style>
  <w:style w:type="paragraph" w:styleId="950" w:customStyle="1">
    <w:name w:val="xl82"/>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51" w:customStyle="1">
    <w:name w:val="xl101"/>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52" w:customStyle="1">
    <w:name w:val="Char Char2"/>
    <w:basedOn w:val="690"/>
    <w:uiPriority w:val="0"/>
    <w:qFormat/>
    <w:pPr>
      <w:spacing w:line="360" w:lineRule="auto"/>
    </w:pPr>
    <w:rPr>
      <w:rFonts w:ascii="等线" w:hAnsi="等线" w:eastAsia="等线"/>
    </w:rPr>
  </w:style>
  <w:style w:type="paragraph" w:styleId="953" w:customStyle="1">
    <w:name w:val="xl99"/>
    <w:basedOn w:val="67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54" w:customStyle="1">
    <w:name w:val="Char"/>
    <w:basedOn w:val="690"/>
    <w:uiPriority w:val="0"/>
    <w:qFormat/>
    <w:pPr>
      <w:jc w:val="both"/>
      <w:spacing w:line="360" w:lineRule="auto"/>
      <w:widowControl w:val="off"/>
    </w:pPr>
    <w:rPr>
      <w:sz w:val="21"/>
    </w:rPr>
  </w:style>
  <w:style w:type="paragraph" w:styleId="955" w:customStyle="1">
    <w:name w:val="xl100"/>
    <w:basedOn w:val="67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56" w:customStyle="1">
    <w:name w:val="xl87"/>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57" w:customStyle="1">
    <w:name w:val="xl98"/>
    <w:basedOn w:val="67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58" w:customStyle="1">
    <w:name w:val="xl72"/>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9" w:customStyle="1">
    <w:name w:val="xl95"/>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60" w:customStyle="1">
    <w:name w:val="xl90"/>
    <w:basedOn w:val="6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61" w:customStyle="1">
    <w:name w:val="xl102"/>
    <w:basedOn w:val="67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62" w:customStyle="1">
    <w:name w:val="正文文本 3 Char"/>
    <w:link w:val="963"/>
    <w:uiPriority w:val="0"/>
    <w:qFormat/>
    <w:rPr>
      <w:rFonts w:ascii="仿宋_GB2312" w:eastAsia="仿宋_GB2312"/>
      <w:sz w:val="16"/>
      <w:szCs w:val="16"/>
    </w:rPr>
  </w:style>
  <w:style w:type="paragraph" w:styleId="963" w:customStyle="1">
    <w:name w:val="正文文本 31"/>
    <w:basedOn w:val="674"/>
    <w:link w:val="962"/>
    <w:uiPriority w:val="0"/>
    <w:qFormat/>
    <w:pPr>
      <w:spacing w:after="120"/>
      <w:widowControl/>
    </w:pPr>
    <w:rPr>
      <w:rFonts w:ascii="仿宋_GB2312" w:eastAsia="仿宋_GB2312"/>
      <w:sz w:val="16"/>
      <w:szCs w:val="16"/>
    </w:rPr>
  </w:style>
  <w:style w:type="paragraph" w:styleId="964" w:customStyle="1">
    <w:name w:val="xl79"/>
    <w:basedOn w:val="67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65" w:customStyle="1">
    <w:name w:val="Char1"/>
    <w:basedOn w:val="674"/>
    <w:uiPriority w:val="0"/>
    <w:qFormat/>
    <w:rPr>
      <w:rFonts w:ascii="Tahoma" w:hAnsi="Tahoma"/>
      <w:sz w:val="24"/>
      <w:szCs w:val="20"/>
    </w:rPr>
  </w:style>
  <w:style w:type="paragraph" w:styleId="966" w:customStyle="1">
    <w:name w:val="a6"/>
    <w:basedOn w:val="674"/>
    <w:uiPriority w:val="0"/>
    <w:qFormat/>
    <w:pPr>
      <w:jc w:val="left"/>
      <w:spacing w:before="100" w:beforeAutospacing="1" w:after="100" w:afterAutospacing="1"/>
      <w:widowControl/>
    </w:pPr>
    <w:rPr>
      <w:rFonts w:ascii="宋体" w:hAnsi="宋体" w:cs="宋体"/>
      <w:sz w:val="24"/>
      <w:szCs w:val="24"/>
    </w:rPr>
  </w:style>
  <w:style w:type="paragraph" w:styleId="967" w:customStyle="1">
    <w:name w:val="_Style 107"/>
    <w:next w:val="674"/>
    <w:uiPriority w:val="0"/>
    <w:qFormat/>
    <w:rPr>
      <w:rFonts w:hint="default" w:ascii="Times New Roman" w:hAnsi="Times New Roman" w:eastAsia="宋体" w:cs="Times New Roman"/>
      <w:sz w:val="24"/>
      <w:szCs w:val="24"/>
      <w:lang w:val="en-US" w:eastAsia="zh-CN" w:bidi="ar-SA"/>
    </w:rPr>
  </w:style>
  <w:style w:type="paragraph" w:styleId="968" w:customStyle="1">
    <w:name w:val="xl97"/>
    <w:basedOn w:val="674"/>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69" w:customStyle="1">
    <w:name w:val="正文2"/>
    <w:basedOn w:val="674"/>
    <w:uiPriority w:val="0"/>
    <w:qFormat/>
    <w:pPr>
      <w:ind w:firstLine="200"/>
      <w:jc w:val="left"/>
      <w:spacing w:after="160" w:line="360" w:lineRule="auto"/>
      <w:widowControl/>
    </w:pPr>
    <w:rPr>
      <w:rFonts w:ascii="Verdana" w:hAnsi="Verdana" w:eastAsia="黑体"/>
      <w:szCs w:val="20"/>
      <w:lang w:eastAsia="en-US"/>
    </w:rPr>
  </w:style>
  <w:style w:type="paragraph" w:styleId="970" w:customStyle="1">
    <w:name w:val="正文1"/>
    <w:basedOn w:val="674"/>
    <w:next w:val="674"/>
    <w:uiPriority w:val="0"/>
    <w:qFormat/>
    <w:pPr>
      <w:ind w:left="420" w:firstLine="527"/>
      <w:spacing w:before="120" w:line="360" w:lineRule="auto"/>
    </w:pPr>
    <w:rPr>
      <w:rFonts w:ascii="宋体" w:hAnsi="宋体"/>
      <w:sz w:val="24"/>
      <w:szCs w:val="20"/>
    </w:rPr>
  </w:style>
  <w:style w:type="paragraph" w:styleId="971" w:customStyle="1">
    <w:name w:val="xl85"/>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2" w:customStyle="1">
    <w:name w:val="_Style 49"/>
    <w:basedOn w:val="690"/>
    <w:uiPriority w:val="0"/>
    <w:qFormat/>
    <w:pPr>
      <w:spacing w:line="360" w:lineRule="auto"/>
    </w:pPr>
  </w:style>
  <w:style w:type="paragraph" w:styleId="973" w:customStyle="1">
    <w:name w:val="xl92"/>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74" w:customStyle="1">
    <w:name w:val="xl88"/>
    <w:basedOn w:val="6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5" w:customStyle="1">
    <w:name w:val="xl80"/>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76" w:customStyle="1">
    <w:name w:val="xl77"/>
    <w:basedOn w:val="6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77" w:customStyle="1">
    <w:name w:val="Char Char Char Char Char Char Char Char Char Char"/>
    <w:basedOn w:val="674"/>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978" w:customStyle="1">
    <w:name w:val="Char Char Char Char Char Char Char Char Char1 Char"/>
    <w:basedOn w:val="690"/>
    <w:uiPriority w:val="0"/>
    <w:qFormat/>
    <w:pPr>
      <w:jc w:val="both"/>
      <w:spacing w:line="360" w:lineRule="auto"/>
      <w:widowControl w:val="off"/>
    </w:pPr>
    <w:rPr>
      <w:rFonts w:ascii="Tahoma" w:hAnsi="Tahoma"/>
    </w:rPr>
  </w:style>
  <w:style w:type="paragraph" w:styleId="979" w:customStyle="1">
    <w:name w:val="xl103"/>
    <w:basedOn w:val="674"/>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980" w:customStyle="1">
    <w:name w:val="xl96"/>
    <w:basedOn w:val="674"/>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981" w:customStyle="1">
    <w:name w:val="xl76"/>
    <w:basedOn w:val="67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2" w:customStyle="1">
    <w:name w:val="xl84"/>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983" w:customStyle="1">
    <w:name w:val="表格 Char"/>
    <w:link w:val="984"/>
    <w:uiPriority w:val="0"/>
    <w:qFormat/>
    <w:rPr>
      <w:rFonts w:ascii="仿宋" w:hAnsi="仿宋" w:eastAsia="仿宋"/>
      <w:sz w:val="21"/>
      <w:szCs w:val="22"/>
    </w:rPr>
  </w:style>
  <w:style w:type="paragraph" w:styleId="984" w:customStyle="1">
    <w:name w:val="表格"/>
    <w:link w:val="983"/>
    <w:uiPriority w:val="0"/>
    <w:qFormat/>
    <w:pPr>
      <w:jc w:val="center"/>
    </w:pPr>
    <w:rPr>
      <w:rFonts w:hint="default" w:ascii="仿宋" w:hAnsi="仿宋" w:eastAsia="仿宋" w:cs="Times New Roman"/>
      <w:sz w:val="21"/>
      <w:szCs w:val="22"/>
      <w:lang w:val="en-US" w:eastAsia="zh-CN" w:bidi="ar-SA"/>
    </w:rPr>
  </w:style>
  <w:style w:type="character" w:styleId="985" w:customStyle="1">
    <w:name w:val="1级 Char Char"/>
    <w:link w:val="986"/>
    <w:uiPriority w:val="0"/>
    <w:qFormat/>
    <w:rPr>
      <w:rFonts w:cs="Calibri"/>
      <w:sz w:val="36"/>
      <w:szCs w:val="36"/>
      <w:lang w:eastAsia="en-US" w:bidi="en-US"/>
    </w:rPr>
  </w:style>
  <w:style w:type="paragraph" w:styleId="986" w:customStyle="1">
    <w:name w:val="1级"/>
    <w:basedOn w:val="674"/>
    <w:link w:val="985"/>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987" w:customStyle="1">
    <w:name w:val="xl67"/>
    <w:basedOn w:val="67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8" w:customStyle="1">
    <w:name w:val="表格文字"/>
    <w:basedOn w:val="674"/>
    <w:uiPriority w:val="0"/>
    <w:qFormat/>
    <w:pPr>
      <w:jc w:val="left"/>
      <w:spacing w:line="288" w:lineRule="auto"/>
    </w:pPr>
    <w:rPr>
      <w:rFonts w:ascii="宋体" w:hAnsi="Times New Roman"/>
      <w:sz w:val="34"/>
      <w:szCs w:val="20"/>
    </w:rPr>
  </w:style>
  <w:style w:type="paragraph" w:styleId="989" w:customStyle="1">
    <w:name w:val="默认段落字体 Para Char Char Char Char Char Char Char Char Char Char Char Char Char"/>
    <w:basedOn w:val="674"/>
    <w:uiPriority w:val="0"/>
    <w:qFormat/>
    <w:rPr>
      <w:rFonts w:ascii="等线" w:hAnsi="等线" w:eastAsia="等线"/>
      <w:szCs w:val="24"/>
    </w:rPr>
  </w:style>
  <w:style w:type="paragraph" w:styleId="990" w:customStyle="1">
    <w:name w:val="纯文本5"/>
    <w:basedOn w:val="674"/>
    <w:uiPriority w:val="0"/>
    <w:qFormat/>
    <w:rPr>
      <w:rFonts w:ascii="宋体" w:hAnsi="Courier New" w:eastAsia="楷体_GB2312"/>
      <w:sz w:val="26"/>
      <w:szCs w:val="20"/>
      <w:lang w:val="zh-CN"/>
    </w:rPr>
  </w:style>
  <w:style w:type="paragraph" w:styleId="991" w:customStyle="1">
    <w:name w:val="_Style 12"/>
    <w:basedOn w:val="690"/>
    <w:uiPriority w:val="0"/>
    <w:qFormat/>
    <w:pPr>
      <w:spacing w:line="360" w:lineRule="auto"/>
    </w:pPr>
  </w:style>
  <w:style w:type="paragraph" w:styleId="992" w:customStyle="1">
    <w:name w:val="Char Char Char"/>
    <w:basedOn w:val="674"/>
    <w:uiPriority w:val="0"/>
    <w:qFormat/>
    <w:pPr>
      <w:ind w:left="795" w:hanging="360"/>
      <w:tabs>
        <w:tab w:val="left" w:pos="795" w:leader="none"/>
      </w:tabs>
    </w:pPr>
    <w:rPr>
      <w:rFonts w:ascii="Times New Roman" w:hAnsi="Times New Roman"/>
      <w:sz w:val="24"/>
      <w:szCs w:val="24"/>
    </w:rPr>
  </w:style>
  <w:style w:type="paragraph" w:styleId="993" w:customStyle="1">
    <w:name w:val="xl89"/>
    <w:basedOn w:val="674"/>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4" w:customStyle="1">
    <w:name w:val="xl63"/>
    <w:basedOn w:val="674"/>
    <w:uiPriority w:val="0"/>
    <w:qFormat/>
    <w:pPr>
      <w:jc w:val="left"/>
      <w:spacing w:before="100" w:beforeAutospacing="1" w:after="100" w:afterAutospacing="1"/>
      <w:widowControl/>
    </w:pPr>
    <w:rPr>
      <w:rFonts w:ascii="宋体" w:hAnsi="宋体" w:cs="宋体"/>
      <w:sz w:val="24"/>
      <w:szCs w:val="24"/>
    </w:rPr>
  </w:style>
  <w:style w:type="paragraph" w:styleId="995" w:customStyle="1">
    <w:name w:val="xl70"/>
    <w:basedOn w:val="67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996" w:customStyle="1">
    <w:name w:val="Char Char Char1 Char Char Char Char"/>
    <w:basedOn w:val="674"/>
    <w:uiPriority w:val="0"/>
    <w:qFormat/>
    <w:pPr>
      <w:jc w:val="left"/>
      <w:spacing w:after="160" w:line="240" w:lineRule="exact"/>
      <w:widowControl/>
    </w:pPr>
    <w:rPr>
      <w:rFonts w:ascii="Times New Roman" w:hAnsi="Times New Roman"/>
      <w:sz w:val="24"/>
      <w:szCs w:val="24"/>
    </w:rPr>
  </w:style>
  <w:style w:type="paragraph" w:styleId="997" w:customStyle="1">
    <w:name w:val="Char Char Char Char"/>
    <w:basedOn w:val="690"/>
    <w:uiPriority w:val="0"/>
    <w:qFormat/>
    <w:pPr>
      <w:jc w:val="both"/>
      <w:spacing w:line="360" w:lineRule="auto"/>
      <w:widowControl w:val="off"/>
    </w:pPr>
    <w:rPr>
      <w:szCs w:val="20"/>
    </w:rPr>
  </w:style>
  <w:style w:type="paragraph" w:styleId="998" w:customStyle="1">
    <w:name w:val="xl83"/>
    <w:basedOn w:val="67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999" w:customStyle="1">
    <w:name w:val="p0"/>
    <w:basedOn w:val="674"/>
    <w:uiPriority w:val="0"/>
    <w:qFormat/>
    <w:pPr>
      <w:jc w:val="left"/>
      <w:widowControl/>
    </w:pPr>
    <w:rPr>
      <w:rFonts w:ascii="Times New Roman" w:hAnsi="Times New Roman"/>
      <w:sz w:val="24"/>
      <w:szCs w:val="24"/>
    </w:rPr>
  </w:style>
  <w:style w:type="paragraph" w:styleId="1000" w:customStyle="1">
    <w:name w:val="xl74"/>
    <w:basedOn w:val="674"/>
    <w:uiPriority w:val="0"/>
    <w:qFormat/>
    <w:pPr>
      <w:jc w:val="left"/>
      <w:spacing w:before="100" w:beforeAutospacing="1" w:after="100" w:afterAutospacing="1"/>
      <w:widowControl/>
    </w:pPr>
    <w:rPr>
      <w:rFonts w:ascii="宋体" w:hAnsi="宋体" w:cs="宋体"/>
      <w:sz w:val="24"/>
      <w:szCs w:val="24"/>
    </w:rPr>
  </w:style>
  <w:style w:type="paragraph" w:styleId="1001" w:customStyle="1">
    <w:name w:val="xl68"/>
    <w:basedOn w:val="6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02" w:customStyle="1">
    <w:name w:val="xl75"/>
    <w:basedOn w:val="6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3" w:customStyle="1">
    <w:name w:val="_Style 3"/>
    <w:basedOn w:val="674"/>
    <w:uiPriority w:val="0"/>
    <w:qFormat/>
    <w:pPr>
      <w:ind w:left="795" w:hanging="360"/>
      <w:tabs>
        <w:tab w:val="left" w:pos="540" w:leader="none"/>
        <w:tab w:val="left" w:pos="795" w:leader="none"/>
      </w:tabs>
    </w:pPr>
    <w:rPr>
      <w:rFonts w:ascii="Times New Roman" w:hAnsi="Times New Roman"/>
      <w:sz w:val="24"/>
      <w:szCs w:val="24"/>
    </w:rPr>
  </w:style>
  <w:style w:type="paragraph" w:styleId="1004" w:customStyle="1">
    <w:name w:val="_Style 1"/>
    <w:basedOn w:val="674"/>
    <w:uiPriority w:val="34"/>
    <w:qFormat/>
    <w:pPr>
      <w:ind w:firstLine="420"/>
      <w:jc w:val="left"/>
      <w:widowControl/>
    </w:pPr>
    <w:rPr>
      <w:rFonts w:ascii="Times New Roman" w:hAnsi="Times New Roman"/>
      <w:sz w:val="24"/>
      <w:szCs w:val="24"/>
    </w:rPr>
  </w:style>
  <w:style w:type="paragraph" w:styleId="1005" w:customStyle="1">
    <w:name w:val="xl104"/>
    <w:basedOn w:val="67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06" w:customStyle="1">
    <w:name w:val="xl73"/>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7" w:customStyle="1">
    <w:name w:val="_Style 79"/>
    <w:basedOn w:val="674"/>
    <w:uiPriority w:val="0"/>
    <w:qFormat/>
    <w:pPr>
      <w:spacing w:after="160" w:line="240" w:lineRule="exact"/>
    </w:pPr>
    <w:rPr>
      <w:rFonts w:ascii="Times New Roman" w:hAnsi="Times New Roman"/>
      <w:szCs w:val="24"/>
    </w:rPr>
  </w:style>
  <w:style w:type="paragraph" w:styleId="1008" w:customStyle="1">
    <w:name w:val="纯文本1"/>
    <w:basedOn w:val="674"/>
    <w:uiPriority w:val="0"/>
    <w:qFormat/>
    <w:rPr>
      <w:rFonts w:ascii="宋体" w:hAnsi="Courier New" w:eastAsia="楷体_GB2312"/>
      <w:sz w:val="28"/>
      <w:szCs w:val="20"/>
    </w:rPr>
  </w:style>
  <w:style w:type="paragraph" w:styleId="1009" w:customStyle="1">
    <w:name w:val="xl78"/>
    <w:basedOn w:val="67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0" w:customStyle="1">
    <w:name w:val="xl6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1" w:customStyle="1">
    <w:name w:val="p18"/>
    <w:basedOn w:val="674"/>
    <w:uiPriority w:val="0"/>
    <w:qFormat/>
    <w:pPr>
      <w:ind w:firstLine="420"/>
      <w:jc w:val="left"/>
      <w:widowControl/>
    </w:pPr>
    <w:rPr>
      <w:rFonts w:ascii="Times New Roman" w:hAnsi="Times New Roman"/>
      <w:sz w:val="24"/>
      <w:szCs w:val="24"/>
    </w:rPr>
  </w:style>
  <w:style w:type="paragraph" w:styleId="1012" w:customStyle="1">
    <w:name w:val="xl93"/>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3" w:customStyle="1">
    <w:name w:val="默认段落字体 Para Char Char Char Char Char Char Char Char Char1 Char Char Char Char Char Char Char"/>
    <w:basedOn w:val="690"/>
    <w:uiPriority w:val="0"/>
    <w:qFormat/>
    <w:pPr>
      <w:jc w:val="both"/>
      <w:widowControl w:val="off"/>
    </w:pPr>
    <w:rPr>
      <w:sz w:val="21"/>
    </w:rPr>
  </w:style>
  <w:style w:type="paragraph" w:styleId="1014" w:customStyle="1">
    <w:name w:val="font5"/>
    <w:basedOn w:val="674"/>
    <w:uiPriority w:val="0"/>
    <w:qFormat/>
    <w:pPr>
      <w:jc w:val="left"/>
      <w:spacing w:before="100" w:beforeAutospacing="1" w:after="100" w:afterAutospacing="1"/>
      <w:widowControl/>
    </w:pPr>
    <w:rPr>
      <w:rFonts w:ascii="宋体" w:hAnsi="宋体" w:cs="宋体"/>
      <w:sz w:val="18"/>
      <w:szCs w:val="18"/>
    </w:rPr>
  </w:style>
  <w:style w:type="paragraph" w:styleId="1015"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character" w:styleId="1016" w:customStyle="1">
    <w:name w:val="正文文本_"/>
    <w:link w:val="1017"/>
    <w:uiPriority w:val="0"/>
    <w:qFormat/>
    <w:rPr>
      <w:rFonts w:ascii="MingLiU" w:hAnsi="MingLiU" w:eastAsia="MingLiU"/>
      <w:szCs w:val="21"/>
      <w:shd w:val="clear" w:color="auto" w:fill="ffffff"/>
    </w:rPr>
  </w:style>
  <w:style w:type="paragraph" w:styleId="1017" w:customStyle="1">
    <w:name w:val="正文文本1"/>
    <w:basedOn w:val="674"/>
    <w:link w:val="1016"/>
    <w:uiPriority w:val="0"/>
    <w:qFormat/>
    <w:pPr>
      <w:jc w:val="left"/>
      <w:spacing w:line="403" w:lineRule="exact"/>
      <w:shd w:val="clear" w:color="auto" w:fill="ffffff"/>
    </w:pPr>
    <w:rPr>
      <w:rFonts w:ascii="MingLiU" w:hAnsi="MingLiU" w:eastAsia="MingLiU"/>
      <w:sz w:val="20"/>
      <w:szCs w:val="21"/>
    </w:rPr>
  </w:style>
  <w:style w:type="paragraph" w:styleId="1018" w:customStyle="1">
    <w:name w:val="xl81"/>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9" w:customStyle="1">
    <w:name w:val="Char Char1 Char Char Char Char Char Char Char"/>
    <w:basedOn w:val="674"/>
    <w:uiPriority w:val="0"/>
    <w:qFormat/>
    <w:rPr>
      <w:rFonts w:ascii="Tahoma" w:hAnsi="Tahoma" w:eastAsia="等线"/>
      <w:sz w:val="24"/>
      <w:szCs w:val="20"/>
    </w:rPr>
  </w:style>
  <w:style w:type="paragraph" w:styleId="1020" w:customStyle="1">
    <w:name w:val="xl91"/>
    <w:basedOn w:val="67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1" w:customStyle="1">
    <w:name w:val="xl69"/>
    <w:basedOn w:val="6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2" w:customStyle="1">
    <w:name w:val="xl64"/>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23" w:customStyle="1">
    <w:name w:val="_Style 36"/>
    <w:basedOn w:val="690"/>
    <w:uiPriority w:val="0"/>
    <w:qFormat/>
    <w:pPr>
      <w:spacing w:line="360" w:lineRule="auto"/>
    </w:pPr>
  </w:style>
  <w:style w:type="paragraph" w:styleId="1024" w:customStyle="1">
    <w:name w:val="_Style 26"/>
    <w:basedOn w:val="690"/>
    <w:uiPriority w:val="0"/>
    <w:qFormat/>
    <w:pPr>
      <w:spacing w:line="360" w:lineRule="auto"/>
    </w:pPr>
  </w:style>
  <w:style w:type="paragraph" w:styleId="1025" w:customStyle="1">
    <w:name w:val="H-TextFormat"/>
    <w:uiPriority w:val="0"/>
    <w:qFormat/>
    <w:rPr>
      <w:rFonts w:hint="default" w:ascii="Arial" w:hAnsi="Arial" w:eastAsia="宋体" w:cs="Times New Roman"/>
      <w:sz w:val="22"/>
      <w:lang w:val="en-GB" w:eastAsia="en-US" w:bidi="ar-SA"/>
    </w:rPr>
  </w:style>
  <w:style w:type="paragraph" w:styleId="1026" w:customStyle="1">
    <w:name w:val="文字"/>
    <w:basedOn w:val="674"/>
    <w:uiPriority w:val="0"/>
    <w:qFormat/>
    <w:pPr>
      <w:ind w:right="-210" w:firstLine="556"/>
      <w:spacing w:line="312" w:lineRule="auto"/>
      <w:tabs>
        <w:tab w:val="left" w:pos="8520" w:leader="none"/>
      </w:tabs>
    </w:pPr>
    <w:rPr>
      <w:rFonts w:ascii="宋体" w:hAnsi="宋体"/>
      <w:sz w:val="28"/>
      <w:szCs w:val="20"/>
    </w:rPr>
  </w:style>
  <w:style w:type="paragraph" w:styleId="1027" w:customStyle="1">
    <w:name w:val="xl8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8" w:customStyle="1">
    <w:name w:val="xl65"/>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29" w:customStyle="1">
    <w:name w:val="批注框文本 Char"/>
    <w:uiPriority w:val="0"/>
    <w:qFormat/>
    <w:rPr>
      <w:sz w:val="18"/>
      <w:szCs w:val="18"/>
    </w:rPr>
  </w:style>
  <w:style w:type="character" w:styleId="1030" w:customStyle="1">
    <w:name w:val="纯文本 Char2"/>
    <w:uiPriority w:val="99"/>
    <w:semiHidden/>
    <w:qFormat/>
    <w:rPr>
      <w:rFonts w:hint="eastAsia" w:ascii="宋体" w:hAnsi="Courier New" w:eastAsia="宋体" w:cs="Courier New"/>
      <w:sz w:val="21"/>
      <w:szCs w:val="21"/>
    </w:rPr>
  </w:style>
  <w:style w:type="character" w:styleId="1031" w:customStyle="1">
    <w:name w:val="批注文字 Char"/>
    <w:uiPriority w:val="0"/>
    <w:qFormat/>
    <w:rPr>
      <w:sz w:val="24"/>
      <w:szCs w:val="24"/>
    </w:rPr>
  </w:style>
  <w:style w:type="character" w:styleId="1032" w:customStyle="1">
    <w:name w:val="纯文本 Char"/>
    <w:uiPriority w:val="0"/>
    <w:qFormat/>
    <w:rPr>
      <w:rFonts w:hint="eastAsia" w:ascii="宋体" w:hAnsi="Courier New" w:eastAsia="楷体_GB2312"/>
      <w:sz w:val="26"/>
    </w:rPr>
  </w:style>
  <w:style w:type="character" w:styleId="1033" w:customStyle="1">
    <w:name w:val="文档结构图 Char"/>
    <w:uiPriority w:val="0"/>
    <w:qFormat/>
    <w:rPr>
      <w:sz w:val="24"/>
      <w:szCs w:val="24"/>
      <w:shd w:val="clear" w:color="auto" w:fill="000080"/>
    </w:rPr>
  </w:style>
  <w:style w:type="character" w:styleId="1034"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35" w:customStyle="1">
    <w:name w:val="页脚 Char"/>
    <w:uiPriority w:val="0"/>
    <w:qFormat/>
    <w:rPr>
      <w:sz w:val="18"/>
      <w:szCs w:val="18"/>
    </w:rPr>
  </w:style>
  <w:style w:type="character" w:styleId="1036" w:customStyle="1">
    <w:name w:val="标题 Char"/>
    <w:uiPriority w:val="0"/>
    <w:qFormat/>
    <w:rPr>
      <w:rFonts w:ascii="Cambria" w:hAnsi="Cambria"/>
      <w:b/>
      <w:bCs/>
      <w:sz w:val="32"/>
      <w:szCs w:val="32"/>
    </w:rPr>
  </w:style>
  <w:style w:type="character" w:styleId="1037" w:customStyle="1">
    <w:name w:val="Plain Text Char Char"/>
    <w:uiPriority w:val="0"/>
    <w:qFormat/>
    <w:rPr>
      <w:rFonts w:hint="eastAsia" w:ascii="宋体" w:hAnsi="Courier New" w:eastAsia="楷体_GB2312"/>
      <w:sz w:val="26"/>
    </w:rPr>
  </w:style>
  <w:style w:type="character" w:styleId="1038" w:customStyle="1">
    <w:name w:val="正文文本 Char"/>
    <w:uiPriority w:val="0"/>
    <w:qFormat/>
    <w:rPr>
      <w:sz w:val="24"/>
      <w:szCs w:val="24"/>
    </w:rPr>
  </w:style>
  <w:style w:type="character" w:styleId="1039" w:customStyle="1">
    <w:name w:val="font01"/>
    <w:uiPriority w:val="0"/>
    <w:qFormat/>
    <w:rPr>
      <w:rFonts w:hint="eastAsia" w:ascii="宋体" w:hAnsi="宋体" w:eastAsia="宋体" w:cs="宋体"/>
      <w:color w:val="000000"/>
      <w:sz w:val="24"/>
      <w:szCs w:val="24"/>
      <w:u w:val="none"/>
    </w:rPr>
  </w:style>
  <w:style w:type="character" w:styleId="1040" w:customStyle="1">
    <w:name w:val="font71"/>
    <w:uiPriority w:val="0"/>
    <w:qFormat/>
    <w:rPr>
      <w:rFonts w:ascii="Times New Roman" w:hAnsi="Times New Roman" w:cs="Times New Roman"/>
      <w:color w:val="000000"/>
      <w:sz w:val="24"/>
      <w:szCs w:val="24"/>
      <w:u w:val="none"/>
    </w:rPr>
  </w:style>
  <w:style w:type="character" w:styleId="1041" w:customStyle="1">
    <w:name w:val="正文文本缩进 3 字符2"/>
    <w:uiPriority w:val="0"/>
    <w:qFormat/>
    <w:rPr>
      <w:sz w:val="24"/>
      <w:szCs w:val="24"/>
    </w:rPr>
  </w:style>
  <w:style w:type="character" w:styleId="1042" w:customStyle="1">
    <w:name w:val="标题 2 Char"/>
    <w:uiPriority w:val="0"/>
    <w:semiHidden/>
    <w:qFormat/>
    <w:rPr>
      <w:rFonts w:ascii="Cambria" w:hAnsi="Cambria" w:eastAsia="宋体" w:cs="Times New Roman"/>
      <w:b/>
      <w:bCs/>
      <w:sz w:val="32"/>
      <w:szCs w:val="32"/>
    </w:rPr>
  </w:style>
  <w:style w:type="paragraph" w:styleId="1043" w:customStyle="1">
    <w:name w:val="2级"/>
    <w:basedOn w:val="986"/>
    <w:link w:val="1044"/>
    <w:uiPriority w:val="0"/>
    <w:qFormat/>
    <w:pPr>
      <w:ind w:firstLine="420"/>
      <w:tabs>
        <w:tab w:val="left" w:pos="960" w:leader="none"/>
      </w:tabs>
      <w:outlineLvl w:val="1"/>
    </w:pPr>
    <w:rPr>
      <w:sz w:val="32"/>
      <w:szCs w:val="32"/>
    </w:rPr>
  </w:style>
  <w:style w:type="character" w:styleId="1044" w:customStyle="1">
    <w:name w:val="2级 Char Char"/>
    <w:link w:val="1043"/>
    <w:uiPriority w:val="0"/>
    <w:qFormat/>
    <w:rPr>
      <w:rFonts w:cs="Calibri"/>
      <w:sz w:val="32"/>
      <w:szCs w:val="32"/>
      <w:lang w:eastAsia="en-US" w:bidi="en-US"/>
    </w:rPr>
  </w:style>
  <w:style w:type="character" w:styleId="1045" w:customStyle="1">
    <w:name w:val="正文文本缩进 2 Char1"/>
    <w:uiPriority w:val="0"/>
    <w:semiHidden/>
    <w:qFormat/>
    <w:rPr>
      <w:rFonts w:hint="eastAsia" w:ascii="等线" w:hAnsi="等线" w:eastAsia="等线" w:cs="Times New Roman"/>
      <w:sz w:val="24"/>
      <w:szCs w:val="24"/>
    </w:rPr>
  </w:style>
  <w:style w:type="character" w:styleId="1046" w:customStyle="1">
    <w:name w:val="日期 Char"/>
    <w:uiPriority w:val="99"/>
    <w:qFormat/>
    <w:rPr>
      <w:b/>
      <w:bCs/>
      <w:spacing w:val="20"/>
      <w:sz w:val="21"/>
      <w:szCs w:val="24"/>
    </w:rPr>
  </w:style>
  <w:style w:type="character" w:styleId="1047" w:customStyle="1">
    <w:name w:val="正文文本 2 Char"/>
    <w:uiPriority w:val="0"/>
    <w:qFormat/>
    <w:rPr>
      <w:sz w:val="24"/>
      <w:szCs w:val="24"/>
    </w:rPr>
  </w:style>
  <w:style w:type="character" w:styleId="1048" w:customStyle="1">
    <w:name w:val="纯文本 字符1"/>
    <w:uiPriority w:val="99"/>
    <w:semiHidden/>
    <w:qFormat/>
    <w:rPr>
      <w:rFonts w:hint="eastAsia" w:ascii="等线" w:hAnsi="Courier New" w:eastAsia="等线" w:cs="Courier New"/>
      <w:sz w:val="24"/>
      <w:szCs w:val="24"/>
    </w:rPr>
  </w:style>
  <w:style w:type="character" w:styleId="1049" w:customStyle="1">
    <w:name w:val="批注框文本 字符1"/>
    <w:uiPriority w:val="99"/>
    <w:semiHidden/>
    <w:qFormat/>
    <w:rPr>
      <w:sz w:val="18"/>
      <w:szCs w:val="18"/>
    </w:rPr>
  </w:style>
  <w:style w:type="character" w:styleId="1050" w:customStyle="1">
    <w:name w:val="文档结构图 字符1"/>
    <w:uiPriority w:val="99"/>
    <w:semiHidden/>
    <w:qFormat/>
    <w:rPr>
      <w:rFonts w:hint="eastAsia" w:ascii="Microsoft YaHei UI" w:hAnsi="Microsoft YaHei UI" w:eastAsia="Microsoft YaHei UI"/>
      <w:sz w:val="18"/>
      <w:szCs w:val="18"/>
    </w:rPr>
  </w:style>
  <w:style w:type="character" w:styleId="1051" w:customStyle="1">
    <w:name w:val="正文文本缩进 3 字符1"/>
    <w:uiPriority w:val="0"/>
    <w:qFormat/>
    <w:rPr>
      <w:sz w:val="16"/>
      <w:szCs w:val="16"/>
    </w:rPr>
  </w:style>
  <w:style w:type="character" w:styleId="1052" w:customStyle="1">
    <w:name w:val="批注主题 字符1"/>
    <w:uiPriority w:val="99"/>
    <w:semiHidden/>
    <w:qFormat/>
    <w:rPr>
      <w:b/>
      <w:bCs/>
      <w:sz w:val="24"/>
      <w:szCs w:val="24"/>
    </w:rPr>
  </w:style>
  <w:style w:type="character" w:styleId="1053" w:customStyle="1">
    <w:name w:val="日期 字符1"/>
    <w:uiPriority w:val="99"/>
    <w:semiHidden/>
    <w:qFormat/>
    <w:rPr>
      <w:sz w:val="24"/>
      <w:szCs w:val="24"/>
    </w:rPr>
  </w:style>
  <w:style w:type="character" w:styleId="1054" w:customStyle="1">
    <w:name w:val="正文文本缩进 2 字符1"/>
    <w:uiPriority w:val="99"/>
    <w:semiHidden/>
    <w:qFormat/>
    <w:rPr>
      <w:sz w:val="24"/>
      <w:szCs w:val="24"/>
    </w:rPr>
  </w:style>
  <w:style w:type="character" w:styleId="1055" w:customStyle="1">
    <w:name w:val="正文文本 2 字符1"/>
    <w:uiPriority w:val="99"/>
    <w:semiHidden/>
    <w:qFormat/>
    <w:rPr>
      <w:sz w:val="24"/>
      <w:szCs w:val="24"/>
    </w:rPr>
  </w:style>
  <w:style w:type="character" w:styleId="1056" w:customStyle="1">
    <w:name w:val="正文文本缩进 字符1"/>
    <w:uiPriority w:val="99"/>
    <w:semiHidden/>
    <w:qFormat/>
    <w:rPr>
      <w:sz w:val="24"/>
      <w:szCs w:val="24"/>
    </w:rPr>
  </w:style>
  <w:style w:type="character" w:styleId="1057" w:customStyle="1">
    <w:name w:val="副标题 字符1"/>
    <w:uiPriority w:val="11"/>
    <w:qFormat/>
    <w:rPr>
      <w:rFonts w:hint="eastAsia" w:ascii="等线" w:hAnsi="等线" w:eastAsia="等线" w:cs="Times New Roman"/>
      <w:b/>
      <w:bCs/>
      <w:sz w:val="32"/>
      <w:szCs w:val="32"/>
    </w:rPr>
  </w:style>
  <w:style w:type="character" w:styleId="1058" w:customStyle="1">
    <w:name w:val="正文文本 字符1"/>
    <w:uiPriority w:val="99"/>
    <w:semiHidden/>
    <w:qFormat/>
    <w:rPr>
      <w:sz w:val="24"/>
      <w:szCs w:val="24"/>
    </w:rPr>
  </w:style>
  <w:style w:type="character" w:styleId="1059" w:customStyle="1">
    <w:name w:val="标题 字符1"/>
    <w:uiPriority w:val="10"/>
    <w:qFormat/>
    <w:rPr>
      <w:rFonts w:hint="eastAsia" w:ascii="等线 Light" w:hAnsi="等线 Light" w:eastAsia="等线 Light" w:cs="Times New Roman"/>
      <w:b/>
      <w:bCs/>
      <w:sz w:val="32"/>
      <w:szCs w:val="32"/>
    </w:rPr>
  </w:style>
  <w:style w:type="character" w:styleId="1060" w:customStyle="1">
    <w:name w:val="页眉 字符1"/>
    <w:uiPriority w:val="99"/>
    <w:semiHidden/>
    <w:qFormat/>
    <w:rPr>
      <w:sz w:val="18"/>
      <w:szCs w:val="18"/>
    </w:rPr>
  </w:style>
  <w:style w:type="character" w:styleId="1061" w:customStyle="1">
    <w:name w:val="页脚 字符1"/>
    <w:uiPriority w:val="99"/>
    <w:semiHidden/>
    <w:qFormat/>
    <w:rPr>
      <w:sz w:val="18"/>
      <w:szCs w:val="18"/>
    </w:rPr>
  </w:style>
  <w:style w:type="table" w:styleId="1062" w:customStyle="1">
    <w:name w:val="网格型1"/>
    <w:basedOn w:val="685"/>
    <w:uiPriority w:val="0"/>
    <w:qFormat/>
    <w:pPr>
      <w:jc w:val="both"/>
      <w:widowControl w:val="off"/>
    </w:pPr>
    <w:rPr>
      <w:rFonts w:ascii="Times New Roman" w:hAnsi="Times New Roman"/>
    </w:rPr>
    <w:tblPr/>
  </w:style>
  <w:style w:type="paragraph" w:styleId="1063" w:customStyle="1">
    <w:name w:val="font0"/>
    <w:basedOn w:val="674"/>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64" w:customStyle="1">
    <w:name w:val="font1"/>
    <w:basedOn w:val="674"/>
    <w:uiPriority w:val="0"/>
    <w:qFormat/>
    <w:pPr>
      <w:jc w:val="left"/>
      <w:spacing w:before="100" w:beforeAutospacing="1" w:after="100" w:afterAutospacing="1"/>
      <w:widowControl/>
    </w:pPr>
    <w:rPr>
      <w:rFonts w:ascii="宋体" w:hAnsi="宋体" w:cs="宋体"/>
      <w:color w:val="000000"/>
      <w:sz w:val="22"/>
    </w:rPr>
  </w:style>
  <w:style w:type="paragraph" w:styleId="1065" w:customStyle="1">
    <w:name w:val="font2"/>
    <w:basedOn w:val="674"/>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66" w:customStyle="1">
    <w:name w:val="et3"/>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7" w:customStyle="1">
    <w:name w:val="et4"/>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8" w:customStyle="1">
    <w:name w:val="et5"/>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69" w:customStyle="1">
    <w:name w:val="et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70" w:customStyle="1">
    <w:name w:val="et7"/>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71" w:customStyle="1">
    <w:name w:val="et8"/>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72" w:customStyle="1">
    <w:name w:val="font3"/>
    <w:basedOn w:val="674"/>
    <w:uiPriority w:val="0"/>
    <w:qFormat/>
    <w:pPr>
      <w:jc w:val="left"/>
      <w:spacing w:before="100" w:beforeAutospacing="1" w:after="100" w:afterAutospacing="1"/>
      <w:widowControl/>
    </w:pPr>
    <w:rPr>
      <w:rFonts w:cs="Calibri"/>
      <w:color w:val="000000"/>
      <w:szCs w:val="21"/>
    </w:rPr>
  </w:style>
  <w:style w:type="paragraph" w:styleId="1073" w:customStyle="1">
    <w:name w:val="font4"/>
    <w:basedOn w:val="674"/>
    <w:uiPriority w:val="0"/>
    <w:qFormat/>
    <w:pPr>
      <w:jc w:val="left"/>
      <w:spacing w:before="100" w:beforeAutospacing="1" w:after="100" w:afterAutospacing="1"/>
      <w:widowControl/>
    </w:pPr>
    <w:rPr>
      <w:rFonts w:ascii="宋体" w:hAnsi="宋体" w:cs="宋体"/>
      <w:color w:val="000000"/>
      <w:szCs w:val="21"/>
    </w:rPr>
  </w:style>
  <w:style w:type="character" w:styleId="1074" w:customStyle="1">
    <w:name w:val="font31"/>
    <w:uiPriority w:val="0"/>
    <w:qFormat/>
    <w:rPr>
      <w:rFonts w:ascii="Calibri" w:hAnsi="Calibri" w:cs="Calibri"/>
      <w:color w:val="000000"/>
      <w:sz w:val="21"/>
      <w:szCs w:val="21"/>
      <w:u w:val="none"/>
    </w:rPr>
  </w:style>
  <w:style w:type="character" w:styleId="1075" w:customStyle="1">
    <w:name w:val="font41"/>
    <w:uiPriority w:val="0"/>
    <w:qFormat/>
    <w:rPr>
      <w:rFonts w:hint="eastAsia" w:ascii="宋体" w:hAnsi="宋体" w:eastAsia="宋体"/>
      <w:color w:val="000000"/>
      <w:sz w:val="21"/>
      <w:szCs w:val="21"/>
      <w:u w:val="none"/>
    </w:rPr>
  </w:style>
  <w:style w:type="paragraph" w:styleId="1076" w:customStyle="1">
    <w:name w:val="修订1"/>
    <w:uiPriority w:val="99"/>
    <w:unhideWhenUsed/>
    <w:qFormat/>
    <w:rPr>
      <w:rFonts w:hint="default" w:ascii="Calibri" w:hAnsi="Calibri" w:eastAsia="宋体" w:cs="Times New Roman"/>
      <w:sz w:val="21"/>
      <w:szCs w:val="22"/>
      <w:lang w:val="en-US" w:eastAsia="zh-CN" w:bidi="ar-SA"/>
    </w:rPr>
  </w:style>
  <w:style w:type="character" w:styleId="1077" w:customStyle="1">
    <w:name w:val="font21"/>
    <w:uiPriority w:val="0"/>
    <w:qFormat/>
    <w:rPr>
      <w:rFonts w:ascii="Times New Roman" w:hAnsi="Times New Roman" w:cs="Times New Roman"/>
      <w:color w:val="000000"/>
      <w:sz w:val="21"/>
      <w:szCs w:val="21"/>
      <w:u w:val="none"/>
    </w:rPr>
  </w:style>
  <w:style w:type="character" w:styleId="1078" w:customStyle="1">
    <w:name w:val="font11"/>
    <w:basedOn w:val="684"/>
    <w:uiPriority w:val="0"/>
    <w:qFormat/>
    <w:rPr>
      <w:rFonts w:hint="eastAsia" w:ascii="宋体" w:hAnsi="宋体" w:eastAsia="宋体" w:cs="宋体"/>
      <w:color w:val="000000"/>
      <w:sz w:val="24"/>
      <w:szCs w:val="24"/>
      <w:u w:val="none"/>
    </w:rPr>
  </w:style>
  <w:style w:type="character" w:styleId="1079" w:customStyle="1">
    <w:name w:val="超链接1"/>
    <w:uiPriority w:val="0"/>
    <w:qFormat/>
    <w:rPr>
      <w:rFonts w:ascii="宋体" w:hAnsi="宋体" w:eastAsia="黑体" w:cs="Times New Roman"/>
      <w:color w:val="auto"/>
      <w:sz w:val="21"/>
      <w:szCs w:val="24"/>
      <w:highlight w:val="none"/>
      <w:lang w:val="en-US" w:eastAsia="zh-CN" w:bidi="ar-SA"/>
    </w:rPr>
  </w:style>
  <w:style w:type="paragraph" w:styleId="1080" w:customStyle="1">
    <w:name w:val="Revision"/>
    <w:hidden/>
    <w:uiPriority w:val="99"/>
    <w:unhideWhenUsed/>
    <w:qFormat/>
    <w:rPr>
      <w:rFonts w:hint="default" w:ascii="Calibri" w:hAnsi="Calibri" w:eastAsia="宋体" w:cs="Times New Roman"/>
      <w:sz w:val="21"/>
      <w:szCs w:val="22"/>
      <w:lang w:val="en-US" w:eastAsia="zh-CN" w:bidi="ar-SA"/>
    </w:rPr>
  </w:style>
  <w:style w:type="character" w:styleId="1081" w:customStyle="1">
    <w:name w:val="font141"/>
    <w:basedOn w:val="684"/>
    <w:uiPriority w:val="0"/>
    <w:qFormat/>
    <w:rPr>
      <w:rFonts w:hint="eastAsia" w:ascii="方正仿宋_GB2312" w:hAnsi="方正仿宋_GB2312" w:eastAsia="方正仿宋_GB2312" w:cs="方正仿宋_GB2312"/>
      <w:b/>
      <w:bCs/>
      <w:color w:val="000000"/>
      <w:sz w:val="22"/>
      <w:szCs w:val="22"/>
      <w:u w:val="none"/>
    </w:rPr>
  </w:style>
  <w:style w:type="character" w:styleId="1082" w:customStyle="1">
    <w:name w:val="font131"/>
    <w:basedOn w:val="684"/>
    <w:uiPriority w:val="0"/>
    <w:qFormat/>
    <w:rPr>
      <w:rFonts w:hint="eastAsia" w:ascii="方正仿宋_GB2312" w:hAnsi="方正仿宋_GB2312" w:eastAsia="方正仿宋_GB2312" w:cs="方正仿宋_GB2312"/>
      <w:b/>
      <w:bCs/>
      <w:color w:val="000000"/>
      <w:sz w:val="22"/>
      <w:szCs w:val="22"/>
      <w:u w:val="none"/>
    </w:rPr>
  </w:style>
  <w:style w:type="character" w:styleId="1083" w:customStyle="1">
    <w:name w:val="font61"/>
    <w:basedOn w:val="684"/>
    <w:uiPriority w:val="0"/>
    <w:qFormat/>
    <w:rPr>
      <w:rFonts w:hint="default" w:ascii="Times New Roman" w:hAnsi="Times New Roman" w:cs="Times New Roman"/>
      <w:b/>
      <w:bCs/>
      <w:color w:val="000000"/>
      <w:sz w:val="32"/>
      <w:szCs w:val="32"/>
      <w:u w:val="none"/>
    </w:rPr>
  </w:style>
  <w:style w:type="character" w:styleId="1084" w:customStyle="1">
    <w:name w:val="font51"/>
    <w:basedOn w:val="684"/>
    <w:uiPriority w:val="0"/>
    <w:qFormat/>
    <w:rPr>
      <w:rFonts w:hint="eastAsia" w:ascii="方正仿宋_GB2312" w:hAnsi="方正仿宋_GB2312" w:eastAsia="方正仿宋_GB2312" w:cs="方正仿宋_GB2312"/>
      <w:b/>
      <w:bCs/>
      <w:color w:val="000000"/>
      <w:sz w:val="32"/>
      <w:szCs w:val="32"/>
      <w:u w:val="none"/>
    </w:rPr>
  </w:style>
  <w:style w:type="character" w:styleId="1085" w:customStyle="1">
    <w:name w:val="font122"/>
    <w:basedOn w:val="684"/>
    <w:uiPriority w:val="0"/>
    <w:qFormat/>
    <w:rPr>
      <w:rFonts w:hint="eastAsia" w:ascii="方正仿宋_GB2312" w:hAnsi="方正仿宋_GB2312" w:eastAsia="方正仿宋_GB2312" w:cs="方正仿宋_GB2312"/>
      <w:color w:val="000000"/>
      <w:sz w:val="22"/>
      <w:szCs w:val="22"/>
      <w:u w:val="none"/>
    </w:rPr>
  </w:style>
  <w:style w:type="character" w:styleId="1086" w:customStyle="1">
    <w:name w:val="font12"/>
    <w:basedOn w:val="684"/>
    <w:uiPriority w:val="0"/>
    <w:qFormat/>
    <w:rPr>
      <w:rFonts w:hint="default" w:ascii="Times New Roman" w:hAnsi="Times New Roman" w:cs="Times New Roman"/>
      <w:color w:val="000000"/>
      <w:sz w:val="22"/>
      <w:szCs w:val="22"/>
      <w:u w:val="none"/>
    </w:rPr>
  </w:style>
  <w:style w:type="character" w:styleId="1087" w:customStyle="1">
    <w:name w:val="font91"/>
    <w:basedOn w:val="684"/>
    <w:uiPriority w:val="0"/>
    <w:qFormat/>
    <w:rPr>
      <w:rFonts w:hint="default" w:ascii="Times New Roman" w:hAnsi="Times New Roman" w:cs="Times New Roman"/>
      <w:color w:val="000000"/>
      <w:sz w:val="22"/>
      <w:szCs w:val="22"/>
      <w:u w:val="none"/>
    </w:rPr>
  </w:style>
  <w:style w:type="character" w:styleId="1088" w:customStyle="1">
    <w:name w:val="font111"/>
    <w:basedOn w:val="684"/>
    <w:uiPriority w:val="0"/>
    <w:qFormat/>
    <w:rPr>
      <w:rFonts w:hint="default" w:ascii="Times New Roman" w:hAnsi="Times New Roman" w:cs="Times New Roman"/>
      <w:b/>
      <w:bCs/>
      <w:color w:val="000000"/>
      <w:sz w:val="22"/>
      <w:szCs w:val="22"/>
      <w:u w:val="none"/>
    </w:rPr>
  </w:style>
  <w:style w:type="numbering" w:styleId="892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6CC3F-D19A-4501-8B19-F4D852277BA5}"/>
</file>

<file path=customXml/itemProps2.xml><?xml version="1.0" encoding="utf-8"?>
<ds:datastoreItem xmlns:ds="http://schemas.openxmlformats.org/officeDocument/2006/customXml" ds:itemID="{3DB1CF60-1C08-477F-9CE6-75A272822B2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39</cp:revision>
  <dcterms:created xsi:type="dcterms:W3CDTF">2023-03-31T07:02:00Z</dcterms:created>
  <dcterms:modified xsi:type="dcterms:W3CDTF">2026-05-11T04:26:09Z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2052-12.1.0.25865</vt:lpwstr>
  </property>
  <property fmtid="{D5CDD505-2E9C-101B-9397-08002B2CF9AE}" pid="4" name="ICV">
    <vt:lpwstr>15CD085E8946416496E6C868096C5C43_13</vt:lpwstr>
  </property>
</Properties>
</file>