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rPr>
          <w:color w:val="auto"/>
        </w:rP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jc w:val="center"/>
        <w:rPr>
          <w:rFonts w:hint="eastAsia"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竞争性磋商文件</w:t>
      </w:r>
      <w:r>
        <w:rPr>
          <w:rFonts w:hint="eastAsia" w:ascii="宋体" w:hAnsi="宋体" w:eastAsia="宋体" w:cs="宋体"/>
          <w:color w:val="auto"/>
          <w:sz w:val="84"/>
          <w:szCs w:val="84"/>
          <w:highlight w:val="none"/>
        </w:rPr>
      </w:r>
      <w:r>
        <w:rPr>
          <w:color w:val="auto"/>
        </w:rPr>
      </w:r>
    </w:p>
    <w:p>
      <w:pPr>
        <w:pStyle w:val="899"/>
        <w:rPr>
          <w:rFonts w:hint="eastAsia" w:ascii="宋体" w:hAnsi="宋体" w:eastAsia="宋体" w:cs="宋体"/>
          <w:color w:val="auto"/>
          <w:sz w:val="44"/>
          <w:highlight w:val="none"/>
        </w:rPr>
      </w:pPr>
      <w:r>
        <w:rPr>
          <w:rFonts w:hint="eastAsia" w:ascii="宋体" w:hAnsi="宋体" w:eastAsia="宋体" w:cs="宋体"/>
          <w:color w:val="auto"/>
          <w:sz w:val="44"/>
          <w:highlight w:val="none"/>
        </w:rPr>
      </w:r>
      <w:r>
        <w:rPr>
          <w:color w:val="auto"/>
        </w:rPr>
      </w:r>
    </w:p>
    <w:p>
      <w:pPr>
        <w:pStyle w:val="951"/>
        <w:ind w:firstLine="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51"/>
        <w:ind w:firstLine="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51"/>
        <w:ind w:firstLine="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51"/>
        <w:ind w:firstLine="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ind w:left="0" w:firstLine="720"/>
        <w:keepLines w:val="0"/>
        <w:keepNext w:val="0"/>
        <w:pageBreakBefore w:val="0"/>
        <w:spacing w:line="360" w:lineRule="auto"/>
        <w:widowControl w:val="off"/>
        <w:rPr>
          <w:rFonts w:hint="eastAsia" w:ascii="宋体" w:hAnsi="宋体" w:eastAsia="宋体" w:cs="宋体"/>
          <w:color w:val="auto"/>
          <w:sz w:val="40"/>
          <w:szCs w:val="21"/>
          <w:highlight w:val="none"/>
        </w:rPr>
      </w:pPr>
      <w:r>
        <w:rPr>
          <w:rFonts w:hint="eastAsia" w:ascii="宋体" w:hAnsi="宋体" w:eastAsia="宋体" w:cs="宋体"/>
          <w:color w:val="auto"/>
          <w:sz w:val="36"/>
          <w:szCs w:val="36"/>
          <w:highlight w:val="none"/>
        </w:rPr>
        <w:t xml:space="preserve">项目编号</w:t>
      </w:r>
      <w:r>
        <w:rPr>
          <w:rFonts w:hint="eastAsia" w:ascii="宋体" w:hAnsi="宋体" w:eastAsia="宋体" w:cs="宋体"/>
          <w:color w:val="auto"/>
          <w:sz w:val="36"/>
          <w:szCs w:val="36"/>
          <w:highlight w:val="none"/>
          <w:lang w:eastAsia="zh-CN"/>
        </w:rPr>
        <w:t xml:space="preserve">：</w:t>
      </w:r>
      <w:r>
        <w:rPr>
          <w:rFonts w:hint="eastAsia" w:ascii="宋体" w:hAnsi="宋体" w:eastAsia="宋体" w:cs="宋体"/>
          <w:color w:val="auto"/>
          <w:sz w:val="36"/>
          <w:szCs w:val="36"/>
          <w:highlight w:val="none"/>
        </w:rPr>
        <w:t xml:space="preserve">JSZC-320115-HHJS-C2026-0001</w:t>
      </w:r>
      <w:r>
        <w:rPr>
          <w:rFonts w:hint="eastAsia" w:ascii="宋体" w:hAnsi="宋体" w:eastAsia="宋体" w:cs="宋体"/>
          <w:color w:val="auto"/>
          <w:sz w:val="40"/>
          <w:szCs w:val="21"/>
          <w:highlight w:val="none"/>
          <w:lang w:val="en-US" w:eastAsia="zh-CN"/>
        </w:rPr>
      </w:r>
      <w:r>
        <w:rPr>
          <w:color w:val="auto"/>
        </w:rPr>
      </w:r>
    </w:p>
    <w:p>
      <w:pPr>
        <w:pStyle w:val="899"/>
        <w:ind w:firstLine="72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eastAsia="zh-CN"/>
        </w:rPr>
      </w:r>
      <w:r>
        <w:rPr>
          <w:color w:val="auto"/>
        </w:rPr>
      </w:r>
    </w:p>
    <w:p>
      <w:pPr>
        <w:pStyle w:val="899"/>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rPr>
          <w:color w:val="auto"/>
        </w:rPr>
      </w:r>
    </w:p>
    <w:p>
      <w:pPr>
        <w:pStyle w:val="899"/>
        <w:ind w:firstLine="720"/>
        <w:jc w:val="left"/>
        <w:spacing w:line="360" w:lineRule="auto"/>
        <w:rPr>
          <w:rFonts w:hint="eastAsia" w:ascii="宋体" w:hAnsi="宋体" w:eastAsia="宋体" w:cs="宋体"/>
          <w:color w:val="auto"/>
          <w:sz w:val="44"/>
          <w:highlight w:val="none"/>
        </w:rPr>
      </w:pPr>
      <w:r>
        <w:rPr>
          <w:rFonts w:hint="eastAsia" w:ascii="宋体" w:hAnsi="宋体" w:eastAsia="宋体" w:cs="宋体"/>
          <w:color w:val="auto"/>
          <w:sz w:val="36"/>
          <w:szCs w:val="36"/>
          <w:highlight w:val="none"/>
        </w:rPr>
        <w:t xml:space="preserve">项目名称：</w:t>
      </w:r>
      <w:r>
        <w:rPr>
          <w:rFonts w:hint="eastAsia" w:ascii="宋体" w:hAnsi="宋体" w:eastAsia="宋体" w:cs="宋体"/>
          <w:color w:val="auto"/>
          <w:sz w:val="36"/>
          <w:szCs w:val="36"/>
          <w:highlight w:val="none"/>
          <w:lang w:eastAsia="zh-CN"/>
        </w:rPr>
        <w:t xml:space="preserve">东山街道大马涵</w:t>
      </w:r>
      <w:r>
        <w:rPr>
          <w:rFonts w:hint="eastAsia" w:ascii="宋体" w:hAnsi="宋体" w:eastAsia="宋体" w:cs="宋体"/>
          <w:color w:val="auto"/>
          <w:sz w:val="36"/>
          <w:szCs w:val="36"/>
          <w:highlight w:val="none"/>
          <w:lang w:val="en-US" w:eastAsia="zh-CN"/>
        </w:rPr>
        <w:t xml:space="preserve">泵站</w:t>
      </w:r>
      <w:r>
        <w:rPr>
          <w:rFonts w:hint="eastAsia" w:ascii="宋体" w:hAnsi="宋体" w:eastAsia="宋体" w:cs="宋体"/>
          <w:color w:val="auto"/>
          <w:sz w:val="36"/>
          <w:szCs w:val="36"/>
          <w:highlight w:val="none"/>
          <w:lang w:eastAsia="zh-CN"/>
        </w:rPr>
        <w:t xml:space="preserve">等</w:t>
      </w:r>
      <w:r>
        <w:rPr>
          <w:rFonts w:hint="eastAsia" w:ascii="宋体" w:hAnsi="宋体" w:eastAsia="宋体" w:cs="宋体"/>
          <w:color w:val="auto"/>
          <w:sz w:val="36"/>
          <w:szCs w:val="36"/>
          <w:highlight w:val="none"/>
          <w:lang w:val="en-US" w:eastAsia="zh-CN"/>
        </w:rPr>
        <w:t xml:space="preserve">七</w:t>
      </w:r>
      <w:r>
        <w:rPr>
          <w:rFonts w:hint="eastAsia" w:ascii="宋体" w:hAnsi="宋体" w:eastAsia="宋体" w:cs="宋体"/>
          <w:color w:val="auto"/>
          <w:sz w:val="36"/>
          <w:szCs w:val="36"/>
          <w:highlight w:val="none"/>
          <w:lang w:eastAsia="zh-CN"/>
        </w:rPr>
        <w:t xml:space="preserve">座</w:t>
      </w:r>
      <w:r>
        <w:rPr>
          <w:rFonts w:hint="eastAsia" w:ascii="宋体" w:hAnsi="宋体" w:eastAsia="宋体" w:cs="宋体"/>
          <w:color w:val="auto"/>
          <w:sz w:val="36"/>
          <w:szCs w:val="36"/>
          <w:highlight w:val="none"/>
          <w:lang w:val="en-US" w:eastAsia="zh-CN"/>
        </w:rPr>
        <w:t xml:space="preserve">雨水</w:t>
      </w:r>
      <w:r>
        <w:rPr>
          <w:rFonts w:hint="eastAsia" w:ascii="宋体" w:hAnsi="宋体" w:eastAsia="宋体" w:cs="宋体"/>
          <w:color w:val="auto"/>
          <w:sz w:val="36"/>
          <w:szCs w:val="36"/>
          <w:highlight w:val="none"/>
          <w:lang w:eastAsia="zh-CN"/>
        </w:rPr>
        <w:t xml:space="preserve">泵站维保</w:t>
      </w:r>
      <w:r>
        <w:rPr>
          <w:rFonts w:hint="eastAsia" w:ascii="宋体" w:hAnsi="宋体" w:eastAsia="宋体" w:cs="宋体"/>
          <w:color w:val="auto"/>
          <w:sz w:val="44"/>
          <w:highlight w:val="none"/>
          <w:lang w:eastAsia="zh-CN"/>
        </w:rPr>
      </w:r>
      <w:r>
        <w:rPr>
          <w:color w:val="auto"/>
        </w:rPr>
      </w:r>
    </w:p>
    <w:p>
      <w:pPr>
        <w:pStyle w:val="951"/>
        <w:ind w:firstLine="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p>
    <w:p>
      <w:pPr>
        <w:pStyle w:val="899"/>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p>
    <w:p>
      <w:pPr>
        <w:pStyle w:val="951"/>
        <w:ind w:firstLine="56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51"/>
        <w:ind w:firstLine="56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51"/>
        <w:ind w:firstLine="56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51"/>
        <w:ind w:firstLine="56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p>
    <w:p>
      <w:pPr>
        <w:pStyle w:val="899"/>
        <w:jc w:val="center"/>
        <w:rPr>
          <w:rFonts w:hint="eastAsia" w:ascii="宋体" w:hAnsi="宋体" w:eastAsia="宋体" w:cs="宋体"/>
          <w:color w:val="auto"/>
          <w:sz w:val="44"/>
          <w:highlight w:val="none"/>
        </w:rPr>
      </w:pPr>
      <w:r>
        <w:rPr>
          <w:rFonts w:hint="eastAsia" w:ascii="宋体" w:hAnsi="宋体" w:eastAsia="宋体" w:cs="宋体"/>
          <w:color w:val="auto"/>
          <w:sz w:val="44"/>
          <w:highlight w:val="none"/>
          <w:lang w:eastAsia="zh-CN"/>
        </w:rPr>
        <w:t xml:space="preserve">南京华涵工程建设项目管理咨询有限公司</w:t>
      </w:r>
      <w:r>
        <w:rPr>
          <w:rFonts w:hint="eastAsia" w:ascii="宋体" w:hAnsi="宋体" w:eastAsia="宋体" w:cs="宋体"/>
          <w:color w:val="auto"/>
          <w:sz w:val="44"/>
          <w:highlight w:val="none"/>
        </w:rPr>
      </w:r>
      <w:r>
        <w:rPr>
          <w:color w:val="auto"/>
        </w:rPr>
      </w:r>
    </w:p>
    <w:p>
      <w:pPr>
        <w:pStyle w:val="899"/>
        <w:jc w:val="center"/>
        <w:rPr>
          <w:rFonts w:hint="eastAsia" w:ascii="宋体" w:hAnsi="宋体" w:eastAsia="宋体" w:cs="宋体"/>
          <w:color w:val="auto"/>
          <w:highlight w:val="none"/>
        </w:rPr>
      </w:pPr>
      <w:r>
        <w:rPr>
          <w:rFonts w:hint="eastAsia" w:ascii="宋体" w:hAnsi="宋体" w:eastAsia="宋体" w:cs="宋体"/>
          <w:color w:val="auto"/>
          <w:sz w:val="44"/>
          <w:highlight w:val="none"/>
        </w:rPr>
        <w:t xml:space="preserve">二〇二</w:t>
      </w:r>
      <w:r>
        <w:rPr>
          <w:rFonts w:hint="eastAsia" w:ascii="宋体" w:hAnsi="宋体" w:eastAsia="宋体" w:cs="宋体"/>
          <w:color w:val="auto"/>
          <w:sz w:val="44"/>
          <w:highlight w:val="none"/>
          <w:lang w:val="en-US" w:eastAsia="zh-CN"/>
        </w:rPr>
        <w:t xml:space="preserve">六</w:t>
      </w:r>
      <w:r>
        <w:rPr>
          <w:rFonts w:hint="eastAsia" w:ascii="宋体" w:hAnsi="宋体" w:eastAsia="宋体" w:cs="宋体"/>
          <w:color w:val="auto"/>
          <w:sz w:val="44"/>
          <w:highlight w:val="none"/>
        </w:rPr>
        <w:t xml:space="preserve">年</w:t>
      </w:r>
      <w:r>
        <w:rPr>
          <w:rFonts w:hint="eastAsia" w:ascii="宋体" w:hAnsi="宋体" w:eastAsia="宋体" w:cs="宋体"/>
          <w:color w:val="auto"/>
          <w:sz w:val="44"/>
          <w:highlight w:val="none"/>
          <w:lang w:val="en-US" w:eastAsia="zh-CN"/>
        </w:rPr>
        <w:t xml:space="preserve">五</w:t>
      </w:r>
      <w:r>
        <w:rPr>
          <w:rFonts w:hint="eastAsia" w:ascii="宋体" w:hAnsi="宋体" w:eastAsia="宋体" w:cs="宋体"/>
          <w:color w:val="auto"/>
          <w:sz w:val="44"/>
          <w:highlight w:val="none"/>
        </w:rPr>
        <w:t xml:space="preserve">月</w:t>
      </w:r>
      <w:r>
        <w:rPr>
          <w:rFonts w:hint="eastAsia" w:ascii="宋体" w:hAnsi="宋体" w:eastAsia="宋体" w:cs="宋体"/>
          <w:color w:val="auto"/>
          <w:highlight w:val="none"/>
        </w:rPr>
      </w:r>
      <w:r>
        <w:rPr>
          <w:color w:val="auto"/>
        </w:rPr>
      </w:r>
    </w:p>
    <w:p>
      <w:pPr>
        <w:pStyle w:val="899"/>
        <w:spacing w:line="480" w:lineRule="auto"/>
        <w:tabs>
          <w:tab w:val="left" w:pos="1635" w:leader="none"/>
        </w:tabs>
        <w:rPr>
          <w:rFonts w:hint="eastAsia" w:ascii="宋体" w:hAnsi="宋体" w:eastAsia="宋体" w:cs="宋体"/>
          <w:color w:val="auto"/>
          <w:sz w:val="30"/>
          <w:szCs w:val="30"/>
          <w:highlight w:val="none"/>
        </w:rPr>
        <w:sectPr>
          <w:headerReference w:type="default" r:id="rId9"/>
          <w:footerReference w:type="default" r:id="rId11"/>
          <w:footnotePr/>
          <w:endnotePr/>
          <w:type w:val="nextPage"/>
          <w:pgSz w:w="11906" w:h="16838" w:orient="portrait"/>
          <w:pgMar w:top="1418" w:right="942" w:bottom="1247" w:left="1304" w:header="851" w:footer="992" w:gutter="0"/>
          <w:cols w:num="1" w:sep="0" w:space="1701" w:equalWidth="1"/>
          <w:docGrid w:linePitch="360"/>
        </w:sectPr>
      </w:pPr>
      <w:r>
        <w:rPr>
          <w:rFonts w:hint="eastAsia" w:ascii="宋体" w:hAnsi="宋体" w:eastAsia="宋体" w:cs="宋体"/>
          <w:color w:val="auto"/>
          <w:sz w:val="30"/>
          <w:szCs w:val="30"/>
          <w:highlight w:val="none"/>
        </w:rPr>
      </w:r>
      <w:r>
        <w:rPr>
          <w:color w:val="auto"/>
        </w:rP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ind w:firstLine="301"/>
        <w:jc w:val="center"/>
        <w:spacing w:line="480" w:lineRule="auto"/>
        <w:tabs>
          <w:tab w:val="left" w:pos="1635"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目  录</w:t>
      </w:r>
      <w:r>
        <w:rPr>
          <w:rFonts w:hint="eastAsia" w:ascii="宋体" w:hAnsi="宋体" w:eastAsia="宋体" w:cs="宋体"/>
          <w:b/>
          <w:color w:val="auto"/>
          <w:sz w:val="30"/>
          <w:szCs w:val="30"/>
          <w:highlight w:val="none"/>
        </w:rPr>
      </w:r>
      <w:r>
        <w:rPr>
          <w:color w:val="auto"/>
        </w:rP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31"/>
        <w:tabs>
          <w:tab w:val="right" w:pos="9660" w:leader="dot"/>
        </w:tabs>
        <w:rPr>
          <w:color w:val="auto"/>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TOC \o "1-3" \h \z \u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Cs w:val="30"/>
          <w:highlight w:val="none"/>
        </w:rPr>
        <w:fldChar w:fldCharType="begin"/>
      </w:r>
      <w:r>
        <w:rPr>
          <w:rFonts w:hint="eastAsia" w:ascii="宋体" w:hAnsi="宋体" w:eastAsia="宋体" w:cs="宋体"/>
          <w:color w:val="auto"/>
          <w:szCs w:val="30"/>
          <w:highlight w:val="none"/>
        </w:rPr>
        <w:instrText xml:space="preserve"> HYPERLINK \l _Toc16200 </w:instrText>
      </w:r>
      <w:r>
        <w:rPr>
          <w:rFonts w:hint="eastAsia" w:ascii="宋体" w:hAnsi="宋体" w:eastAsia="宋体" w:cs="宋体"/>
          <w:color w:val="auto"/>
          <w:szCs w:val="30"/>
          <w:highlight w:val="none"/>
        </w:rPr>
        <w:fldChar w:fldCharType="separate"/>
      </w:r>
      <w:r>
        <w:rPr>
          <w:rFonts w:hint="eastAsia" w:ascii="宋体" w:hAnsi="宋体" w:eastAsia="宋体" w:cs="宋体"/>
          <w:color w:val="auto"/>
          <w:szCs w:val="30"/>
          <w:highlight w:val="none"/>
        </w:rPr>
        <w:t xml:space="preserve">第一章  竞争性磋商邀请</w:t>
      </w:r>
      <w:r>
        <w:rPr>
          <w:color w:val="auto"/>
        </w:rPr>
        <w:tab/>
      </w:r>
      <w:r>
        <w:rPr>
          <w:color w:val="auto"/>
        </w:rPr>
        <w:fldChar w:fldCharType="begin"/>
      </w:r>
      <w:r>
        <w:rPr>
          <w:color w:val="auto"/>
        </w:rPr>
        <w:instrText xml:space="preserve"> PAGEREF _Toc16200 \h </w:instrText>
      </w:r>
      <w:r>
        <w:rPr>
          <w:color w:val="auto"/>
        </w:rPr>
        <w:fldChar w:fldCharType="separate"/>
      </w:r>
      <w:r>
        <w:rPr>
          <w:color w:val="auto"/>
        </w:rPr>
        <w:t xml:space="preserve">- 3 -</w:t>
      </w:r>
      <w:r>
        <w:rPr>
          <w:color w:val="auto"/>
        </w:rPr>
        <w:fldChar w:fldCharType="end"/>
      </w:r>
      <w:r>
        <w:rPr>
          <w:rFonts w:hint="eastAsia" w:ascii="宋体" w:hAnsi="宋体" w:eastAsia="宋体" w:cs="宋体"/>
          <w:color w:val="auto"/>
          <w:szCs w:val="30"/>
          <w:highlight w:val="none"/>
        </w:rPr>
        <w:fldChar w:fldCharType="end"/>
      </w:r>
      <w:r>
        <w:rPr>
          <w:color w:val="auto"/>
        </w:rPr>
      </w:r>
    </w:p>
    <w:p>
      <w:pPr>
        <w:pStyle w:val="931"/>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_Toc7510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 xml:space="preserve">第二章  竞争性磋商须知</w:t>
      </w:r>
      <w:r>
        <w:rPr>
          <w:color w:val="auto"/>
        </w:rPr>
        <w:tab/>
      </w:r>
      <w:r>
        <w:rPr>
          <w:color w:val="auto"/>
        </w:rPr>
        <w:fldChar w:fldCharType="begin"/>
      </w:r>
      <w:r>
        <w:rPr>
          <w:color w:val="auto"/>
        </w:rPr>
        <w:instrText xml:space="preserve"> PAGEREF _Toc7510 \h </w:instrText>
      </w:r>
      <w:r>
        <w:rPr>
          <w:color w:val="auto"/>
        </w:rPr>
        <w:fldChar w:fldCharType="separate"/>
      </w:r>
      <w:r>
        <w:rPr>
          <w:color w:val="auto"/>
        </w:rPr>
        <w:t xml:space="preserve">- 7 -</w:t>
      </w:r>
      <w:r>
        <w:rPr>
          <w:color w:val="auto"/>
        </w:rPr>
        <w:fldChar w:fldCharType="end"/>
      </w:r>
      <w:r>
        <w:rPr>
          <w:rFonts w:hint="eastAsia" w:ascii="宋体" w:hAnsi="宋体" w:eastAsia="宋体" w:cs="宋体"/>
          <w:color w:val="auto"/>
          <w:highlight w:val="none"/>
        </w:rPr>
        <w:fldChar w:fldCharType="end"/>
      </w:r>
      <w:r>
        <w:rPr>
          <w:color w:val="auto"/>
        </w:rPr>
      </w:r>
    </w:p>
    <w:p>
      <w:pPr>
        <w:pStyle w:val="934"/>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_Toc17886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1"/>
          <w:highlight w:val="none"/>
          <w:lang w:val="zh-CN"/>
        </w:rPr>
        <w:t xml:space="preserve">一、总则</w:t>
      </w:r>
      <w:r>
        <w:rPr>
          <w:color w:val="auto"/>
        </w:rPr>
        <w:tab/>
      </w:r>
      <w:r>
        <w:rPr>
          <w:color w:val="auto"/>
        </w:rPr>
        <w:fldChar w:fldCharType="begin"/>
      </w:r>
      <w:r>
        <w:rPr>
          <w:color w:val="auto"/>
        </w:rPr>
        <w:instrText xml:space="preserve"> PAGEREF _Toc17886 \h </w:instrText>
      </w:r>
      <w:r>
        <w:rPr>
          <w:color w:val="auto"/>
        </w:rPr>
        <w:fldChar w:fldCharType="separate"/>
      </w:r>
      <w:r>
        <w:rPr>
          <w:color w:val="auto"/>
        </w:rPr>
        <w:t xml:space="preserve">- 7 -</w:t>
      </w:r>
      <w:r>
        <w:rPr>
          <w:color w:val="auto"/>
        </w:rPr>
        <w:fldChar w:fldCharType="end"/>
      </w:r>
      <w:r>
        <w:rPr>
          <w:rFonts w:hint="eastAsia" w:ascii="宋体" w:hAnsi="宋体" w:eastAsia="宋体" w:cs="宋体"/>
          <w:color w:val="auto"/>
          <w:highlight w:val="none"/>
        </w:rPr>
        <w:fldChar w:fldCharType="end"/>
      </w:r>
      <w:r>
        <w:rPr>
          <w:color w:val="auto"/>
        </w:rPr>
      </w:r>
    </w:p>
    <w:p>
      <w:pPr>
        <w:pStyle w:val="934"/>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_Toc11488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二、</w:t>
      </w:r>
      <w:r>
        <w:rPr>
          <w:rFonts w:hint="eastAsia" w:ascii="宋体" w:hAnsi="宋体" w:eastAsia="宋体" w:cs="宋体"/>
          <w:color w:val="auto"/>
          <w:highlight w:val="none"/>
          <w:lang w:val="en-US" w:eastAsia="zh-CN"/>
        </w:rPr>
        <w:t xml:space="preserve">电子磋商</w:t>
      </w:r>
      <w:r>
        <w:rPr>
          <w:rFonts w:hint="eastAsia" w:ascii="宋体" w:hAnsi="宋体" w:eastAsia="宋体" w:cs="宋体"/>
          <w:color w:val="auto"/>
          <w:highlight w:val="none"/>
        </w:rPr>
        <w:t xml:space="preserve">响应性文件的编制</w:t>
      </w:r>
      <w:r>
        <w:rPr>
          <w:color w:val="auto"/>
        </w:rPr>
        <w:tab/>
      </w:r>
      <w:r>
        <w:rPr>
          <w:color w:val="auto"/>
        </w:rPr>
        <w:fldChar w:fldCharType="begin"/>
      </w:r>
      <w:r>
        <w:rPr>
          <w:color w:val="auto"/>
        </w:rPr>
        <w:instrText xml:space="preserve"> PAGEREF _Toc11488 \h </w:instrText>
      </w:r>
      <w:r>
        <w:rPr>
          <w:color w:val="auto"/>
        </w:rPr>
        <w:fldChar w:fldCharType="separate"/>
      </w:r>
      <w:r>
        <w:rPr>
          <w:color w:val="auto"/>
        </w:rPr>
        <w:t xml:space="preserve">- 10 -</w:t>
      </w:r>
      <w:r>
        <w:rPr>
          <w:color w:val="auto"/>
        </w:rPr>
        <w:fldChar w:fldCharType="end"/>
      </w:r>
      <w:r>
        <w:rPr>
          <w:rFonts w:hint="eastAsia" w:ascii="宋体" w:hAnsi="宋体" w:eastAsia="宋体" w:cs="宋体"/>
          <w:color w:val="auto"/>
          <w:highlight w:val="none"/>
        </w:rPr>
        <w:fldChar w:fldCharType="end"/>
      </w:r>
      <w:r>
        <w:rPr>
          <w:color w:val="auto"/>
        </w:rPr>
      </w:r>
    </w:p>
    <w:p>
      <w:pPr>
        <w:pStyle w:val="934"/>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_Toc7167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三、</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响应性文件递交</w:t>
      </w:r>
      <w:r>
        <w:rPr>
          <w:color w:val="auto"/>
        </w:rPr>
        <w:tab/>
      </w:r>
      <w:r>
        <w:rPr>
          <w:color w:val="auto"/>
        </w:rPr>
        <w:fldChar w:fldCharType="begin"/>
      </w:r>
      <w:r>
        <w:rPr>
          <w:color w:val="auto"/>
        </w:rPr>
        <w:instrText xml:space="preserve"> PAGEREF _Toc7167 \h </w:instrText>
      </w:r>
      <w:r>
        <w:rPr>
          <w:color w:val="auto"/>
        </w:rPr>
        <w:fldChar w:fldCharType="separate"/>
      </w:r>
      <w:r>
        <w:rPr>
          <w:color w:val="auto"/>
        </w:rPr>
        <w:t xml:space="preserve">- 12 -</w:t>
      </w:r>
      <w:r>
        <w:rPr>
          <w:color w:val="auto"/>
        </w:rPr>
        <w:fldChar w:fldCharType="end"/>
      </w:r>
      <w:r>
        <w:rPr>
          <w:rFonts w:hint="eastAsia" w:ascii="宋体" w:hAnsi="宋体" w:eastAsia="宋体" w:cs="宋体"/>
          <w:color w:val="auto"/>
          <w:highlight w:val="none"/>
        </w:rPr>
        <w:fldChar w:fldCharType="end"/>
      </w:r>
      <w:r>
        <w:rPr>
          <w:color w:val="auto"/>
        </w:rPr>
      </w:r>
    </w:p>
    <w:p>
      <w:pPr>
        <w:pStyle w:val="934"/>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_Toc20577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四、磋商</w:t>
      </w:r>
      <w:r>
        <w:rPr>
          <w:color w:val="auto"/>
        </w:rPr>
        <w:tab/>
      </w:r>
      <w:r>
        <w:rPr>
          <w:color w:val="auto"/>
        </w:rPr>
        <w:fldChar w:fldCharType="begin"/>
      </w:r>
      <w:r>
        <w:rPr>
          <w:color w:val="auto"/>
        </w:rPr>
        <w:instrText xml:space="preserve"> PAGEREF _Toc20577 \h </w:instrText>
      </w:r>
      <w:r>
        <w:rPr>
          <w:color w:val="auto"/>
        </w:rPr>
        <w:fldChar w:fldCharType="separate"/>
      </w:r>
      <w:r>
        <w:rPr>
          <w:color w:val="auto"/>
        </w:rPr>
        <w:t xml:space="preserve">- 12 -</w:t>
      </w:r>
      <w:r>
        <w:rPr>
          <w:color w:val="auto"/>
        </w:rPr>
        <w:fldChar w:fldCharType="end"/>
      </w:r>
      <w:r>
        <w:rPr>
          <w:rFonts w:hint="eastAsia" w:ascii="宋体" w:hAnsi="宋体" w:eastAsia="宋体" w:cs="宋体"/>
          <w:color w:val="auto"/>
          <w:highlight w:val="none"/>
        </w:rPr>
        <w:fldChar w:fldCharType="end"/>
      </w:r>
      <w:r>
        <w:rPr>
          <w:color w:val="auto"/>
        </w:rPr>
      </w:r>
    </w:p>
    <w:p>
      <w:pPr>
        <w:pStyle w:val="934"/>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_Toc9070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zh-CN"/>
        </w:rPr>
        <w:t xml:space="preserve">五、</w:t>
      </w:r>
      <w:r>
        <w:rPr>
          <w:rFonts w:hint="eastAsia" w:ascii="宋体" w:hAnsi="宋体" w:eastAsia="宋体" w:cs="宋体"/>
          <w:bCs/>
          <w:color w:val="auto"/>
          <w:szCs w:val="21"/>
          <w:highlight w:val="none"/>
          <w:lang w:val="zh-CN"/>
        </w:rPr>
        <w:t xml:space="preserve">签订合同</w:t>
      </w:r>
      <w:r>
        <w:rPr>
          <w:color w:val="auto"/>
        </w:rPr>
        <w:tab/>
      </w:r>
      <w:r>
        <w:rPr>
          <w:color w:val="auto"/>
        </w:rPr>
        <w:fldChar w:fldCharType="begin"/>
      </w:r>
      <w:r>
        <w:rPr>
          <w:color w:val="auto"/>
        </w:rPr>
        <w:instrText xml:space="preserve"> PAGEREF _Toc9070 \h </w:instrText>
      </w:r>
      <w:r>
        <w:rPr>
          <w:color w:val="auto"/>
        </w:rPr>
        <w:fldChar w:fldCharType="separate"/>
      </w:r>
      <w:r>
        <w:rPr>
          <w:color w:val="auto"/>
        </w:rPr>
        <w:t xml:space="preserve">- 13 -</w:t>
      </w:r>
      <w:r>
        <w:rPr>
          <w:color w:val="auto"/>
        </w:rPr>
        <w:fldChar w:fldCharType="end"/>
      </w:r>
      <w:r>
        <w:rPr>
          <w:rFonts w:hint="eastAsia" w:ascii="宋体" w:hAnsi="宋体" w:eastAsia="宋体" w:cs="宋体"/>
          <w:color w:val="auto"/>
          <w:highlight w:val="none"/>
        </w:rPr>
        <w:fldChar w:fldCharType="end"/>
      </w:r>
      <w:r>
        <w:rPr>
          <w:color w:val="auto"/>
        </w:rPr>
      </w:r>
    </w:p>
    <w:p>
      <w:pPr>
        <w:pStyle w:val="934"/>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_Toc14682 </w:instrText>
      </w:r>
      <w:r>
        <w:rPr>
          <w:rFonts w:hint="eastAsia" w:ascii="宋体" w:hAnsi="宋体" w:eastAsia="宋体" w:cs="宋体"/>
          <w:color w:val="auto"/>
          <w:highlight w:val="none"/>
        </w:rPr>
        <w:fldChar w:fldCharType="separate"/>
      </w:r>
      <w:r>
        <w:rPr>
          <w:rFonts w:hint="eastAsia" w:ascii="宋体" w:hAnsi="宋体" w:eastAsia="宋体" w:cs="宋体"/>
          <w:bCs/>
          <w:color w:val="auto"/>
          <w:szCs w:val="21"/>
          <w:highlight w:val="none"/>
          <w:lang w:val="zh-CN"/>
        </w:rPr>
        <w:t xml:space="preserve">六、质疑和投诉</w:t>
      </w:r>
      <w:r>
        <w:rPr>
          <w:color w:val="auto"/>
        </w:rPr>
        <w:tab/>
      </w:r>
      <w:r>
        <w:rPr>
          <w:color w:val="auto"/>
        </w:rPr>
        <w:fldChar w:fldCharType="begin"/>
      </w:r>
      <w:r>
        <w:rPr>
          <w:color w:val="auto"/>
        </w:rPr>
        <w:instrText xml:space="preserve"> PAGEREF _Toc14682 \h </w:instrText>
      </w:r>
      <w:r>
        <w:rPr>
          <w:color w:val="auto"/>
        </w:rPr>
        <w:fldChar w:fldCharType="separate"/>
      </w:r>
      <w:r>
        <w:rPr>
          <w:color w:val="auto"/>
        </w:rPr>
        <w:t xml:space="preserve">- 14 -</w:t>
      </w:r>
      <w:r>
        <w:rPr>
          <w:color w:val="auto"/>
        </w:rPr>
        <w:fldChar w:fldCharType="end"/>
      </w:r>
      <w:r>
        <w:rPr>
          <w:rFonts w:hint="eastAsia" w:ascii="宋体" w:hAnsi="宋体" w:eastAsia="宋体" w:cs="宋体"/>
          <w:color w:val="auto"/>
          <w:highlight w:val="none"/>
        </w:rPr>
        <w:fldChar w:fldCharType="end"/>
      </w:r>
      <w:r>
        <w:rPr>
          <w:color w:val="auto"/>
        </w:rPr>
      </w:r>
    </w:p>
    <w:p>
      <w:pPr>
        <w:pStyle w:val="931"/>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_Toc27469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lang w:val="zh-CN"/>
        </w:rPr>
        <w:t xml:space="preserve">第三章</w:t>
      </w:r>
      <w:r>
        <w:rPr>
          <w:rFonts w:hint="eastAsia" w:ascii="宋体" w:hAnsi="宋体" w:eastAsia="宋体" w:cs="宋体"/>
          <w:color w:val="auto"/>
          <w:szCs w:val="36"/>
          <w:highlight w:val="none"/>
        </w:rPr>
        <w:t xml:space="preserve"> </w:t>
      </w:r>
      <w:r>
        <w:rPr>
          <w:rFonts w:hint="eastAsia" w:ascii="宋体" w:hAnsi="宋体" w:eastAsia="宋体" w:cs="宋体"/>
          <w:color w:val="auto"/>
          <w:szCs w:val="36"/>
          <w:highlight w:val="none"/>
          <w:lang w:val="zh-CN"/>
        </w:rPr>
        <w:t xml:space="preserve"> 磋商项目需求</w:t>
      </w:r>
      <w:r>
        <w:rPr>
          <w:color w:val="auto"/>
        </w:rPr>
        <w:tab/>
      </w:r>
      <w:r>
        <w:rPr>
          <w:color w:val="auto"/>
        </w:rPr>
        <w:fldChar w:fldCharType="begin"/>
      </w:r>
      <w:r>
        <w:rPr>
          <w:color w:val="auto"/>
        </w:rPr>
        <w:instrText xml:space="preserve"> PAGEREF _Toc27469 \h </w:instrText>
      </w:r>
      <w:r>
        <w:rPr>
          <w:color w:val="auto"/>
        </w:rPr>
        <w:fldChar w:fldCharType="separate"/>
      </w:r>
      <w:r>
        <w:rPr>
          <w:color w:val="auto"/>
        </w:rPr>
        <w:t xml:space="preserve">- 15 -</w:t>
      </w:r>
      <w:r>
        <w:rPr>
          <w:color w:val="auto"/>
        </w:rPr>
        <w:fldChar w:fldCharType="end"/>
      </w:r>
      <w:r>
        <w:rPr>
          <w:rFonts w:hint="eastAsia" w:ascii="宋体" w:hAnsi="宋体" w:eastAsia="宋体" w:cs="宋体"/>
          <w:color w:val="auto"/>
          <w:highlight w:val="none"/>
        </w:rPr>
        <w:fldChar w:fldCharType="end"/>
      </w:r>
      <w:r>
        <w:rPr>
          <w:color w:val="auto"/>
        </w:rPr>
      </w:r>
    </w:p>
    <w:p>
      <w:pPr>
        <w:pStyle w:val="934"/>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_Toc22403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lang w:val="zh-CN"/>
        </w:rPr>
        <w:t xml:space="preserve">一、项目概况</w:t>
      </w:r>
      <w:r>
        <w:rPr>
          <w:color w:val="auto"/>
        </w:rPr>
        <w:tab/>
      </w:r>
      <w:r>
        <w:rPr>
          <w:color w:val="auto"/>
        </w:rPr>
        <w:fldChar w:fldCharType="begin"/>
      </w:r>
      <w:r>
        <w:rPr>
          <w:color w:val="auto"/>
        </w:rPr>
        <w:instrText xml:space="preserve"> PAGEREF _Toc22403 \h </w:instrText>
      </w:r>
      <w:r>
        <w:rPr>
          <w:color w:val="auto"/>
        </w:rPr>
        <w:fldChar w:fldCharType="separate"/>
      </w:r>
      <w:r>
        <w:rPr>
          <w:color w:val="auto"/>
        </w:rPr>
        <w:t xml:space="preserve">- 15 -</w:t>
      </w:r>
      <w:r>
        <w:rPr>
          <w:color w:val="auto"/>
        </w:rPr>
        <w:fldChar w:fldCharType="end"/>
      </w:r>
      <w:r>
        <w:rPr>
          <w:rFonts w:hint="eastAsia" w:ascii="宋体" w:hAnsi="宋体" w:eastAsia="宋体" w:cs="宋体"/>
          <w:color w:val="auto"/>
          <w:highlight w:val="none"/>
        </w:rPr>
        <w:fldChar w:fldCharType="end"/>
      </w:r>
      <w:r>
        <w:rPr>
          <w:color w:val="auto"/>
        </w:rPr>
      </w:r>
    </w:p>
    <w:p>
      <w:pPr>
        <w:pStyle w:val="931"/>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_Toc13603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6"/>
          <w:highlight w:val="none"/>
          <w:lang w:val="zh-CN"/>
        </w:rPr>
        <w:t xml:space="preserve">第四章</w:t>
      </w:r>
      <w:r>
        <w:rPr>
          <w:rFonts w:hint="eastAsia" w:ascii="宋体" w:hAnsi="宋体" w:eastAsia="宋体" w:cs="宋体"/>
          <w:color w:val="auto"/>
          <w:szCs w:val="36"/>
          <w:highlight w:val="none"/>
        </w:rPr>
        <w:t xml:space="preserve"> </w:t>
      </w:r>
      <w:r>
        <w:rPr>
          <w:rFonts w:hint="eastAsia" w:ascii="宋体" w:hAnsi="宋体" w:eastAsia="宋体" w:cs="宋体"/>
          <w:color w:val="auto"/>
          <w:szCs w:val="36"/>
          <w:highlight w:val="none"/>
          <w:lang w:val="zh-CN"/>
        </w:rPr>
        <w:t xml:space="preserve"> 评分标准</w:t>
      </w:r>
      <w:r>
        <w:rPr>
          <w:color w:val="auto"/>
        </w:rPr>
        <w:tab/>
      </w:r>
      <w:r>
        <w:rPr>
          <w:color w:val="auto"/>
        </w:rPr>
        <w:fldChar w:fldCharType="begin"/>
      </w:r>
      <w:r>
        <w:rPr>
          <w:color w:val="auto"/>
        </w:rPr>
        <w:instrText xml:space="preserve"> PAGEREF _Toc13603 \h </w:instrText>
      </w:r>
      <w:r>
        <w:rPr>
          <w:color w:val="auto"/>
        </w:rPr>
        <w:fldChar w:fldCharType="separate"/>
      </w:r>
      <w:r>
        <w:rPr>
          <w:color w:val="auto"/>
        </w:rPr>
        <w:t xml:space="preserve">- 20 -</w:t>
      </w:r>
      <w:r>
        <w:rPr>
          <w:color w:val="auto"/>
        </w:rPr>
        <w:fldChar w:fldCharType="end"/>
      </w:r>
      <w:r>
        <w:rPr>
          <w:rFonts w:hint="eastAsia" w:ascii="宋体" w:hAnsi="宋体" w:eastAsia="宋体" w:cs="宋体"/>
          <w:color w:val="auto"/>
          <w:highlight w:val="none"/>
        </w:rPr>
        <w:fldChar w:fldCharType="end"/>
      </w:r>
      <w:r>
        <w:rPr>
          <w:color w:val="auto"/>
        </w:rPr>
      </w:r>
    </w:p>
    <w:p>
      <w:pPr>
        <w:pStyle w:val="931"/>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_Toc31789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0"/>
          <w:highlight w:val="none"/>
        </w:rPr>
        <w:t xml:space="preserve">第六章  竞争性磋商文件格式及附件</w:t>
      </w:r>
      <w:r>
        <w:rPr>
          <w:color w:val="auto"/>
        </w:rPr>
        <w:tab/>
      </w:r>
      <w:r>
        <w:rPr>
          <w:color w:val="auto"/>
        </w:rPr>
        <w:fldChar w:fldCharType="begin"/>
      </w:r>
      <w:r>
        <w:rPr>
          <w:color w:val="auto"/>
        </w:rPr>
        <w:instrText xml:space="preserve"> PAGEREF _Toc31789 \h </w:instrText>
      </w:r>
      <w:r>
        <w:rPr>
          <w:color w:val="auto"/>
        </w:rPr>
        <w:fldChar w:fldCharType="separate"/>
      </w:r>
      <w:r>
        <w:rPr>
          <w:color w:val="auto"/>
        </w:rPr>
        <w:t xml:space="preserve">- 31 -</w:t>
      </w:r>
      <w:r>
        <w:rPr>
          <w:color w:val="auto"/>
        </w:rPr>
        <w:fldChar w:fldCharType="end"/>
      </w:r>
      <w:r>
        <w:rPr>
          <w:rFonts w:hint="eastAsia" w:ascii="宋体" w:hAnsi="宋体" w:eastAsia="宋体" w:cs="宋体"/>
          <w:color w:val="auto"/>
          <w:highlight w:val="none"/>
        </w:rPr>
        <w:fldChar w:fldCharType="end"/>
      </w:r>
      <w:r>
        <w:rPr>
          <w:color w:val="auto"/>
        </w:rPr>
      </w:r>
    </w:p>
    <w:p>
      <w:pPr>
        <w:pStyle w:val="918"/>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_Toc29504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 xml:space="preserve">一、磋商申请及声明</w:t>
      </w:r>
      <w:r>
        <w:rPr>
          <w:color w:val="auto"/>
        </w:rPr>
        <w:tab/>
      </w:r>
      <w:r>
        <w:rPr>
          <w:color w:val="auto"/>
        </w:rPr>
        <w:fldChar w:fldCharType="begin"/>
      </w:r>
      <w:r>
        <w:rPr>
          <w:color w:val="auto"/>
        </w:rPr>
        <w:instrText xml:space="preserve"> PAGEREF _Toc29504 \h </w:instrText>
      </w:r>
      <w:r>
        <w:rPr>
          <w:color w:val="auto"/>
        </w:rPr>
        <w:fldChar w:fldCharType="separate"/>
      </w:r>
      <w:r>
        <w:rPr>
          <w:color w:val="auto"/>
        </w:rPr>
        <w:t xml:space="preserve">- 32 -</w:t>
      </w:r>
      <w:r>
        <w:rPr>
          <w:color w:val="auto"/>
        </w:rPr>
        <w:fldChar w:fldCharType="end"/>
      </w:r>
      <w:r>
        <w:rPr>
          <w:rFonts w:hint="eastAsia" w:ascii="宋体" w:hAnsi="宋体" w:eastAsia="宋体" w:cs="宋体"/>
          <w:color w:val="auto"/>
          <w:highlight w:val="none"/>
        </w:rPr>
        <w:fldChar w:fldCharType="end"/>
      </w:r>
      <w:r>
        <w:rPr>
          <w:color w:val="auto"/>
        </w:rPr>
      </w:r>
    </w:p>
    <w:p>
      <w:pPr>
        <w:pStyle w:val="918"/>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_Toc9634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 xml:space="preserve">二、法定代表人授权委托书</w:t>
      </w:r>
      <w:r>
        <w:rPr>
          <w:color w:val="auto"/>
        </w:rPr>
        <w:tab/>
      </w:r>
      <w:r>
        <w:rPr>
          <w:color w:val="auto"/>
        </w:rPr>
        <w:fldChar w:fldCharType="begin"/>
      </w:r>
      <w:r>
        <w:rPr>
          <w:color w:val="auto"/>
        </w:rPr>
        <w:instrText xml:space="preserve"> PAGEREF _Toc9634 \h </w:instrText>
      </w:r>
      <w:r>
        <w:rPr>
          <w:color w:val="auto"/>
        </w:rPr>
        <w:fldChar w:fldCharType="separate"/>
      </w:r>
      <w:r>
        <w:rPr>
          <w:color w:val="auto"/>
        </w:rPr>
        <w:t xml:space="preserve">- 33 -</w:t>
      </w:r>
      <w:r>
        <w:rPr>
          <w:color w:val="auto"/>
        </w:rPr>
        <w:fldChar w:fldCharType="end"/>
      </w:r>
      <w:r>
        <w:rPr>
          <w:rFonts w:hint="eastAsia" w:ascii="宋体" w:hAnsi="宋体" w:eastAsia="宋体" w:cs="宋体"/>
          <w:color w:val="auto"/>
          <w:highlight w:val="none"/>
        </w:rPr>
        <w:fldChar w:fldCharType="end"/>
      </w:r>
      <w:r>
        <w:rPr>
          <w:color w:val="auto"/>
        </w:rPr>
      </w:r>
    </w:p>
    <w:p>
      <w:pPr>
        <w:pStyle w:val="918"/>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_Toc4890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、磋商报价汇总表</w:t>
      </w:r>
      <w:r>
        <w:rPr>
          <w:color w:val="auto"/>
        </w:rPr>
        <w:tab/>
      </w:r>
      <w:r>
        <w:rPr>
          <w:color w:val="auto"/>
        </w:rPr>
        <w:fldChar w:fldCharType="begin"/>
      </w:r>
      <w:r>
        <w:rPr>
          <w:color w:val="auto"/>
        </w:rPr>
        <w:instrText xml:space="preserve"> PAGEREF _Toc4890 \h </w:instrText>
      </w:r>
      <w:r>
        <w:rPr>
          <w:color w:val="auto"/>
        </w:rPr>
        <w:fldChar w:fldCharType="separate"/>
      </w:r>
      <w:r>
        <w:rPr>
          <w:color w:val="auto"/>
        </w:rPr>
        <w:t xml:space="preserve">- 35 -</w:t>
      </w:r>
      <w:r>
        <w:rPr>
          <w:color w:val="auto"/>
        </w:rPr>
        <w:fldChar w:fldCharType="end"/>
      </w:r>
      <w:r>
        <w:rPr>
          <w:rFonts w:hint="eastAsia" w:ascii="宋体" w:hAnsi="宋体" w:eastAsia="宋体" w:cs="宋体"/>
          <w:color w:val="auto"/>
          <w:highlight w:val="none"/>
        </w:rPr>
        <w:fldChar w:fldCharType="end"/>
      </w:r>
      <w:r>
        <w:rPr>
          <w:color w:val="auto"/>
        </w:rPr>
      </w:r>
    </w:p>
    <w:p>
      <w:pPr>
        <w:pStyle w:val="918"/>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_Toc6799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en-US" w:eastAsia="zh-CN"/>
        </w:rPr>
        <w:t xml:space="preserve">四</w:t>
      </w:r>
      <w:r>
        <w:rPr>
          <w:rFonts w:hint="eastAsia" w:ascii="宋体" w:hAnsi="宋体" w:eastAsia="宋体" w:cs="宋体"/>
          <w:color w:val="auto"/>
          <w:szCs w:val="21"/>
          <w:highlight w:val="none"/>
        </w:rPr>
        <w:t xml:space="preserve">、磋商分项报价表</w:t>
      </w:r>
      <w:r>
        <w:rPr>
          <w:color w:val="auto"/>
        </w:rPr>
        <w:tab/>
      </w:r>
      <w:r>
        <w:rPr>
          <w:color w:val="auto"/>
        </w:rPr>
        <w:fldChar w:fldCharType="begin"/>
      </w:r>
      <w:r>
        <w:rPr>
          <w:color w:val="auto"/>
        </w:rPr>
        <w:instrText xml:space="preserve"> PAGEREF _Toc6799 \h </w:instrText>
      </w:r>
      <w:r>
        <w:rPr>
          <w:color w:val="auto"/>
        </w:rPr>
        <w:fldChar w:fldCharType="separate"/>
      </w:r>
      <w:r>
        <w:rPr>
          <w:color w:val="auto"/>
        </w:rPr>
        <w:t xml:space="preserve">- 36 -</w:t>
      </w:r>
      <w:r>
        <w:rPr>
          <w:color w:val="auto"/>
        </w:rPr>
        <w:fldChar w:fldCharType="end"/>
      </w:r>
      <w:r>
        <w:rPr>
          <w:rFonts w:hint="eastAsia" w:ascii="宋体" w:hAnsi="宋体" w:eastAsia="宋体" w:cs="宋体"/>
          <w:color w:val="auto"/>
          <w:highlight w:val="none"/>
        </w:rPr>
        <w:fldChar w:fldCharType="end"/>
      </w:r>
      <w:r>
        <w:rPr>
          <w:color w:val="auto"/>
        </w:rPr>
      </w:r>
    </w:p>
    <w:p>
      <w:pPr>
        <w:pStyle w:val="934"/>
        <w:ind w:left="840" w:firstLine="0"/>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_Toc15241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eastAsia="zh-CN"/>
        </w:rPr>
        <w:t xml:space="preserve">五</w:t>
      </w:r>
      <w:r>
        <w:rPr>
          <w:rFonts w:hint="eastAsia" w:ascii="宋体" w:hAnsi="宋体" w:eastAsia="宋体" w:cs="宋体"/>
          <w:color w:val="auto"/>
          <w:szCs w:val="21"/>
          <w:highlight w:val="none"/>
        </w:rPr>
        <w:t xml:space="preserve">、服务人员一览表</w:t>
      </w:r>
      <w:r>
        <w:rPr>
          <w:color w:val="auto"/>
        </w:rPr>
        <w:tab/>
      </w:r>
      <w:r>
        <w:rPr>
          <w:color w:val="auto"/>
        </w:rPr>
        <w:fldChar w:fldCharType="begin"/>
      </w:r>
      <w:r>
        <w:rPr>
          <w:color w:val="auto"/>
        </w:rPr>
        <w:instrText xml:space="preserve"> PAGEREF _Toc15241 \h </w:instrText>
      </w:r>
      <w:r>
        <w:rPr>
          <w:color w:val="auto"/>
        </w:rPr>
        <w:fldChar w:fldCharType="separate"/>
      </w:r>
      <w:r>
        <w:rPr>
          <w:color w:val="auto"/>
        </w:rPr>
        <w:t xml:space="preserve">- 39 -</w:t>
      </w:r>
      <w:r>
        <w:rPr>
          <w:color w:val="auto"/>
        </w:rPr>
        <w:fldChar w:fldCharType="end"/>
      </w:r>
      <w:r>
        <w:rPr>
          <w:rFonts w:hint="eastAsia" w:ascii="宋体" w:hAnsi="宋体" w:eastAsia="宋体" w:cs="宋体"/>
          <w:color w:val="auto"/>
          <w:highlight w:val="none"/>
        </w:rPr>
        <w:fldChar w:fldCharType="end"/>
      </w:r>
      <w:r>
        <w:rPr>
          <w:color w:val="auto"/>
        </w:rPr>
      </w:r>
    </w:p>
    <w:p>
      <w:pPr>
        <w:pStyle w:val="934"/>
        <w:ind w:left="840" w:firstLine="0"/>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_Toc32192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lang w:eastAsia="zh-CN"/>
        </w:rPr>
        <w:t xml:space="preserve">六</w:t>
      </w:r>
      <w:r>
        <w:rPr>
          <w:rFonts w:hint="eastAsia" w:ascii="宋体" w:hAnsi="宋体" w:eastAsia="宋体" w:cs="宋体"/>
          <w:color w:val="auto"/>
          <w:szCs w:val="21"/>
          <w:highlight w:val="none"/>
          <w:lang w:eastAsia="zh-CN"/>
        </w:rPr>
        <w:t xml:space="preserve">、技术及服务条款响应及偏离表</w:t>
      </w:r>
      <w:r>
        <w:rPr>
          <w:color w:val="auto"/>
        </w:rPr>
        <w:tab/>
      </w:r>
      <w:r>
        <w:rPr>
          <w:color w:val="auto"/>
        </w:rPr>
        <w:fldChar w:fldCharType="begin"/>
      </w:r>
      <w:r>
        <w:rPr>
          <w:color w:val="auto"/>
        </w:rPr>
        <w:instrText xml:space="preserve"> PAGEREF _Toc32192 \h </w:instrText>
      </w:r>
      <w:r>
        <w:rPr>
          <w:color w:val="auto"/>
        </w:rPr>
        <w:fldChar w:fldCharType="separate"/>
      </w:r>
      <w:r>
        <w:rPr>
          <w:color w:val="auto"/>
        </w:rPr>
        <w:t xml:space="preserve">- 40 -</w:t>
      </w:r>
      <w:r>
        <w:rPr>
          <w:color w:val="auto"/>
        </w:rPr>
        <w:fldChar w:fldCharType="end"/>
      </w:r>
      <w:r>
        <w:rPr>
          <w:rFonts w:hint="eastAsia" w:ascii="宋体" w:hAnsi="宋体" w:eastAsia="宋体" w:cs="宋体"/>
          <w:color w:val="auto"/>
          <w:highlight w:val="none"/>
        </w:rPr>
        <w:fldChar w:fldCharType="end"/>
      </w:r>
      <w:r>
        <w:rPr>
          <w:color w:val="auto"/>
        </w:rPr>
      </w:r>
    </w:p>
    <w:p>
      <w:pPr>
        <w:pStyle w:val="934"/>
        <w:ind w:left="840" w:firstLine="0"/>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_Toc9756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zh-CN" w:eastAsia="zh-CN"/>
        </w:rPr>
        <w:t xml:space="preserve">七、商务条款</w:t>
      </w:r>
      <w:r>
        <w:rPr>
          <w:rFonts w:hint="eastAsia" w:ascii="宋体" w:hAnsi="宋体" w:eastAsia="宋体" w:cs="宋体"/>
          <w:color w:val="auto"/>
          <w:szCs w:val="21"/>
          <w:highlight w:val="none"/>
          <w:lang w:eastAsia="zh-CN"/>
        </w:rPr>
        <w:t xml:space="preserve">响应及</w:t>
      </w:r>
      <w:r>
        <w:rPr>
          <w:rFonts w:hint="eastAsia" w:ascii="宋体" w:hAnsi="宋体" w:eastAsia="宋体" w:cs="宋体"/>
          <w:color w:val="auto"/>
          <w:szCs w:val="21"/>
          <w:highlight w:val="none"/>
          <w:lang w:val="zh-CN" w:eastAsia="zh-CN"/>
        </w:rPr>
        <w:t xml:space="preserve">偏离表</w:t>
      </w:r>
      <w:r>
        <w:rPr>
          <w:color w:val="auto"/>
        </w:rPr>
        <w:tab/>
      </w:r>
      <w:r>
        <w:rPr>
          <w:color w:val="auto"/>
        </w:rPr>
        <w:fldChar w:fldCharType="begin"/>
      </w:r>
      <w:r>
        <w:rPr>
          <w:color w:val="auto"/>
        </w:rPr>
        <w:instrText xml:space="preserve"> PAGEREF _Toc9756 \h </w:instrText>
      </w:r>
      <w:r>
        <w:rPr>
          <w:color w:val="auto"/>
        </w:rPr>
        <w:fldChar w:fldCharType="separate"/>
      </w:r>
      <w:r>
        <w:rPr>
          <w:color w:val="auto"/>
        </w:rPr>
        <w:t xml:space="preserve">- 41 -</w:t>
      </w:r>
      <w:r>
        <w:rPr>
          <w:color w:val="auto"/>
        </w:rPr>
        <w:fldChar w:fldCharType="end"/>
      </w:r>
      <w:r>
        <w:rPr>
          <w:rFonts w:hint="eastAsia" w:ascii="宋体" w:hAnsi="宋体" w:eastAsia="宋体" w:cs="宋体"/>
          <w:color w:val="auto"/>
          <w:highlight w:val="none"/>
        </w:rPr>
        <w:fldChar w:fldCharType="end"/>
      </w:r>
      <w:r>
        <w:rPr>
          <w:color w:val="auto"/>
        </w:rPr>
      </w:r>
    </w:p>
    <w:p>
      <w:pPr>
        <w:pStyle w:val="918"/>
        <w:ind w:left="840" w:firstLine="0"/>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_Toc13274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lang w:val="en-US" w:eastAsia="zh-CN"/>
        </w:rPr>
        <w:t xml:space="preserve">八、</w:t>
      </w:r>
      <w:r>
        <w:rPr>
          <w:rFonts w:hint="eastAsia" w:ascii="宋体" w:hAnsi="宋体" w:eastAsia="宋体" w:cs="宋体"/>
          <w:bCs/>
          <w:color w:val="auto"/>
          <w:highlight w:val="none"/>
        </w:rPr>
        <w:t xml:space="preserve">南京市政府采购供应商信用记录表暨信用承诺书</w:t>
      </w:r>
      <w:r>
        <w:rPr>
          <w:color w:val="auto"/>
        </w:rPr>
        <w:tab/>
      </w:r>
      <w:r>
        <w:rPr>
          <w:color w:val="auto"/>
        </w:rPr>
        <w:fldChar w:fldCharType="begin"/>
      </w:r>
      <w:r>
        <w:rPr>
          <w:color w:val="auto"/>
        </w:rPr>
        <w:instrText xml:space="preserve"> PAGEREF _Toc13274 \h </w:instrText>
      </w:r>
      <w:r>
        <w:rPr>
          <w:color w:val="auto"/>
        </w:rPr>
        <w:fldChar w:fldCharType="separate"/>
      </w:r>
      <w:r>
        <w:rPr>
          <w:color w:val="auto"/>
        </w:rPr>
        <w:t xml:space="preserve">- 42 -</w:t>
      </w:r>
      <w:r>
        <w:rPr>
          <w:color w:val="auto"/>
        </w:rPr>
        <w:fldChar w:fldCharType="end"/>
      </w:r>
      <w:r>
        <w:rPr>
          <w:rFonts w:hint="eastAsia" w:ascii="宋体" w:hAnsi="宋体" w:eastAsia="宋体" w:cs="宋体"/>
          <w:color w:val="auto"/>
          <w:highlight w:val="none"/>
        </w:rPr>
        <w:fldChar w:fldCharType="end"/>
      </w:r>
      <w:r>
        <w:rPr>
          <w:color w:val="auto"/>
        </w:rPr>
      </w:r>
    </w:p>
    <w:p>
      <w:pPr>
        <w:pStyle w:val="934"/>
        <w:ind w:left="840" w:firstLine="0"/>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_Toc4047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lang w:val="en-US" w:eastAsia="zh-CN"/>
        </w:rPr>
        <w:t xml:space="preserve">九</w:t>
      </w:r>
      <w:r>
        <w:rPr>
          <w:rFonts w:hint="eastAsia" w:ascii="宋体" w:hAnsi="宋体" w:eastAsia="宋体" w:cs="宋体"/>
          <w:color w:val="auto"/>
          <w:szCs w:val="21"/>
          <w:highlight w:val="none"/>
          <w:lang w:val="zh-CN" w:eastAsia="zh-CN"/>
        </w:rPr>
        <w:t xml:space="preserve">、项目需求响应方案</w:t>
      </w:r>
      <w:r>
        <w:rPr>
          <w:color w:val="auto"/>
        </w:rPr>
        <w:tab/>
      </w:r>
      <w:r>
        <w:rPr>
          <w:color w:val="auto"/>
        </w:rPr>
        <w:fldChar w:fldCharType="begin"/>
      </w:r>
      <w:r>
        <w:rPr>
          <w:color w:val="auto"/>
        </w:rPr>
        <w:instrText xml:space="preserve"> PAGEREF _Toc4047 \h </w:instrText>
      </w:r>
      <w:r>
        <w:rPr>
          <w:color w:val="auto"/>
        </w:rPr>
        <w:fldChar w:fldCharType="separate"/>
      </w:r>
      <w:r>
        <w:rPr>
          <w:color w:val="auto"/>
        </w:rPr>
        <w:t xml:space="preserve">- 43 -</w:t>
      </w:r>
      <w:r>
        <w:rPr>
          <w:color w:val="auto"/>
        </w:rPr>
        <w:fldChar w:fldCharType="end"/>
      </w:r>
      <w:r>
        <w:rPr>
          <w:rFonts w:hint="eastAsia" w:ascii="宋体" w:hAnsi="宋体" w:eastAsia="宋体" w:cs="宋体"/>
          <w:color w:val="auto"/>
          <w:highlight w:val="none"/>
        </w:rPr>
        <w:fldChar w:fldCharType="end"/>
      </w:r>
      <w:r>
        <w:rPr>
          <w:color w:val="auto"/>
        </w:rPr>
      </w:r>
    </w:p>
    <w:p>
      <w:pPr>
        <w:pStyle w:val="934"/>
        <w:ind w:left="840" w:firstLine="0"/>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_Toc8482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en-US" w:eastAsia="zh-CN"/>
        </w:rPr>
        <w:t xml:space="preserve">十、供应商认为需提供或采购文件要求的其他证明材料</w:t>
      </w:r>
      <w:r>
        <w:rPr>
          <w:color w:val="auto"/>
        </w:rPr>
        <w:tab/>
      </w:r>
      <w:r>
        <w:rPr>
          <w:color w:val="auto"/>
        </w:rPr>
        <w:fldChar w:fldCharType="begin"/>
      </w:r>
      <w:r>
        <w:rPr>
          <w:color w:val="auto"/>
        </w:rPr>
        <w:instrText xml:space="preserve"> PAGEREF _Toc8482 \h </w:instrText>
      </w:r>
      <w:r>
        <w:rPr>
          <w:color w:val="auto"/>
        </w:rPr>
        <w:fldChar w:fldCharType="separate"/>
      </w:r>
      <w:r>
        <w:rPr>
          <w:color w:val="auto"/>
        </w:rPr>
        <w:t xml:space="preserve">- 43 -</w:t>
      </w:r>
      <w:r>
        <w:rPr>
          <w:color w:val="auto"/>
        </w:rPr>
        <w:fldChar w:fldCharType="end"/>
      </w:r>
      <w:r>
        <w:rPr>
          <w:rFonts w:hint="eastAsia" w:ascii="宋体" w:hAnsi="宋体" w:eastAsia="宋体" w:cs="宋体"/>
          <w:color w:val="auto"/>
          <w:highlight w:val="none"/>
        </w:rPr>
        <w:fldChar w:fldCharType="end"/>
      </w:r>
      <w:r>
        <w:rPr>
          <w:color w:val="auto"/>
        </w:rPr>
      </w:r>
    </w:p>
    <w:p>
      <w:pPr>
        <w:pStyle w:val="934"/>
        <w:ind w:left="840" w:firstLine="0"/>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_Toc6464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 xml:space="preserve">附件</w:t>
      </w:r>
      <w:r>
        <w:rPr>
          <w:rFonts w:hint="eastAsia" w:ascii="宋体" w:hAnsi="宋体" w:eastAsia="宋体" w:cs="宋体"/>
          <w:bCs/>
          <w:color w:val="auto"/>
          <w:highlight w:val="none"/>
          <w:lang w:val="en-US" w:eastAsia="zh-CN"/>
        </w:rPr>
        <w:t xml:space="preserve">一</w:t>
      </w:r>
      <w:r>
        <w:rPr>
          <w:rFonts w:hint="eastAsia" w:ascii="宋体" w:hAnsi="宋体" w:eastAsia="宋体" w:cs="宋体"/>
          <w:bCs/>
          <w:color w:val="auto"/>
          <w:highlight w:val="none"/>
        </w:rPr>
        <w:t xml:space="preserve">、中小企业声明函</w:t>
      </w:r>
      <w:r>
        <w:rPr>
          <w:color w:val="auto"/>
        </w:rPr>
        <w:tab/>
      </w:r>
      <w:r>
        <w:rPr>
          <w:color w:val="auto"/>
        </w:rPr>
        <w:fldChar w:fldCharType="begin"/>
      </w:r>
      <w:r>
        <w:rPr>
          <w:color w:val="auto"/>
        </w:rPr>
        <w:instrText xml:space="preserve"> PAGEREF _Toc6464 \h </w:instrText>
      </w:r>
      <w:r>
        <w:rPr>
          <w:color w:val="auto"/>
        </w:rPr>
        <w:fldChar w:fldCharType="separate"/>
      </w:r>
      <w:r>
        <w:rPr>
          <w:color w:val="auto"/>
        </w:rPr>
        <w:t xml:space="preserve">- 44 -</w:t>
      </w:r>
      <w:r>
        <w:rPr>
          <w:color w:val="auto"/>
        </w:rPr>
        <w:fldChar w:fldCharType="end"/>
      </w:r>
      <w:r>
        <w:rPr>
          <w:rFonts w:hint="eastAsia" w:ascii="宋体" w:hAnsi="宋体" w:eastAsia="宋体" w:cs="宋体"/>
          <w:color w:val="auto"/>
          <w:highlight w:val="none"/>
        </w:rPr>
        <w:fldChar w:fldCharType="end"/>
      </w:r>
      <w:r>
        <w:rPr>
          <w:color w:val="auto"/>
        </w:rPr>
      </w:r>
    </w:p>
    <w:p>
      <w:pPr>
        <w:pStyle w:val="934"/>
        <w:ind w:left="840" w:firstLine="0"/>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_Toc6546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 xml:space="preserve">附件</w:t>
      </w:r>
      <w:r>
        <w:rPr>
          <w:rFonts w:hint="eastAsia" w:ascii="宋体" w:hAnsi="宋体" w:eastAsia="宋体" w:cs="宋体"/>
          <w:bCs/>
          <w:color w:val="auto"/>
          <w:highlight w:val="none"/>
          <w:lang w:val="en-US" w:eastAsia="zh-CN"/>
        </w:rPr>
        <w:t xml:space="preserve">二</w:t>
      </w:r>
      <w:r>
        <w:rPr>
          <w:rFonts w:hint="eastAsia" w:ascii="宋体" w:hAnsi="宋体" w:eastAsia="宋体" w:cs="宋体"/>
          <w:bCs/>
          <w:color w:val="auto"/>
          <w:highlight w:val="none"/>
        </w:rPr>
        <w:t xml:space="preserve">、残疾人福利性单位声明函（如有）</w:t>
      </w:r>
      <w:r>
        <w:rPr>
          <w:color w:val="auto"/>
        </w:rPr>
        <w:tab/>
      </w:r>
      <w:r>
        <w:rPr>
          <w:color w:val="auto"/>
        </w:rPr>
        <w:fldChar w:fldCharType="begin"/>
      </w:r>
      <w:r>
        <w:rPr>
          <w:color w:val="auto"/>
        </w:rPr>
        <w:instrText xml:space="preserve"> PAGEREF _Toc6546 \h </w:instrText>
      </w:r>
      <w:r>
        <w:rPr>
          <w:color w:val="auto"/>
        </w:rPr>
        <w:fldChar w:fldCharType="separate"/>
      </w:r>
      <w:r>
        <w:rPr>
          <w:color w:val="auto"/>
        </w:rPr>
        <w:t xml:space="preserve">- 45 -</w:t>
      </w:r>
      <w:r>
        <w:rPr>
          <w:color w:val="auto"/>
        </w:rPr>
        <w:fldChar w:fldCharType="end"/>
      </w:r>
      <w:r>
        <w:rPr>
          <w:rFonts w:hint="eastAsia" w:ascii="宋体" w:hAnsi="宋体" w:eastAsia="宋体" w:cs="宋体"/>
          <w:color w:val="auto"/>
          <w:highlight w:val="none"/>
        </w:rPr>
        <w:fldChar w:fldCharType="end"/>
      </w:r>
      <w:r>
        <w:rPr>
          <w:color w:val="auto"/>
        </w:rPr>
      </w:r>
    </w:p>
    <w:p>
      <w:pPr>
        <w:pStyle w:val="934"/>
        <w:ind w:left="840" w:firstLine="0"/>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_Toc22471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lang w:val="zh-CN"/>
        </w:rPr>
        <w:t xml:space="preserve">附件</w:t>
      </w:r>
      <w:r>
        <w:rPr>
          <w:rFonts w:hint="eastAsia" w:ascii="宋体" w:hAnsi="宋体" w:eastAsia="宋体" w:cs="宋体"/>
          <w:bCs/>
          <w:color w:val="auto"/>
          <w:highlight w:val="none"/>
          <w:lang w:val="en-US" w:eastAsia="zh-CN"/>
        </w:rPr>
        <w:t xml:space="preserve">三</w:t>
      </w:r>
      <w:r>
        <w:rPr>
          <w:rFonts w:hint="eastAsia" w:ascii="宋体" w:hAnsi="宋体" w:eastAsia="宋体" w:cs="宋体"/>
          <w:bCs/>
          <w:color w:val="auto"/>
          <w:highlight w:val="none"/>
          <w:lang w:val="zh-CN"/>
        </w:rPr>
        <w:t xml:space="preserve">：具备履行合同所必需的设备和专业技术能力的书面声明</w:t>
      </w:r>
      <w:r>
        <w:rPr>
          <w:color w:val="auto"/>
        </w:rPr>
        <w:tab/>
      </w:r>
      <w:r>
        <w:rPr>
          <w:color w:val="auto"/>
        </w:rPr>
        <w:fldChar w:fldCharType="begin"/>
      </w:r>
      <w:r>
        <w:rPr>
          <w:color w:val="auto"/>
        </w:rPr>
        <w:instrText xml:space="preserve"> PAGEREF _Toc22471 \h </w:instrText>
      </w:r>
      <w:r>
        <w:rPr>
          <w:color w:val="auto"/>
        </w:rPr>
        <w:fldChar w:fldCharType="separate"/>
      </w:r>
      <w:r>
        <w:rPr>
          <w:color w:val="auto"/>
        </w:rPr>
        <w:t xml:space="preserve">- 46 -</w:t>
      </w:r>
      <w:r>
        <w:rPr>
          <w:color w:val="auto"/>
        </w:rPr>
        <w:fldChar w:fldCharType="end"/>
      </w:r>
      <w:r>
        <w:rPr>
          <w:rFonts w:hint="eastAsia" w:ascii="宋体" w:hAnsi="宋体" w:eastAsia="宋体" w:cs="宋体"/>
          <w:color w:val="auto"/>
          <w:highlight w:val="none"/>
        </w:rPr>
        <w:fldChar w:fldCharType="end"/>
      </w:r>
      <w:r>
        <w:rPr>
          <w:color w:val="auto"/>
        </w:rPr>
      </w:r>
    </w:p>
    <w:p>
      <w:pPr>
        <w:pStyle w:val="934"/>
        <w:ind w:left="840" w:firstLine="0"/>
        <w:tabs>
          <w:tab w:val="right" w:pos="9660" w:leader="dot"/>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_Toc13336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附件</w:t>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：无重大违法记录声明格式</w:t>
      </w:r>
      <w:r>
        <w:rPr>
          <w:color w:val="auto"/>
        </w:rPr>
        <w:tab/>
      </w:r>
      <w:r>
        <w:rPr>
          <w:color w:val="auto"/>
        </w:rPr>
        <w:fldChar w:fldCharType="begin"/>
      </w:r>
      <w:r>
        <w:rPr>
          <w:color w:val="auto"/>
        </w:rPr>
        <w:instrText xml:space="preserve"> PAGEREF _Toc13336 \h </w:instrText>
      </w:r>
      <w:r>
        <w:rPr>
          <w:color w:val="auto"/>
        </w:rPr>
        <w:fldChar w:fldCharType="separate"/>
      </w:r>
      <w:r>
        <w:rPr>
          <w:color w:val="auto"/>
        </w:rPr>
        <w:t xml:space="preserve">- 46 -</w:t>
      </w:r>
      <w:r>
        <w:rPr>
          <w:color w:val="auto"/>
        </w:rPr>
        <w:fldChar w:fldCharType="end"/>
      </w:r>
      <w:r>
        <w:rPr>
          <w:rFonts w:hint="eastAsia" w:ascii="宋体" w:hAnsi="宋体" w:eastAsia="宋体" w:cs="宋体"/>
          <w:color w:val="auto"/>
          <w:highlight w:val="none"/>
        </w:rPr>
        <w:fldChar w:fldCharType="end"/>
      </w:r>
      <w:r>
        <w:rPr>
          <w:color w:val="auto"/>
        </w:rPr>
      </w:r>
    </w:p>
    <w:p>
      <w:pPr>
        <w:pStyle w:val="931"/>
        <w:spacing w:line="360" w:lineRule="exact"/>
        <w:tabs>
          <w:tab w:val="right" w:pos="9345"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rPr>
          <w:rFonts w:hint="eastAsia" w:ascii="宋体" w:hAnsi="宋体" w:eastAsia="宋体" w:cs="宋体"/>
          <w:color w:val="auto"/>
          <w:highlight w:val="none"/>
        </w:rPr>
      </w:r>
      <w:r>
        <w:rPr>
          <w:color w:val="auto"/>
        </w:rP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jc w:val="center"/>
        <w:spacing w:before="156" w:after="156" w:line="460" w:lineRule="exact"/>
        <w:rPr>
          <w:rFonts w:hint="eastAsia" w:ascii="宋体" w:hAnsi="宋体" w:eastAsia="宋体" w:cs="宋体"/>
          <w:color w:val="auto"/>
          <w:sz w:val="30"/>
          <w:szCs w:val="30"/>
          <w:highlight w:val="none"/>
        </w:rPr>
        <w:outlineLvl w:val="0"/>
      </w:pPr>
      <w:r>
        <w:rPr>
          <w:color w:val="auto"/>
        </w:rPr>
      </w:r>
      <w:bookmarkStart w:id="0" w:name="_Toc10991"/>
      <w:r>
        <w:rPr>
          <w:color w:val="auto"/>
        </w:rPr>
      </w:r>
      <w:bookmarkStart w:id="1" w:name="_Toc8779"/>
      <w:r>
        <w:rPr>
          <w:color w:val="auto"/>
        </w:rPr>
      </w:r>
      <w:bookmarkStart w:id="2" w:name="_Toc4802"/>
      <w:r>
        <w:rPr>
          <w:color w:val="auto"/>
        </w:rPr>
      </w:r>
      <w:bookmarkStart w:id="3" w:name="_Toc15570"/>
      <w:r>
        <w:rPr>
          <w:color w:val="auto"/>
        </w:rPr>
      </w:r>
      <w:bookmarkStart w:id="4" w:name="_Toc504141735"/>
      <w:r>
        <w:rPr>
          <w:color w:val="auto"/>
        </w:rPr>
      </w:r>
      <w:bookmarkStart w:id="5" w:name="_Toc22331"/>
      <w:r>
        <w:rPr>
          <w:rFonts w:hint="eastAsia" w:ascii="宋体" w:hAnsi="宋体" w:eastAsia="宋体" w:cs="宋体"/>
          <w:color w:val="auto"/>
          <w:sz w:val="30"/>
          <w:szCs w:val="30"/>
          <w:highlight w:val="none"/>
        </w:rPr>
        <w:br w:type="page" w:clear="all"/>
      </w:r>
      <w:bookmarkStart w:id="6" w:name="_Toc3368"/>
      <w:r>
        <w:rPr>
          <w:color w:val="auto"/>
        </w:rPr>
      </w:r>
      <w:bookmarkStart w:id="7" w:name="_Toc23883"/>
      <w:r>
        <w:rPr>
          <w:color w:val="auto"/>
        </w:rPr>
      </w:r>
      <w:bookmarkStart w:id="8" w:name="_Toc5569"/>
      <w:r>
        <w:rPr>
          <w:color w:val="auto"/>
        </w:rPr>
      </w:r>
      <w:bookmarkStart w:id="9" w:name="_Toc4125"/>
      <w:r>
        <w:rPr>
          <w:color w:val="auto"/>
        </w:rPr>
      </w:r>
      <w:bookmarkStart w:id="10" w:name="_Toc16200"/>
      <w:r>
        <w:rPr>
          <w:color w:val="auto"/>
        </w:rPr>
      </w:r>
      <w:bookmarkStart w:id="11" w:name="_Toc22049"/>
      <w:r>
        <w:rPr>
          <w:color w:val="auto"/>
        </w:rPr>
      </w:r>
      <w:bookmarkStart w:id="12" w:name="_Toc31020"/>
      <w:r>
        <w:rPr>
          <w:color w:val="auto"/>
        </w:rPr>
      </w:r>
      <w:bookmarkStart w:id="13" w:name="_Toc26656"/>
      <w:r>
        <w:rPr>
          <w:color w:val="auto"/>
        </w:rPr>
      </w:r>
      <w:bookmarkStart w:id="14" w:name="_Toc23751"/>
      <w:r>
        <w:rPr>
          <w:color w:val="auto"/>
        </w:rPr>
      </w:r>
      <w:bookmarkStart w:id="15" w:name="_Toc16008"/>
      <w:r>
        <w:rPr>
          <w:color w:val="auto"/>
        </w:rPr>
      </w:r>
      <w:bookmarkStart w:id="16" w:name="_Toc3680"/>
      <w:r>
        <w:rPr>
          <w:color w:val="auto"/>
        </w:rPr>
      </w:r>
      <w:bookmarkStart w:id="17" w:name="_Toc1527"/>
      <w:r>
        <w:rPr>
          <w:color w:val="auto"/>
        </w:rPr>
      </w:r>
      <w:bookmarkStart w:id="18" w:name="_Toc31399"/>
      <w:r>
        <w:rPr>
          <w:color w:val="auto"/>
        </w:rPr>
      </w:r>
      <w:bookmarkStart w:id="19" w:name="_Toc28329"/>
      <w:r>
        <w:rPr>
          <w:color w:val="auto"/>
        </w:rPr>
      </w:r>
      <w:bookmarkStart w:id="20" w:name="_Toc18459"/>
      <w:r>
        <w:rPr>
          <w:color w:val="auto"/>
        </w:rPr>
      </w:r>
      <w:bookmarkStart w:id="21" w:name="_Toc15270"/>
      <w:r>
        <w:rPr>
          <w:color w:val="auto"/>
        </w:rPr>
      </w:r>
      <w:bookmarkStart w:id="22" w:name="_Toc29004"/>
      <w:r>
        <w:rPr>
          <w:color w:val="auto"/>
        </w:rPr>
      </w:r>
      <w:bookmarkStart w:id="23" w:name="_Toc16445"/>
      <w:r>
        <w:rPr>
          <w:color w:val="auto"/>
        </w:rPr>
      </w:r>
      <w:bookmarkStart w:id="24" w:name="_Toc20233"/>
      <w:r>
        <w:rPr>
          <w:color w:val="auto"/>
        </w:rPr>
      </w:r>
      <w:bookmarkStart w:id="25" w:name="_Toc29206"/>
      <w:r>
        <w:rPr>
          <w:color w:val="auto"/>
        </w:rPr>
      </w:r>
      <w:bookmarkStart w:id="26" w:name="_Toc8751"/>
      <w:r>
        <w:rPr>
          <w:color w:val="auto"/>
        </w:rPr>
      </w:r>
      <w:bookmarkStart w:id="27" w:name="_Toc14101"/>
      <w:r>
        <w:rPr>
          <w:color w:val="auto"/>
        </w:rPr>
      </w:r>
      <w:bookmarkStart w:id="28" w:name="_Toc887"/>
      <w:r>
        <w:rPr>
          <w:rFonts w:hint="eastAsia" w:ascii="宋体" w:hAnsi="宋体" w:eastAsia="宋体" w:cs="宋体"/>
          <w:color w:val="auto"/>
          <w:sz w:val="30"/>
          <w:szCs w:val="30"/>
          <w:highlight w:val="none"/>
        </w:rPr>
        <w:t xml:space="preserve">第一章  竞争性磋商邀请</w:t>
      </w:r>
      <w:bookmarkEnd w:id="0"/>
      <w:r>
        <w:rPr>
          <w:color w:val="auto"/>
        </w:rPr>
      </w:r>
      <w:bookmarkEnd w:id="1"/>
      <w:r>
        <w:rPr>
          <w:color w:val="auto"/>
        </w:rPr>
      </w:r>
      <w:bookmarkEnd w:id="2"/>
      <w:r>
        <w:rPr>
          <w:color w:val="auto"/>
        </w:rPr>
      </w:r>
      <w:bookmarkEnd w:id="3"/>
      <w:r>
        <w:rPr>
          <w:color w:val="auto"/>
        </w:rPr>
      </w:r>
      <w:bookmarkEnd w:id="4"/>
      <w:r>
        <w:rPr>
          <w:color w:val="auto"/>
        </w:rPr>
      </w:r>
      <w:bookmarkEnd w:id="5"/>
      <w:r>
        <w:rPr>
          <w:color w:val="auto"/>
        </w:rPr>
      </w:r>
      <w:bookmarkEnd w:id="6"/>
      <w:r>
        <w:rPr>
          <w:color w:val="auto"/>
        </w:rPr>
      </w:r>
      <w:bookmarkEnd w:id="7"/>
      <w:r>
        <w:rPr>
          <w:color w:val="auto"/>
        </w:rPr>
      </w:r>
      <w:bookmarkEnd w:id="8"/>
      <w:r>
        <w:rPr>
          <w:color w:val="auto"/>
        </w:rPr>
      </w:r>
      <w:bookmarkEnd w:id="9"/>
      <w:r>
        <w:rPr>
          <w:color w:val="auto"/>
        </w:rPr>
      </w:r>
      <w:bookmarkEnd w:id="10"/>
      <w:r>
        <w:rPr>
          <w:color w:val="auto"/>
        </w:rPr>
      </w:r>
      <w:bookmarkEnd w:id="11"/>
      <w:r>
        <w:rPr>
          <w:color w:val="auto"/>
        </w:rPr>
      </w:r>
      <w:bookmarkEnd w:id="12"/>
      <w:r>
        <w:rPr>
          <w:color w:val="auto"/>
        </w:rPr>
      </w:r>
      <w:bookmarkEnd w:id="13"/>
      <w:r>
        <w:rPr>
          <w:color w:val="auto"/>
        </w:rPr>
      </w:r>
      <w:bookmarkEnd w:id="14"/>
      <w:r>
        <w:rPr>
          <w:color w:val="auto"/>
        </w:rPr>
      </w:r>
      <w:bookmarkEnd w:id="15"/>
      <w:r>
        <w:rPr>
          <w:color w:val="auto"/>
        </w:rPr>
      </w:r>
      <w:bookmarkEnd w:id="16"/>
      <w:r>
        <w:rPr>
          <w:color w:val="auto"/>
        </w:rPr>
      </w:r>
      <w:bookmarkEnd w:id="17"/>
      <w:r>
        <w:rPr>
          <w:color w:val="auto"/>
        </w:rPr>
      </w:r>
      <w:bookmarkEnd w:id="18"/>
      <w:r>
        <w:rPr>
          <w:color w:val="auto"/>
        </w:rPr>
      </w:r>
      <w:bookmarkEnd w:id="19"/>
      <w:r>
        <w:rPr>
          <w:color w:val="auto"/>
        </w:rPr>
      </w:r>
      <w:bookmarkEnd w:id="20"/>
      <w:r>
        <w:rPr>
          <w:color w:val="auto"/>
        </w:rPr>
      </w:r>
      <w:bookmarkEnd w:id="21"/>
      <w:r>
        <w:rPr>
          <w:color w:val="auto"/>
        </w:rPr>
      </w:r>
      <w:bookmarkEnd w:id="22"/>
      <w:r>
        <w:rPr>
          <w:color w:val="auto"/>
        </w:rPr>
      </w:r>
      <w:bookmarkEnd w:id="23"/>
      <w:r>
        <w:rPr>
          <w:color w:val="auto"/>
        </w:rPr>
      </w:r>
      <w:bookmarkEnd w:id="24"/>
      <w:r>
        <w:rPr>
          <w:color w:val="auto"/>
        </w:rPr>
      </w:r>
      <w:bookmarkEnd w:id="25"/>
      <w:r>
        <w:rPr>
          <w:color w:val="auto"/>
        </w:rPr>
      </w:r>
      <w:bookmarkEnd w:id="26"/>
      <w:r>
        <w:rPr>
          <w:color w:val="auto"/>
        </w:rPr>
      </w:r>
      <w:bookmarkEnd w:id="27"/>
      <w:r>
        <w:rPr>
          <w:color w:val="auto"/>
        </w:rPr>
      </w:r>
      <w:bookmarkEnd w:id="28"/>
      <w:r>
        <w:rPr>
          <w:rFonts w:hint="eastAsia" w:ascii="宋体" w:hAnsi="宋体" w:eastAsia="宋体" w:cs="宋体"/>
          <w:color w:val="auto"/>
          <w:sz w:val="30"/>
          <w:szCs w:val="30"/>
          <w:highlight w:val="none"/>
        </w:rPr>
      </w:r>
      <w:r>
        <w:rPr>
          <w:color w:val="auto"/>
        </w:rPr>
      </w:r>
    </w:p>
    <w:p>
      <w:pPr>
        <w:pStyle w:val="899"/>
        <w:jc w:val="center"/>
        <w:spacing w:line="360" w:lineRule="auto"/>
        <w:rPr>
          <w:rFonts w:hint="eastAsia" w:ascii="宋体" w:hAnsi="宋体" w:eastAsia="宋体" w:cs="宋体"/>
          <w:b/>
          <w:color w:val="auto"/>
          <w:sz w:val="28"/>
          <w:szCs w:val="28"/>
          <w:highlight w:val="none"/>
        </w:rPr>
      </w:pPr>
      <w:r>
        <w:rPr>
          <w:color w:val="auto"/>
        </w:rPr>
      </w:r>
      <w:bookmarkStart w:id="29" w:name="_Toc21983"/>
      <w:r>
        <w:rPr>
          <w:color w:val="auto"/>
        </w:rPr>
      </w:r>
      <w:bookmarkStart w:id="30" w:name="_Toc2701"/>
      <w:r>
        <w:rPr>
          <w:color w:val="auto"/>
        </w:rPr>
      </w:r>
      <w:bookmarkStart w:id="31" w:name="_Toc4582"/>
      <w:r>
        <w:rPr>
          <w:rFonts w:hint="eastAsia" w:ascii="宋体" w:hAnsi="宋体" w:eastAsia="宋体" w:cs="宋体"/>
          <w:b/>
          <w:color w:val="auto"/>
          <w:sz w:val="28"/>
          <w:szCs w:val="28"/>
          <w:highlight w:val="none"/>
          <w:lang w:eastAsia="zh-CN"/>
        </w:rPr>
        <w:t xml:space="preserve">东山街道大马涵</w:t>
      </w:r>
      <w:r>
        <w:rPr>
          <w:rFonts w:hint="eastAsia" w:ascii="宋体" w:hAnsi="宋体" w:eastAsia="宋体" w:cs="宋体"/>
          <w:b/>
          <w:color w:val="auto"/>
          <w:sz w:val="28"/>
          <w:szCs w:val="28"/>
          <w:highlight w:val="none"/>
          <w:lang w:val="en-US" w:eastAsia="zh-CN"/>
        </w:rPr>
        <w:t xml:space="preserve">泵站</w:t>
      </w:r>
      <w:r>
        <w:rPr>
          <w:rFonts w:hint="eastAsia" w:ascii="宋体" w:hAnsi="宋体" w:eastAsia="宋体" w:cs="宋体"/>
          <w:b/>
          <w:color w:val="auto"/>
          <w:sz w:val="28"/>
          <w:szCs w:val="28"/>
          <w:highlight w:val="none"/>
          <w:lang w:eastAsia="zh-CN"/>
        </w:rPr>
        <w:t xml:space="preserve">等</w:t>
      </w: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lang w:eastAsia="zh-CN"/>
        </w:rPr>
        <w:t xml:space="preserve">座</w:t>
      </w:r>
      <w:r>
        <w:rPr>
          <w:rFonts w:hint="eastAsia" w:ascii="宋体" w:hAnsi="宋体" w:eastAsia="宋体" w:cs="宋体"/>
          <w:b/>
          <w:color w:val="auto"/>
          <w:sz w:val="28"/>
          <w:szCs w:val="28"/>
          <w:highlight w:val="none"/>
          <w:lang w:val="en-US" w:eastAsia="zh-CN"/>
        </w:rPr>
        <w:t xml:space="preserve">雨水</w:t>
      </w:r>
      <w:r>
        <w:rPr>
          <w:rFonts w:hint="eastAsia" w:ascii="宋体" w:hAnsi="宋体" w:eastAsia="宋体" w:cs="宋体"/>
          <w:b/>
          <w:color w:val="auto"/>
          <w:sz w:val="28"/>
          <w:szCs w:val="28"/>
          <w:highlight w:val="none"/>
          <w:lang w:eastAsia="zh-CN"/>
        </w:rPr>
        <w:t xml:space="preserve">泵站维保</w:t>
      </w:r>
      <w:r>
        <w:rPr>
          <w:rFonts w:hint="eastAsia" w:ascii="宋体" w:hAnsi="宋体" w:eastAsia="宋体" w:cs="宋体"/>
          <w:b/>
          <w:color w:val="auto"/>
          <w:sz w:val="28"/>
          <w:szCs w:val="28"/>
          <w:highlight w:val="none"/>
        </w:rPr>
        <w:t xml:space="preserve">竞争性磋商采购公告</w:t>
      </w:r>
      <w:bookmarkEnd w:id="29"/>
      <w:r>
        <w:rPr>
          <w:color w:val="auto"/>
        </w:rPr>
      </w:r>
      <w:bookmarkEnd w:id="30"/>
      <w:r>
        <w:rPr>
          <w:color w:val="auto"/>
        </w:rPr>
      </w:r>
      <w:bookmarkEnd w:id="31"/>
      <w:r>
        <w:rPr>
          <w:rFonts w:hint="eastAsia" w:ascii="宋体" w:hAnsi="宋体" w:eastAsia="宋体" w:cs="宋体"/>
          <w:b/>
          <w:color w:val="auto"/>
          <w:sz w:val="28"/>
          <w:szCs w:val="28"/>
          <w:highlight w:val="none"/>
        </w:rPr>
      </w:r>
      <w:r>
        <w:rPr>
          <w:color w:val="auto"/>
        </w:rPr>
      </w:r>
    </w:p>
    <w:p>
      <w:pPr>
        <w:pStyle w:val="899"/>
        <w:jc w:val="center"/>
        <w:spacing w:line="280" w:lineRule="atLeast"/>
        <w:widowControl/>
        <w:rPr>
          <w:rFonts w:hint="eastAsia" w:ascii="宋体" w:hAnsi="宋体" w:eastAsia="宋体" w:cs="宋体"/>
          <w:b/>
          <w:bCs/>
          <w:color w:val="auto"/>
          <w:sz w:val="26"/>
          <w:szCs w:val="26"/>
          <w:highlight w:val="none"/>
        </w:rPr>
      </w:pPr>
      <w:r>
        <w:rPr>
          <w:rFonts w:hint="eastAsia" w:ascii="宋体" w:hAnsi="宋体" w:eastAsia="宋体" w:cs="宋体"/>
          <w:b/>
          <w:bCs/>
          <w:color w:val="auto"/>
          <w:sz w:val="26"/>
          <w:szCs w:val="26"/>
          <w:highlight w:val="none"/>
        </w:rPr>
        <w:t xml:space="preserve">编号：</w:t>
      </w:r>
      <w:r>
        <w:rPr>
          <w:rFonts w:hint="eastAsia" w:ascii="宋体" w:hAnsi="宋体" w:eastAsia="宋体" w:cs="宋体"/>
          <w:b/>
          <w:bCs/>
          <w:color w:val="auto"/>
          <w:sz w:val="26"/>
          <w:szCs w:val="26"/>
          <w:highlight w:val="none"/>
        </w:rPr>
        <w:t xml:space="preserve">JSZC-320115-HHJS-C2026-0001</w:t>
      </w:r>
      <w:r>
        <w:rPr>
          <w:rFonts w:hint="eastAsia" w:ascii="宋体" w:hAnsi="宋体" w:eastAsia="宋体" w:cs="宋体"/>
          <w:b/>
          <w:bCs/>
          <w:color w:val="auto"/>
          <w:sz w:val="26"/>
          <w:szCs w:val="26"/>
          <w:highlight w:val="none"/>
          <w:lang w:eastAsia="zh-CN"/>
        </w:rPr>
      </w:r>
      <w:r>
        <w:rPr>
          <w:color w:val="auto"/>
        </w:rPr>
      </w:r>
    </w:p>
    <w:p>
      <w:pPr>
        <w:pStyle w:val="899"/>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项目概况：</w:t>
      </w:r>
      <w:r>
        <w:rPr>
          <w:rFonts w:hint="eastAsia" w:ascii="宋体" w:hAnsi="宋体" w:eastAsia="宋体" w:cs="宋体"/>
          <w:b/>
          <w:bCs/>
          <w:color w:val="auto"/>
          <w:sz w:val="24"/>
          <w:szCs w:val="24"/>
          <w:highlight w:val="none"/>
        </w:rPr>
      </w:r>
      <w:r>
        <w:rPr>
          <w:color w:val="auto"/>
        </w:rPr>
      </w:r>
    </w:p>
    <w:p>
      <w:pPr>
        <w:pStyle w:val="899"/>
        <w:ind w:firstLine="420"/>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东山街道大马涵</w:t>
      </w:r>
      <w:r>
        <w:rPr>
          <w:rFonts w:hint="eastAsia" w:ascii="宋体" w:hAnsi="宋体" w:eastAsia="宋体" w:cs="宋体"/>
          <w:color w:val="auto"/>
          <w:sz w:val="21"/>
          <w:szCs w:val="21"/>
          <w:highlight w:val="none"/>
          <w:lang w:val="en-US" w:eastAsia="zh-CN"/>
        </w:rPr>
        <w:t xml:space="preserve">泵站</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eastAsia="zh-CN"/>
        </w:rPr>
        <w:t xml:space="preserve">座</w:t>
      </w:r>
      <w:r>
        <w:rPr>
          <w:rFonts w:hint="eastAsia" w:ascii="宋体" w:hAnsi="宋体" w:eastAsia="宋体" w:cs="宋体"/>
          <w:color w:val="auto"/>
          <w:sz w:val="21"/>
          <w:szCs w:val="21"/>
          <w:highlight w:val="none"/>
          <w:lang w:val="en-US" w:eastAsia="zh-CN"/>
        </w:rPr>
        <w:t xml:space="preserve">雨水</w:t>
      </w:r>
      <w:r>
        <w:rPr>
          <w:rFonts w:hint="eastAsia" w:ascii="宋体" w:hAnsi="宋体" w:eastAsia="宋体" w:cs="宋体"/>
          <w:color w:val="auto"/>
          <w:sz w:val="21"/>
          <w:szCs w:val="21"/>
          <w:highlight w:val="none"/>
          <w:lang w:eastAsia="zh-CN"/>
        </w:rPr>
        <w:t xml:space="preserve">泵站维保</w:t>
      </w:r>
      <w:r>
        <w:rPr>
          <w:rFonts w:hint="eastAsia" w:ascii="宋体" w:hAnsi="宋体" w:eastAsia="宋体" w:cs="宋体"/>
          <w:color w:val="auto"/>
          <w:sz w:val="21"/>
          <w:szCs w:val="21"/>
          <w:highlight w:val="none"/>
        </w:rPr>
        <w:t xml:space="preserve">采购项目的潜在供应商应在</w:t>
      </w:r>
      <w:r>
        <w:rPr>
          <w:rFonts w:hint="eastAsia" w:ascii="宋体" w:hAnsi="宋体" w:eastAsia="宋体" w:cs="宋体"/>
          <w:color w:val="auto"/>
          <w:szCs w:val="21"/>
          <w:highlight w:val="none"/>
          <w:lang w:val="en-US" w:eastAsia="zh-CN"/>
        </w:rPr>
        <w:t xml:space="preserve">南京市江宁区通联路9号联东U谷二期17栋102-3楼</w:t>
      </w:r>
      <w:r>
        <w:rPr>
          <w:rFonts w:hint="eastAsia" w:ascii="宋体" w:hAnsi="宋体" w:eastAsia="宋体" w:cs="宋体"/>
          <w:color w:val="auto"/>
          <w:szCs w:val="21"/>
          <w:highlight w:val="none"/>
        </w:rPr>
        <w:t xml:space="preserve">获取采购文件，并于</w:t>
      </w:r>
      <w:r>
        <w:rPr>
          <w:rFonts w:hint="eastAsia" w:ascii="宋体" w:hAnsi="宋体" w:eastAsia="宋体" w:cs="宋体"/>
          <w:color w:val="auto"/>
          <w:szCs w:val="21"/>
          <w:highlight w:val="none"/>
          <w:lang w:val="en-US" w:eastAsia="zh-CN"/>
        </w:rPr>
        <w:t xml:space="preserve">2026</w:t>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月</w:t>
      </w:r>
      <w:r>
        <w:rPr>
          <w:rFonts w:hint="eastAsia" w:ascii="宋体" w:hAnsi="宋体" w:eastAsia="宋体" w:cs="宋体"/>
          <w:color w:val="auto"/>
          <w:szCs w:val="21"/>
          <w:highlight w:val="none"/>
          <w:lang w:val="en-US" w:eastAsia="zh-CN"/>
        </w:rPr>
        <w:t xml:space="preserve">5 </w:t>
      </w:r>
      <w:r>
        <w:rPr>
          <w:rFonts w:hint="eastAsia" w:ascii="宋体" w:hAnsi="宋体" w:eastAsia="宋体" w:cs="宋体"/>
          <w:color w:val="auto"/>
          <w:szCs w:val="21"/>
          <w:highlight w:val="none"/>
          <w:lang w:eastAsia="zh-CN"/>
        </w:rPr>
        <w:t xml:space="preserve">日</w:t>
      </w:r>
      <w:r>
        <w:rPr>
          <w:rFonts w:hint="eastAsia" w:ascii="宋体" w:hAnsi="宋体" w:eastAsia="宋体" w:cs="宋体"/>
          <w:color w:val="auto"/>
          <w:szCs w:val="21"/>
          <w:highlight w:val="none"/>
          <w:lang w:val="en-US" w:eastAsia="zh-CN"/>
        </w:rPr>
        <w:t xml:space="preserve"> 14 </w:t>
      </w:r>
      <w:r>
        <w:rPr>
          <w:rFonts w:hint="eastAsia" w:ascii="宋体" w:hAnsi="宋体" w:eastAsia="宋体" w:cs="宋体"/>
          <w:color w:val="auto"/>
          <w:szCs w:val="21"/>
          <w:highlight w:val="none"/>
          <w:lang w:eastAsia="zh-CN"/>
        </w:rPr>
        <w:t xml:space="preserve">点</w:t>
      </w:r>
      <w:r>
        <w:rPr>
          <w:rFonts w:hint="eastAsia" w:ascii="宋体" w:hAnsi="宋体" w:eastAsia="宋体" w:cs="宋体"/>
          <w:color w:val="auto"/>
          <w:szCs w:val="21"/>
          <w:highlight w:val="none"/>
          <w:lang w:val="en-US" w:eastAsia="zh-CN"/>
        </w:rPr>
        <w:t xml:space="preserve"> 30 </w:t>
      </w:r>
      <w:r>
        <w:rPr>
          <w:rFonts w:hint="eastAsia" w:ascii="宋体" w:hAnsi="宋体" w:eastAsia="宋体" w:cs="宋体"/>
          <w:color w:val="auto"/>
          <w:szCs w:val="21"/>
          <w:highlight w:val="none"/>
          <w:lang w:eastAsia="zh-CN"/>
        </w:rPr>
        <w:t xml:space="preserve">分</w:t>
      </w:r>
      <w:r>
        <w:rPr>
          <w:rFonts w:hint="eastAsia" w:ascii="宋体" w:hAnsi="宋体" w:eastAsia="宋体" w:cs="宋体"/>
          <w:color w:val="auto"/>
          <w:szCs w:val="21"/>
          <w:highlight w:val="none"/>
        </w:rPr>
        <w:t xml:space="preserve">（北京时间）前提交响应文件。</w:t>
      </w:r>
      <w:r>
        <w:rPr>
          <w:rFonts w:hint="eastAsia" w:ascii="宋体" w:hAnsi="宋体" w:eastAsia="宋体" w:cs="宋体"/>
          <w:color w:val="auto"/>
          <w:sz w:val="21"/>
          <w:szCs w:val="21"/>
          <w:highlight w:val="none"/>
        </w:rPr>
      </w:r>
      <w:r>
        <w:rPr>
          <w:color w:val="auto"/>
        </w:rPr>
      </w:r>
    </w:p>
    <w:p>
      <w:pPr>
        <w:pStyle w:val="899"/>
        <w:numPr>
          <w:ilvl w:val="0"/>
          <w:numId w:val="0"/>
        </w:numPr>
        <w:keepLines/>
        <w:keepNext/>
        <w:pageBreakBefore w:val="0"/>
        <w:spacing w:before="0" w:after="0" w:line="240" w:lineRule="auto"/>
        <w:widowControl w:val="off"/>
        <w:rPr>
          <w:rFonts w:hint="eastAsia" w:ascii="宋体" w:hAnsi="宋体" w:eastAsia="宋体" w:cs="宋体"/>
          <w:b/>
          <w:bCs w:val="0"/>
          <w:color w:val="auto"/>
          <w:sz w:val="24"/>
          <w:szCs w:val="24"/>
          <w:highlight w:val="none"/>
        </w:rPr>
        <w:outlineLvl w:val="9"/>
      </w:pPr>
      <w:r>
        <w:rPr>
          <w:color w:val="auto"/>
        </w:rPr>
      </w:r>
      <w:bookmarkStart w:id="32" w:name="_Toc35393798"/>
      <w:r>
        <w:rPr>
          <w:color w:val="auto"/>
        </w:rPr>
      </w:r>
      <w:bookmarkStart w:id="33" w:name="_Toc28359012"/>
      <w:r>
        <w:rPr>
          <w:color w:val="auto"/>
        </w:rPr>
      </w:r>
      <w:bookmarkStart w:id="34" w:name="_Toc35393629"/>
      <w:r>
        <w:rPr>
          <w:color w:val="auto"/>
        </w:rPr>
      </w:r>
      <w:bookmarkStart w:id="35" w:name="_Toc28359089"/>
      <w:r>
        <w:rPr>
          <w:rFonts w:hint="eastAsia" w:ascii="宋体" w:hAnsi="宋体" w:eastAsia="宋体" w:cs="宋体"/>
          <w:b/>
          <w:bCs w:val="0"/>
          <w:color w:val="auto"/>
          <w:sz w:val="24"/>
          <w:szCs w:val="24"/>
          <w:highlight w:val="none"/>
        </w:rPr>
        <w:t xml:space="preserve">一、项目基本情况</w:t>
      </w:r>
      <w:bookmarkEnd w:id="32"/>
      <w:r>
        <w:rPr>
          <w:color w:val="auto"/>
        </w:rPr>
      </w:r>
      <w:bookmarkEnd w:id="33"/>
      <w:r>
        <w:rPr>
          <w:color w:val="auto"/>
        </w:rPr>
      </w:r>
      <w:bookmarkEnd w:id="34"/>
      <w:r>
        <w:rPr>
          <w:color w:val="auto"/>
        </w:rPr>
      </w:r>
      <w:bookmarkEnd w:id="35"/>
      <w:r>
        <w:rPr>
          <w:rFonts w:hint="eastAsia" w:ascii="宋体" w:hAnsi="宋体" w:eastAsia="宋体" w:cs="宋体"/>
          <w:b/>
          <w:bCs w:val="0"/>
          <w:color w:val="auto"/>
          <w:sz w:val="24"/>
          <w:szCs w:val="24"/>
          <w:highlight w:val="none"/>
        </w:rPr>
      </w:r>
      <w:r>
        <w:rPr>
          <w:color w:val="auto"/>
        </w:rPr>
      </w:r>
    </w:p>
    <w:p>
      <w:pPr>
        <w:pStyle w:val="899"/>
        <w:ind w:firstLine="420"/>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JSZC-320115-HHJS-C2026-0001</w:t>
      </w:r>
      <w:r>
        <w:rPr>
          <w:rFonts w:hint="eastAsia" w:ascii="宋体" w:hAnsi="宋体" w:eastAsia="宋体" w:cs="宋体"/>
          <w:color w:val="auto"/>
          <w:sz w:val="21"/>
          <w:szCs w:val="21"/>
          <w:highlight w:val="none"/>
          <w:lang w:eastAsia="zh-CN"/>
        </w:rPr>
      </w:r>
      <w:r>
        <w:rPr>
          <w:color w:val="auto"/>
        </w:rPr>
      </w:r>
    </w:p>
    <w:p>
      <w:pPr>
        <w:pStyle w:val="899"/>
        <w:ind w:firstLine="420"/>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东山街道大马涵</w:t>
      </w:r>
      <w:r>
        <w:rPr>
          <w:rFonts w:hint="eastAsia" w:ascii="宋体" w:hAnsi="宋体" w:eastAsia="宋体" w:cs="宋体"/>
          <w:color w:val="auto"/>
          <w:sz w:val="21"/>
          <w:szCs w:val="21"/>
          <w:highlight w:val="none"/>
          <w:lang w:val="en-US" w:eastAsia="zh-CN"/>
        </w:rPr>
        <w:t xml:space="preserve">泵站</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eastAsia="zh-CN"/>
        </w:rPr>
        <w:t xml:space="preserve">座</w:t>
      </w:r>
      <w:r>
        <w:rPr>
          <w:rFonts w:hint="eastAsia" w:ascii="宋体" w:hAnsi="宋体" w:eastAsia="宋体" w:cs="宋体"/>
          <w:color w:val="auto"/>
          <w:sz w:val="21"/>
          <w:szCs w:val="21"/>
          <w:highlight w:val="none"/>
          <w:lang w:val="en-US" w:eastAsia="zh-CN"/>
        </w:rPr>
        <w:t xml:space="preserve">雨水</w:t>
      </w:r>
      <w:r>
        <w:rPr>
          <w:rFonts w:hint="eastAsia" w:ascii="宋体" w:hAnsi="宋体" w:eastAsia="宋体" w:cs="宋体"/>
          <w:color w:val="auto"/>
          <w:sz w:val="21"/>
          <w:szCs w:val="21"/>
          <w:highlight w:val="none"/>
          <w:lang w:eastAsia="zh-CN"/>
        </w:rPr>
        <w:t xml:space="preserve">泵站维保</w:t>
      </w:r>
      <w:r>
        <w:rPr>
          <w:rFonts w:hint="eastAsia" w:ascii="宋体" w:hAnsi="宋体" w:eastAsia="宋体" w:cs="宋体"/>
          <w:color w:val="auto"/>
          <w:sz w:val="21"/>
          <w:szCs w:val="21"/>
          <w:highlight w:val="none"/>
          <w:lang w:eastAsia="zh-CN"/>
        </w:rPr>
      </w:r>
      <w:r>
        <w:rPr>
          <w:color w:val="auto"/>
        </w:rPr>
      </w:r>
    </w:p>
    <w:p>
      <w:pPr>
        <w:pStyle w:val="899"/>
        <w:ind w:firstLine="420"/>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采购方式：竞争性磋商</w:t>
      </w:r>
      <w:r>
        <w:rPr>
          <w:rFonts w:hint="eastAsia" w:ascii="宋体" w:hAnsi="宋体" w:eastAsia="宋体" w:cs="宋体"/>
          <w:color w:val="auto"/>
          <w:sz w:val="21"/>
          <w:szCs w:val="21"/>
          <w:highlight w:val="none"/>
        </w:rPr>
      </w:r>
      <w:r>
        <w:rPr>
          <w:color w:val="auto"/>
        </w:rPr>
      </w:r>
    </w:p>
    <w:p>
      <w:pPr>
        <w:pStyle w:val="899"/>
        <w:ind w:firstLine="420"/>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预算金额：￥</w:t>
      </w:r>
      <w:r>
        <w:rPr>
          <w:rFonts w:hint="eastAsia" w:ascii="宋体" w:hAnsi="宋体" w:eastAsia="宋体" w:cs="宋体"/>
          <w:b w:val="0"/>
          <w:bCs w:val="0"/>
          <w:color w:val="auto"/>
          <w:szCs w:val="21"/>
          <w:highlight w:val="none"/>
          <w:lang w:val="en-US" w:eastAsia="zh-CN"/>
        </w:rPr>
        <w:t xml:space="preserve"> 72万元/年，总预算144万元。</w:t>
      </w:r>
      <w:r>
        <w:rPr>
          <w:rFonts w:hint="eastAsia" w:ascii="宋体" w:hAnsi="宋体" w:eastAsia="宋体" w:cs="宋体"/>
          <w:b w:val="0"/>
          <w:bCs w:val="0"/>
          <w:color w:val="auto"/>
          <w:sz w:val="21"/>
          <w:szCs w:val="21"/>
          <w:highlight w:val="none"/>
          <w:lang w:val="en-US"/>
        </w:rPr>
      </w:r>
      <w:r>
        <w:rPr>
          <w:color w:val="auto"/>
        </w:rPr>
      </w:r>
    </w:p>
    <w:p>
      <w:pPr>
        <w:pStyle w:val="899"/>
        <w:ind w:firstLine="420"/>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rPr>
        <w:t xml:space="preserve">最高限价：￥</w:t>
      </w:r>
      <w:r>
        <w:rPr>
          <w:rFonts w:hint="eastAsia" w:ascii="宋体" w:hAnsi="宋体" w:eastAsia="宋体" w:cs="宋体"/>
          <w:b w:val="0"/>
          <w:bCs w:val="0"/>
          <w:color w:val="auto"/>
          <w:szCs w:val="21"/>
          <w:highlight w:val="none"/>
          <w:lang w:val="en-US" w:eastAsia="zh-CN"/>
        </w:rPr>
        <w:t xml:space="preserve"> 71.87万元/年（</w:t>
      </w:r>
      <w:r>
        <w:rPr>
          <w:rFonts w:hint="eastAsia" w:ascii="宋体" w:hAnsi="宋体" w:eastAsia="宋体" w:cs="宋体"/>
          <w:color w:val="auto"/>
          <w:sz w:val="21"/>
          <w:szCs w:val="21"/>
          <w:highlight w:val="none"/>
          <w:lang w:val="en-US" w:eastAsia="zh-CN"/>
        </w:rPr>
        <w:t xml:space="preserve">供应商报价高于最高限价的，作无效标处理。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r>
      <w:r>
        <w:rPr>
          <w:color w:val="auto"/>
        </w:rPr>
      </w:r>
    </w:p>
    <w:p>
      <w:pPr>
        <w:pStyle w:val="899"/>
        <w:ind w:firstLine="420"/>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eastAsia="zh-CN"/>
        </w:rPr>
        <w:t xml:space="preserve">东山街道大马涵</w:t>
      </w:r>
      <w:r>
        <w:rPr>
          <w:rFonts w:hint="eastAsia" w:ascii="宋体" w:hAnsi="宋体" w:eastAsia="宋体" w:cs="宋体"/>
          <w:color w:val="auto"/>
          <w:sz w:val="21"/>
          <w:szCs w:val="21"/>
          <w:highlight w:val="none"/>
          <w:lang w:val="en-US" w:eastAsia="zh-CN"/>
        </w:rPr>
        <w:t xml:space="preserve">泵站</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eastAsia="zh-CN"/>
        </w:rPr>
        <w:t xml:space="preserve">座</w:t>
      </w:r>
      <w:r>
        <w:rPr>
          <w:rFonts w:hint="eastAsia" w:ascii="宋体" w:hAnsi="宋体" w:eastAsia="宋体" w:cs="宋体"/>
          <w:color w:val="auto"/>
          <w:sz w:val="21"/>
          <w:szCs w:val="21"/>
          <w:highlight w:val="none"/>
          <w:lang w:val="en-US" w:eastAsia="zh-CN"/>
        </w:rPr>
        <w:t xml:space="preserve">雨水</w:t>
      </w:r>
      <w:r>
        <w:rPr>
          <w:rFonts w:hint="eastAsia" w:ascii="宋体" w:hAnsi="宋体" w:eastAsia="宋体" w:cs="宋体"/>
          <w:color w:val="auto"/>
          <w:sz w:val="21"/>
          <w:szCs w:val="21"/>
          <w:highlight w:val="none"/>
          <w:lang w:eastAsia="zh-CN"/>
        </w:rPr>
        <w:t xml:space="preserve">泵站维保，</w:t>
      </w:r>
      <w:r>
        <w:rPr>
          <w:rFonts w:hint="eastAsia" w:ascii="宋体" w:hAnsi="宋体" w:eastAsia="宋体" w:cs="宋体"/>
          <w:color w:val="auto"/>
          <w:sz w:val="21"/>
          <w:szCs w:val="21"/>
          <w:highlight w:val="none"/>
          <w:lang w:val="en-US" w:eastAsia="zh-CN"/>
        </w:rPr>
        <w:t xml:space="preserve">具体详见第三章磋商项目需求。</w:t>
      </w:r>
      <w:r>
        <w:rPr>
          <w:rFonts w:hint="eastAsia" w:ascii="宋体" w:hAnsi="宋体" w:eastAsia="宋体" w:cs="宋体"/>
          <w:color w:val="auto"/>
          <w:sz w:val="21"/>
          <w:szCs w:val="21"/>
          <w:highlight w:val="none"/>
          <w:lang w:val="en-US" w:eastAsia="zh-CN"/>
        </w:rPr>
      </w:r>
      <w:r>
        <w:rPr>
          <w:color w:val="auto"/>
        </w:rPr>
      </w:r>
    </w:p>
    <w:p>
      <w:pPr>
        <w:pStyle w:val="899"/>
        <w:ind w:firstLine="420"/>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期限：</w:t>
      </w:r>
      <w:r>
        <w:rPr>
          <w:rFonts w:hint="eastAsia" w:ascii="宋体" w:hAnsi="宋体" w:eastAsia="宋体" w:cs="宋体"/>
          <w:color w:val="auto"/>
          <w:sz w:val="21"/>
          <w:szCs w:val="21"/>
          <w:highlight w:val="none"/>
          <w:lang w:val="en-US" w:eastAsia="zh-CN"/>
        </w:rPr>
        <w:t xml:space="preserve">两年</w:t>
      </w:r>
      <w:r>
        <w:rPr>
          <w:rFonts w:hint="eastAsia" w:ascii="宋体" w:hAnsi="宋体" w:eastAsia="宋体" w:cs="宋体"/>
          <w:color w:val="auto"/>
          <w:highlight w:val="none"/>
          <w:lang w:eastAsia="zh-CN"/>
        </w:rPr>
        <w:t xml:space="preserve">（合同一年一签，逐年考核）</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 w:val="21"/>
          <w:szCs w:val="21"/>
          <w:highlight w:val="none"/>
          <w:lang w:val="en-US" w:eastAsia="zh-CN"/>
        </w:rPr>
      </w:r>
      <w:r>
        <w:rPr>
          <w:color w:val="auto"/>
        </w:rPr>
      </w:r>
    </w:p>
    <w:p>
      <w:pPr>
        <w:pStyle w:val="899"/>
        <w:ind w:firstLine="420"/>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本项目是否接受联合体</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w:t>
      </w:r>
      <w:r>
        <w:rPr>
          <w:rFonts w:hint="eastAsia" w:ascii="宋体" w:hAnsi="宋体" w:eastAsia="宋体" w:cs="宋体"/>
          <w:color w:val="auto"/>
          <w:sz w:val="21"/>
          <w:szCs w:val="21"/>
          <w:highlight w:val="none"/>
          <w:lang w:val="en-US" w:eastAsia="zh-CN"/>
        </w:rPr>
      </w:r>
      <w:r>
        <w:rPr>
          <w:color w:val="auto"/>
        </w:rPr>
      </w:r>
    </w:p>
    <w:p>
      <w:pPr>
        <w:pStyle w:val="899"/>
        <w:spacing w:line="360" w:lineRule="auto"/>
        <w:shd w:val="clear" w:color="auto" w:fill="auto"/>
        <w:rPr>
          <w:rFonts w:hint="eastAsia" w:ascii="宋体" w:hAnsi="宋体" w:eastAsia="宋体" w:cs="宋体"/>
          <w:b/>
          <w:color w:val="auto"/>
          <w:szCs w:val="21"/>
          <w:highlight w:val="none"/>
        </w:rPr>
      </w:pPr>
      <w:r>
        <w:rPr>
          <w:rFonts w:hint="eastAsia" w:ascii="宋体" w:hAnsi="宋体" w:eastAsia="宋体" w:cs="宋体"/>
          <w:b/>
          <w:bCs w:val="0"/>
          <w:color w:val="auto"/>
          <w:sz w:val="21"/>
          <w:szCs w:val="21"/>
          <w:highlight w:val="none"/>
          <w:lang w:val="en-US" w:eastAsia="zh-CN" w:bidi="ar-SA"/>
        </w:rPr>
        <w:t xml:space="preserve">二、申请人的资格要求：</w:t>
      </w:r>
      <w:r>
        <w:rPr>
          <w:rFonts w:hint="eastAsia" w:ascii="宋体" w:hAnsi="宋体" w:eastAsia="宋体" w:cs="宋体"/>
          <w:b/>
          <w:color w:val="auto"/>
          <w:szCs w:val="21"/>
          <w:highlight w:val="none"/>
        </w:rPr>
      </w:r>
      <w:r>
        <w:rPr>
          <w:color w:val="auto"/>
        </w:rPr>
      </w:r>
    </w:p>
    <w:p>
      <w:pPr>
        <w:pStyle w:val="899"/>
        <w:ind w:firstLine="422"/>
        <w:spacing w:line="360" w:lineRule="auto"/>
        <w:shd w:val="clear" w:color="auto" w:fil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1</w:t>
      </w:r>
      <w:r>
        <w:rPr>
          <w:rFonts w:hint="eastAsia" w:ascii="宋体" w:hAnsi="宋体" w:eastAsia="宋体" w:cs="宋体"/>
          <w:b/>
          <w:color w:val="auto"/>
          <w:szCs w:val="21"/>
          <w:highlight w:val="none"/>
          <w:lang w:val="zh-CN"/>
        </w:rPr>
        <w:t xml:space="preserve">、供应</w:t>
      </w:r>
      <w:r>
        <w:rPr>
          <w:rFonts w:hint="eastAsia" w:ascii="宋体" w:hAnsi="宋体" w:eastAsia="宋体" w:cs="宋体"/>
          <w:b/>
          <w:color w:val="auto"/>
          <w:szCs w:val="21"/>
          <w:highlight w:val="none"/>
          <w:lang w:val="zh-CN"/>
        </w:rPr>
        <w:t xml:space="preserve">商应具备下列资格条件,并提供证明材料(包括但不限于):</w:t>
      </w:r>
      <w:r>
        <w:rPr>
          <w:rFonts w:hint="eastAsia" w:ascii="宋体" w:hAnsi="宋体" w:eastAsia="宋体" w:cs="宋体"/>
          <w:b/>
          <w:color w:val="auto"/>
          <w:szCs w:val="21"/>
          <w:highlight w:val="none"/>
          <w:lang w:val="zh-CN"/>
        </w:rPr>
      </w:r>
      <w:r>
        <w:rPr>
          <w:color w:val="auto"/>
        </w:rPr>
      </w:r>
    </w:p>
    <w:p>
      <w:pPr>
        <w:pStyle w:val="899"/>
        <w:ind w:left="420"/>
        <w:spacing w:line="360" w:lineRule="auto"/>
        <w:shd w:val="clear" w:color="auto" w:fill="auto"/>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val="en-US" w:eastAsia="zh-CN"/>
        </w:rPr>
        <w:t xml:space="preserve">1</w:t>
      </w:r>
      <w:r>
        <w:rPr>
          <w:rFonts w:hint="eastAsia" w:ascii="宋体" w:hAnsi="宋体" w:eastAsia="宋体" w:cs="宋体"/>
          <w:b/>
          <w:color w:val="auto"/>
          <w:szCs w:val="21"/>
          <w:highlight w:val="none"/>
          <w:lang w:val="zh-CN"/>
        </w:rPr>
        <w:t xml:space="preserve">.1 </w:t>
      </w:r>
      <w:r>
        <w:rPr>
          <w:rFonts w:hint="eastAsia" w:ascii="宋体" w:hAnsi="宋体" w:eastAsia="宋体" w:cs="宋体"/>
          <w:b/>
          <w:bCs/>
          <w:color w:val="auto"/>
          <w:szCs w:val="21"/>
          <w:highlight w:val="none"/>
        </w:rPr>
        <w:t xml:space="preserve">参加政府采购活动的供应商应当具备政府采购法第二十二条第一款规定的条件，并依照政</w:t>
      </w:r>
      <w:r>
        <w:rPr>
          <w:rFonts w:hint="eastAsia" w:ascii="宋体" w:hAnsi="宋体" w:eastAsia="宋体" w:cs="宋体"/>
          <w:b/>
          <w:bCs/>
          <w:color w:val="auto"/>
          <w:szCs w:val="21"/>
          <w:highlight w:val="none"/>
        </w:rPr>
      </w:r>
      <w:r>
        <w:rPr>
          <w:color w:val="auto"/>
        </w:rPr>
      </w:r>
    </w:p>
    <w:p>
      <w:pPr>
        <w:pStyle w:val="899"/>
        <w:spacing w:line="360" w:lineRule="auto"/>
        <w:shd w:val="clear" w:color="auto" w:fill="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府采购法实施条例第十七条规定提供材料：</w:t>
      </w:r>
      <w:r>
        <w:rPr>
          <w:rFonts w:hint="eastAsia" w:ascii="宋体" w:hAnsi="宋体" w:eastAsia="宋体" w:cs="宋体"/>
          <w:b/>
          <w:color w:val="auto"/>
          <w:szCs w:val="21"/>
          <w:highlight w:val="none"/>
          <w:lang w:val="zh-CN"/>
        </w:rPr>
      </w:r>
      <w:r>
        <w:rPr>
          <w:color w:val="auto"/>
        </w:rPr>
      </w:r>
    </w:p>
    <w:p>
      <w:pPr>
        <w:pStyle w:val="997"/>
        <w:ind w:firstLine="420"/>
        <w:spacing w:before="0" w:beforeAutospacing="0" w:after="0" w:afterAutospacing="0" w:line="360" w:lineRule="auto"/>
        <w:rPr>
          <w:rFonts w:hint="eastAsia"/>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rPr>
          <w:rFonts w:hint="eastAsia"/>
          <w:color w:val="auto"/>
          <w:sz w:val="21"/>
          <w:szCs w:val="21"/>
          <w:highlight w:val="none"/>
        </w:rPr>
        <w:t xml:space="preserve">（提供法人或者其他组织的营业执照，自然人的身份证明，复印件加盖公章）</w:t>
      </w:r>
      <w:r>
        <w:rPr>
          <w:rFonts w:hint="eastAsia"/>
          <w:color w:val="auto"/>
          <w:sz w:val="21"/>
          <w:szCs w:val="21"/>
          <w:highlight w:val="none"/>
        </w:rPr>
      </w:r>
      <w:r>
        <w:rPr>
          <w:color w:val="auto"/>
        </w:rPr>
      </w:r>
    </w:p>
    <w:p>
      <w:pPr>
        <w:pStyle w:val="997"/>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rPr>
          <w:rFonts w:hint="eastAsia"/>
          <w:color w:val="auto"/>
          <w:sz w:val="21"/>
          <w:szCs w:val="21"/>
          <w:highlight w:val="none"/>
          <w:shd w:val="clear" w:color="auto" w:fill="ffffff"/>
        </w:rPr>
        <w:t xml:space="preserve">。</w:t>
      </w:r>
      <w:r>
        <w:rPr>
          <w:rFonts w:hint="eastAsia"/>
          <w:color w:val="auto"/>
          <w:sz w:val="21"/>
          <w:szCs w:val="21"/>
          <w:highlight w:val="none"/>
        </w:rPr>
        <w:t xml:space="preserve">（提供参加本次采购活动前半年内至少一个月的财务报表，复印件加盖公章）</w:t>
      </w:r>
      <w:r>
        <w:rPr>
          <w:rFonts w:hint="eastAsia" w:ascii="宋体" w:hAnsi="宋体" w:eastAsia="宋体" w:cs="宋体"/>
          <w:color w:val="auto"/>
          <w:sz w:val="21"/>
          <w:szCs w:val="21"/>
          <w:highlight w:val="none"/>
        </w:rPr>
      </w:r>
      <w:r>
        <w:rPr>
          <w:color w:val="auto"/>
        </w:rPr>
      </w:r>
    </w:p>
    <w:p>
      <w:pPr>
        <w:pStyle w:val="997"/>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rPr>
          <w:rFonts w:hint="eastAsia"/>
          <w:color w:val="auto"/>
          <w:sz w:val="21"/>
          <w:szCs w:val="21"/>
          <w:highlight w:val="none"/>
        </w:rPr>
        <w:t xml:space="preserve">（</w:t>
      </w:r>
      <w:r>
        <w:rPr>
          <w:rFonts w:hint="eastAsia"/>
          <w:color w:val="auto"/>
          <w:sz w:val="21"/>
          <w:szCs w:val="21"/>
          <w:highlight w:val="none"/>
        </w:rPr>
        <w:t xml:space="preserve">提供书面声明</w:t>
      </w:r>
      <w:r>
        <w:rPr>
          <w:rFonts w:hint="eastAsia"/>
          <w:color w:val="auto"/>
          <w:sz w:val="21"/>
          <w:szCs w:val="21"/>
          <w:highlight w:val="none"/>
        </w:rPr>
        <w:t xml:space="preserve">加盖公章）</w:t>
      </w:r>
      <w:r>
        <w:rPr>
          <w:rFonts w:hint="eastAsia" w:ascii="宋体" w:hAnsi="宋体" w:eastAsia="宋体" w:cs="宋体"/>
          <w:color w:val="auto"/>
          <w:sz w:val="21"/>
          <w:szCs w:val="21"/>
          <w:highlight w:val="none"/>
        </w:rPr>
      </w:r>
      <w:r>
        <w:rPr>
          <w:color w:val="auto"/>
        </w:rPr>
      </w:r>
    </w:p>
    <w:p>
      <w:pPr>
        <w:pStyle w:val="997"/>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rPr>
          <w:rFonts w:hint="eastAsia"/>
          <w:color w:val="auto"/>
          <w:sz w:val="21"/>
          <w:szCs w:val="21"/>
          <w:highlight w:val="none"/>
        </w:rPr>
        <w:t xml:space="preserve">提供参加本次采购活动前半年内至少一个月依法缴纳税收和社会保障资金的相关资料，复印件加盖公章）</w:t>
      </w:r>
      <w:r>
        <w:rPr>
          <w:rFonts w:hint="eastAsia" w:ascii="宋体" w:hAnsi="宋体" w:eastAsia="宋体" w:cs="宋体"/>
          <w:color w:val="auto"/>
          <w:sz w:val="21"/>
          <w:szCs w:val="21"/>
          <w:highlight w:val="none"/>
        </w:rPr>
      </w:r>
      <w:r>
        <w:rPr>
          <w:color w:val="auto"/>
        </w:rPr>
      </w:r>
    </w:p>
    <w:p>
      <w:pPr>
        <w:pStyle w:val="997"/>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w:t>
      </w:r>
      <w:r>
        <w:rPr>
          <w:rFonts w:hint="eastAsia"/>
          <w:color w:val="auto"/>
          <w:sz w:val="21"/>
          <w:szCs w:val="21"/>
          <w:highlight w:val="none"/>
        </w:rPr>
        <w:t xml:space="preserve">（</w:t>
      </w:r>
      <w:r>
        <w:rPr>
          <w:rFonts w:hint="eastAsia"/>
          <w:color w:val="auto"/>
          <w:sz w:val="21"/>
          <w:szCs w:val="21"/>
          <w:highlight w:val="none"/>
        </w:rPr>
        <w:t xml:space="preserve">提供书面声明</w:t>
      </w:r>
      <w:r>
        <w:rPr>
          <w:rFonts w:hint="eastAsia"/>
          <w:color w:val="auto"/>
          <w:sz w:val="21"/>
          <w:szCs w:val="21"/>
          <w:highlight w:val="none"/>
        </w:rPr>
        <w:t xml:space="preserve">加盖公章）</w:t>
      </w:r>
      <w:r>
        <w:rPr>
          <w:rFonts w:hint="eastAsia" w:ascii="宋体" w:hAnsi="宋体" w:eastAsia="宋体" w:cs="宋体"/>
          <w:color w:val="auto"/>
          <w:sz w:val="21"/>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（6）法律、行政法规规定的其他条件（</w:t>
      </w:r>
      <w:r>
        <w:rPr>
          <w:rFonts w:hint="eastAsia" w:ascii="宋体" w:hAnsi="宋体" w:eastAsia="宋体" w:cs="宋体"/>
          <w:color w:val="auto"/>
          <w:sz w:val="21"/>
          <w:szCs w:val="21"/>
          <w:highlight w:val="none"/>
          <w:lang w:val="zh-CN"/>
        </w:rPr>
        <w:t xml:space="preserve">提供</w:t>
      </w:r>
      <w:r>
        <w:rPr>
          <w:rFonts w:hint="eastAsia" w:ascii="宋体" w:hAnsi="宋体" w:eastAsia="宋体" w:cs="宋体"/>
          <w:color w:val="auto"/>
          <w:sz w:val="21"/>
          <w:szCs w:val="21"/>
          <w:highlight w:val="none"/>
          <w:lang w:eastAsia="zh-CN"/>
        </w:rPr>
        <w:t xml:space="preserve">南京市政府采购供应商信用记录表暨信用承诺书，</w:t>
      </w:r>
      <w:r>
        <w:rPr>
          <w:rFonts w:hint="eastAsia" w:ascii="宋体" w:hAnsi="宋体" w:eastAsia="宋体" w:cs="宋体"/>
          <w:color w:val="auto"/>
          <w:sz w:val="21"/>
          <w:szCs w:val="21"/>
          <w:highlight w:val="none"/>
        </w:rPr>
        <w:t xml:space="preserve">格式见</w:t>
      </w:r>
      <w:r>
        <w:rPr>
          <w:rFonts w:hint="eastAsia" w:ascii="宋体" w:hAnsi="宋体" w:eastAsia="宋体" w:cs="宋体"/>
          <w:color w:val="auto"/>
          <w:szCs w:val="21"/>
          <w:highlight w:val="none"/>
        </w:rPr>
        <w:t xml:space="preserve">附件</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r>
      <w:r>
        <w:rPr>
          <w:color w:val="auto"/>
        </w:rPr>
      </w:r>
    </w:p>
    <w:p>
      <w:pPr>
        <w:pStyle w:val="899"/>
        <w:ind w:left="420"/>
        <w:spacing w:line="360" w:lineRule="auto"/>
        <w:shd w:val="clear" w:color="auto" w:fil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1.2落实政府采购政策需满足的资格要求：</w:t>
      </w:r>
      <w:r>
        <w:rPr>
          <w:rFonts w:hint="eastAsia" w:ascii="宋体" w:hAnsi="宋体" w:eastAsia="宋体" w:cs="宋体"/>
          <w:b/>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eastAsia="宋体" w:cs="宋体"/>
          <w:color w:val="auto"/>
          <w:szCs w:val="21"/>
          <w:highlight w:val="none"/>
        </w:rPr>
      </w:r>
      <w:r>
        <w:rPr>
          <w:color w:val="auto"/>
        </w:rPr>
      </w:r>
    </w:p>
    <w:p>
      <w:pPr>
        <w:pStyle w:val="899"/>
        <w:ind w:left="420"/>
        <w:spacing w:line="360" w:lineRule="auto"/>
        <w:shd w:val="clear" w:color="auto" w:fil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1.3本项目的特定资格要求：无</w:t>
      </w:r>
      <w:r>
        <w:rPr>
          <w:rFonts w:hint="eastAsia" w:ascii="宋体" w:hAnsi="宋体" w:eastAsia="宋体" w:cs="宋体"/>
          <w:b/>
          <w:color w:val="auto"/>
          <w:szCs w:val="21"/>
          <w:highlight w:val="none"/>
          <w:lang w:val="en-US" w:eastAsia="zh-CN"/>
        </w:rPr>
      </w:r>
      <w:r>
        <w:rPr>
          <w:color w:val="auto"/>
        </w:rPr>
      </w:r>
    </w:p>
    <w:p>
      <w:pPr>
        <w:pStyle w:val="899"/>
        <w:ind w:firstLine="422"/>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val="en-US" w:eastAsia="zh-CN"/>
        </w:rPr>
        <w:t xml:space="preserve">1.4</w:t>
      </w:r>
      <w:r>
        <w:rPr>
          <w:rFonts w:hint="eastAsia" w:ascii="宋体" w:hAnsi="宋体" w:eastAsia="宋体" w:cs="宋体"/>
          <w:b/>
          <w:color w:val="auto"/>
          <w:szCs w:val="21"/>
          <w:highlight w:val="none"/>
        </w:rPr>
        <w:t xml:space="preserve"> 拒绝下述供应商参加本次采购活动：</w:t>
      </w:r>
      <w:r>
        <w:rPr>
          <w:rFonts w:hint="eastAsia" w:ascii="宋体" w:hAnsi="宋体" w:eastAsia="宋体" w:cs="宋体"/>
          <w:color w:val="auto"/>
          <w:szCs w:val="21"/>
          <w:highlight w:val="none"/>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auto"/>
          <w:szCs w:val="21"/>
          <w:highlight w:val="none"/>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auto"/>
          <w:szCs w:val="21"/>
          <w:highlight w:val="none"/>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拒绝列入失信被执行人、重大税收违法案件当事人名单、政府采购严重违法失信行为记录名单中的供应商参加本项目的采购活动。采购人或采购代理机构通过“信用中国”网站（www.creditchina.gov.cn）、“中国政府采购网”网站（www.ccgp.gov.cn）等渠道查询供应商信用记录并保存，如供应商组成联合体且联合体成员存在不良信用记录的，视同联合体存在不良信用记录。</w:t>
      </w:r>
      <w:r>
        <w:rPr>
          <w:rFonts w:hint="eastAsia" w:ascii="宋体" w:hAnsi="宋体" w:eastAsia="宋体" w:cs="宋体"/>
          <w:color w:val="auto"/>
          <w:szCs w:val="21"/>
          <w:highlight w:val="none"/>
        </w:rPr>
      </w:r>
      <w:r>
        <w:rPr>
          <w:color w:val="auto"/>
        </w:rPr>
      </w:r>
    </w:p>
    <w:p>
      <w:pPr>
        <w:pStyle w:val="899"/>
        <w:ind w:firstLine="422"/>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val="en-US" w:eastAsia="zh-CN"/>
        </w:rPr>
        <w:t xml:space="preserve">1.5</w:t>
      </w:r>
      <w:r>
        <w:rPr>
          <w:rFonts w:hint="eastAsia" w:ascii="宋体" w:hAnsi="宋体" w:eastAsia="宋体" w:cs="宋体"/>
          <w:b/>
          <w:color w:val="auto"/>
          <w:szCs w:val="21"/>
          <w:highlight w:val="none"/>
        </w:rPr>
        <w:t xml:space="preserve">供应商诚信档案注册登记</w:t>
      </w:r>
      <w:r>
        <w:rPr>
          <w:rFonts w:hint="eastAsia" w:ascii="宋体" w:hAnsi="宋体" w:eastAsia="宋体" w:cs="宋体"/>
          <w:color w:val="auto"/>
          <w:szCs w:val="21"/>
          <w:highlight w:val="none"/>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（1）进入“信用南京”或“南京公共采购信息网”网站，点击“南京政府采购供应商诚信档案”图标，或直接输入访问地址，在用户登录界面点击“新用户注册”；</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（2）在“新用户注册”界面，供应商自行设置用户名、登录密码，如实填写《南京市政府采购供应商诚信档案注册登记表》，并进行信用承诺确认后，提交注册申请； </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（3）系统审核后，供应商即可登录系统进行相关功能操作。</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南京市政府采购供应商诚信档案管理系统客服电话：025-52718366；供应商可就用户注册与打印“南京市政府采购供应商信用记录表暨信用承诺书”等事宜进行咨询。</w:t>
      </w:r>
      <w:r>
        <w:rPr>
          <w:rFonts w:hint="eastAsia" w:ascii="宋体" w:hAnsi="宋体" w:eastAsia="宋体" w:cs="宋体"/>
          <w:color w:val="auto"/>
          <w:szCs w:val="21"/>
          <w:highlight w:val="none"/>
          <w:lang w:val="en-US" w:eastAsia="zh-CN"/>
        </w:rPr>
      </w:r>
      <w:r>
        <w:rPr>
          <w:color w:val="auto"/>
        </w:rPr>
      </w:r>
    </w:p>
    <w:p>
      <w:pPr>
        <w:pStyle w:val="950"/>
        <w:rPr>
          <w:rFonts w:hint="eastAsia" w:ascii="宋体" w:hAnsi="宋体" w:eastAsia="宋体" w:cs="宋体"/>
          <w:color w:val="auto"/>
          <w:highlight w:val="none"/>
        </w:rPr>
      </w:pPr>
      <w:r>
        <w:rPr>
          <w:rFonts w:hint="eastAsia" w:ascii="宋体" w:hAnsi="宋体" w:eastAsia="宋体" w:cs="宋体"/>
          <w:color w:val="auto"/>
          <w:highlight w:val="none"/>
          <w:lang w:val="zh-CN"/>
        </w:rPr>
      </w:r>
      <w:r>
        <w:rPr>
          <w:color w:val="auto"/>
        </w:rPr>
      </w:r>
    </w:p>
    <w:p>
      <w:pPr>
        <w:pStyle w:val="899"/>
        <w:numPr>
          <w:ilvl w:val="0"/>
          <w:numId w:val="5"/>
        </w:numPr>
        <w:keepLines/>
        <w:keepNext/>
        <w:tabs>
          <w:tab w:val="left" w:pos="576" w:leader="none"/>
        </w:tabs>
        <w:rPr>
          <w:rFonts w:hint="eastAsia" w:ascii="宋体" w:hAnsi="宋体" w:eastAsia="宋体" w:cs="宋体"/>
          <w:b/>
          <w:color w:val="auto"/>
          <w:sz w:val="24"/>
          <w:highlight w:val="none"/>
        </w:rPr>
      </w:pPr>
      <w:r>
        <w:rPr>
          <w:color w:val="auto"/>
        </w:rPr>
      </w:r>
      <w:bookmarkStart w:id="36" w:name="_Toc35393631"/>
      <w:r>
        <w:rPr>
          <w:color w:val="auto"/>
        </w:rPr>
      </w:r>
      <w:bookmarkStart w:id="37" w:name="_Toc35393800"/>
      <w:r>
        <w:rPr>
          <w:rFonts w:hint="eastAsia" w:ascii="宋体" w:hAnsi="宋体" w:eastAsia="宋体" w:cs="宋体"/>
          <w:b/>
          <w:color w:val="auto"/>
          <w:sz w:val="24"/>
          <w:highlight w:val="none"/>
        </w:rPr>
        <w:t xml:space="preserve">获取采购文件</w:t>
      </w:r>
      <w:bookmarkEnd w:id="36"/>
      <w:r>
        <w:rPr>
          <w:color w:val="auto"/>
        </w:rPr>
      </w:r>
      <w:bookmarkEnd w:id="37"/>
      <w:r>
        <w:rPr>
          <w:rFonts w:hint="eastAsia" w:ascii="宋体" w:hAnsi="宋体" w:eastAsia="宋体" w:cs="宋体"/>
          <w:b/>
          <w:color w:val="auto"/>
          <w:sz w:val="24"/>
          <w:highlight w:val="none"/>
        </w:rPr>
      </w:r>
      <w:r>
        <w:rPr>
          <w:color w:val="auto"/>
        </w:rPr>
      </w:r>
    </w:p>
    <w:p>
      <w:pPr>
        <w:pStyle w:val="950"/>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时间：自磋商文件公告发布之日起5个工作日</w:t>
      </w:r>
      <w:r>
        <w:rPr>
          <w:rFonts w:hint="eastAsia" w:ascii="宋体" w:hAnsi="宋体" w:eastAsia="宋体" w:cs="宋体"/>
          <w:color w:val="auto"/>
          <w:szCs w:val="21"/>
          <w:highlight w:val="none"/>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地点：江苏政府采购网</w:t>
      </w:r>
      <w:r>
        <w:rPr>
          <w:rFonts w:hint="eastAsia" w:ascii="宋体" w:hAnsi="宋体" w:eastAsia="宋体" w:cs="宋体"/>
          <w:color w:val="auto"/>
          <w:szCs w:val="21"/>
          <w:highlight w:val="none"/>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eastAsia="zh-CN"/>
        </w:rPr>
      </w:r>
      <w:r>
        <w:rPr>
          <w:color w:val="auto"/>
        </w:rPr>
      </w:r>
    </w:p>
    <w:p>
      <w:pPr>
        <w:pStyle w:val="899"/>
        <w:ind w:firstLine="420"/>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售价：0.00元</w:t>
      </w:r>
      <w:r>
        <w:rPr>
          <w:rFonts w:hint="eastAsia" w:ascii="宋体" w:hAnsi="宋体" w:eastAsia="宋体" w:cs="宋体"/>
          <w:color w:val="auto"/>
          <w:highlight w:val="none"/>
          <w:lang w:eastAsia="zh-CN"/>
        </w:rPr>
      </w:r>
      <w:r>
        <w:rPr>
          <w:color w:val="auto"/>
        </w:rPr>
      </w:r>
    </w:p>
    <w:p>
      <w:pPr>
        <w:pStyle w:val="903"/>
        <w:numPr>
          <w:ilvl w:val="0"/>
          <w:numId w:val="0"/>
        </w:numPr>
        <w:keepLines/>
        <w:keepNext/>
        <w:pageBreakBefore w:val="0"/>
        <w:spacing w:line="120" w:lineRule="auto"/>
        <w:widowControl w:val="off"/>
        <w:tabs>
          <w:tab w:val="left" w:pos="864" w:leader="none"/>
        </w:tabs>
        <w:rPr>
          <w:rFonts w:hint="eastAsia" w:ascii="宋体" w:hAnsi="宋体" w:eastAsia="宋体" w:cs="宋体"/>
          <w:color w:val="auto"/>
          <w:highlight w:val="none"/>
        </w:rPr>
      </w:pPr>
      <w:r>
        <w:rPr>
          <w:color w:val="auto"/>
        </w:rPr>
      </w:r>
      <w:bookmarkStart w:id="38" w:name="_Toc35393801"/>
      <w:r>
        <w:rPr>
          <w:color w:val="auto"/>
        </w:rPr>
      </w:r>
      <w:bookmarkStart w:id="39" w:name="_Toc28359092"/>
      <w:r>
        <w:rPr>
          <w:color w:val="auto"/>
        </w:rPr>
      </w:r>
      <w:bookmarkStart w:id="40" w:name="_Toc35393632"/>
      <w:r>
        <w:rPr>
          <w:color w:val="auto"/>
        </w:rPr>
      </w:r>
      <w:bookmarkStart w:id="41" w:name="_Toc28359015"/>
      <w:r>
        <w:rPr>
          <w:rFonts w:hint="eastAsia" w:ascii="宋体" w:hAnsi="宋体" w:eastAsia="宋体" w:cs="宋体"/>
          <w:b/>
          <w:bCs w:val="0"/>
          <w:color w:val="auto"/>
          <w:sz w:val="24"/>
          <w:szCs w:val="24"/>
          <w:highlight w:val="none"/>
          <w:lang w:val="en-US" w:eastAsia="zh-CN" w:bidi="ar-SA"/>
        </w:rPr>
        <w:t xml:space="preserve">四、响应文件提交</w:t>
      </w:r>
      <w:bookmarkEnd w:id="38"/>
      <w:r>
        <w:rPr>
          <w:color w:val="auto"/>
        </w:rPr>
      </w:r>
      <w:bookmarkEnd w:id="39"/>
      <w:r>
        <w:rPr>
          <w:color w:val="auto"/>
        </w:rPr>
      </w:r>
      <w:bookmarkEnd w:id="40"/>
      <w:r>
        <w:rPr>
          <w:color w:val="auto"/>
        </w:rPr>
      </w:r>
      <w:bookmarkEnd w:id="41"/>
      <w:r>
        <w:rPr>
          <w:rFonts w:hint="eastAsia" w:ascii="宋体" w:hAnsi="宋体" w:eastAsia="宋体" w:cs="宋体"/>
          <w:color w:val="auto"/>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color w:val="auto"/>
        </w:rPr>
      </w:r>
      <w:bookmarkStart w:id="42" w:name="_Toc35393633"/>
      <w:r>
        <w:rPr>
          <w:color w:val="auto"/>
        </w:rPr>
      </w:r>
      <w:bookmarkStart w:id="43" w:name="_Toc35393802"/>
      <w:r>
        <w:rPr>
          <w:color w:val="auto"/>
        </w:rPr>
      </w:r>
      <w:bookmarkStart w:id="44" w:name="_Toc28359016"/>
      <w:r>
        <w:rPr>
          <w:color w:val="auto"/>
        </w:rPr>
      </w:r>
      <w:bookmarkStart w:id="45" w:name="_Toc28359093"/>
      <w:r>
        <w:rPr>
          <w:rFonts w:hint="eastAsia" w:ascii="宋体" w:hAnsi="宋体" w:eastAsia="宋体" w:cs="宋体"/>
          <w:color w:val="auto"/>
          <w:szCs w:val="21"/>
          <w:highlight w:val="none"/>
        </w:rPr>
        <w:t xml:space="preserve">截止时间：</w:t>
      </w:r>
      <w:r>
        <w:rPr>
          <w:rFonts w:hint="eastAsia" w:ascii="宋体" w:hAnsi="宋体" w:eastAsia="宋体" w:cs="宋体"/>
          <w:color w:val="auto"/>
          <w:szCs w:val="21"/>
          <w:highlight w:val="none"/>
          <w:lang w:val="en-US" w:eastAsia="zh-CN"/>
        </w:rPr>
        <w:t xml:space="preserve">2026</w:t>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月</w:t>
      </w:r>
      <w:r>
        <w:rPr>
          <w:rFonts w:hint="eastAsia" w:ascii="宋体" w:hAnsi="宋体" w:eastAsia="宋体" w:cs="宋体"/>
          <w:color w:val="auto"/>
          <w:szCs w:val="21"/>
          <w:highlight w:val="none"/>
          <w:lang w:val="en-US" w:eastAsia="zh-CN"/>
        </w:rPr>
        <w:t xml:space="preserve">5 </w:t>
      </w:r>
      <w:r>
        <w:rPr>
          <w:rFonts w:hint="eastAsia" w:ascii="宋体" w:hAnsi="宋体" w:eastAsia="宋体" w:cs="宋体"/>
          <w:color w:val="auto"/>
          <w:szCs w:val="21"/>
          <w:highlight w:val="none"/>
          <w:lang w:eastAsia="zh-CN"/>
        </w:rPr>
        <w:t xml:space="preserve">日</w:t>
      </w:r>
      <w:r>
        <w:rPr>
          <w:rFonts w:hint="eastAsia" w:ascii="宋体" w:hAnsi="宋体" w:eastAsia="宋体" w:cs="宋体"/>
          <w:color w:val="auto"/>
          <w:szCs w:val="21"/>
          <w:highlight w:val="none"/>
          <w:lang w:val="en-US" w:eastAsia="zh-CN"/>
        </w:rPr>
        <w:t xml:space="preserve"> 14 </w:t>
      </w:r>
      <w:r>
        <w:rPr>
          <w:rFonts w:hint="eastAsia" w:ascii="宋体" w:hAnsi="宋体" w:eastAsia="宋体" w:cs="宋体"/>
          <w:color w:val="auto"/>
          <w:szCs w:val="21"/>
          <w:highlight w:val="none"/>
          <w:lang w:eastAsia="zh-CN"/>
        </w:rPr>
        <w:t xml:space="preserve">点</w:t>
      </w:r>
      <w:r>
        <w:rPr>
          <w:rFonts w:hint="eastAsia" w:ascii="宋体" w:hAnsi="宋体" w:eastAsia="宋体" w:cs="宋体"/>
          <w:color w:val="auto"/>
          <w:szCs w:val="21"/>
          <w:highlight w:val="none"/>
          <w:lang w:val="en-US" w:eastAsia="zh-CN"/>
        </w:rPr>
        <w:t xml:space="preserve"> 30 </w:t>
      </w:r>
      <w:r>
        <w:rPr>
          <w:rFonts w:hint="eastAsia" w:ascii="宋体" w:hAnsi="宋体" w:eastAsia="宋体" w:cs="宋体"/>
          <w:color w:val="auto"/>
          <w:szCs w:val="21"/>
          <w:highlight w:val="none"/>
          <w:lang w:eastAsia="zh-CN"/>
        </w:rPr>
        <w:t xml:space="preserve">分</w:t>
      </w:r>
      <w:r>
        <w:rPr>
          <w:rFonts w:hint="eastAsia" w:ascii="宋体" w:hAnsi="宋体" w:eastAsia="宋体" w:cs="宋体"/>
          <w:color w:val="auto"/>
          <w:szCs w:val="21"/>
          <w:highlight w:val="none"/>
        </w:rPr>
        <w:t xml:space="preserve">（北京时间）</w:t>
      </w:r>
      <w:r>
        <w:rPr>
          <w:rFonts w:hint="eastAsia" w:ascii="宋体" w:hAnsi="宋体" w:eastAsia="宋体" w:cs="宋体"/>
          <w:color w:val="auto"/>
          <w:szCs w:val="21"/>
          <w:highlight w:val="none"/>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地点：“苏采云”政府采购交易系统网上开标大厅</w:t>
      </w:r>
      <w:r>
        <w:rPr>
          <w:rFonts w:hint="eastAsia" w:ascii="宋体" w:hAnsi="宋体" w:eastAsia="宋体" w:cs="宋体"/>
          <w:color w:val="auto"/>
          <w:szCs w:val="21"/>
          <w:highlight w:val="none"/>
        </w:rPr>
      </w:r>
      <w:r>
        <w:rPr>
          <w:color w:val="auto"/>
        </w:rPr>
      </w:r>
    </w:p>
    <w:p>
      <w:pPr>
        <w:pStyle w:val="899"/>
        <w:numPr>
          <w:ilvl w:val="1"/>
          <w:numId w:val="0"/>
        </w:numPr>
        <w:keepLines/>
        <w:keepNext/>
        <w:tabs>
          <w:tab w:val="left" w:pos="576"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五、开启</w:t>
      </w:r>
      <w:bookmarkEnd w:id="42"/>
      <w:r>
        <w:rPr>
          <w:color w:val="auto"/>
        </w:rPr>
      </w:r>
      <w:bookmarkEnd w:id="43"/>
      <w:r>
        <w:rPr>
          <w:color w:val="auto"/>
        </w:rPr>
      </w:r>
      <w:bookmarkEnd w:id="44"/>
      <w:r>
        <w:rPr>
          <w:color w:val="auto"/>
        </w:rPr>
      </w:r>
      <w:bookmarkEnd w:id="45"/>
      <w:r>
        <w:rPr>
          <w:rFonts w:hint="eastAsia" w:ascii="宋体" w:hAnsi="宋体" w:eastAsia="宋体" w:cs="宋体"/>
          <w:b/>
          <w:color w:val="auto"/>
          <w:sz w:val="24"/>
          <w:highlight w:val="none"/>
        </w:rPr>
      </w:r>
      <w:r>
        <w:rPr>
          <w:color w:val="auto"/>
        </w:rPr>
      </w:r>
    </w:p>
    <w:p>
      <w:pPr>
        <w:pStyle w:val="95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color w:val="auto"/>
        </w:rPr>
      </w:r>
      <w:bookmarkStart w:id="46" w:name="_Toc28359094"/>
      <w:r>
        <w:rPr>
          <w:color w:val="auto"/>
        </w:rPr>
      </w:r>
      <w:bookmarkStart w:id="47" w:name="_Toc35393634"/>
      <w:r>
        <w:rPr>
          <w:color w:val="auto"/>
        </w:rPr>
      </w:r>
      <w:bookmarkStart w:id="48" w:name="_Toc28359017"/>
      <w:r>
        <w:rPr>
          <w:color w:val="auto"/>
        </w:rPr>
      </w:r>
      <w:bookmarkStart w:id="49" w:name="_Toc35393803"/>
      <w:r>
        <w:rPr>
          <w:rFonts w:hint="eastAsia" w:ascii="宋体" w:hAnsi="宋体" w:eastAsia="宋体" w:cs="宋体"/>
          <w:color w:val="auto"/>
          <w:szCs w:val="21"/>
          <w:highlight w:val="none"/>
        </w:rPr>
        <w:t xml:space="preserve">截止时间：</w:t>
      </w:r>
      <w:r>
        <w:rPr>
          <w:rFonts w:hint="eastAsia" w:ascii="宋体" w:hAnsi="宋体" w:eastAsia="宋体" w:cs="宋体"/>
          <w:color w:val="auto"/>
          <w:szCs w:val="21"/>
          <w:highlight w:val="none"/>
          <w:lang w:val="en-US" w:eastAsia="zh-CN"/>
        </w:rPr>
        <w:t xml:space="preserve">2026</w:t>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月</w:t>
      </w:r>
      <w:r>
        <w:rPr>
          <w:rFonts w:hint="eastAsia" w:ascii="宋体" w:hAnsi="宋体" w:eastAsia="宋体" w:cs="宋体"/>
          <w:color w:val="auto"/>
          <w:szCs w:val="21"/>
          <w:highlight w:val="none"/>
          <w:lang w:val="en-US" w:eastAsia="zh-CN"/>
        </w:rPr>
        <w:t xml:space="preserve">5 </w:t>
      </w:r>
      <w:r>
        <w:rPr>
          <w:rFonts w:hint="eastAsia" w:ascii="宋体" w:hAnsi="宋体" w:eastAsia="宋体" w:cs="宋体"/>
          <w:color w:val="auto"/>
          <w:szCs w:val="21"/>
          <w:highlight w:val="none"/>
          <w:lang w:eastAsia="zh-CN"/>
        </w:rPr>
        <w:t xml:space="preserve">日</w:t>
      </w:r>
      <w:r>
        <w:rPr>
          <w:rFonts w:hint="eastAsia" w:ascii="宋体" w:hAnsi="宋体" w:eastAsia="宋体" w:cs="宋体"/>
          <w:color w:val="auto"/>
          <w:szCs w:val="21"/>
          <w:highlight w:val="none"/>
          <w:lang w:val="en-US" w:eastAsia="zh-CN"/>
        </w:rPr>
        <w:t xml:space="preserve"> 14 </w:t>
      </w:r>
      <w:r>
        <w:rPr>
          <w:rFonts w:hint="eastAsia" w:ascii="宋体" w:hAnsi="宋体" w:eastAsia="宋体" w:cs="宋体"/>
          <w:color w:val="auto"/>
          <w:szCs w:val="21"/>
          <w:highlight w:val="none"/>
          <w:lang w:eastAsia="zh-CN"/>
        </w:rPr>
        <w:t xml:space="preserve">点</w:t>
      </w:r>
      <w:r>
        <w:rPr>
          <w:rFonts w:hint="eastAsia" w:ascii="宋体" w:hAnsi="宋体" w:eastAsia="宋体" w:cs="宋体"/>
          <w:color w:val="auto"/>
          <w:szCs w:val="21"/>
          <w:highlight w:val="none"/>
          <w:lang w:val="en-US" w:eastAsia="zh-CN"/>
        </w:rPr>
        <w:t xml:space="preserve">30 </w:t>
      </w:r>
      <w:r>
        <w:rPr>
          <w:rFonts w:hint="eastAsia" w:ascii="宋体" w:hAnsi="宋体" w:eastAsia="宋体" w:cs="宋体"/>
          <w:color w:val="auto"/>
          <w:szCs w:val="21"/>
          <w:highlight w:val="none"/>
          <w:lang w:eastAsia="zh-CN"/>
        </w:rPr>
        <w:t xml:space="preserve">分</w:t>
      </w:r>
      <w:r>
        <w:rPr>
          <w:rFonts w:hint="eastAsia" w:ascii="宋体" w:hAnsi="宋体" w:eastAsia="宋体" w:cs="宋体"/>
          <w:color w:val="auto"/>
          <w:szCs w:val="21"/>
          <w:highlight w:val="none"/>
        </w:rPr>
        <w:t xml:space="preserve">（北京时间）</w:t>
      </w:r>
      <w:r>
        <w:rPr>
          <w:rFonts w:hint="eastAsia" w:ascii="宋体" w:hAnsi="宋体" w:eastAsia="宋体" w:cs="宋体"/>
          <w:color w:val="auto"/>
          <w:szCs w:val="21"/>
          <w:highlight w:val="none"/>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地点：“苏采云”政府采购交易系统网上开标大厅</w:t>
      </w:r>
      <w:r>
        <w:rPr>
          <w:rFonts w:hint="eastAsia" w:ascii="宋体" w:hAnsi="宋体" w:eastAsia="宋体" w:cs="宋体"/>
          <w:color w:val="auto"/>
          <w:szCs w:val="21"/>
          <w:highlight w:val="none"/>
        </w:rPr>
      </w:r>
      <w:r>
        <w:rPr>
          <w:color w:val="auto"/>
        </w:rPr>
      </w:r>
    </w:p>
    <w:p>
      <w:pPr>
        <w:pStyle w:val="899"/>
        <w:numPr>
          <w:ilvl w:val="1"/>
          <w:numId w:val="0"/>
        </w:numPr>
        <w:keepLines/>
        <w:keepNext/>
        <w:tabs>
          <w:tab w:val="left" w:pos="576" w:leader="none"/>
        </w:tabs>
        <w:rPr>
          <w:rFonts w:hint="eastAsia" w:ascii="宋体" w:hAnsi="宋体" w:eastAsia="宋体" w:cs="宋体"/>
          <w:color w:val="auto"/>
          <w:szCs w:val="21"/>
          <w:highlight w:val="none"/>
        </w:rPr>
      </w:pPr>
      <w:r>
        <w:rPr>
          <w:rFonts w:hint="eastAsia" w:ascii="宋体" w:hAnsi="宋体" w:eastAsia="宋体" w:cs="宋体"/>
          <w:b/>
          <w:color w:val="auto"/>
          <w:sz w:val="24"/>
          <w:highlight w:val="none"/>
        </w:rPr>
        <w:t xml:space="preserve">六、公告期限</w:t>
      </w:r>
      <w:bookmarkEnd w:id="46"/>
      <w:r>
        <w:rPr>
          <w:color w:val="auto"/>
        </w:rPr>
      </w:r>
      <w:bookmarkEnd w:id="47"/>
      <w:r>
        <w:rPr>
          <w:color w:val="auto"/>
        </w:rPr>
      </w:r>
      <w:bookmarkEnd w:id="48"/>
      <w:r>
        <w:rPr>
          <w:color w:val="auto"/>
        </w:rPr>
      </w:r>
      <w:bookmarkEnd w:id="49"/>
      <w:r>
        <w:rPr>
          <w:rFonts w:hint="eastAsia" w:ascii="宋体" w:hAnsi="宋体" w:eastAsia="宋体" w:cs="宋体"/>
          <w:color w:val="auto"/>
          <w:szCs w:val="21"/>
          <w:highlight w:val="none"/>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自本公告发布之日起</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个工作日。</w:t>
      </w:r>
      <w:r>
        <w:rPr>
          <w:rFonts w:hint="eastAsia" w:ascii="宋体" w:hAnsi="宋体" w:eastAsia="宋体" w:cs="宋体"/>
          <w:color w:val="auto"/>
          <w:szCs w:val="21"/>
          <w:highlight w:val="none"/>
        </w:rPr>
      </w:r>
      <w:r>
        <w:rPr>
          <w:color w:val="auto"/>
        </w:rPr>
      </w:r>
    </w:p>
    <w:p>
      <w:pPr>
        <w:pStyle w:val="899"/>
        <w:numPr>
          <w:ilvl w:val="1"/>
          <w:numId w:val="0"/>
        </w:numPr>
        <w:keepLines/>
        <w:keepNext/>
        <w:tabs>
          <w:tab w:val="left" w:pos="576" w:leader="none"/>
        </w:tabs>
        <w:rPr>
          <w:rFonts w:hint="eastAsia" w:ascii="宋体" w:hAnsi="宋体" w:eastAsia="宋体" w:cs="宋体"/>
          <w:b/>
          <w:color w:val="auto"/>
          <w:sz w:val="24"/>
          <w:highlight w:val="none"/>
        </w:rPr>
      </w:pPr>
      <w:r>
        <w:rPr>
          <w:color w:val="auto"/>
        </w:rPr>
      </w:r>
      <w:bookmarkStart w:id="50" w:name="_Toc35393804"/>
      <w:r>
        <w:rPr>
          <w:color w:val="auto"/>
        </w:rPr>
      </w:r>
      <w:bookmarkStart w:id="51" w:name="_Toc35393635"/>
      <w:r>
        <w:rPr>
          <w:rFonts w:hint="eastAsia" w:ascii="宋体" w:hAnsi="宋体" w:eastAsia="宋体" w:cs="宋体"/>
          <w:b/>
          <w:color w:val="auto"/>
          <w:sz w:val="24"/>
          <w:highlight w:val="none"/>
        </w:rPr>
        <w:t xml:space="preserve">七、其他补充事宜</w:t>
      </w:r>
      <w:bookmarkEnd w:id="50"/>
      <w:r>
        <w:rPr>
          <w:color w:val="auto"/>
        </w:rPr>
      </w:r>
      <w:bookmarkEnd w:id="51"/>
      <w:r>
        <w:rPr>
          <w:rFonts w:hint="eastAsia" w:ascii="宋体" w:hAnsi="宋体" w:eastAsia="宋体" w:cs="宋体"/>
          <w:b/>
          <w:color w:val="auto"/>
          <w:sz w:val="24"/>
          <w:highlight w:val="none"/>
        </w:rPr>
      </w:r>
      <w:r>
        <w:rPr>
          <w:color w:val="auto"/>
        </w:rPr>
      </w:r>
    </w:p>
    <w:p>
      <w:pPr>
        <w:pStyle w:val="899"/>
        <w:rPr>
          <w:rFonts w:hint="eastAsia" w:ascii="宋体" w:hAnsi="宋体" w:eastAsia="宋体" w:cs="宋体"/>
          <w:b/>
          <w:color w:val="auto"/>
          <w:sz w:val="24"/>
          <w:highlight w:val="none"/>
        </w:rPr>
      </w:pPr>
      <w:r>
        <w:rPr>
          <w:color w:val="auto"/>
        </w:rPr>
      </w:r>
      <w:bookmarkStart w:id="52" w:name="_Toc35393805"/>
      <w:r>
        <w:rPr>
          <w:color w:val="auto"/>
        </w:rPr>
      </w:r>
      <w:bookmarkStart w:id="53" w:name="_Toc28359095"/>
      <w:r>
        <w:rPr>
          <w:color w:val="auto"/>
        </w:rPr>
      </w:r>
      <w:bookmarkStart w:id="54" w:name="_Toc28359018"/>
      <w:r>
        <w:rPr>
          <w:color w:val="auto"/>
        </w:rPr>
      </w:r>
      <w:bookmarkStart w:id="55" w:name="_Toc35393636"/>
      <w:r>
        <w:rPr>
          <w:rFonts w:hint="eastAsia" w:ascii="宋体" w:hAnsi="宋体" w:eastAsia="宋体" w:cs="宋体"/>
          <w:b/>
          <w:color w:val="auto"/>
          <w:sz w:val="24"/>
          <w:highlight w:val="none"/>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1.本次采购采用“政府采购管理交易系统（苏采云）”，招标、投标、评标和中标结果发布全程电子化，</w:t>
      </w:r>
      <w:r>
        <w:rPr>
          <w:rFonts w:hint="eastAsia" w:ascii="宋体" w:hAnsi="宋体" w:eastAsia="宋体" w:cs="宋体"/>
          <w:color w:val="auto"/>
          <w:szCs w:val="21"/>
          <w:highlight w:val="none"/>
          <w:lang w:val="en-US" w:eastAsia="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 潜在供应商访问政府采购管理交易系统（苏采云）的网络地址和方法：</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（3）“CA数字证书”的办理材料以及供应商操作手册详见：http://jsxcmm.com/help/gys.html。</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（4）潜在供应商访问“苏采云”系统的网络地址和方法：“苏采云”系统的网址：http://jszfcg.jsczt.cn/jszc/login。</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（6）招标代理机构（采购代理机构）将数据电文形式的采购文件加载至“苏采云”系统，供潜在供应商下载或者查阅。 </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3.采购人不组织现场踏勘，供应商如需踏勘现场可自行联系采购人。</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4.根据《关于在政府</w:t>
      </w:r>
      <w:r>
        <w:rPr>
          <w:rFonts w:hint="eastAsia" w:ascii="宋体" w:hAnsi="宋体" w:eastAsia="宋体" w:cs="宋体"/>
          <w:color w:val="auto"/>
          <w:szCs w:val="21"/>
          <w:highlight w:val="none"/>
          <w:lang w:val="en-US" w:eastAsia="zh-CN"/>
        </w:rPr>
        <w:t xml:space="preserve">采购活动中推行信用承诺制的通知》宁财购通〔2021〕5号规定，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5.供应商诚信档案注册登记，按以下程序进行： </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（1）进入“信用南京”或“南京公共采购信息网”网站，点击“南京政府采购供应商诚信档案”图标，或直接输入访问地址，在用户登录界面点击“新用户注册”；</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（2）在“新用户注册”界面，供应商自行设置用户名、登录密码，如实填写《南京市政府采购供应商诚信档案注册登记表》，并进行信用承诺确认后，提交注册申请； </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（3）系统审核后，供应商即可登录系统进行相关功能操作。</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南京市政府采购供应商诚信档案管理系统客服电话：025-52718366；供应商可就用户注册与打印“南京市政府采购供应商信用记录表暨信用承诺书”等事宜进行咨询。</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本次采购公告在“江苏政府采购网（http：//www.ccgp-jiangsu.gov.cn/）上发布,有关本次采购的事项若存在变动或修改，敬请及时关注发布的信息更正公告，如未及时关注导致投标有误的，其责任由投标人自行承担。有关本次招标的事项若存在变动或修改，敬请及时关注“江苏省政府采购网”发布的信息更正公告。</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项目所属行业：根据《关于印发中小企业划型标准规定的通知》（工信部联企业〔2011〕300号）及《国家统计局关于印发&lt;统计上大中小微型企业划分办法（2017）&gt;的通知》（国统字〔2017〕213号）等文件规定，本项目所属行业为“其他未列明行业”。</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供应商涉及以下情形的，不适用信用承诺：</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①供应商被列入严重失信主体名单；</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②被相关监管部门作出行政处罚且尚在处罚有效期内；</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③其他法律、行政法规规定的不适用信用承诺的情形。</w:t>
      </w:r>
      <w:r>
        <w:rPr>
          <w:rFonts w:hint="eastAsia" w:ascii="宋体" w:hAnsi="宋体" w:eastAsia="宋体" w:cs="宋体"/>
          <w:color w:val="auto"/>
          <w:szCs w:val="21"/>
          <w:highlight w:val="none"/>
          <w:lang w:val="en-US" w:eastAsia="zh-CN"/>
        </w:rPr>
      </w:r>
      <w:r>
        <w:rPr>
          <w:color w:val="auto"/>
        </w:rPr>
      </w:r>
    </w:p>
    <w:p>
      <w:pPr>
        <w:pStyle w:val="95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rPr>
          <w:rFonts w:hint="eastAsia" w:ascii="宋体" w:hAnsi="宋体" w:eastAsia="宋体" w:cs="宋体"/>
          <w:color w:val="auto"/>
          <w:szCs w:val="21"/>
          <w:highlight w:val="none"/>
        </w:rPr>
      </w:pPr>
      <w:r>
        <w:rPr>
          <w:rFonts w:hint="eastAsia" w:ascii="宋体" w:hAnsi="宋体" w:eastAsia="宋体" w:cs="宋体"/>
          <w:b/>
          <w:color w:val="auto"/>
          <w:sz w:val="24"/>
          <w:highlight w:val="none"/>
        </w:rPr>
        <w:t xml:space="preserve">八、凡对本次采购提出询问，请按以下方式联系。</w:t>
      </w:r>
      <w:bookmarkEnd w:id="52"/>
      <w:r>
        <w:rPr>
          <w:color w:val="auto"/>
        </w:rPr>
      </w:r>
      <w:bookmarkEnd w:id="53"/>
      <w:r>
        <w:rPr>
          <w:color w:val="auto"/>
        </w:rPr>
      </w:r>
      <w:bookmarkEnd w:id="54"/>
      <w:r>
        <w:rPr>
          <w:color w:val="auto"/>
        </w:rPr>
      </w:r>
      <w:bookmarkEnd w:id="55"/>
      <w:r>
        <w:rPr>
          <w:rFonts w:hint="eastAsia" w:ascii="宋体" w:hAnsi="宋体" w:eastAsia="宋体" w:cs="宋体"/>
          <w:color w:val="auto"/>
          <w:szCs w:val="21"/>
          <w:highlight w:val="none"/>
        </w:rPr>
      </w:r>
      <w:r>
        <w:rPr>
          <w:color w:val="auto"/>
        </w:rPr>
      </w:r>
    </w:p>
    <w:p>
      <w:pPr>
        <w:pStyle w:val="899"/>
        <w:ind w:firstLine="210"/>
        <w:spacing w:line="360" w:lineRule="auto"/>
        <w:shd w:val="clear" w:color="auto" w:fill="auto"/>
        <w:rPr>
          <w:rFonts w:hint="eastAsia" w:ascii="宋体" w:hAnsi="宋体" w:eastAsia="宋体" w:cs="宋体"/>
          <w:color w:val="auto"/>
          <w:szCs w:val="21"/>
          <w:highlight w:val="none"/>
        </w:rPr>
      </w:pPr>
      <w:r>
        <w:rPr>
          <w:color w:val="auto"/>
        </w:rPr>
      </w:r>
      <w:bookmarkStart w:id="56" w:name="_Toc28359019"/>
      <w:r>
        <w:rPr>
          <w:color w:val="auto"/>
        </w:rPr>
      </w:r>
      <w:bookmarkStart w:id="57" w:name="_Toc35393806"/>
      <w:r>
        <w:rPr>
          <w:color w:val="auto"/>
        </w:rPr>
      </w:r>
      <w:bookmarkStart w:id="58" w:name="_Toc28359096"/>
      <w:r>
        <w:rPr>
          <w:color w:val="auto"/>
        </w:rPr>
      </w:r>
      <w:bookmarkStart w:id="59" w:name="_Toc35393637"/>
      <w:r>
        <w:rPr>
          <w:rFonts w:hint="eastAsia" w:ascii="宋体" w:hAnsi="宋体" w:eastAsia="宋体" w:cs="宋体"/>
          <w:color w:val="auto"/>
          <w:szCs w:val="21"/>
          <w:highlight w:val="none"/>
        </w:rPr>
        <w:t xml:space="preserve">1.采购人信息</w:t>
      </w:r>
      <w:bookmarkEnd w:id="56"/>
      <w:r>
        <w:rPr>
          <w:color w:val="auto"/>
        </w:rPr>
      </w:r>
      <w:bookmarkEnd w:id="57"/>
      <w:r>
        <w:rPr>
          <w:color w:val="auto"/>
        </w:rPr>
      </w:r>
      <w:bookmarkEnd w:id="58"/>
      <w:r>
        <w:rPr>
          <w:color w:val="auto"/>
        </w:rPr>
      </w:r>
      <w:bookmarkEnd w:id="59"/>
      <w:r>
        <w:rPr>
          <w:rFonts w:hint="eastAsia" w:ascii="宋体" w:hAnsi="宋体" w:eastAsia="宋体" w:cs="宋体"/>
          <w:color w:val="auto"/>
          <w:szCs w:val="21"/>
          <w:highlight w:val="none"/>
        </w:rPr>
      </w:r>
      <w:r>
        <w:rPr>
          <w:color w:val="auto"/>
        </w:rPr>
      </w:r>
    </w:p>
    <w:p>
      <w:pPr>
        <w:pStyle w:val="899"/>
        <w:ind w:firstLine="21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w:t>
      </w:r>
      <w:r>
        <w:rPr>
          <w:rFonts w:hint="eastAsia" w:ascii="宋体" w:hAnsi="宋体" w:eastAsia="宋体" w:cs="宋体"/>
          <w:color w:val="auto"/>
          <w:szCs w:val="21"/>
          <w:highlight w:val="none"/>
          <w:lang w:eastAsia="zh-CN"/>
        </w:rPr>
        <w:t xml:space="preserve">南京市江宁区人民政府东山街道办事处</w:t>
      </w:r>
      <w:r>
        <w:rPr>
          <w:rFonts w:hint="eastAsia" w:ascii="宋体" w:hAnsi="宋体" w:eastAsia="宋体" w:cs="宋体"/>
          <w:color w:val="auto"/>
          <w:szCs w:val="21"/>
          <w:highlight w:val="none"/>
        </w:rPr>
      </w:r>
      <w:r>
        <w:rPr>
          <w:color w:val="auto"/>
        </w:rPr>
      </w:r>
    </w:p>
    <w:p>
      <w:pPr>
        <w:pStyle w:val="899"/>
        <w:ind w:firstLine="21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采购单位地址：</w:t>
      </w:r>
      <w:r>
        <w:rPr>
          <w:rFonts w:hint="eastAsia" w:ascii="宋体" w:hAnsi="宋体" w:eastAsia="宋体" w:cs="宋体"/>
          <w:color w:val="auto"/>
          <w:szCs w:val="21"/>
          <w:highlight w:val="none"/>
          <w:lang w:eastAsia="zh-CN"/>
        </w:rPr>
        <w:t xml:space="preserve">南京市江宁区上元大街229号</w:t>
      </w:r>
      <w:r>
        <w:rPr>
          <w:rFonts w:hint="eastAsia" w:ascii="宋体" w:hAnsi="宋体" w:eastAsia="宋体" w:cs="宋体"/>
          <w:color w:val="auto"/>
          <w:szCs w:val="21"/>
          <w:highlight w:val="none"/>
          <w:lang w:eastAsia="zh-CN"/>
        </w:rPr>
      </w:r>
      <w:r>
        <w:rPr>
          <w:color w:val="auto"/>
        </w:rPr>
      </w:r>
    </w:p>
    <w:p>
      <w:pPr>
        <w:pStyle w:val="899"/>
        <w:ind w:firstLine="21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lang w:eastAsia="zh-CN"/>
        </w:rPr>
        <w:t xml:space="preserve">025-86111302</w:t>
      </w:r>
      <w:r>
        <w:rPr>
          <w:rFonts w:hint="eastAsia" w:ascii="宋体" w:hAnsi="宋体" w:eastAsia="宋体" w:cs="宋体"/>
          <w:color w:val="auto"/>
          <w:szCs w:val="21"/>
          <w:highlight w:val="none"/>
        </w:rPr>
      </w:r>
      <w:r>
        <w:rPr>
          <w:color w:val="auto"/>
        </w:rPr>
      </w:r>
    </w:p>
    <w:p>
      <w:pPr>
        <w:pStyle w:val="899"/>
        <w:ind w:firstLine="210"/>
        <w:spacing w:line="360" w:lineRule="auto"/>
        <w:shd w:val="clear" w:color="auto" w:fill="auto"/>
        <w:rPr>
          <w:rFonts w:hint="eastAsia" w:ascii="宋体" w:hAnsi="宋体" w:eastAsia="宋体" w:cs="宋体"/>
          <w:color w:val="auto"/>
          <w:szCs w:val="21"/>
          <w:highlight w:val="none"/>
        </w:rPr>
      </w:pPr>
      <w:r>
        <w:rPr>
          <w:color w:val="auto"/>
        </w:rPr>
      </w:r>
      <w:bookmarkStart w:id="60" w:name="_Toc28359097"/>
      <w:r>
        <w:rPr>
          <w:color w:val="auto"/>
        </w:rPr>
      </w:r>
      <w:bookmarkStart w:id="61" w:name="_Toc35393638"/>
      <w:r>
        <w:rPr>
          <w:color w:val="auto"/>
        </w:rPr>
      </w:r>
      <w:bookmarkStart w:id="62" w:name="_Toc35393807"/>
      <w:r>
        <w:rPr>
          <w:color w:val="auto"/>
        </w:rPr>
      </w:r>
      <w:bookmarkStart w:id="63" w:name="_Toc28359020"/>
      <w:r>
        <w:rPr>
          <w:rFonts w:hint="eastAsia" w:ascii="宋体" w:hAnsi="宋体" w:eastAsia="宋体" w:cs="宋体"/>
          <w:color w:val="auto"/>
          <w:szCs w:val="21"/>
          <w:highlight w:val="none"/>
        </w:rPr>
        <w:t xml:space="preserve">2.采购代理机构信息</w:t>
      </w:r>
      <w:bookmarkEnd w:id="60"/>
      <w:r>
        <w:rPr>
          <w:color w:val="auto"/>
        </w:rPr>
      </w:r>
      <w:bookmarkEnd w:id="61"/>
      <w:r>
        <w:rPr>
          <w:color w:val="auto"/>
        </w:rPr>
      </w:r>
      <w:bookmarkEnd w:id="62"/>
      <w:r>
        <w:rPr>
          <w:color w:val="auto"/>
        </w:rPr>
      </w:r>
      <w:bookmarkEnd w:id="63"/>
      <w:r>
        <w:rPr>
          <w:rFonts w:hint="eastAsia" w:ascii="宋体" w:hAnsi="宋体" w:eastAsia="宋体" w:cs="宋体"/>
          <w:color w:val="auto"/>
          <w:szCs w:val="21"/>
          <w:highlight w:val="none"/>
        </w:rPr>
      </w:r>
      <w:r>
        <w:rPr>
          <w:color w:val="auto"/>
        </w:rPr>
      </w:r>
    </w:p>
    <w:p>
      <w:pPr>
        <w:pStyle w:val="899"/>
        <w:ind w:firstLine="21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lang w:eastAsia="zh-CN"/>
        </w:rPr>
        <w:t xml:space="preserve">南京华涵工程建设项目管理咨询有限公司</w:t>
      </w:r>
      <w:r>
        <w:rPr>
          <w:rFonts w:hint="eastAsia" w:ascii="宋体" w:hAnsi="宋体" w:eastAsia="宋体" w:cs="宋体"/>
          <w:color w:val="auto"/>
          <w:szCs w:val="21"/>
          <w:highlight w:val="none"/>
        </w:rPr>
      </w:r>
      <w:r>
        <w:rPr>
          <w:color w:val="auto"/>
        </w:rPr>
      </w:r>
    </w:p>
    <w:p>
      <w:pPr>
        <w:pStyle w:val="899"/>
        <w:ind w:firstLine="21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b w:val="0"/>
          <w:bCs w:val="0"/>
          <w:color w:val="auto"/>
          <w:sz w:val="21"/>
          <w:szCs w:val="21"/>
          <w:highlight w:val="none"/>
          <w:lang w:val="en-US" w:eastAsia="zh-CN" w:bidi="ar-SA"/>
        </w:rPr>
        <w:t xml:space="preserve">南京市江宁区通联路9号联东U谷二期17栋102-3楼</w:t>
      </w:r>
      <w:r>
        <w:rPr>
          <w:rFonts w:hint="eastAsia" w:ascii="宋体" w:hAnsi="宋体" w:eastAsia="宋体" w:cs="宋体"/>
          <w:color w:val="auto"/>
          <w:szCs w:val="21"/>
          <w:highlight w:val="none"/>
        </w:rPr>
      </w:r>
      <w:r>
        <w:rPr>
          <w:color w:val="auto"/>
        </w:rPr>
      </w:r>
    </w:p>
    <w:p>
      <w:pPr>
        <w:pStyle w:val="899"/>
        <w:ind w:firstLine="21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val="en-US" w:eastAsia="zh-CN"/>
        </w:rPr>
        <w:t xml:space="preserve">15850615364</w:t>
      </w:r>
      <w:r>
        <w:rPr>
          <w:rFonts w:hint="eastAsia" w:ascii="宋体" w:hAnsi="宋体" w:eastAsia="宋体" w:cs="宋体"/>
          <w:color w:val="auto"/>
          <w:szCs w:val="21"/>
          <w:highlight w:val="none"/>
          <w:lang w:val="en-US" w:eastAsia="zh-CN"/>
        </w:rPr>
      </w:r>
      <w:r>
        <w:rPr>
          <w:color w:val="auto"/>
        </w:rPr>
      </w:r>
    </w:p>
    <w:p>
      <w:pPr>
        <w:pStyle w:val="899"/>
        <w:ind w:firstLine="210"/>
        <w:spacing w:line="360" w:lineRule="auto"/>
        <w:shd w:val="clear" w:color="auto" w:fill="auto"/>
        <w:rPr>
          <w:rFonts w:hint="eastAsia" w:ascii="宋体" w:hAnsi="宋体" w:eastAsia="宋体" w:cs="宋体"/>
          <w:color w:val="auto"/>
          <w:szCs w:val="21"/>
          <w:highlight w:val="none"/>
        </w:rPr>
      </w:pPr>
      <w:r>
        <w:rPr>
          <w:color w:val="auto"/>
        </w:rPr>
      </w:r>
      <w:bookmarkStart w:id="64" w:name="_Toc28359021"/>
      <w:r>
        <w:rPr>
          <w:color w:val="auto"/>
        </w:rPr>
      </w:r>
      <w:bookmarkStart w:id="65" w:name="_Toc35393639"/>
      <w:r>
        <w:rPr>
          <w:color w:val="auto"/>
        </w:rPr>
      </w:r>
      <w:bookmarkStart w:id="66" w:name="_Toc35393808"/>
      <w:r>
        <w:rPr>
          <w:color w:val="auto"/>
        </w:rPr>
      </w:r>
      <w:bookmarkStart w:id="67" w:name="_Toc28359098"/>
      <w:r>
        <w:rPr>
          <w:rFonts w:hint="eastAsia" w:ascii="宋体" w:hAnsi="宋体" w:eastAsia="宋体" w:cs="宋体"/>
          <w:color w:val="auto"/>
          <w:szCs w:val="21"/>
          <w:highlight w:val="none"/>
        </w:rPr>
        <w:t xml:space="preserve">3.项目联系方式</w:t>
      </w:r>
      <w:bookmarkEnd w:id="64"/>
      <w:r>
        <w:rPr>
          <w:color w:val="auto"/>
        </w:rPr>
      </w:r>
      <w:bookmarkEnd w:id="65"/>
      <w:r>
        <w:rPr>
          <w:color w:val="auto"/>
        </w:rPr>
      </w:r>
      <w:bookmarkEnd w:id="66"/>
      <w:r>
        <w:rPr>
          <w:color w:val="auto"/>
        </w:rPr>
      </w:r>
      <w:bookmarkEnd w:id="67"/>
      <w:r>
        <w:rPr>
          <w:rFonts w:hint="eastAsia" w:ascii="宋体" w:hAnsi="宋体" w:eastAsia="宋体" w:cs="宋体"/>
          <w:color w:val="auto"/>
          <w:szCs w:val="21"/>
          <w:highlight w:val="none"/>
        </w:rPr>
      </w:r>
      <w:r>
        <w:rPr>
          <w:color w:val="auto"/>
        </w:rPr>
      </w:r>
    </w:p>
    <w:p>
      <w:pPr>
        <w:pStyle w:val="899"/>
        <w:ind w:firstLine="21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项目联系人：</w:t>
      </w:r>
      <w:r>
        <w:rPr>
          <w:rFonts w:hint="eastAsia" w:ascii="宋体" w:hAnsi="宋体" w:eastAsia="宋体" w:cs="宋体"/>
          <w:color w:val="auto"/>
          <w:szCs w:val="21"/>
          <w:highlight w:val="none"/>
          <w:lang w:val="en-US" w:eastAsia="zh-CN"/>
        </w:rPr>
        <w:t xml:space="preserve">李</w:t>
      </w:r>
      <w:r>
        <w:rPr>
          <w:rFonts w:hint="eastAsia" w:ascii="宋体" w:hAnsi="宋体" w:eastAsia="宋体" w:cs="宋体"/>
          <w:color w:val="auto"/>
          <w:szCs w:val="21"/>
          <w:highlight w:val="none"/>
          <w:lang w:eastAsia="zh-CN"/>
        </w:rPr>
        <w:t xml:space="preserve">工</w:t>
      </w:r>
      <w:r>
        <w:rPr>
          <w:rFonts w:hint="eastAsia" w:ascii="宋体" w:hAnsi="宋体" w:eastAsia="宋体" w:cs="宋体"/>
          <w:color w:val="auto"/>
          <w:szCs w:val="21"/>
          <w:highlight w:val="none"/>
          <w:lang w:val="en-US" w:eastAsia="zh-CN"/>
        </w:rPr>
        <w:t xml:space="preserve">  15850615364</w:t>
      </w:r>
      <w:r>
        <w:rPr>
          <w:rFonts w:hint="eastAsia" w:ascii="宋体" w:hAnsi="宋体" w:eastAsia="宋体" w:cs="宋体"/>
          <w:color w:val="auto"/>
          <w:szCs w:val="21"/>
          <w:highlight w:val="none"/>
          <w:lang w:val="en-US" w:eastAsia="zh-CN"/>
        </w:rPr>
      </w:r>
      <w:r>
        <w:rPr>
          <w:color w:val="auto"/>
        </w:rPr>
      </w:r>
    </w:p>
    <w:p>
      <w:pPr>
        <w:pStyle w:val="899"/>
        <w:ind w:firstLine="630"/>
        <w:pageBreakBefore w:val="0"/>
        <w:spacing w:line="240"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r>
      <w:r>
        <w:rPr>
          <w:color w:val="auto"/>
        </w:rPr>
      </w:r>
    </w:p>
    <w:p>
      <w:pPr>
        <w:pStyle w:val="899"/>
        <w:jc w:val="center"/>
        <w:spacing w:before="156" w:after="156" w:line="460" w:lineRule="exact"/>
        <w:rPr>
          <w:rFonts w:hint="eastAsia" w:ascii="宋体" w:hAnsi="宋体" w:eastAsia="宋体" w:cs="宋体"/>
          <w:color w:val="auto"/>
          <w:sz w:val="30"/>
          <w:szCs w:val="30"/>
          <w:highlight w:val="none"/>
        </w:rPr>
        <w:outlineLvl w:val="0"/>
      </w:pPr>
      <w:r>
        <w:rPr>
          <w:color w:val="auto"/>
        </w:rPr>
      </w:r>
      <w:bookmarkStart w:id="68" w:name="_Toc11159"/>
      <w:r>
        <w:rPr>
          <w:color w:val="auto"/>
        </w:rPr>
      </w:r>
      <w:bookmarkStart w:id="69" w:name="_Toc4835"/>
      <w:r>
        <w:rPr>
          <w:color w:val="auto"/>
        </w:rPr>
      </w:r>
      <w:bookmarkStart w:id="70" w:name="_Toc3663"/>
      <w:r>
        <w:rPr>
          <w:color w:val="auto"/>
        </w:rPr>
      </w:r>
      <w:bookmarkStart w:id="71" w:name="_Toc10849"/>
      <w:r>
        <w:rPr>
          <w:color w:val="auto"/>
        </w:rPr>
      </w:r>
      <w:bookmarkStart w:id="72" w:name="_Toc24440"/>
      <w:r>
        <w:rPr>
          <w:color w:val="auto"/>
        </w:rPr>
      </w:r>
      <w:bookmarkStart w:id="73" w:name="_Toc6289"/>
      <w:r>
        <w:rPr>
          <w:color w:val="auto"/>
        </w:rPr>
      </w:r>
      <w:bookmarkStart w:id="74" w:name="_Toc504141736"/>
      <w:r>
        <w:rPr>
          <w:color w:val="auto"/>
        </w:rPr>
      </w:r>
      <w:bookmarkStart w:id="75" w:name="_Toc26743"/>
      <w:r>
        <w:rPr>
          <w:color w:val="auto"/>
        </w:rPr>
      </w:r>
      <w:bookmarkStart w:id="76" w:name="_Toc16475"/>
      <w:r>
        <w:rPr>
          <w:color w:val="auto"/>
        </w:rPr>
      </w:r>
      <w:bookmarkStart w:id="77" w:name="_Toc14061"/>
      <w:r>
        <w:rPr>
          <w:color w:val="auto"/>
        </w:rPr>
      </w:r>
      <w:bookmarkStart w:id="78" w:name="_Toc3015"/>
      <w:r>
        <w:rPr>
          <w:color w:val="auto"/>
        </w:rPr>
      </w:r>
      <w:bookmarkStart w:id="79" w:name="_Toc28132"/>
      <w:r>
        <w:rPr>
          <w:rFonts w:hint="eastAsia" w:ascii="宋体" w:hAnsi="宋体" w:eastAsia="宋体" w:cs="宋体"/>
          <w:color w:val="auto"/>
          <w:sz w:val="30"/>
          <w:szCs w:val="30"/>
          <w:highlight w:val="none"/>
        </w:rPr>
        <w:br w:type="page" w:clear="all"/>
      </w:r>
      <w:bookmarkStart w:id="80" w:name="_Toc7510"/>
      <w:r>
        <w:rPr>
          <w:color w:val="auto"/>
        </w:rPr>
      </w:r>
      <w:bookmarkStart w:id="81" w:name="_Toc17244"/>
      <w:r>
        <w:rPr>
          <w:color w:val="auto"/>
        </w:rPr>
      </w:r>
      <w:bookmarkStart w:id="82" w:name="_Toc26996"/>
      <w:r>
        <w:rPr>
          <w:color w:val="auto"/>
        </w:rPr>
      </w:r>
      <w:bookmarkStart w:id="83" w:name="_Toc6909"/>
      <w:r>
        <w:rPr>
          <w:color w:val="auto"/>
        </w:rPr>
      </w:r>
      <w:bookmarkStart w:id="84" w:name="_Toc4746"/>
      <w:r>
        <w:rPr>
          <w:color w:val="auto"/>
        </w:rPr>
      </w:r>
      <w:bookmarkStart w:id="85" w:name="_Toc7636"/>
      <w:r>
        <w:rPr>
          <w:color w:val="auto"/>
        </w:rPr>
      </w:r>
      <w:bookmarkStart w:id="86" w:name="_Toc26601"/>
      <w:r>
        <w:rPr>
          <w:color w:val="auto"/>
        </w:rPr>
      </w:r>
      <w:bookmarkStart w:id="87" w:name="_Toc31780"/>
      <w:r>
        <w:rPr>
          <w:color w:val="auto"/>
        </w:rPr>
      </w:r>
      <w:bookmarkStart w:id="88" w:name="_Toc29693"/>
      <w:r>
        <w:rPr>
          <w:color w:val="auto"/>
        </w:rPr>
      </w:r>
      <w:bookmarkStart w:id="89" w:name="_Toc32520"/>
      <w:r>
        <w:rPr>
          <w:color w:val="auto"/>
        </w:rPr>
      </w:r>
      <w:bookmarkStart w:id="90" w:name="_Toc4324"/>
      <w:r>
        <w:rPr>
          <w:color w:val="auto"/>
        </w:rPr>
      </w:r>
      <w:bookmarkStart w:id="91" w:name="_Toc3359"/>
      <w:r>
        <w:rPr>
          <w:color w:val="auto"/>
        </w:rPr>
      </w:r>
      <w:bookmarkStart w:id="92" w:name="_Toc17287"/>
      <w:r>
        <w:rPr>
          <w:color w:val="auto"/>
        </w:rPr>
      </w:r>
      <w:bookmarkStart w:id="93" w:name="_Toc26574"/>
      <w:r>
        <w:rPr>
          <w:color w:val="auto"/>
        </w:rPr>
      </w:r>
      <w:bookmarkStart w:id="94" w:name="_Toc31135"/>
      <w:r>
        <w:rPr>
          <w:color w:val="auto"/>
        </w:rPr>
      </w:r>
      <w:bookmarkStart w:id="95" w:name="_Toc12179"/>
      <w:r>
        <w:rPr>
          <w:color w:val="auto"/>
        </w:rPr>
      </w:r>
      <w:bookmarkStart w:id="96" w:name="_Toc15981"/>
      <w:r>
        <w:rPr>
          <w:rFonts w:hint="eastAsia" w:ascii="宋体" w:hAnsi="宋体" w:eastAsia="宋体" w:cs="宋体"/>
          <w:color w:val="auto"/>
          <w:sz w:val="30"/>
          <w:szCs w:val="30"/>
          <w:highlight w:val="none"/>
        </w:rPr>
        <w:t xml:space="preserve">第二章  竞争性磋商须知</w:t>
      </w:r>
      <w:bookmarkEnd w:id="68"/>
      <w:r>
        <w:rPr>
          <w:color w:val="auto"/>
        </w:rPr>
      </w:r>
      <w:bookmarkEnd w:id="69"/>
      <w:r>
        <w:rPr>
          <w:color w:val="auto"/>
        </w:rPr>
      </w:r>
      <w:bookmarkEnd w:id="70"/>
      <w:r>
        <w:rPr>
          <w:color w:val="auto"/>
        </w:rPr>
      </w:r>
      <w:bookmarkEnd w:id="71"/>
      <w:r>
        <w:rPr>
          <w:color w:val="auto"/>
        </w:rPr>
      </w:r>
      <w:bookmarkEnd w:id="72"/>
      <w:r>
        <w:rPr>
          <w:color w:val="auto"/>
        </w:rPr>
      </w:r>
      <w:bookmarkEnd w:id="73"/>
      <w:r>
        <w:rPr>
          <w:color w:val="auto"/>
        </w:rPr>
      </w:r>
      <w:bookmarkEnd w:id="74"/>
      <w:r>
        <w:rPr>
          <w:color w:val="auto"/>
        </w:rPr>
      </w:r>
      <w:bookmarkEnd w:id="75"/>
      <w:r>
        <w:rPr>
          <w:color w:val="auto"/>
        </w:rPr>
      </w:r>
      <w:bookmarkEnd w:id="76"/>
      <w:r>
        <w:rPr>
          <w:color w:val="auto"/>
        </w:rPr>
      </w:r>
      <w:bookmarkEnd w:id="77"/>
      <w:r>
        <w:rPr>
          <w:color w:val="auto"/>
        </w:rPr>
      </w:r>
      <w:bookmarkEnd w:id="78"/>
      <w:r>
        <w:rPr>
          <w:color w:val="auto"/>
        </w:rPr>
      </w:r>
      <w:bookmarkEnd w:id="79"/>
      <w:r>
        <w:rPr>
          <w:color w:val="auto"/>
        </w:rPr>
      </w:r>
      <w:bookmarkEnd w:id="80"/>
      <w:r>
        <w:rPr>
          <w:color w:val="auto"/>
        </w:rPr>
      </w:r>
      <w:bookmarkEnd w:id="81"/>
      <w:r>
        <w:rPr>
          <w:color w:val="auto"/>
        </w:rPr>
      </w:r>
      <w:bookmarkEnd w:id="82"/>
      <w:r>
        <w:rPr>
          <w:color w:val="auto"/>
        </w:rPr>
      </w:r>
      <w:bookmarkEnd w:id="83"/>
      <w:r>
        <w:rPr>
          <w:color w:val="auto"/>
        </w:rPr>
      </w:r>
      <w:bookmarkEnd w:id="84"/>
      <w:r>
        <w:rPr>
          <w:color w:val="auto"/>
        </w:rPr>
      </w:r>
      <w:bookmarkEnd w:id="85"/>
      <w:r>
        <w:rPr>
          <w:color w:val="auto"/>
        </w:rPr>
      </w:r>
      <w:bookmarkEnd w:id="86"/>
      <w:r>
        <w:rPr>
          <w:color w:val="auto"/>
        </w:rPr>
      </w:r>
      <w:bookmarkEnd w:id="87"/>
      <w:r>
        <w:rPr>
          <w:color w:val="auto"/>
        </w:rPr>
      </w:r>
      <w:bookmarkEnd w:id="88"/>
      <w:r>
        <w:rPr>
          <w:color w:val="auto"/>
        </w:rPr>
      </w:r>
      <w:bookmarkEnd w:id="89"/>
      <w:r>
        <w:rPr>
          <w:color w:val="auto"/>
        </w:rPr>
      </w:r>
      <w:bookmarkEnd w:id="90"/>
      <w:r>
        <w:rPr>
          <w:color w:val="auto"/>
        </w:rPr>
      </w:r>
      <w:bookmarkEnd w:id="91"/>
      <w:r>
        <w:rPr>
          <w:color w:val="auto"/>
        </w:rPr>
      </w:r>
      <w:bookmarkEnd w:id="92"/>
      <w:r>
        <w:rPr>
          <w:color w:val="auto"/>
        </w:rPr>
      </w:r>
      <w:bookmarkEnd w:id="93"/>
      <w:r>
        <w:rPr>
          <w:color w:val="auto"/>
        </w:rPr>
      </w:r>
      <w:bookmarkEnd w:id="94"/>
      <w:r>
        <w:rPr>
          <w:color w:val="auto"/>
        </w:rPr>
      </w:r>
      <w:bookmarkEnd w:id="95"/>
      <w:r>
        <w:rPr>
          <w:color w:val="auto"/>
        </w:rPr>
      </w:r>
      <w:bookmarkEnd w:id="96"/>
      <w:r>
        <w:rPr>
          <w:rFonts w:hint="eastAsia" w:ascii="宋体" w:hAnsi="宋体" w:eastAsia="宋体" w:cs="宋体"/>
          <w:color w:val="auto"/>
          <w:sz w:val="30"/>
          <w:szCs w:val="30"/>
          <w:highlight w:val="none"/>
        </w:rPr>
      </w:r>
      <w:r>
        <w:rPr>
          <w:color w:val="auto"/>
        </w:rPr>
      </w:r>
    </w:p>
    <w:p>
      <w:pPr>
        <w:pStyle w:val="899"/>
        <w:ind w:firstLine="420"/>
        <w:rPr>
          <w:rFonts w:hint="eastAsia" w:ascii="宋体" w:hAnsi="宋体" w:eastAsia="宋体" w:cs="宋体"/>
          <w:color w:val="auto"/>
          <w:szCs w:val="21"/>
          <w:highlight w:val="none"/>
        </w:rPr>
      </w:pPr>
      <w:r>
        <w:rPr>
          <w:color w:val="auto"/>
        </w:rPr>
      </w:r>
      <w:bookmarkStart w:id="97" w:name="_Toc11826"/>
      <w:r>
        <w:rPr>
          <w:color w:val="auto"/>
        </w:rPr>
      </w:r>
      <w:bookmarkStart w:id="98" w:name="_Toc32136"/>
      <w:r>
        <w:rPr>
          <w:color w:val="auto"/>
        </w:rPr>
      </w:r>
      <w:bookmarkStart w:id="99" w:name="_Toc2932"/>
      <w:r>
        <w:rPr>
          <w:color w:val="auto"/>
        </w:rPr>
      </w:r>
      <w:bookmarkStart w:id="100" w:name="_Toc11048"/>
      <w:r>
        <w:rPr>
          <w:color w:val="auto"/>
        </w:rPr>
      </w:r>
      <w:bookmarkStart w:id="101" w:name="_Toc504141737"/>
      <w:r>
        <w:rPr>
          <w:color w:val="auto"/>
        </w:rPr>
      </w:r>
      <w:bookmarkStart w:id="102" w:name="_Toc10178"/>
      <w:r>
        <w:rPr>
          <w:color w:val="auto"/>
        </w:rPr>
      </w:r>
      <w:bookmarkStart w:id="103" w:name="_Toc8989"/>
      <w:r>
        <w:rPr>
          <w:color w:val="auto"/>
        </w:rPr>
      </w:r>
      <w:bookmarkStart w:id="104" w:name="_Toc28353"/>
      <w:r>
        <w:rPr>
          <w:color w:val="auto"/>
        </w:rPr>
      </w:r>
      <w:bookmarkStart w:id="105" w:name="_Toc18735"/>
      <w:r>
        <w:rPr>
          <w:color w:val="auto"/>
        </w:rPr>
      </w:r>
      <w:bookmarkStart w:id="106" w:name="_Toc22366"/>
      <w:r>
        <w:rPr>
          <w:color w:val="auto"/>
        </w:rPr>
      </w:r>
      <w:bookmarkStart w:id="107" w:name="_Toc32753"/>
      <w:r>
        <w:rPr>
          <w:color w:val="auto"/>
        </w:rPr>
      </w:r>
      <w:bookmarkStart w:id="108" w:name="_Toc24504"/>
      <w:r>
        <w:rPr>
          <w:rFonts w:hint="eastAsia" w:ascii="宋体" w:hAnsi="宋体" w:eastAsia="宋体" w:cs="宋体"/>
          <w:color w:val="auto"/>
          <w:szCs w:val="21"/>
          <w:highlight w:val="none"/>
          <w:lang w:eastAsia="zh-CN"/>
        </w:rPr>
        <w:t xml:space="preserve">南京华涵工程建设项目管理咨询有限公司</w:t>
      </w:r>
      <w:r>
        <w:rPr>
          <w:rFonts w:hint="eastAsia" w:ascii="宋体" w:hAnsi="宋体" w:eastAsia="宋体" w:cs="宋体"/>
          <w:color w:val="auto"/>
          <w:szCs w:val="21"/>
          <w:highlight w:val="none"/>
          <w:lang w:val="zh-CN"/>
        </w:rPr>
        <w:t xml:space="preserve">（采购代理机构）受南京市江宁区人民政府东山街道办事处（采购人）委托，对</w:t>
      </w:r>
      <w:r>
        <w:rPr>
          <w:rFonts w:hint="eastAsia" w:ascii="宋体" w:hAnsi="宋体" w:eastAsia="宋体" w:cs="宋体"/>
          <w:color w:val="auto"/>
          <w:sz w:val="21"/>
          <w:szCs w:val="21"/>
          <w:highlight w:val="none"/>
          <w:lang w:eastAsia="zh-CN"/>
        </w:rPr>
        <w:t xml:space="preserve">东山街道大马涵</w:t>
      </w:r>
      <w:r>
        <w:rPr>
          <w:rFonts w:hint="eastAsia" w:ascii="宋体" w:hAnsi="宋体" w:eastAsia="宋体" w:cs="宋体"/>
          <w:color w:val="auto"/>
          <w:sz w:val="21"/>
          <w:szCs w:val="21"/>
          <w:highlight w:val="none"/>
          <w:lang w:val="en-US" w:eastAsia="zh-CN"/>
        </w:rPr>
        <w:t xml:space="preserve">泵站</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eastAsia="zh-CN"/>
        </w:rPr>
        <w:t xml:space="preserve">座</w:t>
      </w:r>
      <w:r>
        <w:rPr>
          <w:rFonts w:hint="eastAsia" w:ascii="宋体" w:hAnsi="宋体" w:eastAsia="宋体" w:cs="宋体"/>
          <w:color w:val="auto"/>
          <w:sz w:val="21"/>
          <w:szCs w:val="21"/>
          <w:highlight w:val="none"/>
          <w:lang w:val="en-US" w:eastAsia="zh-CN"/>
        </w:rPr>
        <w:t xml:space="preserve">雨水</w:t>
      </w:r>
      <w:r>
        <w:rPr>
          <w:rFonts w:hint="eastAsia" w:ascii="宋体" w:hAnsi="宋体" w:eastAsia="宋体" w:cs="宋体"/>
          <w:color w:val="auto"/>
          <w:sz w:val="21"/>
          <w:szCs w:val="21"/>
          <w:highlight w:val="none"/>
          <w:lang w:eastAsia="zh-CN"/>
        </w:rPr>
        <w:t xml:space="preserve">泵站维保</w:t>
      </w:r>
      <w:r>
        <w:rPr>
          <w:rFonts w:hint="eastAsia" w:ascii="宋体" w:hAnsi="宋体" w:eastAsia="宋体" w:cs="宋体"/>
          <w:color w:val="auto"/>
          <w:szCs w:val="21"/>
          <w:highlight w:val="none"/>
          <w:lang w:val="zh-CN"/>
        </w:rPr>
        <w:t xml:space="preserve">（项目名称）进行竞争性磋商采购，兹邀请符合条件的供应商参与投标，相关信息如下：</w:t>
      </w:r>
      <w:r>
        <w:rPr>
          <w:rFonts w:hint="eastAsia" w:ascii="宋体" w:hAnsi="宋体" w:eastAsia="宋体" w:cs="宋体"/>
          <w:color w:val="auto"/>
          <w:szCs w:val="21"/>
          <w:highlight w:val="none"/>
          <w:lang w:val="zh-CN"/>
        </w:rPr>
      </w:r>
      <w:r>
        <w:rPr>
          <w:color w:val="auto"/>
        </w:rPr>
      </w:r>
    </w:p>
    <w:tbl>
      <w:tblPr>
        <w:tblW w:w="0" w:type="auto"/>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425"/>
        </w:trPr>
        <w:tc>
          <w:tcPr>
            <w:tcW w:w="720" w:type="dxa"/>
            <w:vAlign w:val="center"/>
            <w:textDirection w:val="lrTb"/>
            <w:noWrap w:val="false"/>
          </w:tcPr>
          <w:p>
            <w:pPr>
              <w:pStyle w:val="899"/>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rPr>
                <w:rFonts w:hint="eastAsia" w:ascii="宋体" w:hAnsi="宋体" w:eastAsia="宋体" w:cs="宋体"/>
                <w:b/>
                <w:color w:val="auto"/>
                <w:sz w:val="21"/>
                <w:szCs w:val="21"/>
                <w:highlight w:val="none"/>
              </w:rPr>
            </w:r>
            <w:r>
              <w:rPr>
                <w:color w:val="auto"/>
              </w:rPr>
            </w:r>
          </w:p>
        </w:tc>
        <w:tc>
          <w:tcPr>
            <w:gridSpan w:val="2"/>
            <w:tcW w:w="1980" w:type="dxa"/>
            <w:vAlign w:val="center"/>
            <w:textDirection w:val="lrTb"/>
            <w:noWrap w:val="false"/>
          </w:tcPr>
          <w:p>
            <w:pPr>
              <w:pStyle w:val="899"/>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  目</w:t>
            </w:r>
            <w:r>
              <w:rPr>
                <w:rFonts w:hint="eastAsia" w:ascii="宋体" w:hAnsi="宋体" w:eastAsia="宋体" w:cs="宋体"/>
                <w:b/>
                <w:color w:val="auto"/>
                <w:sz w:val="21"/>
                <w:szCs w:val="21"/>
                <w:highlight w:val="none"/>
              </w:rPr>
            </w:r>
            <w:r>
              <w:rPr>
                <w:color w:val="auto"/>
              </w:rPr>
            </w:r>
          </w:p>
        </w:tc>
        <w:tc>
          <w:tcPr>
            <w:gridSpan w:val="2"/>
            <w:tcW w:w="6150" w:type="dxa"/>
            <w:vAlign w:val="center"/>
            <w:textDirection w:val="lrTb"/>
            <w:noWrap w:val="false"/>
          </w:tcPr>
          <w:p>
            <w:pPr>
              <w:pStyle w:val="899"/>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         容</w:t>
            </w:r>
            <w:r>
              <w:rPr>
                <w:rFonts w:hint="eastAsia" w:ascii="宋体" w:hAnsi="宋体" w:eastAsia="宋体" w:cs="宋体"/>
                <w:b/>
                <w:color w:val="auto"/>
                <w:sz w:val="21"/>
                <w:szCs w:val="21"/>
                <w:highlight w:val="none"/>
              </w:rPr>
            </w:r>
            <w:r>
              <w:rPr>
                <w:color w:val="auto"/>
              </w:rPr>
            </w:r>
          </w:p>
        </w:tc>
      </w:tr>
      <w:tr>
        <w:trPr>
          <w:trHeight w:val="425"/>
        </w:trPr>
        <w:tc>
          <w:tcPr>
            <w:tcW w:w="72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r>
            <w:r>
              <w:rPr>
                <w:color w:val="auto"/>
              </w:rPr>
            </w:r>
          </w:p>
        </w:tc>
        <w:tc>
          <w:tcPr>
            <w:gridSpan w:val="2"/>
            <w:tcW w:w="198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rPr>
            </w:r>
            <w:r>
              <w:rPr>
                <w:color w:val="auto"/>
              </w:rPr>
            </w:r>
          </w:p>
        </w:tc>
        <w:tc>
          <w:tcPr>
            <w:gridSpan w:val="2"/>
            <w:tcW w:w="615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JSZC-320115-HHJS-C2026-0001</w:t>
            </w:r>
            <w:r>
              <w:rPr>
                <w:rFonts w:hint="eastAsia" w:ascii="宋体" w:hAnsi="宋体" w:eastAsia="宋体" w:cs="宋体"/>
                <w:color w:val="auto"/>
                <w:sz w:val="21"/>
                <w:szCs w:val="21"/>
                <w:highlight w:val="none"/>
                <w:lang w:eastAsia="zh-CN"/>
              </w:rPr>
            </w:r>
            <w:r>
              <w:rPr>
                <w:color w:val="auto"/>
              </w:rPr>
            </w:r>
          </w:p>
        </w:tc>
      </w:tr>
      <w:tr>
        <w:trPr>
          <w:trHeight w:val="425"/>
        </w:trPr>
        <w:tc>
          <w:tcPr>
            <w:tcW w:w="72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r>
            <w:r>
              <w:rPr>
                <w:color w:val="auto"/>
              </w:rPr>
            </w:r>
          </w:p>
        </w:tc>
        <w:tc>
          <w:tcPr>
            <w:gridSpan w:val="2"/>
            <w:tcW w:w="198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rPr>
            </w:r>
            <w:r>
              <w:rPr>
                <w:color w:val="auto"/>
              </w:rPr>
            </w:r>
          </w:p>
        </w:tc>
        <w:tc>
          <w:tcPr>
            <w:gridSpan w:val="2"/>
            <w:tcW w:w="615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东山街道大马涵</w:t>
            </w:r>
            <w:r>
              <w:rPr>
                <w:rFonts w:hint="eastAsia" w:ascii="宋体" w:hAnsi="宋体" w:eastAsia="宋体" w:cs="宋体"/>
                <w:color w:val="auto"/>
                <w:sz w:val="21"/>
                <w:szCs w:val="21"/>
                <w:highlight w:val="none"/>
                <w:lang w:val="en-US" w:eastAsia="zh-CN"/>
              </w:rPr>
              <w:t xml:space="preserve">泵站</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eastAsia="zh-CN"/>
              </w:rPr>
              <w:t xml:space="preserve">座</w:t>
            </w:r>
            <w:r>
              <w:rPr>
                <w:rFonts w:hint="eastAsia" w:ascii="宋体" w:hAnsi="宋体" w:eastAsia="宋体" w:cs="宋体"/>
                <w:color w:val="auto"/>
                <w:sz w:val="21"/>
                <w:szCs w:val="21"/>
                <w:highlight w:val="none"/>
                <w:lang w:val="en-US" w:eastAsia="zh-CN"/>
              </w:rPr>
              <w:t xml:space="preserve">雨水</w:t>
            </w:r>
            <w:r>
              <w:rPr>
                <w:rFonts w:hint="eastAsia" w:ascii="宋体" w:hAnsi="宋体" w:eastAsia="宋体" w:cs="宋体"/>
                <w:color w:val="auto"/>
                <w:sz w:val="21"/>
                <w:szCs w:val="21"/>
                <w:highlight w:val="none"/>
                <w:lang w:eastAsia="zh-CN"/>
              </w:rPr>
              <w:t xml:space="preserve">泵站维保</w:t>
            </w:r>
            <w:r>
              <w:rPr>
                <w:rFonts w:hint="eastAsia" w:ascii="宋体" w:hAnsi="宋体" w:eastAsia="宋体" w:cs="宋体"/>
                <w:color w:val="auto"/>
                <w:sz w:val="21"/>
                <w:szCs w:val="21"/>
                <w:highlight w:val="none"/>
                <w:lang w:eastAsia="zh-CN"/>
              </w:rPr>
            </w:r>
            <w:r>
              <w:rPr>
                <w:color w:val="auto"/>
              </w:rPr>
            </w:r>
          </w:p>
        </w:tc>
      </w:tr>
      <w:tr>
        <w:trPr>
          <w:trHeight w:val="425"/>
        </w:trPr>
        <w:tc>
          <w:tcPr>
            <w:tcW w:w="72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r>
            <w:r>
              <w:rPr>
                <w:color w:val="auto"/>
              </w:rPr>
            </w:r>
          </w:p>
        </w:tc>
        <w:tc>
          <w:tcPr>
            <w:gridSpan w:val="2"/>
            <w:tcW w:w="198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w:t>
            </w:r>
            <w:r>
              <w:rPr>
                <w:rFonts w:hint="eastAsia" w:ascii="宋体" w:hAnsi="宋体" w:eastAsia="宋体" w:cs="宋体"/>
                <w:color w:val="auto"/>
                <w:sz w:val="21"/>
                <w:szCs w:val="21"/>
                <w:highlight w:val="none"/>
              </w:rPr>
            </w:r>
            <w:r>
              <w:rPr>
                <w:color w:val="auto"/>
              </w:rPr>
            </w:r>
          </w:p>
        </w:tc>
        <w:tc>
          <w:tcPr>
            <w:gridSpan w:val="2"/>
            <w:tcW w:w="615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eastAsia="zh-CN"/>
              </w:rPr>
              <w:t xml:space="preserve">南京华涵工程建设项目管理咨询有限公司</w:t>
            </w:r>
            <w:r>
              <w:rPr>
                <w:rFonts w:hint="eastAsia" w:ascii="宋体" w:hAnsi="宋体" w:eastAsia="宋体" w:cs="宋体"/>
                <w:color w:val="auto"/>
                <w:sz w:val="21"/>
                <w:szCs w:val="21"/>
                <w:highlight w:val="none"/>
                <w:lang w:eastAsia="zh-CN"/>
              </w:rPr>
            </w:r>
            <w:r>
              <w:rPr>
                <w:color w:val="auto"/>
              </w:rPr>
            </w:r>
          </w:p>
        </w:tc>
      </w:tr>
      <w:tr>
        <w:trPr>
          <w:trHeight w:val="425"/>
        </w:trPr>
        <w:tc>
          <w:tcPr>
            <w:tcW w:w="72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r>
            <w:r>
              <w:rPr>
                <w:color w:val="auto"/>
              </w:rPr>
            </w:r>
          </w:p>
        </w:tc>
        <w:tc>
          <w:tcPr>
            <w:gridSpan w:val="2"/>
            <w:tcW w:w="198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采购代理机构地址</w:t>
            </w:r>
            <w:r>
              <w:rPr>
                <w:rFonts w:hint="eastAsia" w:ascii="宋体" w:hAnsi="宋体" w:eastAsia="宋体" w:cs="宋体"/>
                <w:color w:val="auto"/>
                <w:sz w:val="21"/>
                <w:szCs w:val="21"/>
                <w:highlight w:val="none"/>
              </w:rPr>
            </w:r>
            <w:r>
              <w:rPr>
                <w:color w:val="auto"/>
              </w:rPr>
            </w:r>
          </w:p>
        </w:tc>
        <w:tc>
          <w:tcPr>
            <w:gridSpan w:val="2"/>
            <w:tcW w:w="615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南京市江宁区通联路9号联东U谷二期17栋102-3楼</w:t>
            </w:r>
            <w:r>
              <w:rPr>
                <w:rFonts w:hint="eastAsia" w:ascii="宋体" w:hAnsi="宋体" w:eastAsia="宋体" w:cs="宋体"/>
                <w:color w:val="auto"/>
                <w:sz w:val="21"/>
                <w:szCs w:val="21"/>
                <w:highlight w:val="none"/>
              </w:rPr>
            </w:r>
            <w:r>
              <w:rPr>
                <w:color w:val="auto"/>
              </w:rPr>
            </w:r>
          </w:p>
        </w:tc>
      </w:tr>
      <w:tr>
        <w:trPr>
          <w:trHeight w:val="425"/>
        </w:trPr>
        <w:tc>
          <w:tcPr>
            <w:tcW w:w="72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rPr>
            </w:r>
            <w:r>
              <w:rPr>
                <w:color w:val="auto"/>
              </w:rPr>
            </w:r>
          </w:p>
        </w:tc>
        <w:tc>
          <w:tcPr>
            <w:gridSpan w:val="2"/>
            <w:tcW w:w="198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磋商文件获取方法</w:t>
            </w:r>
            <w:r>
              <w:rPr>
                <w:rFonts w:hint="eastAsia" w:ascii="宋体" w:hAnsi="宋体" w:eastAsia="宋体" w:cs="宋体"/>
                <w:color w:val="auto"/>
                <w:sz w:val="21"/>
                <w:szCs w:val="21"/>
                <w:highlight w:val="none"/>
              </w:rPr>
            </w:r>
            <w:r>
              <w:rPr>
                <w:color w:val="auto"/>
              </w:rPr>
            </w:r>
          </w:p>
        </w:tc>
        <w:tc>
          <w:tcPr>
            <w:gridSpan w:val="2"/>
            <w:tcW w:w="615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eastAsia="zh-CN"/>
              </w:rPr>
              <w:t xml:space="preserve">在“江苏政府采购网”免费下载</w:t>
            </w:r>
            <w:r>
              <w:rPr>
                <w:rFonts w:hint="eastAsia" w:ascii="宋体" w:hAnsi="宋体" w:eastAsia="宋体" w:cs="宋体"/>
                <w:color w:val="auto"/>
                <w:sz w:val="21"/>
                <w:szCs w:val="21"/>
                <w:highlight w:val="none"/>
              </w:rPr>
            </w:r>
            <w:r>
              <w:rPr>
                <w:color w:val="auto"/>
              </w:rPr>
            </w:r>
          </w:p>
        </w:tc>
      </w:tr>
      <w:tr>
        <w:trPr>
          <w:trHeight w:val="425"/>
        </w:trPr>
        <w:tc>
          <w:tcPr>
            <w:tcW w:w="72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rPr>
            </w:r>
            <w:r>
              <w:rPr>
                <w:color w:val="auto"/>
              </w:rPr>
            </w:r>
          </w:p>
        </w:tc>
        <w:tc>
          <w:tcPr>
            <w:gridSpan w:val="2"/>
            <w:tcW w:w="198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项目预算</w:t>
            </w:r>
            <w:r>
              <w:rPr>
                <w:rFonts w:hint="eastAsia" w:ascii="宋体" w:hAnsi="宋体" w:eastAsia="宋体" w:cs="宋体"/>
                <w:color w:val="auto"/>
                <w:sz w:val="21"/>
                <w:szCs w:val="21"/>
                <w:highlight w:val="none"/>
              </w:rPr>
            </w:r>
            <w:r>
              <w:rPr>
                <w:color w:val="auto"/>
              </w:rPr>
            </w:r>
          </w:p>
        </w:tc>
        <w:tc>
          <w:tcPr>
            <w:gridSpan w:val="2"/>
            <w:tcW w:w="6150" w:type="dxa"/>
            <w:vAlign w:val="center"/>
            <w:textDirection w:val="lrTb"/>
            <w:noWrap w:val="false"/>
          </w:tcPr>
          <w:p>
            <w:pPr>
              <w:pStyle w:val="899"/>
              <w:ind w:firstLine="0"/>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预算金额：￥</w:t>
            </w:r>
            <w:r>
              <w:rPr>
                <w:rFonts w:hint="eastAsia" w:ascii="宋体" w:hAnsi="宋体" w:eastAsia="宋体" w:cs="宋体"/>
                <w:b w:val="0"/>
                <w:bCs w:val="0"/>
                <w:color w:val="auto"/>
                <w:szCs w:val="21"/>
                <w:highlight w:val="none"/>
                <w:lang w:val="en-US" w:eastAsia="zh-CN"/>
              </w:rPr>
              <w:t xml:space="preserve">72万元/年，总预算144万元。</w:t>
            </w:r>
            <w:r>
              <w:rPr>
                <w:rFonts w:hint="eastAsia" w:ascii="宋体" w:hAnsi="宋体" w:eastAsia="宋体" w:cs="宋体"/>
                <w:b w:val="0"/>
                <w:bCs w:val="0"/>
                <w:color w:val="auto"/>
                <w:sz w:val="21"/>
                <w:szCs w:val="21"/>
                <w:highlight w:val="none"/>
                <w:lang w:val="en-US"/>
              </w:rPr>
            </w:r>
            <w:r>
              <w:rPr>
                <w:color w:val="auto"/>
              </w:rPr>
            </w:r>
          </w:p>
          <w:p>
            <w:pPr>
              <w:pStyle w:val="899"/>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rPr>
              <w:t xml:space="preserve">最高限价：￥</w:t>
            </w:r>
            <w:r>
              <w:rPr>
                <w:rFonts w:hint="eastAsia" w:ascii="宋体" w:hAnsi="宋体" w:eastAsia="宋体" w:cs="宋体"/>
                <w:b w:val="0"/>
                <w:bCs w:val="0"/>
                <w:color w:val="auto"/>
                <w:sz w:val="21"/>
                <w:szCs w:val="21"/>
                <w:highlight w:val="none"/>
                <w:lang w:val="en-US" w:eastAsia="zh-CN"/>
              </w:rPr>
              <w:t xml:space="preserve">71.87</w:t>
            </w:r>
            <w:r>
              <w:rPr>
                <w:rFonts w:hint="eastAsia" w:ascii="宋体" w:hAnsi="宋体" w:eastAsia="宋体" w:cs="宋体"/>
                <w:b w:val="0"/>
                <w:bCs w:val="0"/>
                <w:color w:val="auto"/>
                <w:szCs w:val="21"/>
                <w:highlight w:val="none"/>
                <w:lang w:val="en-US" w:eastAsia="zh-CN"/>
              </w:rPr>
              <w:t xml:space="preserve">万元/年</w:t>
            </w:r>
            <w:r>
              <w:rPr>
                <w:rFonts w:hint="eastAsia" w:ascii="宋体" w:hAnsi="宋体" w:eastAsia="宋体" w:cs="宋体"/>
                <w:color w:val="auto"/>
                <w:szCs w:val="21"/>
                <w:highlight w:val="none"/>
              </w:rPr>
              <w:t xml:space="preserve">（供应商报价高于最高限价的，作无效标处理。）</w:t>
            </w:r>
            <w:r>
              <w:rPr>
                <w:rFonts w:hint="eastAsia" w:ascii="宋体" w:hAnsi="宋体" w:eastAsia="宋体" w:cs="宋体"/>
                <w:color w:val="auto"/>
                <w:sz w:val="21"/>
                <w:szCs w:val="21"/>
                <w:highlight w:val="none"/>
              </w:rPr>
            </w:r>
            <w:r>
              <w:rPr>
                <w:color w:val="auto"/>
              </w:rPr>
            </w:r>
          </w:p>
        </w:tc>
      </w:tr>
      <w:tr>
        <w:trPr>
          <w:trHeight w:val="425"/>
        </w:trPr>
        <w:tc>
          <w:tcPr>
            <w:tcW w:w="72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r>
            <w:r>
              <w:rPr>
                <w:color w:val="auto"/>
              </w:rPr>
            </w:r>
          </w:p>
        </w:tc>
        <w:tc>
          <w:tcPr>
            <w:gridSpan w:val="2"/>
            <w:tcW w:w="198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服务期限</w:t>
            </w:r>
            <w:r>
              <w:rPr>
                <w:rFonts w:hint="eastAsia" w:ascii="宋体" w:hAnsi="宋体" w:eastAsia="宋体" w:cs="宋体"/>
                <w:color w:val="auto"/>
                <w:sz w:val="21"/>
                <w:szCs w:val="21"/>
                <w:highlight w:val="none"/>
              </w:rPr>
            </w:r>
            <w:r>
              <w:rPr>
                <w:color w:val="auto"/>
              </w:rPr>
            </w:r>
          </w:p>
        </w:tc>
        <w:tc>
          <w:tcPr>
            <w:gridSpan w:val="2"/>
            <w:tcW w:w="6150" w:type="dxa"/>
            <w:vAlign w:val="center"/>
            <w:textDirection w:val="lrTb"/>
            <w:noWrap w:val="false"/>
          </w:tcPr>
          <w:p>
            <w:pPr>
              <w:pStyle w:val="915"/>
              <w:jc w:val="left"/>
              <w:spacing w:after="0"/>
              <w:rPr>
                <w:rFonts w:hint="eastAsia" w:ascii="宋体" w:hAnsi="宋体" w:eastAsia="宋体" w:cs="宋体"/>
                <w:color w:val="auto"/>
                <w:sz w:val="21"/>
                <w:szCs w:val="21"/>
                <w:highlight w:val="none"/>
              </w:rPr>
            </w:pPr>
            <w:r>
              <w:rPr>
                <w:rFonts w:hint="eastAsia" w:ascii="宋体" w:hAnsi="宋体" w:eastAsia="宋体" w:cs="宋体"/>
                <w:color w:val="auto"/>
                <w:highlight w:val="none"/>
                <w:lang w:val="en-US" w:eastAsia="zh-CN"/>
              </w:rPr>
              <w:t xml:space="preserve">两年</w:t>
            </w:r>
            <w:r>
              <w:rPr>
                <w:rFonts w:hint="eastAsia" w:ascii="宋体" w:hAnsi="宋体" w:eastAsia="宋体" w:cs="宋体"/>
                <w:color w:val="auto"/>
                <w:highlight w:val="none"/>
                <w:lang w:eastAsia="zh-CN"/>
              </w:rPr>
              <w:t xml:space="preserve">（合同一年一签，逐年考核。）</w:t>
            </w:r>
            <w:r>
              <w:rPr>
                <w:rFonts w:hint="eastAsia" w:ascii="宋体" w:hAnsi="宋体" w:eastAsia="宋体" w:cs="宋体"/>
                <w:color w:val="auto"/>
                <w:sz w:val="21"/>
                <w:szCs w:val="21"/>
                <w:highlight w:val="none"/>
                <w:lang w:val="en-US" w:eastAsia="zh-CN"/>
              </w:rPr>
            </w:r>
            <w:r>
              <w:rPr>
                <w:color w:val="auto"/>
              </w:rPr>
            </w:r>
          </w:p>
        </w:tc>
      </w:tr>
      <w:tr>
        <w:trPr>
          <w:trHeight w:val="425"/>
        </w:trPr>
        <w:tc>
          <w:tcPr>
            <w:tcW w:w="72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r>
            <w:r>
              <w:rPr>
                <w:color w:val="auto"/>
              </w:rPr>
            </w:r>
          </w:p>
        </w:tc>
        <w:tc>
          <w:tcPr>
            <w:gridSpan w:val="2"/>
            <w:tcW w:w="198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磋商有效期</w:t>
            </w:r>
            <w:r>
              <w:rPr>
                <w:rFonts w:hint="eastAsia" w:ascii="宋体" w:hAnsi="宋体" w:eastAsia="宋体" w:cs="宋体"/>
                <w:color w:val="auto"/>
                <w:sz w:val="21"/>
                <w:szCs w:val="21"/>
                <w:highlight w:val="none"/>
              </w:rPr>
            </w:r>
            <w:r>
              <w:rPr>
                <w:color w:val="auto"/>
              </w:rPr>
            </w:r>
          </w:p>
        </w:tc>
        <w:tc>
          <w:tcPr>
            <w:gridSpan w:val="2"/>
            <w:tcW w:w="6150" w:type="dxa"/>
            <w:vAlign w:val="center"/>
            <w:textDirection w:val="lrTb"/>
            <w:noWrap w:val="false"/>
          </w:tcPr>
          <w:p>
            <w:pPr>
              <w:pStyle w:val="89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磋商之日起</w:t>
            </w: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zh-CN"/>
              </w:rPr>
              <w:t xml:space="preserve">0天</w:t>
            </w:r>
            <w:r>
              <w:rPr>
                <w:rFonts w:hint="eastAsia" w:ascii="宋体" w:hAnsi="宋体" w:eastAsia="宋体" w:cs="宋体"/>
                <w:color w:val="auto"/>
                <w:sz w:val="21"/>
                <w:szCs w:val="21"/>
                <w:highlight w:val="none"/>
              </w:rPr>
            </w:r>
            <w:r>
              <w:rPr>
                <w:color w:val="auto"/>
              </w:rPr>
            </w:r>
          </w:p>
        </w:tc>
      </w:tr>
      <w:tr>
        <w:trPr>
          <w:trHeight w:val="2368"/>
        </w:trPr>
        <w:tc>
          <w:tcPr>
            <w:tcW w:w="720" w:type="dxa"/>
            <w:vAlign w:val="center"/>
            <w:vMerge w:val="restart"/>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r>
            <w:r>
              <w:rPr>
                <w:color w:val="auto"/>
              </w:rPr>
            </w:r>
          </w:p>
        </w:tc>
        <w:tc>
          <w:tcPr>
            <w:tcW w:w="900" w:type="dxa"/>
            <w:vAlign w:val="center"/>
            <w:vMerge w:val="restart"/>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rPr>
            </w:r>
            <w:r>
              <w:rPr>
                <w:color w:val="auto"/>
              </w:rPr>
            </w:r>
          </w:p>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报名</w:t>
            </w:r>
            <w:r>
              <w:rPr>
                <w:rFonts w:hint="eastAsia" w:ascii="宋体" w:hAnsi="宋体" w:eastAsia="宋体" w:cs="宋体"/>
                <w:color w:val="auto"/>
                <w:sz w:val="21"/>
                <w:szCs w:val="21"/>
                <w:highlight w:val="none"/>
              </w:rPr>
            </w:r>
            <w:r>
              <w:rPr>
                <w:color w:val="auto"/>
              </w:rPr>
            </w:r>
          </w:p>
        </w:tc>
        <w:tc>
          <w:tcPr>
            <w:tcW w:w="108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z w:val="21"/>
                <w:szCs w:val="21"/>
                <w:highlight w:val="none"/>
              </w:rPr>
            </w:r>
            <w:r>
              <w:rPr>
                <w:color w:val="auto"/>
              </w:rPr>
            </w:r>
          </w:p>
        </w:tc>
        <w:tc>
          <w:tcPr>
            <w:gridSpan w:val="2"/>
            <w:tcW w:w="6150" w:type="dxa"/>
            <w:vAlign w:val="center"/>
            <w:textDirection w:val="lrTb"/>
            <w:noWrap w:val="false"/>
          </w:tcPr>
          <w:p>
            <w:pPr>
              <w:pStyle w:val="899"/>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时间：自磋商文件公告发布之日起5个工作日</w:t>
            </w:r>
            <w:r>
              <w:rPr>
                <w:rFonts w:hint="eastAsia" w:ascii="宋体" w:hAnsi="宋体" w:eastAsia="宋体" w:cs="宋体"/>
                <w:color w:val="auto"/>
                <w:szCs w:val="21"/>
                <w:highlight w:val="none"/>
                <w:lang w:eastAsia="zh-CN"/>
              </w:rPr>
            </w:r>
            <w:r>
              <w:rPr>
                <w:color w:val="auto"/>
              </w:rPr>
            </w:r>
          </w:p>
          <w:p>
            <w:pPr>
              <w:pStyle w:val="899"/>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地点：江苏政府采购网</w:t>
            </w:r>
            <w:r>
              <w:rPr>
                <w:rFonts w:hint="eastAsia" w:ascii="宋体" w:hAnsi="宋体" w:eastAsia="宋体" w:cs="宋体"/>
                <w:color w:val="auto"/>
                <w:szCs w:val="21"/>
                <w:highlight w:val="none"/>
                <w:lang w:eastAsia="zh-CN"/>
              </w:rPr>
            </w:r>
            <w:r>
              <w:rPr>
                <w:color w:val="auto"/>
              </w:rPr>
            </w:r>
          </w:p>
          <w:p>
            <w:pPr>
              <w:pStyle w:val="899"/>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auto"/>
                <w:szCs w:val="21"/>
                <w:highlight w:val="none"/>
                <w:lang w:eastAsia="zh-CN"/>
              </w:rPr>
            </w:r>
            <w:r>
              <w:rPr>
                <w:color w:val="auto"/>
              </w:rPr>
            </w:r>
          </w:p>
          <w:p>
            <w:pPr>
              <w:pStyle w:val="899"/>
              <w:rPr>
                <w:rFonts w:hint="eastAsia" w:ascii="宋体" w:hAnsi="宋体" w:eastAsia="宋体" w:cs="宋体"/>
                <w:color w:val="auto"/>
                <w:sz w:val="21"/>
                <w:szCs w:val="21"/>
                <w:highlight w:val="none"/>
              </w:rPr>
              <w:outlineLvl w:val="9"/>
            </w:pPr>
            <w:r>
              <w:rPr>
                <w:rFonts w:hint="eastAsia" w:ascii="宋体" w:hAnsi="宋体" w:eastAsia="宋体" w:cs="宋体"/>
                <w:color w:val="auto"/>
                <w:szCs w:val="21"/>
                <w:highlight w:val="none"/>
                <w:lang w:eastAsia="zh-CN"/>
              </w:rPr>
              <w:t xml:space="preserve">售价：0.00元</w:t>
            </w:r>
            <w:r>
              <w:rPr>
                <w:rFonts w:hint="eastAsia" w:ascii="宋体" w:hAnsi="宋体" w:eastAsia="宋体" w:cs="宋体"/>
                <w:color w:val="auto"/>
                <w:sz w:val="21"/>
                <w:szCs w:val="21"/>
                <w:highlight w:val="none"/>
              </w:rPr>
            </w:r>
            <w:r>
              <w:rPr>
                <w:color w:val="auto"/>
              </w:rPr>
            </w:r>
          </w:p>
        </w:tc>
      </w:tr>
      <w:tr>
        <w:trPr>
          <w:trHeight w:val="425"/>
        </w:trPr>
        <w:tc>
          <w:tcPr>
            <w:tcW w:w="720" w:type="dxa"/>
            <w:vAlign w:val="center"/>
            <w:vMerge w:val="restart"/>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r>
            <w:r>
              <w:rPr>
                <w:color w:val="auto"/>
              </w:rPr>
            </w:r>
          </w:p>
        </w:tc>
        <w:tc>
          <w:tcPr>
            <w:tcW w:w="900" w:type="dxa"/>
            <w:vAlign w:val="center"/>
            <w:vMerge w:val="restart"/>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响应性文件递交信息</w:t>
            </w:r>
            <w:r>
              <w:rPr>
                <w:rFonts w:hint="eastAsia" w:ascii="宋体" w:hAnsi="宋体" w:eastAsia="宋体" w:cs="宋体"/>
                <w:color w:val="auto"/>
                <w:sz w:val="21"/>
                <w:szCs w:val="21"/>
                <w:highlight w:val="none"/>
              </w:rPr>
            </w:r>
            <w:r>
              <w:rPr>
                <w:color w:val="auto"/>
              </w:rPr>
            </w:r>
          </w:p>
        </w:tc>
        <w:tc>
          <w:tcPr>
            <w:tcW w:w="108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rPr>
            </w:r>
            <w:r>
              <w:rPr>
                <w:color w:val="auto"/>
              </w:rPr>
            </w:r>
          </w:p>
        </w:tc>
        <w:tc>
          <w:tcPr>
            <w:gridSpan w:val="2"/>
            <w:tcW w:w="615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2026</w:t>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月</w:t>
            </w:r>
            <w:r>
              <w:rPr>
                <w:rFonts w:hint="eastAsia" w:ascii="宋体" w:hAnsi="宋体" w:eastAsia="宋体" w:cs="宋体"/>
                <w:color w:val="auto"/>
                <w:szCs w:val="21"/>
                <w:highlight w:val="none"/>
                <w:lang w:val="en-US" w:eastAsia="zh-CN"/>
              </w:rPr>
              <w:t xml:space="preserve">5 </w:t>
            </w:r>
            <w:r>
              <w:rPr>
                <w:rFonts w:hint="eastAsia" w:ascii="宋体" w:hAnsi="宋体" w:eastAsia="宋体" w:cs="宋体"/>
                <w:color w:val="auto"/>
                <w:szCs w:val="21"/>
                <w:highlight w:val="none"/>
                <w:lang w:eastAsia="zh-CN"/>
              </w:rPr>
              <w:t xml:space="preserve">日</w:t>
            </w:r>
            <w:r>
              <w:rPr>
                <w:rFonts w:hint="eastAsia" w:ascii="宋体" w:hAnsi="宋体" w:eastAsia="宋体" w:cs="宋体"/>
                <w:color w:val="auto"/>
                <w:szCs w:val="21"/>
                <w:highlight w:val="none"/>
                <w:lang w:val="en-US" w:eastAsia="zh-CN"/>
              </w:rPr>
              <w:t xml:space="preserve">14 </w:t>
            </w:r>
            <w:r>
              <w:rPr>
                <w:rFonts w:hint="eastAsia" w:ascii="宋体" w:hAnsi="宋体" w:eastAsia="宋体" w:cs="宋体"/>
                <w:color w:val="auto"/>
                <w:szCs w:val="21"/>
                <w:highlight w:val="none"/>
                <w:lang w:eastAsia="zh-CN"/>
              </w:rPr>
              <w:t xml:space="preserve">点</w:t>
            </w:r>
            <w:r>
              <w:rPr>
                <w:rFonts w:hint="eastAsia" w:ascii="宋体" w:hAnsi="宋体" w:eastAsia="宋体" w:cs="宋体"/>
                <w:color w:val="auto"/>
                <w:szCs w:val="21"/>
                <w:highlight w:val="none"/>
                <w:lang w:val="en-US" w:eastAsia="zh-CN"/>
              </w:rPr>
              <w:t xml:space="preserve"> 30 </w:t>
            </w:r>
            <w:r>
              <w:rPr>
                <w:rFonts w:hint="eastAsia" w:ascii="宋体" w:hAnsi="宋体" w:eastAsia="宋体" w:cs="宋体"/>
                <w:color w:val="auto"/>
                <w:szCs w:val="21"/>
                <w:highlight w:val="none"/>
                <w:lang w:eastAsia="zh-CN"/>
              </w:rPr>
              <w:t xml:space="preserve">分</w:t>
            </w:r>
            <w:r>
              <w:rPr>
                <w:rFonts w:hint="eastAsia" w:ascii="宋体" w:hAnsi="宋体" w:eastAsia="宋体" w:cs="宋体"/>
                <w:color w:val="auto"/>
                <w:sz w:val="21"/>
                <w:szCs w:val="21"/>
                <w:highlight w:val="none"/>
              </w:rPr>
            </w:r>
            <w:r>
              <w:rPr>
                <w:color w:val="auto"/>
              </w:rPr>
            </w:r>
          </w:p>
        </w:tc>
      </w:tr>
      <w:tr>
        <w:trPr>
          <w:trHeight w:val="796"/>
        </w:trPr>
        <w:tc>
          <w:tcPr>
            <w:tcW w:w="720" w:type="dxa"/>
            <w:vAlign w:val="center"/>
            <w:vMerge w:val="continue"/>
            <w:textDirection w:val="lrTb"/>
            <w:noWrap w:val="false"/>
          </w:tcPr>
          <w:p>
            <w:pPr>
              <w:pStyle w:val="89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0" w:type="dxa"/>
            <w:vAlign w:val="center"/>
            <w:vMerge w:val="continue"/>
            <w:textDirection w:val="lrTb"/>
            <w:noWrap w:val="false"/>
          </w:tcPr>
          <w:p>
            <w:pPr>
              <w:pStyle w:val="89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w:t>
            </w:r>
            <w:r>
              <w:rPr>
                <w:rFonts w:hint="eastAsia" w:ascii="宋体" w:hAnsi="宋体" w:eastAsia="宋体" w:cs="宋体"/>
                <w:color w:val="auto"/>
                <w:sz w:val="21"/>
                <w:szCs w:val="21"/>
                <w:highlight w:val="none"/>
              </w:rPr>
            </w:r>
            <w:r>
              <w:rPr>
                <w:color w:val="auto"/>
              </w:rPr>
            </w:r>
          </w:p>
        </w:tc>
        <w:tc>
          <w:tcPr>
            <w:gridSpan w:val="2"/>
            <w:tcW w:w="615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zh-CN" w:eastAsia="zh-CN"/>
              </w:rPr>
              <w:t xml:space="preserve">江苏省政府采购交易系统（以下简称“苏采云系统”）网上开标大厅。</w:t>
            </w:r>
            <w:r>
              <w:rPr>
                <w:rFonts w:hint="eastAsia" w:ascii="宋体" w:hAnsi="宋体" w:eastAsia="宋体" w:cs="宋体"/>
                <w:color w:val="auto"/>
                <w:sz w:val="21"/>
                <w:szCs w:val="21"/>
                <w:highlight w:val="none"/>
              </w:rPr>
            </w:r>
            <w:r>
              <w:rPr>
                <w:color w:val="auto"/>
              </w:rPr>
            </w:r>
          </w:p>
        </w:tc>
      </w:tr>
      <w:tr>
        <w:trPr>
          <w:trHeight w:val="425"/>
        </w:trPr>
        <w:tc>
          <w:tcPr>
            <w:tcW w:w="72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r>
            <w:r>
              <w:rPr>
                <w:color w:val="auto"/>
              </w:rPr>
            </w:r>
          </w:p>
        </w:tc>
        <w:tc>
          <w:tcPr>
            <w:gridSpan w:val="2"/>
            <w:tcW w:w="198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响应性文件份数</w:t>
            </w:r>
            <w:r>
              <w:rPr>
                <w:rFonts w:hint="eastAsia" w:ascii="宋体" w:hAnsi="宋体" w:eastAsia="宋体" w:cs="宋体"/>
                <w:color w:val="auto"/>
                <w:sz w:val="21"/>
                <w:szCs w:val="21"/>
                <w:highlight w:val="none"/>
              </w:rPr>
            </w:r>
            <w:r>
              <w:rPr>
                <w:color w:val="auto"/>
              </w:rPr>
            </w:r>
          </w:p>
        </w:tc>
        <w:tc>
          <w:tcPr>
            <w:gridSpan w:val="2"/>
            <w:tcW w:w="615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供应商须在成交后两日内提供纸质版响应文件一式叁份，纸质版响应文件均应加盖成交供应商公章，且装订成册。</w:t>
            </w:r>
            <w:r>
              <w:rPr>
                <w:rFonts w:hint="eastAsia" w:ascii="宋体" w:hAnsi="宋体" w:eastAsia="宋体" w:cs="宋体"/>
                <w:color w:val="auto"/>
                <w:position w:val="0"/>
                <w:sz w:val="21"/>
                <w:szCs w:val="21"/>
                <w:highlight w:val="none"/>
                <w:shd w:val="clear" w:color="auto" w:fill="ffffff"/>
                <w:lang w:val="en-US" w:eastAsia="zh-CN" w:bidi="ar"/>
              </w:rPr>
              <w:t xml:space="preserve">电子版标书一份（U盘形式），用于归档。</w:t>
            </w:r>
            <w:r>
              <w:rPr>
                <w:rFonts w:hint="eastAsia" w:ascii="宋体" w:hAnsi="宋体" w:eastAsia="宋体" w:cs="宋体"/>
                <w:b w:val="0"/>
                <w:bCs w:val="0"/>
                <w:color w:val="auto"/>
                <w:sz w:val="21"/>
                <w:szCs w:val="21"/>
                <w:highlight w:val="none"/>
                <w:lang w:val="en-US" w:eastAsia="zh-CN" w:bidi="ar-SA"/>
              </w:rPr>
              <w:t xml:space="preserve">供应商提供的纸质版响应文件必须与苏采云系统中电子文件一致。</w:t>
            </w:r>
            <w:r>
              <w:rPr>
                <w:rFonts w:hint="eastAsia" w:ascii="宋体" w:hAnsi="宋体" w:eastAsia="宋体" w:cs="宋体"/>
                <w:color w:val="auto"/>
                <w:sz w:val="21"/>
                <w:szCs w:val="21"/>
                <w:highlight w:val="none"/>
              </w:rPr>
            </w:r>
            <w:r>
              <w:rPr>
                <w:color w:val="auto"/>
              </w:rPr>
            </w:r>
          </w:p>
        </w:tc>
      </w:tr>
      <w:tr>
        <w:trPr>
          <w:trHeight w:val="425"/>
        </w:trPr>
        <w:tc>
          <w:tcPr>
            <w:tcW w:w="720" w:type="dxa"/>
            <w:vAlign w:val="center"/>
            <w:vMerge w:val="restart"/>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r>
            <w:r>
              <w:rPr>
                <w:color w:val="auto"/>
              </w:rPr>
            </w:r>
          </w:p>
        </w:tc>
        <w:tc>
          <w:tcPr>
            <w:tcW w:w="900" w:type="dxa"/>
            <w:vAlign w:val="center"/>
            <w:vMerge w:val="restart"/>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 信息</w:t>
            </w:r>
            <w:r>
              <w:rPr>
                <w:rFonts w:hint="eastAsia" w:ascii="宋体" w:hAnsi="宋体" w:eastAsia="宋体" w:cs="宋体"/>
                <w:color w:val="auto"/>
                <w:sz w:val="21"/>
                <w:szCs w:val="21"/>
                <w:highlight w:val="none"/>
              </w:rPr>
            </w:r>
            <w:r>
              <w:rPr>
                <w:color w:val="auto"/>
              </w:rPr>
            </w:r>
          </w:p>
        </w:tc>
        <w:tc>
          <w:tcPr>
            <w:tcW w:w="108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rPr>
            </w:r>
            <w:r>
              <w:rPr>
                <w:color w:val="auto"/>
              </w:rPr>
            </w:r>
          </w:p>
        </w:tc>
        <w:tc>
          <w:tcPr>
            <w:gridSpan w:val="2"/>
            <w:tcW w:w="615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2026</w:t>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月</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日</w:t>
            </w:r>
            <w:r>
              <w:rPr>
                <w:rFonts w:hint="eastAsia" w:ascii="宋体" w:hAnsi="宋体" w:eastAsia="宋体" w:cs="宋体"/>
                <w:color w:val="auto"/>
                <w:szCs w:val="21"/>
                <w:highlight w:val="none"/>
                <w:lang w:val="en-US" w:eastAsia="zh-CN"/>
              </w:rPr>
              <w:t xml:space="preserve"> 14 </w:t>
            </w:r>
            <w:r>
              <w:rPr>
                <w:rFonts w:hint="eastAsia" w:ascii="宋体" w:hAnsi="宋体" w:eastAsia="宋体" w:cs="宋体"/>
                <w:color w:val="auto"/>
                <w:szCs w:val="21"/>
                <w:highlight w:val="none"/>
                <w:lang w:eastAsia="zh-CN"/>
              </w:rPr>
              <w:t xml:space="preserve">点</w:t>
            </w:r>
            <w:r>
              <w:rPr>
                <w:rFonts w:hint="eastAsia" w:ascii="宋体" w:hAnsi="宋体" w:eastAsia="宋体" w:cs="宋体"/>
                <w:color w:val="auto"/>
                <w:szCs w:val="21"/>
                <w:highlight w:val="none"/>
                <w:lang w:val="en-US" w:eastAsia="zh-CN"/>
              </w:rPr>
              <w:t xml:space="preserve"> 30 </w:t>
            </w:r>
            <w:r>
              <w:rPr>
                <w:rFonts w:hint="eastAsia" w:ascii="宋体" w:hAnsi="宋体" w:eastAsia="宋体" w:cs="宋体"/>
                <w:color w:val="auto"/>
                <w:szCs w:val="21"/>
                <w:highlight w:val="none"/>
                <w:lang w:eastAsia="zh-CN"/>
              </w:rPr>
              <w:t xml:space="preserve">分</w:t>
            </w:r>
            <w:r>
              <w:rPr>
                <w:rFonts w:hint="eastAsia" w:ascii="宋体" w:hAnsi="宋体" w:eastAsia="宋体" w:cs="宋体"/>
                <w:color w:val="auto"/>
                <w:sz w:val="21"/>
                <w:szCs w:val="21"/>
                <w:highlight w:val="none"/>
              </w:rPr>
            </w:r>
            <w:r>
              <w:rPr>
                <w:color w:val="auto"/>
              </w:rPr>
            </w:r>
          </w:p>
        </w:tc>
      </w:tr>
      <w:tr>
        <w:trPr>
          <w:trHeight w:val="425"/>
        </w:trPr>
        <w:tc>
          <w:tcPr>
            <w:tcW w:w="720" w:type="dxa"/>
            <w:vAlign w:val="center"/>
            <w:vMerge w:val="continue"/>
            <w:textDirection w:val="lrTb"/>
            <w:noWrap w:val="false"/>
          </w:tcPr>
          <w:p>
            <w:pPr>
              <w:pStyle w:val="89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0" w:type="dxa"/>
            <w:vAlign w:val="center"/>
            <w:vMerge w:val="continue"/>
            <w:textDirection w:val="lrTb"/>
            <w:noWrap w:val="false"/>
          </w:tcPr>
          <w:p>
            <w:pPr>
              <w:pStyle w:val="89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0" w:type="dxa"/>
            <w:vAlign w:val="center"/>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w:t>
            </w:r>
            <w:r>
              <w:rPr>
                <w:rFonts w:hint="eastAsia" w:ascii="宋体" w:hAnsi="宋体" w:eastAsia="宋体" w:cs="宋体"/>
                <w:color w:val="auto"/>
                <w:sz w:val="21"/>
                <w:szCs w:val="21"/>
                <w:highlight w:val="none"/>
              </w:rPr>
            </w:r>
            <w:r>
              <w:rPr>
                <w:color w:val="auto"/>
              </w:rPr>
            </w:r>
          </w:p>
        </w:tc>
        <w:tc>
          <w:tcPr>
            <w:gridSpan w:val="2"/>
            <w:tcW w:w="615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江苏省政府采购交易系统（以下简称“苏采云系统”）网上开标大厅。</w:t>
            </w:r>
            <w:r>
              <w:rPr>
                <w:rFonts w:hint="eastAsia" w:ascii="宋体" w:hAnsi="宋体" w:eastAsia="宋体" w:cs="宋体"/>
                <w:color w:val="auto"/>
                <w:sz w:val="21"/>
                <w:szCs w:val="21"/>
                <w:highlight w:val="none"/>
                <w:lang w:eastAsia="zh-CN"/>
              </w:rPr>
            </w:r>
            <w:r>
              <w:rPr>
                <w:color w:val="auto"/>
              </w:rPr>
            </w:r>
          </w:p>
        </w:tc>
      </w:tr>
      <w:tr>
        <w:trPr>
          <w:trHeight w:val="425"/>
        </w:trPr>
        <w:tc>
          <w:tcPr>
            <w:tcW w:w="720" w:type="dxa"/>
            <w:vAlign w:val="center"/>
            <w:vMerge w:val="restart"/>
            <w:textDirection w:val="lrTb"/>
            <w:noWrap w:val="false"/>
          </w:tcPr>
          <w:p>
            <w:pPr>
              <w:pStyle w:val="899"/>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r>
            <w:r>
              <w:rPr>
                <w:color w:val="auto"/>
              </w:rPr>
            </w:r>
          </w:p>
        </w:tc>
        <w:tc>
          <w:tcPr>
            <w:tcW w:w="900" w:type="dxa"/>
            <w:vAlign w:val="center"/>
            <w:vMerge w:val="restart"/>
            <w:textDirection w:val="lrTb"/>
            <w:noWrap w:val="false"/>
          </w:tcPr>
          <w:p>
            <w:pPr>
              <w:pStyle w:val="899"/>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 事项</w:t>
            </w:r>
            <w:r>
              <w:rPr>
                <w:rFonts w:hint="eastAsia" w:ascii="宋体" w:hAnsi="宋体" w:eastAsia="宋体" w:cs="宋体"/>
                <w:color w:val="auto"/>
                <w:sz w:val="21"/>
                <w:szCs w:val="21"/>
                <w:highlight w:val="none"/>
              </w:rPr>
            </w:r>
            <w:r>
              <w:rPr>
                <w:color w:val="auto"/>
              </w:rPr>
            </w:r>
          </w:p>
        </w:tc>
        <w:tc>
          <w:tcPr>
            <w:tcW w:w="1080" w:type="dxa"/>
            <w:vAlign w:val="center"/>
            <w:vMerge w:val="restart"/>
            <w:textDirection w:val="lrTb"/>
            <w:noWrap w:val="false"/>
          </w:tcPr>
          <w:p>
            <w:pPr>
              <w:pStyle w:val="89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rPr>
                <w:rFonts w:hint="eastAsia" w:ascii="宋体" w:hAnsi="宋体" w:eastAsia="宋体" w:cs="宋体"/>
                <w:color w:val="auto"/>
                <w:sz w:val="21"/>
                <w:szCs w:val="21"/>
                <w:highlight w:val="none"/>
              </w:rPr>
            </w:r>
            <w:r>
              <w:rPr>
                <w:color w:val="auto"/>
              </w:rPr>
            </w:r>
          </w:p>
        </w:tc>
        <w:tc>
          <w:tcPr>
            <w:tcW w:w="162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rPr>
            </w:r>
            <w:r>
              <w:rPr>
                <w:color w:val="auto"/>
              </w:rPr>
            </w:r>
          </w:p>
        </w:tc>
        <w:tc>
          <w:tcPr>
            <w:tcW w:w="4530" w:type="dxa"/>
            <w:vAlign w:val="center"/>
            <w:textDirection w:val="lrTb"/>
            <w:noWrap w:val="false"/>
          </w:tcPr>
          <w:p>
            <w:pPr>
              <w:pStyle w:val="899"/>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曹工</w:t>
            </w:r>
            <w:r>
              <w:rPr>
                <w:rFonts w:hint="eastAsia" w:ascii="宋体" w:hAnsi="宋体" w:eastAsia="宋体" w:cs="宋体"/>
                <w:color w:val="auto"/>
                <w:sz w:val="21"/>
                <w:szCs w:val="21"/>
                <w:highlight w:val="none"/>
                <w:lang w:val="en-US" w:eastAsia="zh-CN" w:bidi="ar-SA"/>
              </w:rPr>
            </w:r>
            <w:r>
              <w:rPr>
                <w:color w:val="auto"/>
              </w:rPr>
            </w:r>
          </w:p>
        </w:tc>
      </w:tr>
      <w:tr>
        <w:trPr>
          <w:trHeight w:val="425"/>
        </w:trPr>
        <w:tc>
          <w:tcPr>
            <w:tcW w:w="720" w:type="dxa"/>
            <w:vAlign w:val="center"/>
            <w:vMerge w:val="continue"/>
            <w:textDirection w:val="lrTb"/>
            <w:noWrap w:val="false"/>
          </w:tcPr>
          <w:p>
            <w:pPr>
              <w:pStyle w:val="8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0" w:type="dxa"/>
            <w:vAlign w:val="center"/>
            <w:vMerge w:val="continue"/>
            <w:textDirection w:val="lrTb"/>
            <w:noWrap w:val="false"/>
          </w:tcPr>
          <w:p>
            <w:pPr>
              <w:pStyle w:val="8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0" w:type="dxa"/>
            <w:vAlign w:val="center"/>
            <w:vMerge w:val="continue"/>
            <w:textDirection w:val="lrTb"/>
            <w:noWrap w:val="false"/>
          </w:tcPr>
          <w:p>
            <w:pPr>
              <w:pStyle w:val="89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rPr>
            </w:r>
            <w:r>
              <w:rPr>
                <w:color w:val="auto"/>
              </w:rPr>
            </w:r>
          </w:p>
        </w:tc>
        <w:tc>
          <w:tcPr>
            <w:tcW w:w="453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eastAsia="zh-CN"/>
              </w:rPr>
              <w:t xml:space="preserve">025-86111302</w:t>
            </w:r>
            <w:r>
              <w:rPr>
                <w:rFonts w:hint="eastAsia" w:ascii="宋体" w:hAnsi="宋体" w:eastAsia="宋体" w:cs="宋体"/>
                <w:color w:val="auto"/>
                <w:sz w:val="21"/>
                <w:szCs w:val="21"/>
                <w:highlight w:val="none"/>
                <w:lang w:val="en-US" w:eastAsia="zh-CN" w:bidi="ar-SA"/>
              </w:rPr>
            </w:r>
            <w:r>
              <w:rPr>
                <w:color w:val="auto"/>
              </w:rPr>
            </w:r>
          </w:p>
        </w:tc>
      </w:tr>
      <w:tr>
        <w:trPr>
          <w:trHeight w:val="425"/>
        </w:trPr>
        <w:tc>
          <w:tcPr>
            <w:tcW w:w="720" w:type="dxa"/>
            <w:vAlign w:val="center"/>
            <w:vMerge w:val="continue"/>
            <w:textDirection w:val="lrTb"/>
            <w:noWrap w:val="false"/>
          </w:tcPr>
          <w:p>
            <w:pPr>
              <w:pStyle w:val="8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0" w:type="dxa"/>
            <w:vAlign w:val="center"/>
            <w:vMerge w:val="continue"/>
            <w:textDirection w:val="lrTb"/>
            <w:noWrap w:val="false"/>
          </w:tcPr>
          <w:p>
            <w:pPr>
              <w:pStyle w:val="8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0" w:type="dxa"/>
            <w:vAlign w:val="center"/>
            <w:vMerge w:val="restart"/>
            <w:textDirection w:val="lrTb"/>
            <w:noWrap w:val="false"/>
          </w:tcPr>
          <w:p>
            <w:pPr>
              <w:pStyle w:val="89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w:t>
            </w:r>
            <w:r>
              <w:rPr>
                <w:rFonts w:hint="eastAsia" w:ascii="宋体" w:hAnsi="宋体" w:eastAsia="宋体" w:cs="宋体"/>
                <w:color w:val="auto"/>
                <w:sz w:val="21"/>
                <w:szCs w:val="21"/>
                <w:highlight w:val="none"/>
              </w:rPr>
            </w:r>
            <w:r>
              <w:rPr>
                <w:color w:val="auto"/>
              </w:rPr>
            </w:r>
          </w:p>
        </w:tc>
        <w:tc>
          <w:tcPr>
            <w:tcW w:w="162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rPr>
            </w:r>
            <w:r>
              <w:rPr>
                <w:color w:val="auto"/>
              </w:rPr>
            </w:r>
          </w:p>
        </w:tc>
        <w:tc>
          <w:tcPr>
            <w:tcW w:w="4530" w:type="dxa"/>
            <w:vAlign w:val="center"/>
            <w:textDirection w:val="lrTb"/>
            <w:noWrap w:val="false"/>
          </w:tcPr>
          <w:p>
            <w:pPr>
              <w:pStyle w:val="9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李</w:t>
            </w:r>
            <w:r>
              <w:rPr>
                <w:rFonts w:hint="eastAsia" w:ascii="宋体" w:hAnsi="宋体" w:eastAsia="宋体" w:cs="宋体"/>
                <w:color w:val="auto"/>
                <w:sz w:val="21"/>
                <w:szCs w:val="21"/>
                <w:highlight w:val="none"/>
              </w:rPr>
              <w:t xml:space="preserve">工</w:t>
            </w:r>
            <w:r>
              <w:rPr>
                <w:rFonts w:hint="eastAsia" w:ascii="宋体" w:hAnsi="宋体" w:eastAsia="宋体" w:cs="宋体"/>
                <w:color w:val="auto"/>
                <w:sz w:val="21"/>
                <w:szCs w:val="21"/>
                <w:highlight w:val="none"/>
              </w:rPr>
            </w:r>
            <w:r>
              <w:rPr>
                <w:color w:val="auto"/>
              </w:rPr>
            </w:r>
          </w:p>
        </w:tc>
      </w:tr>
      <w:tr>
        <w:trPr>
          <w:trHeight w:val="425"/>
        </w:trPr>
        <w:tc>
          <w:tcPr>
            <w:tcW w:w="720" w:type="dxa"/>
            <w:vAlign w:val="center"/>
            <w:vMerge w:val="continue"/>
            <w:textDirection w:val="lrTb"/>
            <w:noWrap w:val="false"/>
          </w:tcPr>
          <w:p>
            <w:pPr>
              <w:pStyle w:val="89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00" w:type="dxa"/>
            <w:vAlign w:val="center"/>
            <w:vMerge w:val="continue"/>
            <w:textDirection w:val="lrTb"/>
            <w:noWrap w:val="false"/>
          </w:tcPr>
          <w:p>
            <w:pPr>
              <w:pStyle w:val="899"/>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0" w:type="dxa"/>
            <w:vAlign w:val="center"/>
            <w:vMerge w:val="continue"/>
            <w:textDirection w:val="lrTb"/>
            <w:noWrap w:val="false"/>
          </w:tcPr>
          <w:p>
            <w:pPr>
              <w:pStyle w:val="899"/>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89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rPr>
            </w:r>
            <w:r>
              <w:rPr>
                <w:color w:val="auto"/>
              </w:rPr>
            </w:r>
          </w:p>
        </w:tc>
        <w:tc>
          <w:tcPr>
            <w:tcW w:w="4530" w:type="dxa"/>
            <w:vAlign w:val="center"/>
            <w:textDirection w:val="lrTb"/>
            <w:noWrap w:val="false"/>
          </w:tcPr>
          <w:p>
            <w:pPr>
              <w:pStyle w:val="93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15850615364</w:t>
            </w:r>
            <w:r>
              <w:rPr>
                <w:rFonts w:hint="eastAsia" w:ascii="宋体" w:hAnsi="宋体" w:eastAsia="宋体" w:cs="宋体"/>
                <w:color w:val="auto"/>
                <w:sz w:val="21"/>
                <w:szCs w:val="21"/>
                <w:highlight w:val="none"/>
                <w:lang w:val="en-US" w:eastAsia="zh-CN"/>
              </w:rPr>
            </w:r>
            <w:r>
              <w:rPr>
                <w:color w:val="auto"/>
              </w:rPr>
            </w:r>
          </w:p>
        </w:tc>
      </w:tr>
    </w:tbl>
    <w:p>
      <w:pPr>
        <w:pStyle w:val="899"/>
        <w:ind w:firstLine="420"/>
        <w:spacing w:line="360" w:lineRule="auto"/>
        <w:rPr>
          <w:rFonts w:hint="eastAsia" w:ascii="宋体" w:hAnsi="宋体" w:eastAsia="宋体" w:cs="宋体"/>
          <w:b/>
          <w:bCs/>
          <w:color w:val="auto"/>
          <w:szCs w:val="21"/>
          <w:highlight w:val="none"/>
        </w:rPr>
        <w:outlineLvl w:val="1"/>
      </w:pPr>
      <w:r>
        <w:rPr>
          <w:color w:val="auto"/>
        </w:rPr>
      </w:r>
      <w:bookmarkStart w:id="109" w:name="_Toc24917"/>
      <w:r>
        <w:rPr>
          <w:color w:val="auto"/>
        </w:rPr>
      </w:r>
      <w:bookmarkStart w:id="110" w:name="_Toc3753"/>
      <w:r>
        <w:rPr>
          <w:color w:val="auto"/>
        </w:rPr>
      </w:r>
      <w:bookmarkStart w:id="111" w:name="_Toc19001"/>
      <w:r>
        <w:rPr>
          <w:color w:val="auto"/>
        </w:rPr>
      </w:r>
      <w:bookmarkStart w:id="112" w:name="_Toc21846"/>
      <w:r>
        <w:rPr>
          <w:color w:val="auto"/>
        </w:rPr>
      </w:r>
      <w:bookmarkStart w:id="113" w:name="_Toc26893"/>
      <w:r>
        <w:rPr>
          <w:color w:val="auto"/>
        </w:rPr>
      </w:r>
      <w:bookmarkStart w:id="114" w:name="_Toc22383"/>
      <w:r>
        <w:rPr>
          <w:color w:val="auto"/>
        </w:rPr>
      </w:r>
      <w:bookmarkStart w:id="115" w:name="_Toc23653"/>
      <w:r>
        <w:rPr>
          <w:color w:val="auto"/>
        </w:rPr>
      </w:r>
      <w:bookmarkStart w:id="116" w:name="_Toc23558"/>
      <w:r>
        <w:rPr>
          <w:color w:val="auto"/>
        </w:rPr>
      </w:r>
      <w:bookmarkStart w:id="117" w:name="_Toc11378"/>
      <w:r>
        <w:rPr>
          <w:color w:val="auto"/>
        </w:rPr>
      </w:r>
      <w:bookmarkStart w:id="118" w:name="_Toc11731"/>
      <w:r>
        <w:rPr>
          <w:color w:val="auto"/>
        </w:rPr>
      </w:r>
      <w:bookmarkStart w:id="119" w:name="_Toc22365"/>
      <w:r>
        <w:rPr>
          <w:color w:val="auto"/>
        </w:rPr>
      </w:r>
      <w:bookmarkStart w:id="120" w:name="_Toc14312"/>
      <w:r>
        <w:rPr>
          <w:color w:val="auto"/>
        </w:rPr>
      </w:r>
      <w:bookmarkStart w:id="121" w:name="_Toc10054"/>
      <w:r>
        <w:rPr>
          <w:color w:val="auto"/>
        </w:rPr>
      </w:r>
      <w:bookmarkStart w:id="122" w:name="_Toc1205"/>
      <w:r>
        <w:rPr>
          <w:color w:val="auto"/>
        </w:rPr>
      </w:r>
      <w:bookmarkStart w:id="123" w:name="_Toc17886"/>
      <w:r>
        <w:rPr>
          <w:color w:val="auto"/>
        </w:rPr>
      </w:r>
      <w:bookmarkStart w:id="124" w:name="_Toc13340"/>
      <w:r>
        <w:rPr>
          <w:color w:val="auto"/>
        </w:rPr>
      </w:r>
      <w:bookmarkStart w:id="125" w:name="_Toc4056"/>
      <w:r>
        <w:rPr>
          <w:color w:val="auto"/>
        </w:rPr>
      </w:r>
      <w:bookmarkStart w:id="126" w:name="_Toc18007"/>
      <w:r>
        <w:rPr>
          <w:rFonts w:hint="eastAsia" w:ascii="宋体" w:hAnsi="宋体" w:eastAsia="宋体" w:cs="宋体"/>
          <w:b/>
          <w:bCs/>
          <w:color w:val="auto"/>
          <w:szCs w:val="21"/>
          <w:highlight w:val="none"/>
          <w:lang w:val="zh-CN"/>
        </w:rPr>
        <w:t xml:space="preserve">一、总则</w:t>
      </w:r>
      <w:bookmarkEnd w:id="97"/>
      <w:r>
        <w:rPr>
          <w:color w:val="auto"/>
        </w:rPr>
      </w:r>
      <w:bookmarkEnd w:id="98"/>
      <w:r>
        <w:rPr>
          <w:color w:val="auto"/>
        </w:rPr>
      </w:r>
      <w:bookmarkEnd w:id="99"/>
      <w:r>
        <w:rPr>
          <w:color w:val="auto"/>
        </w:rPr>
      </w:r>
      <w:bookmarkEnd w:id="100"/>
      <w:r>
        <w:rPr>
          <w:color w:val="auto"/>
        </w:rPr>
      </w:r>
      <w:bookmarkEnd w:id="101"/>
      <w:r>
        <w:rPr>
          <w:color w:val="auto"/>
        </w:rPr>
      </w:r>
      <w:bookmarkEnd w:id="102"/>
      <w:r>
        <w:rPr>
          <w:color w:val="auto"/>
        </w:rPr>
      </w:r>
      <w:bookmarkEnd w:id="103"/>
      <w:r>
        <w:rPr>
          <w:color w:val="auto"/>
        </w:rPr>
      </w:r>
      <w:bookmarkEnd w:id="104"/>
      <w:r>
        <w:rPr>
          <w:color w:val="auto"/>
        </w:rPr>
      </w:r>
      <w:bookmarkEnd w:id="105"/>
      <w:r>
        <w:rPr>
          <w:color w:val="auto"/>
        </w:rPr>
      </w:r>
      <w:bookmarkEnd w:id="106"/>
      <w:r>
        <w:rPr>
          <w:color w:val="auto"/>
        </w:rPr>
      </w:r>
      <w:bookmarkEnd w:id="107"/>
      <w:r>
        <w:rPr>
          <w:color w:val="auto"/>
        </w:rPr>
      </w:r>
      <w:bookmarkEnd w:id="108"/>
      <w:r>
        <w:rPr>
          <w:color w:val="auto"/>
        </w:rPr>
      </w:r>
      <w:bookmarkEnd w:id="109"/>
      <w:r>
        <w:rPr>
          <w:color w:val="auto"/>
        </w:rPr>
      </w:r>
      <w:bookmarkEnd w:id="110"/>
      <w:r>
        <w:rPr>
          <w:color w:val="auto"/>
        </w:rPr>
      </w:r>
      <w:bookmarkEnd w:id="111"/>
      <w:r>
        <w:rPr>
          <w:color w:val="auto"/>
        </w:rPr>
      </w:r>
      <w:bookmarkEnd w:id="112"/>
      <w:r>
        <w:rPr>
          <w:color w:val="auto"/>
        </w:rPr>
      </w:r>
      <w:bookmarkEnd w:id="113"/>
      <w:r>
        <w:rPr>
          <w:color w:val="auto"/>
        </w:rPr>
      </w:r>
      <w:bookmarkEnd w:id="114"/>
      <w:r>
        <w:rPr>
          <w:color w:val="auto"/>
        </w:rPr>
      </w:r>
      <w:bookmarkEnd w:id="115"/>
      <w:r>
        <w:rPr>
          <w:color w:val="auto"/>
        </w:rPr>
      </w:r>
      <w:bookmarkEnd w:id="116"/>
      <w:r>
        <w:rPr>
          <w:color w:val="auto"/>
        </w:rPr>
      </w:r>
      <w:bookmarkEnd w:id="117"/>
      <w:r>
        <w:rPr>
          <w:color w:val="auto"/>
        </w:rPr>
      </w:r>
      <w:bookmarkEnd w:id="118"/>
      <w:r>
        <w:rPr>
          <w:color w:val="auto"/>
        </w:rPr>
      </w:r>
      <w:bookmarkEnd w:id="119"/>
      <w:r>
        <w:rPr>
          <w:color w:val="auto"/>
        </w:rPr>
      </w:r>
      <w:bookmarkEnd w:id="120"/>
      <w:r>
        <w:rPr>
          <w:color w:val="auto"/>
        </w:rPr>
      </w:r>
      <w:bookmarkEnd w:id="121"/>
      <w:r>
        <w:rPr>
          <w:color w:val="auto"/>
        </w:rPr>
      </w:r>
      <w:bookmarkEnd w:id="122"/>
      <w:r>
        <w:rPr>
          <w:color w:val="auto"/>
        </w:rPr>
      </w:r>
      <w:bookmarkEnd w:id="123"/>
      <w:r>
        <w:rPr>
          <w:color w:val="auto"/>
        </w:rPr>
      </w:r>
      <w:bookmarkEnd w:id="124"/>
      <w:r>
        <w:rPr>
          <w:color w:val="auto"/>
        </w:rPr>
      </w:r>
      <w:bookmarkEnd w:id="125"/>
      <w:r>
        <w:rPr>
          <w:color w:val="auto"/>
        </w:rPr>
      </w:r>
      <w:bookmarkEnd w:id="126"/>
      <w:r>
        <w:rPr>
          <w:rFonts w:hint="eastAsia" w:ascii="宋体" w:hAnsi="宋体" w:eastAsia="宋体" w:cs="宋体"/>
          <w:b/>
          <w:bCs/>
          <w:color w:val="auto"/>
          <w:szCs w:val="21"/>
          <w:highlight w:val="none"/>
          <w:lang w:val="zh-CN"/>
        </w:rPr>
      </w:r>
      <w:r>
        <w:rPr>
          <w:color w:val="auto"/>
        </w:rPr>
      </w:r>
    </w:p>
    <w:p>
      <w:pPr>
        <w:pStyle w:val="899"/>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1.适用法律</w:t>
      </w:r>
      <w:r>
        <w:rPr>
          <w:rFonts w:hint="eastAsia" w:ascii="宋体" w:hAnsi="宋体" w:eastAsia="宋体" w:cs="宋体"/>
          <w:b/>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2、定义</w:t>
      </w:r>
      <w:r>
        <w:rPr>
          <w:rFonts w:hint="eastAsia" w:ascii="宋体" w:hAnsi="宋体" w:eastAsia="宋体" w:cs="宋体"/>
          <w:b/>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2.1 “</w:t>
      </w:r>
      <w:r>
        <w:rPr>
          <w:rFonts w:hint="eastAsia" w:ascii="宋体" w:hAnsi="宋体" w:eastAsia="宋体" w:cs="宋体"/>
          <w:b/>
          <w:color w:val="auto"/>
          <w:szCs w:val="21"/>
          <w:highlight w:val="none"/>
          <w:lang w:val="zh-CN"/>
        </w:rPr>
        <w:t xml:space="preserve">供应商</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highlight w:val="none"/>
        </w:rPr>
        <w:t xml:space="preserve">是指参加磋商竞争，并符合采购文件规定资格条件的法人、其他组织或者自然人。</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zh-CN"/>
        </w:rPr>
        <w:t xml:space="preserve">2.2 “服务”指本采购文件中所述</w:t>
      </w:r>
      <w:r>
        <w:rPr>
          <w:rFonts w:hint="eastAsia" w:ascii="宋体" w:hAnsi="宋体" w:eastAsia="宋体" w:cs="宋体"/>
          <w:b/>
          <w:color w:val="auto"/>
          <w:szCs w:val="21"/>
          <w:highlight w:val="none"/>
          <w:lang w:val="zh-CN"/>
        </w:rPr>
        <w:t xml:space="preserve">产品</w:t>
      </w:r>
      <w:r>
        <w:rPr>
          <w:rFonts w:hint="eastAsia" w:ascii="宋体" w:hAnsi="宋体" w:eastAsia="宋体" w:cs="宋体"/>
          <w:color w:val="auto"/>
          <w:szCs w:val="21"/>
          <w:highlight w:val="none"/>
          <w:lang w:val="zh-CN"/>
        </w:rPr>
        <w:t xml:space="preserve">及相关服务。</w:t>
      </w:r>
      <w:r>
        <w:rPr>
          <w:rFonts w:hint="eastAsia" w:ascii="宋体" w:hAnsi="宋体" w:eastAsia="宋体" w:cs="宋体"/>
          <w:b/>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2.3 “采购人或使用单位”是指使用服务的单位。</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3．政策功能</w:t>
      </w:r>
      <w:r>
        <w:rPr>
          <w:rFonts w:hint="eastAsia" w:ascii="宋体" w:hAnsi="宋体" w:eastAsia="宋体" w:cs="宋体"/>
          <w:b/>
          <w:color w:val="auto"/>
          <w:szCs w:val="21"/>
          <w:highlight w:val="none"/>
          <w:lang w:val="zh-CN"/>
        </w:rPr>
      </w:r>
      <w:r>
        <w:rPr>
          <w:color w:val="auto"/>
        </w:rPr>
      </w:r>
    </w:p>
    <w:p>
      <w:pPr>
        <w:pStyle w:val="899"/>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zh-CN"/>
        </w:rPr>
        <w:t xml:space="preserve">3.1政府采购促进中小企业发展，在政府采购活动中，供应商提供的货物、工程或者服务符合下列情形的，享受中小企业扶持政策：</w:t>
      </w:r>
      <w:r>
        <w:rPr>
          <w:rFonts w:hint="eastAsia" w:ascii="宋体" w:hAnsi="宋体" w:eastAsia="宋体" w:cs="宋体"/>
          <w:b w:val="0"/>
          <w:bCs w:val="0"/>
          <w:color w:val="auto"/>
          <w:szCs w:val="21"/>
          <w:highlight w:val="none"/>
          <w:lang w:val="zh-CN"/>
        </w:rPr>
      </w:r>
      <w:r>
        <w:rPr>
          <w:color w:val="auto"/>
        </w:rPr>
      </w:r>
    </w:p>
    <w:p>
      <w:pPr>
        <w:pStyle w:val="899"/>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zh-CN"/>
        </w:rPr>
        <w:t xml:space="preserve">（1）在货物采购项目中，货物由中小企业制造，即货物由中小企业生产且使用该中小企业商号或者注册商标；</w:t>
      </w:r>
      <w:r>
        <w:rPr>
          <w:rFonts w:hint="eastAsia" w:ascii="宋体" w:hAnsi="宋体" w:eastAsia="宋体" w:cs="宋体"/>
          <w:b w:val="0"/>
          <w:bCs w:val="0"/>
          <w:color w:val="auto"/>
          <w:szCs w:val="21"/>
          <w:highlight w:val="none"/>
          <w:lang w:val="zh-CN"/>
        </w:rPr>
      </w:r>
      <w:r>
        <w:rPr>
          <w:color w:val="auto"/>
        </w:rPr>
      </w:r>
    </w:p>
    <w:p>
      <w:pPr>
        <w:pStyle w:val="899"/>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zh-CN"/>
        </w:rPr>
        <w:t xml:space="preserve">（2）在工程采购项目中，工程由中小企业承建，即工程施工单位为中小企业；</w:t>
      </w:r>
      <w:r>
        <w:rPr>
          <w:rFonts w:hint="eastAsia" w:ascii="宋体" w:hAnsi="宋体" w:eastAsia="宋体" w:cs="宋体"/>
          <w:b w:val="0"/>
          <w:bCs w:val="0"/>
          <w:color w:val="auto"/>
          <w:szCs w:val="21"/>
          <w:highlight w:val="none"/>
          <w:lang w:val="zh-CN"/>
        </w:rPr>
      </w:r>
      <w:r>
        <w:rPr>
          <w:color w:val="auto"/>
        </w:rPr>
      </w:r>
    </w:p>
    <w:p>
      <w:pPr>
        <w:pStyle w:val="899"/>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zh-CN"/>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val="0"/>
          <w:bCs w:val="0"/>
          <w:color w:val="auto"/>
          <w:szCs w:val="21"/>
          <w:highlight w:val="none"/>
          <w:lang w:val="zh-CN"/>
        </w:rPr>
      </w:r>
      <w:r>
        <w:rPr>
          <w:color w:val="auto"/>
        </w:rPr>
      </w:r>
    </w:p>
    <w:p>
      <w:pPr>
        <w:pStyle w:val="899"/>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zh-CN"/>
        </w:rPr>
        <w:t xml:space="preserve">在货物采购项目中，供应商提供的货物既有中小企业制造货物，也有大型企业制造货物的，不享受中小企业扶持政策。</w:t>
      </w:r>
      <w:r>
        <w:rPr>
          <w:rFonts w:hint="eastAsia" w:ascii="宋体" w:hAnsi="宋体" w:eastAsia="宋体" w:cs="宋体"/>
          <w:b w:val="0"/>
          <w:bCs w:val="0"/>
          <w:color w:val="auto"/>
          <w:szCs w:val="21"/>
          <w:highlight w:val="none"/>
          <w:lang w:val="zh-CN"/>
        </w:rPr>
      </w:r>
      <w:r>
        <w:rPr>
          <w:color w:val="auto"/>
        </w:rPr>
      </w:r>
    </w:p>
    <w:p>
      <w:pPr>
        <w:pStyle w:val="899"/>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 w:val="0"/>
          <w:bCs w:val="0"/>
          <w:color w:val="auto"/>
          <w:szCs w:val="21"/>
          <w:highlight w:val="none"/>
          <w:lang w:val="zh-CN"/>
        </w:rPr>
      </w:r>
      <w:r>
        <w:rPr>
          <w:color w:val="auto"/>
        </w:rPr>
      </w:r>
    </w:p>
    <w:p>
      <w:pPr>
        <w:pStyle w:val="899"/>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zh-CN"/>
        </w:rPr>
        <w:t xml:space="preserve">中小企业供应商参加政府采购活动，应当出具《中小企业声明函》（格式见后附件），否则不得享受相关中小企业扶持政策。</w:t>
      </w:r>
      <w:r>
        <w:rPr>
          <w:rFonts w:hint="eastAsia" w:ascii="宋体" w:hAnsi="宋体" w:eastAsia="宋体" w:cs="宋体"/>
          <w:b w:val="0"/>
          <w:bCs w:val="0"/>
          <w:color w:val="auto"/>
          <w:szCs w:val="21"/>
          <w:highlight w:val="none"/>
          <w:lang w:val="zh-CN"/>
        </w:rPr>
      </w:r>
      <w:r>
        <w:rPr>
          <w:color w:val="auto"/>
        </w:rPr>
      </w:r>
    </w:p>
    <w:p>
      <w:pPr>
        <w:pStyle w:val="899"/>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bCs w:val="0"/>
          <w:color w:val="auto"/>
          <w:szCs w:val="21"/>
          <w:highlight w:val="none"/>
          <w:lang w:val="zh-CN"/>
        </w:rPr>
      </w:r>
      <w:r>
        <w:rPr>
          <w:color w:val="auto"/>
        </w:rPr>
      </w:r>
    </w:p>
    <w:p>
      <w:pPr>
        <w:pStyle w:val="899"/>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b w:val="0"/>
          <w:bCs w:val="0"/>
          <w:color w:val="auto"/>
          <w:szCs w:val="21"/>
          <w:highlight w:val="none"/>
          <w:lang w:val="zh-CN"/>
        </w:rPr>
      </w:r>
      <w:r>
        <w:rPr>
          <w:color w:val="auto"/>
        </w:rPr>
      </w:r>
    </w:p>
    <w:p>
      <w:pPr>
        <w:pStyle w:val="899"/>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hint="eastAsia" w:ascii="宋体" w:hAnsi="宋体" w:eastAsia="宋体" w:cs="宋体"/>
          <w:b w:val="0"/>
          <w:bCs w:val="0"/>
          <w:color w:val="auto"/>
          <w:szCs w:val="21"/>
          <w:highlight w:val="none"/>
          <w:lang w:val="zh-CN"/>
        </w:rPr>
      </w:r>
      <w:r>
        <w:rPr>
          <w:color w:val="auto"/>
        </w:rPr>
      </w:r>
    </w:p>
    <w:p>
      <w:pPr>
        <w:pStyle w:val="899"/>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eastAsia="宋体" w:cs="宋体"/>
          <w:b w:val="0"/>
          <w:bCs w:val="0"/>
          <w:color w:val="auto"/>
          <w:szCs w:val="21"/>
          <w:highlight w:val="none"/>
          <w:lang w:val="zh-CN"/>
        </w:rPr>
      </w:r>
      <w:r>
        <w:rPr>
          <w:color w:val="auto"/>
        </w:rPr>
      </w:r>
    </w:p>
    <w:p>
      <w:pPr>
        <w:pStyle w:val="899"/>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zh-CN"/>
        </w:rPr>
        <w:t xml:space="preserve">3.5提供的产品属于信息安全产品的，供应商应当选择经国家认证的信息安全产品磋商，并提供由中国信息安全认证中心按国家标准认证颁发的有效认证证书扫描件。</w:t>
      </w:r>
      <w:r>
        <w:rPr>
          <w:rFonts w:hint="eastAsia" w:ascii="宋体" w:hAnsi="宋体" w:eastAsia="宋体" w:cs="宋体"/>
          <w:b w:val="0"/>
          <w:bCs w:val="0"/>
          <w:color w:val="auto"/>
          <w:szCs w:val="21"/>
          <w:highlight w:val="none"/>
          <w:lang w:val="zh-CN"/>
        </w:rPr>
      </w:r>
      <w:r>
        <w:rPr>
          <w:color w:val="auto"/>
        </w:rPr>
      </w:r>
    </w:p>
    <w:p>
      <w:pPr>
        <w:pStyle w:val="899"/>
        <w:ind w:firstLine="42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zh-CN"/>
        </w:rPr>
        <w:t xml:space="preserve">3.6提供的产品属于政府强制采购节能产品的，供应商应当选择经过认证的节能产品磋商，并提供有效的节能产品认证证书扫描件。</w:t>
      </w:r>
      <w:r>
        <w:rPr>
          <w:rFonts w:hint="eastAsia" w:ascii="宋体" w:hAnsi="宋体" w:eastAsia="宋体" w:cs="宋体"/>
          <w:b w:val="0"/>
          <w:bCs w:val="0"/>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lang w:val="zh-CN"/>
        </w:rPr>
        <w:t xml:space="preserve">3.7提供的产品属于环境标志产品的,供应商应当选择经过认证的环境标志产品磋商,并提供有效的环境标志产品认证证书扫描件。</w:t>
      </w:r>
      <w:r>
        <w:rPr>
          <w:rFonts w:hint="eastAsia" w:ascii="宋体" w:hAnsi="宋体" w:eastAsia="宋体" w:cs="宋体"/>
          <w:color w:val="auto"/>
          <w:szCs w:val="21"/>
          <w:highlight w:val="none"/>
          <w:lang w:val="zh-CN"/>
        </w:rPr>
      </w:r>
      <w:r>
        <w:rPr>
          <w:color w:val="auto"/>
        </w:rPr>
      </w:r>
    </w:p>
    <w:p>
      <w:pPr>
        <w:pStyle w:val="899"/>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4.参与竞争性磋商供应商资格条件</w:t>
      </w:r>
      <w:r>
        <w:rPr>
          <w:rFonts w:hint="eastAsia" w:ascii="宋体" w:hAnsi="宋体" w:eastAsia="宋体" w:cs="宋体"/>
          <w:b/>
          <w:color w:val="auto"/>
          <w:szCs w:val="21"/>
          <w:highlight w:val="none"/>
          <w:lang w:val="zh-CN"/>
        </w:rPr>
      </w:r>
      <w:r>
        <w:rPr>
          <w:color w:val="auto"/>
        </w:rPr>
      </w:r>
    </w:p>
    <w:p>
      <w:pPr>
        <w:pStyle w:val="899"/>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4.1应具备《政府采购法》第二十二条第一款规定的条件，并依照政府采购法实施条例第十七条规定提供材料：：</w:t>
      </w:r>
      <w:r>
        <w:rPr>
          <w:rFonts w:hint="eastAsia" w:ascii="宋体" w:hAnsi="宋体" w:eastAsia="宋体" w:cs="宋体"/>
          <w:b/>
          <w:color w:val="auto"/>
          <w:szCs w:val="21"/>
          <w:highlight w:val="none"/>
          <w:lang w:val="zh-CN"/>
        </w:rPr>
      </w:r>
      <w:r>
        <w:rPr>
          <w:color w:val="auto"/>
        </w:rPr>
      </w:r>
    </w:p>
    <w:p>
      <w:pPr>
        <w:pStyle w:val="997"/>
        <w:ind w:firstLine="420"/>
        <w:spacing w:before="0" w:beforeAutospacing="0" w:after="0" w:afterAutospacing="0" w:line="360" w:lineRule="auto"/>
        <w:rPr>
          <w:rFonts w:hint="eastAsia"/>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rPr>
          <w:rFonts w:hint="eastAsia"/>
          <w:color w:val="auto"/>
          <w:sz w:val="21"/>
          <w:szCs w:val="21"/>
          <w:highlight w:val="none"/>
        </w:rPr>
        <w:t xml:space="preserve">（提供法人或者其他组织的营业执照，自然人的身份证明，复印件加盖公章）</w:t>
      </w:r>
      <w:r>
        <w:rPr>
          <w:rFonts w:hint="eastAsia"/>
          <w:color w:val="auto"/>
          <w:sz w:val="21"/>
          <w:szCs w:val="21"/>
          <w:highlight w:val="none"/>
        </w:rPr>
      </w:r>
      <w:r>
        <w:rPr>
          <w:color w:val="auto"/>
        </w:rPr>
      </w:r>
    </w:p>
    <w:p>
      <w:pPr>
        <w:pStyle w:val="997"/>
        <w:ind w:firstLine="420"/>
        <w:spacing w:before="0" w:beforeAutospacing="0" w:after="0" w:afterAutospacing="0" w:line="360" w:lineRule="auto"/>
        <w:rPr>
          <w:rFonts w:hint="eastAsia"/>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rPr>
          <w:rFonts w:hint="eastAsia"/>
          <w:color w:val="auto"/>
          <w:sz w:val="21"/>
          <w:szCs w:val="21"/>
          <w:highlight w:val="none"/>
          <w:shd w:val="clear" w:color="auto" w:fill="ffffff"/>
        </w:rPr>
        <w:t xml:space="preserve">。</w:t>
      </w:r>
      <w:r>
        <w:rPr>
          <w:rFonts w:hint="eastAsia"/>
          <w:color w:val="auto"/>
          <w:sz w:val="21"/>
          <w:szCs w:val="21"/>
          <w:highlight w:val="none"/>
        </w:rPr>
        <w:t xml:space="preserve">（提供参加本次采购活动前半年内至少一个月的财务报表，复印件加盖公章）</w:t>
      </w:r>
      <w:r>
        <w:rPr>
          <w:rFonts w:hint="eastAsia"/>
          <w:color w:val="auto"/>
          <w:sz w:val="21"/>
          <w:szCs w:val="21"/>
          <w:highlight w:val="none"/>
        </w:rPr>
      </w:r>
      <w:r>
        <w:rPr>
          <w:color w:val="auto"/>
        </w:rPr>
      </w:r>
    </w:p>
    <w:p>
      <w:pPr>
        <w:pStyle w:val="899"/>
        <w:ind w:firstLine="420"/>
        <w:spacing w:line="360" w:lineRule="auto"/>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p>
      <w:pPr>
        <w:pStyle w:val="997"/>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rPr>
          <w:rFonts w:hint="eastAsia"/>
          <w:color w:val="auto"/>
          <w:sz w:val="21"/>
          <w:szCs w:val="21"/>
          <w:highlight w:val="none"/>
        </w:rPr>
        <w:t xml:space="preserve">（</w:t>
      </w:r>
      <w:r>
        <w:rPr>
          <w:rFonts w:hint="eastAsia"/>
          <w:color w:val="auto"/>
          <w:sz w:val="21"/>
          <w:szCs w:val="21"/>
          <w:highlight w:val="none"/>
        </w:rPr>
        <w:t xml:space="preserve">提供书面声明</w:t>
      </w:r>
      <w:r>
        <w:rPr>
          <w:rFonts w:hint="eastAsia"/>
          <w:color w:val="auto"/>
          <w:sz w:val="21"/>
          <w:szCs w:val="21"/>
          <w:highlight w:val="none"/>
        </w:rPr>
        <w:t xml:space="preserve">加盖公章）</w:t>
      </w:r>
      <w:r>
        <w:rPr>
          <w:rFonts w:hint="eastAsia" w:ascii="宋体" w:hAnsi="宋体" w:eastAsia="宋体" w:cs="宋体"/>
          <w:color w:val="auto"/>
          <w:sz w:val="21"/>
          <w:szCs w:val="21"/>
          <w:highlight w:val="none"/>
        </w:rPr>
      </w:r>
      <w:r>
        <w:rPr>
          <w:color w:val="auto"/>
        </w:rPr>
      </w:r>
    </w:p>
    <w:p>
      <w:pPr>
        <w:pStyle w:val="997"/>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rPr>
          <w:rFonts w:hint="eastAsia"/>
          <w:color w:val="auto"/>
          <w:sz w:val="21"/>
          <w:szCs w:val="21"/>
          <w:highlight w:val="none"/>
        </w:rPr>
        <w:t xml:space="preserve">提供参加本次采购活动前半年内至少一个月依法缴纳税收和社会保障资金的相关资料，复印件加盖公章）</w:t>
      </w:r>
      <w:r>
        <w:rPr>
          <w:rFonts w:hint="eastAsia" w:ascii="宋体" w:hAnsi="宋体" w:eastAsia="宋体" w:cs="宋体"/>
          <w:color w:val="auto"/>
          <w:sz w:val="21"/>
          <w:szCs w:val="21"/>
          <w:highlight w:val="none"/>
        </w:rPr>
      </w:r>
      <w:r>
        <w:rPr>
          <w:color w:val="auto"/>
        </w:rPr>
      </w:r>
    </w:p>
    <w:p>
      <w:pPr>
        <w:pStyle w:val="997"/>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w:t>
      </w:r>
      <w:r>
        <w:rPr>
          <w:rFonts w:hint="eastAsia"/>
          <w:color w:val="auto"/>
          <w:sz w:val="21"/>
          <w:szCs w:val="21"/>
          <w:highlight w:val="none"/>
        </w:rPr>
        <w:t xml:space="preserve">（</w:t>
      </w:r>
      <w:r>
        <w:rPr>
          <w:rFonts w:hint="eastAsia"/>
          <w:color w:val="auto"/>
          <w:sz w:val="21"/>
          <w:szCs w:val="21"/>
          <w:highlight w:val="none"/>
        </w:rPr>
        <w:t xml:space="preserve">提供书面声明</w:t>
      </w:r>
      <w:r>
        <w:rPr>
          <w:rFonts w:hint="eastAsia"/>
          <w:color w:val="auto"/>
          <w:sz w:val="21"/>
          <w:szCs w:val="21"/>
          <w:highlight w:val="none"/>
        </w:rPr>
        <w:t xml:space="preserve">加盖公章）</w:t>
      </w:r>
      <w:r>
        <w:rPr>
          <w:rFonts w:hint="eastAsia" w:ascii="宋体" w:hAnsi="宋体" w:eastAsia="宋体" w:cs="宋体"/>
          <w:color w:val="auto"/>
          <w:sz w:val="21"/>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（6）法律、行政法规规定的其他条件（</w:t>
      </w:r>
      <w:r>
        <w:rPr>
          <w:rFonts w:hint="eastAsia" w:ascii="宋体" w:hAnsi="宋体" w:eastAsia="宋体" w:cs="宋体"/>
          <w:color w:val="auto"/>
          <w:sz w:val="21"/>
          <w:szCs w:val="21"/>
          <w:highlight w:val="none"/>
          <w:lang w:val="zh-CN"/>
        </w:rPr>
        <w:t xml:space="preserve">提供</w:t>
      </w:r>
      <w:r>
        <w:rPr>
          <w:rFonts w:hint="eastAsia" w:ascii="宋体" w:hAnsi="宋体" w:eastAsia="宋体" w:cs="宋体"/>
          <w:color w:val="auto"/>
          <w:sz w:val="21"/>
          <w:szCs w:val="21"/>
          <w:highlight w:val="none"/>
          <w:lang w:eastAsia="zh-CN"/>
        </w:rPr>
        <w:t xml:space="preserve">南京市政府采购供应商信用记录表暨信用承诺书，</w:t>
      </w:r>
      <w:r>
        <w:rPr>
          <w:rFonts w:hint="eastAsia" w:ascii="宋体" w:hAnsi="宋体" w:eastAsia="宋体" w:cs="宋体"/>
          <w:color w:val="auto"/>
          <w:sz w:val="21"/>
          <w:szCs w:val="21"/>
          <w:highlight w:val="none"/>
        </w:rPr>
        <w:t xml:space="preserve">格式见</w:t>
      </w:r>
      <w:r>
        <w:rPr>
          <w:rFonts w:hint="eastAsia" w:ascii="宋体" w:hAnsi="宋体" w:eastAsia="宋体" w:cs="宋体"/>
          <w:color w:val="auto"/>
          <w:szCs w:val="21"/>
          <w:highlight w:val="none"/>
        </w:rPr>
        <w:t xml:space="preserve">附件</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r>
      <w:r>
        <w:rPr>
          <w:color w:val="auto"/>
        </w:rPr>
      </w:r>
    </w:p>
    <w:p>
      <w:pPr>
        <w:pStyle w:val="899"/>
        <w:ind w:firstLine="422"/>
        <w:rPr>
          <w:rFonts w:hint="eastAsia" w:ascii="宋体" w:hAnsi="宋体" w:eastAsia="宋体" w:cs="宋体"/>
          <w:b/>
          <w:color w:val="auto"/>
          <w:highlight w:val="none"/>
        </w:rPr>
      </w:pPr>
      <w:r>
        <w:rPr>
          <w:rFonts w:hint="eastAsia" w:ascii="宋体" w:hAnsi="宋体" w:eastAsia="宋体" w:cs="宋体"/>
          <w:b/>
          <w:color w:val="auto"/>
          <w:szCs w:val="21"/>
          <w:highlight w:val="none"/>
        </w:rPr>
        <w:t xml:space="preserve">4.2</w:t>
      </w:r>
      <w:r>
        <w:rPr>
          <w:rFonts w:hint="eastAsia" w:ascii="宋体" w:hAnsi="宋体" w:eastAsia="宋体" w:cs="宋体"/>
          <w:b/>
          <w:color w:val="auto"/>
          <w:highlight w:val="none"/>
        </w:rPr>
        <w:t xml:space="preserve">采购人根据采购项目的特殊要求规定的特定条件：</w:t>
      </w:r>
      <w:r>
        <w:rPr>
          <w:rFonts w:hint="eastAsia" w:ascii="宋体" w:hAnsi="宋体" w:eastAsia="宋体" w:cs="宋体"/>
          <w:b/>
          <w:color w:val="auto"/>
          <w:highlight w:val="none"/>
        </w:rPr>
      </w:r>
      <w:r>
        <w:rPr>
          <w:color w:val="auto"/>
        </w:rPr>
      </w:r>
    </w:p>
    <w:p>
      <w:pPr>
        <w:pStyle w:val="899"/>
        <w:ind w:firstLine="420"/>
        <w:rPr>
          <w:rFonts w:hint="eastAsia" w:ascii="宋体" w:hAnsi="宋体" w:eastAsia="宋体" w:cs="宋体"/>
          <w:b/>
          <w:bCs/>
          <w:color w:val="auto"/>
          <w:szCs w:val="21"/>
          <w:highlight w:val="none"/>
        </w:rPr>
        <w:outlineLvl w:val="9"/>
      </w:pPr>
      <w:r>
        <w:rPr>
          <w:rFonts w:hint="eastAsia" w:ascii="宋体" w:hAnsi="宋体" w:eastAsia="宋体" w:cs="宋体"/>
          <w:color w:val="auto"/>
          <w:sz w:val="21"/>
          <w:szCs w:val="21"/>
          <w:highlight w:val="none"/>
          <w:lang w:val="en-US" w:eastAsia="zh-CN"/>
        </w:rPr>
        <w:t xml:space="preserve">无。</w:t>
      </w: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rPr>
      </w:r>
      <w:r>
        <w:rPr>
          <w:color w:val="auto"/>
        </w:rPr>
      </w:r>
    </w:p>
    <w:p>
      <w:pPr>
        <w:pStyle w:val="899"/>
        <w:ind w:firstLine="422"/>
        <w:jc w:val="lef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4.3 拒绝下述供应商参加本次采购活</w:t>
      </w:r>
      <w:r>
        <w:rPr>
          <w:rFonts w:hint="eastAsia" w:ascii="宋体" w:hAnsi="宋体" w:eastAsia="宋体" w:cs="宋体"/>
          <w:b/>
          <w:color w:val="auto"/>
          <w:szCs w:val="21"/>
          <w:highlight w:val="none"/>
          <w:lang w:val="en-US" w:eastAsia="zh-CN"/>
        </w:rPr>
        <w:t xml:space="preserve">动</w:t>
      </w:r>
      <w:r>
        <w:rPr>
          <w:rFonts w:hint="eastAsia" w:ascii="宋体" w:hAnsi="宋体" w:eastAsia="宋体" w:cs="宋体"/>
          <w:b/>
          <w:color w:val="auto"/>
          <w:szCs w:val="21"/>
          <w:highlight w:val="none"/>
          <w:lang w:val="en-US" w:eastAsia="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（1）是否接受联合体投标：不接受。</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（2）供应商单位负责人为同一人或者存在直接控股、管理关系的不同供应商，不得参加同一合同项下的政府采购活动。 </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 w:val="21"/>
          <w:szCs w:val="21"/>
          <w:highlight w:val="none"/>
        </w:rPr>
        <w:outlineLvl w:val="9"/>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rPr>
        <w:t xml:space="preserve">除单一来源采购项目外，</w:t>
      </w:r>
      <w:r>
        <w:rPr>
          <w:rFonts w:hint="eastAsia" w:ascii="宋体" w:hAnsi="宋体" w:eastAsia="宋体" w:cs="宋体"/>
          <w:color w:val="auto"/>
          <w:sz w:val="21"/>
          <w:szCs w:val="21"/>
          <w:highlight w:val="none"/>
        </w:rPr>
        <w:t xml:space="preserve">为采购项目提供整体设计、规范编制或者项目管理、监理、检测等服务的供应商，不得再参加</w:t>
      </w:r>
      <w:r>
        <w:rPr>
          <w:rFonts w:hint="eastAsia" w:ascii="宋体" w:hAnsi="宋体" w:eastAsia="宋体" w:cs="宋体"/>
          <w:color w:val="auto"/>
          <w:sz w:val="21"/>
          <w:szCs w:val="21"/>
          <w:highlight w:val="none"/>
          <w:lang w:val="en-US" w:eastAsia="zh-CN"/>
        </w:rPr>
        <w:t xml:space="preserve">该采购</w:t>
      </w:r>
      <w:r>
        <w:rPr>
          <w:rFonts w:hint="eastAsia" w:ascii="宋体" w:hAnsi="宋体" w:eastAsia="宋体" w:cs="宋体"/>
          <w:color w:val="auto"/>
          <w:sz w:val="21"/>
          <w:szCs w:val="21"/>
          <w:highlight w:val="none"/>
        </w:rPr>
        <w:t xml:space="preserve">项目的</w:t>
      </w:r>
      <w:r>
        <w:rPr>
          <w:rFonts w:hint="eastAsia" w:ascii="宋体" w:hAnsi="宋体" w:eastAsia="宋体" w:cs="宋体"/>
          <w:color w:val="auto"/>
          <w:sz w:val="21"/>
          <w:szCs w:val="21"/>
          <w:highlight w:val="none"/>
          <w:lang w:val="en-US" w:eastAsia="zh-CN"/>
        </w:rPr>
        <w:t xml:space="preserve">其他</w:t>
      </w:r>
      <w:r>
        <w:rPr>
          <w:rFonts w:hint="eastAsia" w:ascii="宋体" w:hAnsi="宋体" w:eastAsia="宋体" w:cs="宋体"/>
          <w:color w:val="auto"/>
          <w:sz w:val="21"/>
          <w:szCs w:val="21"/>
          <w:highlight w:val="none"/>
        </w:rPr>
        <w:t xml:space="preserve">采购活动。 </w:t>
      </w:r>
      <w:r>
        <w:rPr>
          <w:rFonts w:hint="eastAsia" w:ascii="宋体" w:hAnsi="宋体" w:eastAsia="宋体" w:cs="宋体"/>
          <w:color w:val="auto"/>
          <w:sz w:val="21"/>
          <w:szCs w:val="21"/>
          <w:highlight w:val="none"/>
        </w:rPr>
      </w:r>
      <w:r>
        <w:rPr>
          <w:color w:val="auto"/>
        </w:rPr>
      </w:r>
    </w:p>
    <w:p>
      <w:pPr>
        <w:pStyle w:val="899"/>
        <w:ind w:firstLine="420"/>
        <w:jc w:val="left"/>
        <w:spacing w:line="24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zh-CN"/>
        </w:rPr>
        <w:t xml:space="preserve">（4）供应商被“信用中国”网站、“中国政府采购网”列入失信被执行人、重大税收违法案件当事人名单、政府采购严重违法失信行为记录名单。</w:t>
      </w:r>
      <w:r>
        <w:rPr>
          <w:rFonts w:hint="eastAsia" w:ascii="宋体" w:hAnsi="宋体" w:eastAsia="宋体" w:cs="宋体"/>
          <w:color w:val="auto"/>
          <w:szCs w:val="21"/>
          <w:highlight w:val="none"/>
          <w:lang w:val="zh-CN"/>
        </w:rPr>
      </w:r>
      <w:r>
        <w:rPr>
          <w:color w:val="auto"/>
        </w:rPr>
      </w:r>
    </w:p>
    <w:p>
      <w:pPr>
        <w:pStyle w:val="899"/>
        <w:ind w:firstLine="422"/>
        <w:jc w:val="left"/>
        <w:spacing w:line="280" w:lineRule="atLeas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4.4</w:t>
      </w: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南京市政府采购供应商信用记录表</w:t>
      </w:r>
      <w:r>
        <w:rPr>
          <w:rFonts w:hint="eastAsia" w:ascii="宋体" w:hAnsi="宋体" w:eastAsia="宋体" w:cs="宋体"/>
          <w:b/>
          <w:bCs/>
          <w:color w:val="auto"/>
          <w:szCs w:val="21"/>
          <w:highlight w:val="none"/>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（1）进入“信用南京”或“南京公共采购信息网”网站，点击“南京政府采购供应商诚信档案”图标，或直接输入访问地址，在用户登录界面点击“新用户注册”；</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（2）在“新用户注册”界面，供应商自行设置用户名、登录密码，如实填写《南京市政府采购供应商诚信档案注册登记表》，并进行信用承诺确认后，提交注册申请； </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（3）系统审核后，供应商即可登录系统进行相关功能操作。</w:t>
      </w:r>
      <w:r>
        <w:rPr>
          <w:rFonts w:hint="eastAsia" w:ascii="宋体" w:hAnsi="宋体" w:eastAsia="宋体" w:cs="宋体"/>
          <w:color w:val="auto"/>
          <w:szCs w:val="21"/>
          <w:highlight w:val="none"/>
          <w:lang w:val="en-US" w:eastAsia="zh-CN"/>
        </w:rPr>
      </w:r>
      <w:r>
        <w:rPr>
          <w:color w:val="auto"/>
        </w:rPr>
      </w:r>
    </w:p>
    <w:p>
      <w:pPr>
        <w:pStyle w:val="899"/>
        <w:ind w:firstLine="420"/>
        <w:spacing w:line="360" w:lineRule="auto"/>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南京市政府采购供应商诚信档案管理系统客服电话：025-52718366；供应商可就用户注册与打印“南京市政府采购供应商信用记录表暨信用承诺书”等事宜进行咨询。</w:t>
      </w:r>
      <w:r>
        <w:rPr>
          <w:rFonts w:hint="eastAsia" w:ascii="宋体" w:hAnsi="宋体" w:eastAsia="宋体" w:cs="宋体"/>
          <w:color w:val="auto"/>
          <w:szCs w:val="21"/>
          <w:highlight w:val="none"/>
          <w:lang w:val="zh-CN"/>
        </w:rPr>
      </w:r>
      <w:r>
        <w:rPr>
          <w:color w:val="auto"/>
        </w:rPr>
      </w:r>
    </w:p>
    <w:p>
      <w:pPr>
        <w:pStyle w:val="899"/>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5.供应商的义务及注意事项</w:t>
      </w:r>
      <w:r>
        <w:rPr>
          <w:rFonts w:hint="eastAsia" w:ascii="宋体" w:hAnsi="宋体" w:eastAsia="宋体" w:cs="宋体"/>
          <w:b/>
          <w:color w:val="auto"/>
          <w:szCs w:val="21"/>
          <w:highlight w:val="none"/>
        </w:rPr>
      </w:r>
      <w:r>
        <w:rPr>
          <w:color w:val="auto"/>
        </w:rPr>
      </w:r>
    </w:p>
    <w:p>
      <w:pPr>
        <w:pStyle w:val="899"/>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5.1</w:t>
      </w:r>
      <w:r>
        <w:rPr>
          <w:rFonts w:hint="eastAsia" w:ascii="宋体" w:hAnsi="宋体" w:eastAsia="宋体" w:cs="宋体"/>
          <w:b/>
          <w:color w:val="auto"/>
          <w:szCs w:val="21"/>
          <w:highlight w:val="none"/>
          <w:lang w:val="zh-CN"/>
        </w:rPr>
        <w:t xml:space="preserve">集中现场</w:t>
      </w:r>
      <w:r>
        <w:rPr>
          <w:rFonts w:hint="eastAsia" w:ascii="宋体" w:hAnsi="宋体" w:eastAsia="宋体" w:cs="宋体"/>
          <w:b/>
          <w:color w:val="auto"/>
          <w:szCs w:val="21"/>
          <w:highlight w:val="none"/>
        </w:rPr>
        <w:t xml:space="preserve">答疑/勘察</w:t>
      </w:r>
      <w:r>
        <w:rPr>
          <w:rFonts w:hint="eastAsia" w:ascii="宋体" w:hAnsi="宋体" w:eastAsia="宋体" w:cs="宋体"/>
          <w:b/>
          <w:color w:val="auto"/>
          <w:szCs w:val="21"/>
          <w:highlight w:val="none"/>
          <w:lang w:val="zh-CN"/>
        </w:rPr>
        <w:t xml:space="preserve">：无。</w:t>
      </w:r>
      <w:r>
        <w:rPr>
          <w:rFonts w:hint="eastAsia" w:ascii="宋体" w:hAnsi="宋体" w:eastAsia="宋体" w:cs="宋体"/>
          <w:b/>
          <w:color w:val="auto"/>
          <w:szCs w:val="21"/>
          <w:highlight w:val="none"/>
          <w:lang w:val="zh-CN"/>
        </w:rPr>
      </w:r>
      <w:r>
        <w:rPr>
          <w:color w:val="auto"/>
        </w:rPr>
      </w:r>
    </w:p>
    <w:p>
      <w:pPr>
        <w:pStyle w:val="899"/>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5.2 义务</w:t>
      </w:r>
      <w:r>
        <w:rPr>
          <w:rFonts w:hint="eastAsia" w:ascii="宋体" w:hAnsi="宋体" w:eastAsia="宋体" w:cs="宋体"/>
          <w:b/>
          <w:color w:val="auto"/>
          <w:szCs w:val="21"/>
          <w:highlight w:val="none"/>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5.1集中现场答疑/勘察：</w:t>
      </w:r>
      <w:r>
        <w:rPr>
          <w:rFonts w:hint="eastAsia" w:ascii="宋体" w:hAnsi="宋体" w:eastAsia="宋体" w:cs="宋体"/>
          <w:color w:val="auto"/>
          <w:szCs w:val="21"/>
          <w:highlight w:val="none"/>
          <w:lang w:val="zh-CN" w:eastAsia="zh-CN"/>
        </w:rPr>
        <w:t xml:space="preserve">采购人不组织，供应商可自行查勘，在随后的采购中，对现场资料和数据所作出的推论、解释和结论及由此造成的后果由供应商负责。</w:t>
      </w:r>
      <w:r>
        <w:rPr>
          <w:rFonts w:hint="eastAsia" w:ascii="宋体" w:hAnsi="宋体" w:eastAsia="宋体" w:cs="宋体"/>
          <w:color w:val="auto"/>
          <w:szCs w:val="21"/>
          <w:highlight w:val="none"/>
          <w:lang w:val="zh-CN" w:eastAsia="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5.2 义务</w:t>
      </w:r>
      <w:r>
        <w:rPr>
          <w:rFonts w:hint="eastAsia" w:ascii="宋体" w:hAnsi="宋体" w:eastAsia="宋体" w:cs="宋体"/>
          <w:color w:val="auto"/>
          <w:szCs w:val="21"/>
          <w:highlight w:val="none"/>
          <w:lang w:val="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5.2.1供应商应当认真阅读本磋商文件，完全明了本项目之名称、用途、数量、质量和提供服务时间，完全明了应具备的资格条件。</w:t>
      </w:r>
      <w:r>
        <w:rPr>
          <w:rFonts w:hint="eastAsia" w:ascii="宋体" w:hAnsi="宋体" w:eastAsia="宋体" w:cs="宋体"/>
          <w:color w:val="auto"/>
          <w:szCs w:val="21"/>
          <w:highlight w:val="none"/>
          <w:lang w:val="zh-CN" w:eastAsia="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5.2.2供应商应当按照磋商文件的要求编制响应性文件。响应性文件应对磋商文件提出的实质性要求和条件作出完全响应。</w:t>
      </w:r>
      <w:r>
        <w:rPr>
          <w:rFonts w:hint="eastAsia" w:ascii="宋体" w:hAnsi="宋体" w:eastAsia="宋体" w:cs="宋体"/>
          <w:color w:val="auto"/>
          <w:szCs w:val="21"/>
          <w:highlight w:val="none"/>
          <w:lang w:val="zh-CN" w:eastAsia="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5.2.3供应商应在磋商截止时间前，将</w:t>
      </w:r>
      <w:r>
        <w:rPr>
          <w:rFonts w:hint="eastAsia" w:ascii="宋体" w:hAnsi="宋体" w:eastAsia="宋体" w:cs="宋体"/>
          <w:color w:val="auto"/>
          <w:szCs w:val="21"/>
          <w:highlight w:val="none"/>
          <w:lang w:val="en-US" w:eastAsia="zh-CN"/>
        </w:rPr>
        <w:t xml:space="preserve">电子</w:t>
      </w:r>
      <w:r>
        <w:rPr>
          <w:rFonts w:hint="eastAsia" w:ascii="宋体" w:hAnsi="宋体" w:eastAsia="宋体" w:cs="宋体"/>
          <w:color w:val="auto"/>
          <w:szCs w:val="21"/>
          <w:highlight w:val="none"/>
          <w:lang w:val="zh-CN" w:eastAsia="zh-CN"/>
        </w:rPr>
        <w:t xml:space="preserve">响应性文件</w:t>
      </w:r>
      <w:r>
        <w:rPr>
          <w:rFonts w:hint="eastAsia" w:ascii="宋体" w:hAnsi="宋体" w:eastAsia="宋体" w:cs="宋体"/>
          <w:color w:val="auto"/>
          <w:szCs w:val="21"/>
          <w:highlight w:val="none"/>
          <w:lang w:val="zh-CN"/>
        </w:rPr>
        <w:t xml:space="preserve">通过“苏采云”系统上传投标文件</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eastAsia="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5.2.4供应商不得相互串通报价，不得排挤其他供应商的公平竞争，损害采购人或者其他供应商的合法权益。供应商不得与采购人串通磋商，损害国家利益，公众利益或者他人的合法权益。</w:t>
      </w:r>
      <w:r>
        <w:rPr>
          <w:rFonts w:hint="eastAsia" w:ascii="宋体" w:hAnsi="宋体" w:eastAsia="宋体" w:cs="宋体"/>
          <w:color w:val="auto"/>
          <w:szCs w:val="21"/>
          <w:highlight w:val="none"/>
          <w:lang w:val="zh-CN"/>
        </w:rPr>
      </w:r>
      <w:r>
        <w:rPr>
          <w:color w:val="auto"/>
        </w:rPr>
      </w:r>
    </w:p>
    <w:p>
      <w:pPr>
        <w:pStyle w:val="899"/>
        <w:ind w:firstLine="413"/>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5.3 注意事项</w:t>
      </w:r>
      <w:r>
        <w:rPr>
          <w:rFonts w:hint="eastAsia" w:ascii="宋体" w:hAnsi="宋体" w:eastAsia="宋体" w:cs="宋体"/>
          <w:b/>
          <w:color w:val="auto"/>
          <w:szCs w:val="21"/>
          <w:highlight w:val="none"/>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5.3.1本项目采购方式是竞争性磋商，整个项目是一个整体、不可分割。</w:t>
      </w:r>
      <w:r>
        <w:rPr>
          <w:rFonts w:hint="eastAsia" w:ascii="宋体" w:hAnsi="宋体" w:eastAsia="宋体" w:cs="宋体"/>
          <w:color w:val="auto"/>
          <w:szCs w:val="21"/>
          <w:highlight w:val="none"/>
          <w:lang w:val="zh-CN" w:eastAsia="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5.3.2验收标准</w:t>
      </w:r>
      <w:r>
        <w:rPr>
          <w:rFonts w:hint="eastAsia" w:ascii="宋体" w:hAnsi="宋体" w:eastAsia="宋体" w:cs="宋体"/>
          <w:color w:val="auto"/>
          <w:szCs w:val="21"/>
          <w:highlight w:val="none"/>
          <w:lang w:val="zh-CN" w:eastAsia="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5.3.2.1磋商文件中明确的标准和技术要求，未明确部分按照国家最新的相关标准；</w:t>
      </w:r>
      <w:r>
        <w:rPr>
          <w:rFonts w:hint="eastAsia" w:ascii="宋体" w:hAnsi="宋体" w:eastAsia="宋体" w:cs="宋体"/>
          <w:color w:val="auto"/>
          <w:szCs w:val="21"/>
          <w:highlight w:val="none"/>
          <w:lang w:val="zh-CN" w:eastAsia="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rPr>
          <w:rFonts w:hint="eastAsia" w:ascii="宋体" w:hAnsi="宋体" w:eastAsia="宋体" w:cs="宋体"/>
          <w:color w:val="auto"/>
          <w:szCs w:val="21"/>
          <w:highlight w:val="none"/>
          <w:lang w:val="zh-CN" w:eastAsia="zh-CN"/>
        </w:rPr>
      </w:r>
      <w:r>
        <w:rPr>
          <w:color w:val="auto"/>
        </w:rPr>
      </w:r>
    </w:p>
    <w:p>
      <w:pPr>
        <w:pStyle w:val="899"/>
        <w:ind w:firstLine="413"/>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5.4★政府采购信用承诺</w:t>
      </w:r>
      <w:r>
        <w:rPr>
          <w:rFonts w:hint="eastAsia" w:ascii="宋体" w:hAnsi="宋体" w:eastAsia="宋体" w:cs="宋体"/>
          <w:b/>
          <w:color w:val="auto"/>
          <w:szCs w:val="21"/>
          <w:highlight w:val="none"/>
          <w:lang w:val="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根据《南京市政府采购供应商信用管理工作暂行办法》（宁财规〔2018〕10号）有关规定，凡在南京地区参加采购活动的供应商，应当事先登录“信用南京”或南京公共采购信息网主页“政府采购供应商诚信档案”栏目进行注册登记。由于特殊原因未及时注册的供应商可先行获取采购文件，但必须在投标截止时间前2天内办理登记注册手续。</w:t>
      </w:r>
      <w:r>
        <w:rPr>
          <w:rFonts w:hint="eastAsia" w:ascii="宋体" w:hAnsi="宋体" w:eastAsia="宋体" w:cs="宋体"/>
          <w:color w:val="auto"/>
          <w:szCs w:val="21"/>
          <w:highlight w:val="none"/>
          <w:lang w:val="zh-CN" w:eastAsia="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5.4.1供应商申请网上注册的，应当按以下程序进行：</w:t>
      </w:r>
      <w:r>
        <w:rPr>
          <w:rFonts w:hint="eastAsia" w:ascii="宋体" w:hAnsi="宋体" w:eastAsia="宋体" w:cs="宋体"/>
          <w:color w:val="auto"/>
          <w:szCs w:val="21"/>
          <w:highlight w:val="none"/>
          <w:lang w:val="zh-CN" w:eastAsia="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（1）登录“信用南京”或“南京公共采购信息网”网站，点击“政府采购供应商诚信档案”图标，在弹出的用户登录界面，点击“新用户注册”；</w:t>
      </w:r>
      <w:r>
        <w:rPr>
          <w:rFonts w:hint="eastAsia" w:ascii="宋体" w:hAnsi="宋体" w:eastAsia="宋体" w:cs="宋体"/>
          <w:color w:val="auto"/>
          <w:szCs w:val="21"/>
          <w:highlight w:val="none"/>
          <w:lang w:val="zh-CN" w:eastAsia="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（2）在“新用户注册”界面，供应商自行设置用户名、登录密码，如实填写“南京市政府采购供应商诚信档案注册登记表”，根据网站注册要求如实上传相关资料，并进行信用承诺确认后，提交注册申请；</w:t>
      </w:r>
      <w:r>
        <w:rPr>
          <w:rFonts w:hint="eastAsia" w:ascii="宋体" w:hAnsi="宋体" w:eastAsia="宋体" w:cs="宋体"/>
          <w:color w:val="auto"/>
          <w:szCs w:val="21"/>
          <w:highlight w:val="none"/>
          <w:lang w:val="zh-CN" w:eastAsia="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（3）系统审核后，供应商即可登录系统进行相关功能操作。</w:t>
      </w:r>
      <w:r>
        <w:rPr>
          <w:rFonts w:hint="eastAsia" w:ascii="宋体" w:hAnsi="宋体" w:eastAsia="宋体" w:cs="宋体"/>
          <w:color w:val="auto"/>
          <w:szCs w:val="21"/>
          <w:highlight w:val="none"/>
          <w:lang w:val="zh-CN" w:eastAsia="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5.4.2供应商参加本项目采购活动时，无论是新用户注册或已注册成功的，均应在采购文件发布之日起至投标截止时间前，登录“信用南京”或“南京公共采购信息网”在线打印其“南京市政府采购供应商信用记录表暨信用承诺书”，经法定代表人签名盖章后作为响应文件的有效组成部分。“南京市政府采购供应商信用记录表暨信用承诺书”是其参加本次政府采购活动的必备材料。</w:t>
      </w:r>
      <w:r>
        <w:rPr>
          <w:rFonts w:hint="eastAsia" w:ascii="宋体" w:hAnsi="宋体" w:eastAsia="宋体" w:cs="宋体"/>
          <w:color w:val="auto"/>
          <w:szCs w:val="21"/>
          <w:highlight w:val="none"/>
          <w:lang w:val="zh-CN" w:eastAsia="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eastAsia="zh-CN"/>
        </w:rPr>
        <w:t xml:space="preserve">5.4.</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南京市政府采购供应商诚信档案管理系统客服电话：025-52718366；供应商可就用户注册与打印“南京市政府采购供应商信用记录表暨信用承诺书”等事宜进行咨询。</w:t>
      </w:r>
      <w:r>
        <w:rPr>
          <w:rFonts w:hint="eastAsia" w:ascii="宋体" w:hAnsi="宋体" w:eastAsia="宋体" w:cs="宋体"/>
          <w:color w:val="auto"/>
          <w:szCs w:val="21"/>
          <w:highlight w:val="none"/>
          <w:lang w:val="zh-CN" w:eastAsia="zh-CN"/>
        </w:rPr>
      </w:r>
      <w:r>
        <w:rPr>
          <w:color w:val="auto"/>
        </w:rPr>
      </w:r>
    </w:p>
    <w:p>
      <w:pPr>
        <w:pStyle w:val="899"/>
        <w:ind w:left="218" w:firstLine="417"/>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5.4.4</w:t>
      </w:r>
      <w:r>
        <w:rPr>
          <w:rFonts w:hint="eastAsia" w:ascii="宋体" w:hAnsi="宋体" w:eastAsia="宋体" w:cs="宋体"/>
          <w:color w:val="auto"/>
          <w:szCs w:val="21"/>
          <w:highlight w:val="none"/>
          <w:lang w:val="zh-CN" w:eastAsia="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w:t>
      </w:r>
      <w:r>
        <w:rPr>
          <w:rFonts w:hint="eastAsia" w:ascii="宋体" w:hAnsi="宋体" w:eastAsia="宋体" w:cs="宋体"/>
          <w:color w:val="auto"/>
          <w:szCs w:val="21"/>
          <w:highlight w:val="none"/>
          <w:lang w:val="zh-CN" w:eastAsia="zh-CN"/>
        </w:rPr>
        <w:t xml:space="preserve">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宋体" w:hAnsi="宋体" w:eastAsia="宋体" w:cs="宋体"/>
          <w:color w:val="auto"/>
          <w:szCs w:val="21"/>
          <w:highlight w:val="none"/>
          <w:lang w:val="en-US" w:eastAsia="zh-CN"/>
        </w:rPr>
        <w:t xml:space="preserve">电子</w:t>
      </w:r>
      <w:r>
        <w:rPr>
          <w:rFonts w:hint="eastAsia" w:ascii="宋体" w:hAnsi="宋体" w:eastAsia="宋体" w:cs="宋体"/>
          <w:color w:val="auto"/>
          <w:szCs w:val="21"/>
          <w:highlight w:val="none"/>
          <w:lang w:val="zh-CN" w:eastAsia="zh-CN"/>
        </w:rPr>
        <w:t xml:space="preserve">响应文件一并递交。</w:t>
      </w:r>
      <w:r>
        <w:rPr>
          <w:rFonts w:hint="eastAsia" w:ascii="宋体" w:hAnsi="宋体" w:eastAsia="宋体" w:cs="宋体"/>
          <w:color w:val="auto"/>
          <w:szCs w:val="21"/>
          <w:highlight w:val="none"/>
          <w:lang w:val="en-US" w:eastAsia="zh-CN"/>
        </w:rPr>
      </w:r>
      <w:r>
        <w:rPr>
          <w:color w:val="auto"/>
        </w:rPr>
      </w:r>
    </w:p>
    <w:p>
      <w:pPr>
        <w:pStyle w:val="899"/>
        <w:ind w:firstLine="413"/>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5.</w:t>
      </w:r>
      <w:r>
        <w:rPr>
          <w:rFonts w:hint="eastAsia" w:ascii="宋体" w:hAnsi="宋体" w:eastAsia="宋体" w:cs="宋体"/>
          <w:b/>
          <w:color w:val="auto"/>
          <w:szCs w:val="21"/>
          <w:highlight w:val="none"/>
          <w:lang w:val="en-US" w:eastAsia="zh-CN"/>
        </w:rPr>
        <w:t xml:space="preserve">5</w:t>
      </w:r>
      <w:r>
        <w:rPr>
          <w:rFonts w:hint="eastAsia" w:ascii="宋体" w:hAnsi="宋体" w:eastAsia="宋体" w:cs="宋体"/>
          <w:b/>
          <w:color w:val="auto"/>
          <w:szCs w:val="21"/>
          <w:highlight w:val="none"/>
          <w:lang w:val="zh-CN"/>
        </w:rPr>
        <w:t xml:space="preserve">本次项目不接受联合体磋商。</w:t>
      </w:r>
      <w:r>
        <w:rPr>
          <w:rFonts w:hint="eastAsia" w:ascii="宋体" w:hAnsi="宋体" w:eastAsia="宋体" w:cs="宋体"/>
          <w:b/>
          <w:color w:val="auto"/>
          <w:szCs w:val="21"/>
          <w:highlight w:val="none"/>
          <w:lang w:val="zh-CN"/>
        </w:rPr>
      </w:r>
      <w:r>
        <w:rPr>
          <w:color w:val="auto"/>
        </w:rPr>
      </w:r>
    </w:p>
    <w:p>
      <w:pPr>
        <w:pStyle w:val="899"/>
        <w:ind w:firstLine="422"/>
        <w:tabs>
          <w:tab w:val="left" w:pos="1260" w:leader="none"/>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6.磋商文件的澄清、修改</w:t>
      </w:r>
      <w:r>
        <w:rPr>
          <w:rFonts w:hint="eastAsia" w:ascii="宋体" w:hAnsi="宋体" w:eastAsia="宋体" w:cs="宋体"/>
          <w:b/>
          <w:color w:val="auto"/>
          <w:highlight w:val="none"/>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6.1任何要求对磋商文件进行澄清的供应商，应在磋商文件规定的响应性文件提交</w:t>
      </w:r>
      <w:r>
        <w:rPr>
          <w:rFonts w:hint="eastAsia" w:ascii="宋体" w:hAnsi="宋体" w:eastAsia="宋体" w:cs="宋体"/>
          <w:b/>
          <w:color w:val="auto"/>
          <w:highlight w:val="none"/>
        </w:rPr>
        <w:t xml:space="preserve">截止日期五天前</w:t>
      </w:r>
      <w:r>
        <w:rPr>
          <w:rFonts w:hint="eastAsia" w:ascii="宋体" w:hAnsi="宋体" w:eastAsia="宋体" w:cs="宋体"/>
          <w:color w:val="auto"/>
          <w:highlight w:val="none"/>
        </w:rPr>
        <w:t xml:space="preserve">按磋商文件中的联系方式以书面形式通知代理机构，代理机构将及时予以答复；在磋商文件公布期间，代理机构可主动对磋商文件进行澄清，磋商文件实质性变动的除外。</w:t>
      </w:r>
      <w:r>
        <w:rPr>
          <w:rFonts w:hint="eastAsia" w:ascii="宋体" w:hAnsi="宋体" w:eastAsia="宋体" w:cs="宋体"/>
          <w:color w:val="auto"/>
          <w:highlight w:val="none"/>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6.2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color w:val="auto"/>
          <w:highlight w:val="none"/>
        </w:rPr>
      </w:r>
      <w:r>
        <w:rPr>
          <w:color w:val="auto"/>
        </w:rPr>
      </w:r>
    </w:p>
    <w:p>
      <w:pPr>
        <w:pStyle w:val="899"/>
        <w:ind w:firstLine="422"/>
        <w:rPr>
          <w:rFonts w:hint="eastAsia" w:ascii="宋体" w:hAnsi="宋体" w:eastAsia="宋体" w:cs="宋体"/>
          <w:b/>
          <w:color w:val="auto"/>
          <w:highlight w:val="none"/>
        </w:rPr>
      </w:pPr>
      <w:r>
        <w:rPr>
          <w:rFonts w:hint="eastAsia" w:ascii="宋体" w:hAnsi="宋体" w:eastAsia="宋体" w:cs="宋体"/>
          <w:b/>
          <w:color w:val="auto"/>
          <w:highlight w:val="none"/>
        </w:rPr>
        <w:t xml:space="preserve">7．磋商有效期</w:t>
      </w:r>
      <w:r>
        <w:rPr>
          <w:rFonts w:hint="eastAsia" w:ascii="宋体" w:hAnsi="宋体" w:eastAsia="宋体" w:cs="宋体"/>
          <w:b/>
          <w:color w:val="auto"/>
          <w:highlight w:val="none"/>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7.1磋商有效期为磋商文件规定的磋商之日后90天。</w:t>
      </w:r>
      <w:r>
        <w:rPr>
          <w:rFonts w:hint="eastAsia" w:ascii="宋体" w:hAnsi="宋体" w:eastAsia="宋体" w:cs="宋体"/>
          <w:color w:val="auto"/>
          <w:highlight w:val="none"/>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7.2在特殊情况下，代理机构于原磋商有效期满之前，可向供应商提出延长磋商有效期的要求。同意延长的供应商既不能要求也不允许修改其响应性文件。</w:t>
      </w:r>
      <w:r>
        <w:rPr>
          <w:rFonts w:hint="eastAsia" w:ascii="宋体" w:hAnsi="宋体" w:eastAsia="宋体" w:cs="宋体"/>
          <w:color w:val="auto"/>
          <w:highlight w:val="none"/>
        </w:rPr>
      </w:r>
      <w:r>
        <w:rPr>
          <w:color w:val="auto"/>
        </w:rPr>
      </w:r>
    </w:p>
    <w:p>
      <w:pPr>
        <w:pStyle w:val="899"/>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w:t>
      </w:r>
      <w:r>
        <w:rPr>
          <w:rFonts w:hint="eastAsia" w:ascii="宋体" w:hAnsi="宋体" w:eastAsia="宋体" w:cs="宋体"/>
          <w:b/>
          <w:bCs/>
          <w:color w:val="auto"/>
          <w:szCs w:val="21"/>
          <w:highlight w:val="none"/>
          <w:lang w:val="zh-CN"/>
        </w:rPr>
        <w:t xml:space="preserve">．磋商费用</w:t>
      </w:r>
      <w:r>
        <w:rPr>
          <w:rFonts w:hint="eastAsia" w:ascii="宋体" w:hAnsi="宋体" w:eastAsia="宋体" w:cs="宋体"/>
          <w:b/>
          <w:bCs/>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8.1供应商</w:t>
      </w:r>
      <w:r>
        <w:rPr>
          <w:rFonts w:hint="eastAsia" w:ascii="宋体" w:hAnsi="宋体" w:eastAsia="宋体" w:cs="宋体"/>
          <w:color w:val="auto"/>
          <w:szCs w:val="21"/>
          <w:highlight w:val="none"/>
          <w:lang w:val="zh-CN"/>
        </w:rPr>
        <w:t xml:space="preserve">应承担所有与准备和参加磋商有关的费用，代理机构和采购人在任何情况下均无义务和责任承担这些费用。</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8.2</w:t>
      </w:r>
      <w:r>
        <w:rPr>
          <w:rFonts w:hint="eastAsia" w:ascii="宋体" w:hAnsi="宋体" w:eastAsia="宋体" w:cs="宋体"/>
          <w:b/>
          <w:bCs/>
          <w:color w:val="auto"/>
          <w:szCs w:val="21"/>
          <w:highlight w:val="none"/>
          <w:lang w:val="zh-CN"/>
        </w:rPr>
        <w:t xml:space="preserve">本次</w:t>
      </w:r>
      <w:r>
        <w:rPr>
          <w:rFonts w:hint="eastAsia" w:ascii="宋体" w:hAnsi="宋体" w:eastAsia="宋体" w:cs="宋体"/>
          <w:b/>
          <w:bCs/>
          <w:color w:val="auto"/>
          <w:szCs w:val="21"/>
          <w:highlight w:val="none"/>
          <w:lang w:val="en-US" w:eastAsia="zh-CN"/>
        </w:rPr>
        <w:t xml:space="preserve">磋商</w:t>
      </w:r>
      <w:r>
        <w:rPr>
          <w:rFonts w:hint="eastAsia" w:ascii="宋体" w:hAnsi="宋体" w:eastAsia="宋体" w:cs="宋体"/>
          <w:b/>
          <w:bCs/>
          <w:color w:val="auto"/>
          <w:szCs w:val="21"/>
          <w:highlight w:val="none"/>
          <w:lang w:val="zh-CN"/>
        </w:rPr>
        <w:t xml:space="preserve">，由</w:t>
      </w:r>
      <w:r>
        <w:rPr>
          <w:rFonts w:hint="eastAsia" w:ascii="宋体" w:hAnsi="宋体" w:eastAsia="宋体" w:cs="宋体"/>
          <w:b/>
          <w:bCs/>
          <w:color w:val="auto"/>
          <w:szCs w:val="21"/>
          <w:highlight w:val="none"/>
          <w:lang w:val="zh-CN" w:eastAsia="zh-CN"/>
        </w:rPr>
        <w:t xml:space="preserve">采购人</w:t>
      </w:r>
      <w:r>
        <w:rPr>
          <w:rFonts w:hint="eastAsia" w:ascii="宋体" w:hAnsi="宋体" w:eastAsia="宋体" w:cs="宋体"/>
          <w:b/>
          <w:bCs/>
          <w:color w:val="auto"/>
          <w:szCs w:val="21"/>
          <w:highlight w:val="none"/>
          <w:lang w:val="zh-CN"/>
        </w:rPr>
        <w:t xml:space="preserve">向</w:t>
      </w:r>
      <w:r>
        <w:rPr>
          <w:rFonts w:hint="eastAsia" w:ascii="宋体" w:hAnsi="宋体" w:eastAsia="宋体" w:cs="宋体"/>
          <w:b/>
          <w:bCs/>
          <w:color w:val="auto"/>
          <w:szCs w:val="21"/>
          <w:highlight w:val="none"/>
          <w:lang w:val="en-US" w:eastAsia="zh-CN"/>
        </w:rPr>
        <w:t xml:space="preserve">采购</w:t>
      </w:r>
      <w:r>
        <w:rPr>
          <w:rFonts w:hint="eastAsia" w:ascii="宋体" w:hAnsi="宋体" w:eastAsia="宋体" w:cs="宋体"/>
          <w:b/>
          <w:bCs/>
          <w:color w:val="auto"/>
          <w:szCs w:val="21"/>
          <w:highlight w:val="none"/>
          <w:lang w:val="zh-CN"/>
        </w:rPr>
        <w:t xml:space="preserve">代理机构支付</w:t>
      </w:r>
      <w:r>
        <w:rPr>
          <w:rFonts w:hint="eastAsia" w:ascii="宋体" w:hAnsi="宋体" w:eastAsia="宋体" w:cs="宋体"/>
          <w:b/>
          <w:bCs/>
          <w:color w:val="auto"/>
          <w:szCs w:val="21"/>
          <w:highlight w:val="none"/>
          <w:lang w:val="en-US" w:eastAsia="zh-CN"/>
        </w:rPr>
        <w:t xml:space="preserve">采购</w:t>
      </w:r>
      <w:r>
        <w:rPr>
          <w:rFonts w:hint="eastAsia" w:ascii="宋体" w:hAnsi="宋体" w:eastAsia="宋体" w:cs="宋体"/>
          <w:b/>
          <w:bCs/>
          <w:color w:val="auto"/>
          <w:szCs w:val="21"/>
          <w:highlight w:val="none"/>
          <w:lang w:val="zh-CN"/>
        </w:rPr>
        <w:t xml:space="preserve">代理费</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r>
      <w:r>
        <w:rPr>
          <w:color w:val="auto"/>
        </w:rPr>
      </w:r>
    </w:p>
    <w:p>
      <w:pPr>
        <w:pStyle w:val="899"/>
        <w:ind w:firstLine="422"/>
        <w:rPr>
          <w:rFonts w:hint="eastAsia" w:ascii="宋体" w:hAnsi="宋体" w:eastAsia="宋体" w:cs="宋体"/>
          <w:b/>
          <w:color w:val="auto"/>
          <w:highlight w:val="none"/>
        </w:rPr>
        <w:outlineLvl w:val="1"/>
      </w:pPr>
      <w:r>
        <w:rPr>
          <w:color w:val="auto"/>
        </w:rPr>
      </w:r>
      <w:bookmarkStart w:id="127" w:name="_Toc30676"/>
      <w:r>
        <w:rPr>
          <w:color w:val="auto"/>
        </w:rPr>
      </w:r>
      <w:bookmarkStart w:id="128" w:name="_Toc504141738"/>
      <w:r>
        <w:rPr>
          <w:color w:val="auto"/>
        </w:rPr>
      </w:r>
      <w:bookmarkStart w:id="129" w:name="_Toc18519"/>
      <w:r>
        <w:rPr>
          <w:color w:val="auto"/>
        </w:rPr>
      </w:r>
      <w:bookmarkStart w:id="130" w:name="_Toc5467"/>
      <w:r>
        <w:rPr>
          <w:color w:val="auto"/>
        </w:rPr>
      </w:r>
      <w:bookmarkStart w:id="131" w:name="_Toc27328"/>
      <w:r>
        <w:rPr>
          <w:color w:val="auto"/>
        </w:rPr>
      </w:r>
      <w:bookmarkStart w:id="132" w:name="_Toc27537"/>
      <w:r>
        <w:rPr>
          <w:color w:val="auto"/>
        </w:rPr>
      </w:r>
      <w:bookmarkStart w:id="133" w:name="_Toc17264"/>
      <w:r>
        <w:rPr>
          <w:color w:val="auto"/>
        </w:rPr>
      </w:r>
      <w:bookmarkStart w:id="134" w:name="_Toc20699"/>
      <w:r>
        <w:rPr>
          <w:color w:val="auto"/>
        </w:rPr>
      </w:r>
      <w:bookmarkStart w:id="135" w:name="_Toc80"/>
      <w:r>
        <w:rPr>
          <w:color w:val="auto"/>
        </w:rPr>
      </w:r>
      <w:bookmarkStart w:id="136" w:name="_Toc25711"/>
      <w:r>
        <w:rPr>
          <w:color w:val="auto"/>
        </w:rPr>
      </w:r>
      <w:bookmarkStart w:id="137" w:name="_Toc10774"/>
      <w:r>
        <w:rPr>
          <w:color w:val="auto"/>
        </w:rPr>
      </w:r>
      <w:bookmarkStart w:id="138" w:name="_Toc345336137"/>
      <w:r>
        <w:rPr>
          <w:color w:val="auto"/>
        </w:rPr>
      </w:r>
      <w:bookmarkStart w:id="139" w:name="_Toc12217"/>
      <w:r>
        <w:rPr>
          <w:color w:val="auto"/>
        </w:rPr>
      </w:r>
      <w:bookmarkStart w:id="140" w:name="_Toc28108"/>
      <w:r>
        <w:rPr>
          <w:color w:val="auto"/>
        </w:rPr>
      </w:r>
      <w:bookmarkStart w:id="141" w:name="_Toc7856"/>
      <w:r>
        <w:rPr>
          <w:color w:val="auto"/>
        </w:rPr>
      </w:r>
      <w:bookmarkStart w:id="142" w:name="_Toc24263"/>
      <w:r>
        <w:rPr>
          <w:color w:val="auto"/>
        </w:rPr>
      </w:r>
      <w:bookmarkStart w:id="143" w:name="_Toc31313"/>
      <w:r>
        <w:rPr>
          <w:color w:val="auto"/>
        </w:rPr>
      </w:r>
      <w:bookmarkStart w:id="144" w:name="_Toc8640"/>
      <w:r>
        <w:rPr>
          <w:color w:val="auto"/>
        </w:rPr>
      </w:r>
      <w:bookmarkStart w:id="145" w:name="_Toc3329"/>
      <w:r>
        <w:rPr>
          <w:color w:val="auto"/>
        </w:rPr>
      </w:r>
      <w:bookmarkStart w:id="146" w:name="_Toc18995"/>
      <w:r>
        <w:rPr>
          <w:color w:val="auto"/>
        </w:rPr>
      </w:r>
      <w:bookmarkStart w:id="147" w:name="_Toc25749"/>
      <w:r>
        <w:rPr>
          <w:color w:val="auto"/>
        </w:rPr>
      </w:r>
      <w:bookmarkStart w:id="148" w:name="_Toc24932"/>
      <w:r>
        <w:rPr>
          <w:color w:val="auto"/>
        </w:rPr>
      </w:r>
      <w:bookmarkStart w:id="149" w:name="_Toc6374"/>
      <w:r>
        <w:rPr>
          <w:color w:val="auto"/>
        </w:rPr>
      </w:r>
      <w:bookmarkStart w:id="150" w:name="_Toc11488"/>
      <w:r>
        <w:rPr>
          <w:color w:val="auto"/>
        </w:rPr>
      </w:r>
      <w:bookmarkStart w:id="151" w:name="_Toc29170"/>
      <w:r>
        <w:rPr>
          <w:color w:val="auto"/>
        </w:rPr>
      </w:r>
      <w:bookmarkStart w:id="152" w:name="_Toc4853"/>
      <w:r>
        <w:rPr>
          <w:color w:val="auto"/>
        </w:rPr>
      </w:r>
      <w:bookmarkStart w:id="153" w:name="_Toc15276"/>
      <w:r>
        <w:rPr>
          <w:color w:val="auto"/>
        </w:rPr>
      </w:r>
      <w:bookmarkStart w:id="154" w:name="_Toc22790"/>
      <w:r>
        <w:rPr>
          <w:color w:val="auto"/>
        </w:rPr>
      </w:r>
      <w:bookmarkStart w:id="155" w:name="_Toc18255"/>
      <w:r>
        <w:rPr>
          <w:color w:val="auto"/>
        </w:rPr>
      </w:r>
      <w:bookmarkStart w:id="156" w:name="_Toc185"/>
      <w:r>
        <w:rPr>
          <w:color w:val="auto"/>
        </w:rPr>
      </w:r>
      <w:bookmarkStart w:id="157" w:name="_Toc18150"/>
      <w:r>
        <w:rPr>
          <w:rFonts w:hint="eastAsia" w:ascii="宋体" w:hAnsi="宋体" w:eastAsia="宋体" w:cs="宋体"/>
          <w:b/>
          <w:color w:val="auto"/>
          <w:highlight w:val="none"/>
        </w:rPr>
        <w:t xml:space="preserve">二、</w:t>
      </w:r>
      <w:r>
        <w:rPr>
          <w:rFonts w:hint="eastAsia" w:ascii="宋体" w:hAnsi="宋体" w:eastAsia="宋体" w:cs="宋体"/>
          <w:b/>
          <w:color w:val="auto"/>
          <w:highlight w:val="none"/>
          <w:lang w:val="en-US" w:eastAsia="zh-CN"/>
        </w:rPr>
        <w:t xml:space="preserve">电子磋商</w:t>
      </w:r>
      <w:r>
        <w:rPr>
          <w:rFonts w:hint="eastAsia" w:ascii="宋体" w:hAnsi="宋体" w:eastAsia="宋体" w:cs="宋体"/>
          <w:b/>
          <w:color w:val="auto"/>
          <w:highlight w:val="none"/>
        </w:rPr>
        <w:t xml:space="preserve">响应性文件的编制</w:t>
      </w:r>
      <w:bookmarkEnd w:id="127"/>
      <w:r>
        <w:rPr>
          <w:color w:val="auto"/>
        </w:rPr>
      </w:r>
      <w:bookmarkEnd w:id="128"/>
      <w:r>
        <w:rPr>
          <w:color w:val="auto"/>
        </w:rPr>
      </w:r>
      <w:bookmarkEnd w:id="129"/>
      <w:r>
        <w:rPr>
          <w:color w:val="auto"/>
        </w:rPr>
      </w:r>
      <w:bookmarkEnd w:id="130"/>
      <w:r>
        <w:rPr>
          <w:color w:val="auto"/>
        </w:rPr>
      </w:r>
      <w:bookmarkEnd w:id="131"/>
      <w:r>
        <w:rPr>
          <w:color w:val="auto"/>
        </w:rPr>
      </w:r>
      <w:bookmarkEnd w:id="132"/>
      <w:r>
        <w:rPr>
          <w:color w:val="auto"/>
        </w:rPr>
      </w:r>
      <w:bookmarkEnd w:id="133"/>
      <w:r>
        <w:rPr>
          <w:color w:val="auto"/>
        </w:rPr>
      </w:r>
      <w:bookmarkEnd w:id="134"/>
      <w:r>
        <w:rPr>
          <w:color w:val="auto"/>
        </w:rPr>
      </w:r>
      <w:bookmarkEnd w:id="135"/>
      <w:r>
        <w:rPr>
          <w:color w:val="auto"/>
        </w:rPr>
      </w:r>
      <w:bookmarkEnd w:id="136"/>
      <w:r>
        <w:rPr>
          <w:color w:val="auto"/>
        </w:rPr>
      </w:r>
      <w:bookmarkEnd w:id="137"/>
      <w:r>
        <w:rPr>
          <w:color w:val="auto"/>
        </w:rPr>
      </w:r>
      <w:bookmarkEnd w:id="138"/>
      <w:r>
        <w:rPr>
          <w:color w:val="auto"/>
        </w:rPr>
      </w:r>
      <w:bookmarkEnd w:id="139"/>
      <w:r>
        <w:rPr>
          <w:color w:val="auto"/>
        </w:rPr>
      </w:r>
      <w:bookmarkEnd w:id="140"/>
      <w:r>
        <w:rPr>
          <w:color w:val="auto"/>
        </w:rPr>
      </w:r>
      <w:bookmarkEnd w:id="141"/>
      <w:r>
        <w:rPr>
          <w:color w:val="auto"/>
        </w:rPr>
      </w:r>
      <w:bookmarkEnd w:id="142"/>
      <w:r>
        <w:rPr>
          <w:color w:val="auto"/>
        </w:rPr>
      </w:r>
      <w:bookmarkEnd w:id="143"/>
      <w:r>
        <w:rPr>
          <w:color w:val="auto"/>
        </w:rPr>
      </w:r>
      <w:bookmarkEnd w:id="144"/>
      <w:r>
        <w:rPr>
          <w:color w:val="auto"/>
        </w:rPr>
      </w:r>
      <w:bookmarkEnd w:id="145"/>
      <w:r>
        <w:rPr>
          <w:color w:val="auto"/>
        </w:rPr>
      </w:r>
      <w:bookmarkEnd w:id="146"/>
      <w:r>
        <w:rPr>
          <w:color w:val="auto"/>
        </w:rPr>
      </w:r>
      <w:bookmarkEnd w:id="147"/>
      <w:r>
        <w:rPr>
          <w:color w:val="auto"/>
        </w:rPr>
      </w:r>
      <w:bookmarkEnd w:id="148"/>
      <w:r>
        <w:rPr>
          <w:color w:val="auto"/>
        </w:rPr>
      </w:r>
      <w:bookmarkEnd w:id="149"/>
      <w:r>
        <w:rPr>
          <w:color w:val="auto"/>
        </w:rPr>
      </w:r>
      <w:bookmarkEnd w:id="150"/>
      <w:r>
        <w:rPr>
          <w:color w:val="auto"/>
        </w:rPr>
      </w:r>
      <w:bookmarkEnd w:id="151"/>
      <w:r>
        <w:rPr>
          <w:color w:val="auto"/>
        </w:rPr>
      </w:r>
      <w:bookmarkEnd w:id="152"/>
      <w:r>
        <w:rPr>
          <w:color w:val="auto"/>
        </w:rPr>
      </w:r>
      <w:bookmarkEnd w:id="153"/>
      <w:r>
        <w:rPr>
          <w:color w:val="auto"/>
        </w:rPr>
      </w:r>
      <w:bookmarkEnd w:id="154"/>
      <w:r>
        <w:rPr>
          <w:color w:val="auto"/>
        </w:rPr>
      </w:r>
      <w:bookmarkEnd w:id="155"/>
      <w:r>
        <w:rPr>
          <w:color w:val="auto"/>
        </w:rPr>
      </w:r>
      <w:bookmarkEnd w:id="156"/>
      <w:r>
        <w:rPr>
          <w:color w:val="auto"/>
        </w:rPr>
      </w:r>
      <w:bookmarkEnd w:id="157"/>
      <w:r>
        <w:rPr>
          <w:rFonts w:hint="eastAsia" w:ascii="宋体" w:hAnsi="宋体" w:eastAsia="宋体" w:cs="宋体"/>
          <w:b/>
          <w:color w:val="auto"/>
          <w:highlight w:val="none"/>
        </w:rPr>
      </w:r>
      <w:r>
        <w:rPr>
          <w:color w:val="auto"/>
        </w:rPr>
      </w:r>
    </w:p>
    <w:p>
      <w:pPr>
        <w:pStyle w:val="899"/>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w:t>
      </w:r>
      <w:r>
        <w:rPr>
          <w:rFonts w:hint="eastAsia" w:ascii="宋体" w:hAnsi="宋体" w:eastAsia="宋体" w:cs="宋体"/>
          <w:b/>
          <w:color w:val="auto"/>
          <w:highlight w:val="none"/>
          <w:lang w:val="en-US" w:eastAsia="zh-CN"/>
        </w:rPr>
        <w:t xml:space="preserve">磋商</w:t>
      </w:r>
      <w:r>
        <w:rPr>
          <w:rFonts w:hint="eastAsia" w:ascii="宋体" w:hAnsi="宋体" w:eastAsia="宋体" w:cs="宋体"/>
          <w:b/>
          <w:color w:val="auto"/>
          <w:szCs w:val="21"/>
          <w:highlight w:val="none"/>
        </w:rPr>
        <w:t xml:space="preserve">响应性文件的语言、计量单位、货币和编制</w:t>
      </w:r>
      <w:r>
        <w:rPr>
          <w:rFonts w:hint="eastAsia" w:ascii="宋体" w:hAnsi="宋体" w:eastAsia="宋体" w:cs="宋体"/>
          <w:b/>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.1 供应商提交的</w:t>
      </w:r>
      <w:r>
        <w:rPr>
          <w:rFonts w:hint="eastAsia" w:ascii="宋体" w:hAnsi="宋体" w:eastAsia="宋体" w:cs="宋体"/>
          <w:color w:val="auto"/>
          <w:szCs w:val="21"/>
          <w:highlight w:val="none"/>
          <w:lang w:eastAsia="zh-CN"/>
        </w:rPr>
        <w:t xml:space="preserve">电子磋商响应文件</w:t>
      </w:r>
      <w:r>
        <w:rPr>
          <w:rFonts w:hint="eastAsia" w:ascii="宋体" w:hAnsi="宋体" w:eastAsia="宋体" w:cs="宋体"/>
          <w:color w:val="auto"/>
          <w:szCs w:val="21"/>
          <w:highlight w:val="none"/>
        </w:rPr>
        <w:t xml:space="preserve">、技术文件和资料，包括图纸中的说明，以及供应商与招标代理就有关</w:t>
      </w:r>
      <w:r>
        <w:rPr>
          <w:rFonts w:hint="eastAsia" w:ascii="宋体" w:hAnsi="宋体" w:eastAsia="宋体" w:cs="宋体"/>
          <w:color w:val="auto"/>
          <w:szCs w:val="21"/>
          <w:highlight w:val="none"/>
          <w:lang w:eastAsia="zh-CN"/>
        </w:rPr>
        <w:t xml:space="preserve">磋商</w:t>
      </w:r>
      <w:r>
        <w:rPr>
          <w:rFonts w:hint="eastAsia" w:ascii="宋体" w:hAnsi="宋体" w:eastAsia="宋体" w:cs="宋体"/>
          <w:color w:val="auto"/>
          <w:szCs w:val="21"/>
          <w:highlight w:val="none"/>
        </w:rPr>
        <w:t xml:space="preserve">的所有来往函电均应使用中文。</w:t>
      </w:r>
      <w:r>
        <w:rPr>
          <w:rFonts w:hint="eastAsia" w:ascii="宋体" w:hAnsi="宋体" w:eastAsia="宋体" w:cs="宋体"/>
          <w:color w:val="auto"/>
          <w:szCs w:val="21"/>
          <w:highlight w:val="none"/>
          <w:lang w:eastAsia="zh-CN"/>
        </w:rPr>
        <w:t xml:space="preserve">电子磋商响应文件</w:t>
      </w:r>
      <w:r>
        <w:rPr>
          <w:rFonts w:hint="eastAsia" w:ascii="宋体" w:hAnsi="宋体" w:eastAsia="宋体" w:cs="宋体"/>
          <w:color w:val="auto"/>
          <w:szCs w:val="21"/>
          <w:highlight w:val="none"/>
        </w:rPr>
        <w:t xml:space="preserve">中若有英文或其他语言文字的资料，应提供相应的中文翻译资料。对不同文本</w:t>
      </w:r>
      <w:r>
        <w:rPr>
          <w:rFonts w:hint="eastAsia" w:ascii="宋体" w:hAnsi="宋体" w:eastAsia="宋体" w:cs="宋体"/>
          <w:color w:val="auto"/>
          <w:szCs w:val="21"/>
          <w:highlight w:val="none"/>
          <w:lang w:eastAsia="zh-CN"/>
        </w:rPr>
        <w:t xml:space="preserve">磋商响应文件</w:t>
      </w:r>
      <w:r>
        <w:rPr>
          <w:rFonts w:hint="eastAsia" w:ascii="宋体" w:hAnsi="宋体" w:eastAsia="宋体" w:cs="宋体"/>
          <w:color w:val="auto"/>
          <w:szCs w:val="21"/>
          <w:highlight w:val="none"/>
        </w:rPr>
        <w:t xml:space="preserve">的解释发生异议的，以中文文本为准。</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.2 供应商所使用的计量单位应为国家法定计量单位。</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.3 供应商应用人民币报价。</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 供应商应在</w:t>
      </w:r>
      <w:r>
        <w:rPr>
          <w:rFonts w:hint="eastAsia" w:ascii="宋体" w:hAnsi="宋体" w:eastAsia="宋体" w:cs="宋体"/>
          <w:color w:val="auto"/>
          <w:szCs w:val="21"/>
          <w:highlight w:val="none"/>
          <w:lang w:eastAsia="zh-CN"/>
        </w:rPr>
        <w:t xml:space="preserve">电子磋商响应文件</w:t>
      </w:r>
      <w:r>
        <w:rPr>
          <w:rFonts w:hint="eastAsia" w:ascii="宋体" w:hAnsi="宋体" w:eastAsia="宋体" w:cs="宋体"/>
          <w:color w:val="auto"/>
          <w:szCs w:val="21"/>
          <w:highlight w:val="none"/>
        </w:rPr>
        <w:t xml:space="preserve">中写清相应的项目编号、项目名称、供应商全称、地址、电话、传真等。</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信用承诺形式：政府采购供应商应当以</w:t>
      </w:r>
      <w:r>
        <w:rPr>
          <w:rFonts w:hint="eastAsia" w:ascii="宋体" w:hAnsi="宋体" w:eastAsia="宋体" w:cs="宋体"/>
          <w:color w:val="auto"/>
          <w:szCs w:val="21"/>
          <w:highlight w:val="none"/>
          <w:lang w:eastAsia="zh-CN"/>
        </w:rPr>
        <w:t xml:space="preserve">原件盖章</w:t>
      </w:r>
      <w:r>
        <w:rPr>
          <w:rFonts w:hint="eastAsia" w:ascii="宋体" w:hAnsi="宋体" w:eastAsia="宋体" w:cs="宋体"/>
          <w:color w:val="auto"/>
          <w:szCs w:val="21"/>
          <w:highlight w:val="none"/>
        </w:rPr>
        <w:t xml:space="preserve">形式向政府采购监管部门、采购人或政府采购代理机构作出信用承诺(格式见附件)。</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信用承诺应用：在政府采购活动中，供应商只需在资格审查环节提供满足相应条件的</w:t>
      </w:r>
      <w:r>
        <w:rPr>
          <w:rFonts w:hint="eastAsia" w:ascii="宋体" w:hAnsi="宋体" w:eastAsia="宋体" w:cs="宋体"/>
          <w:color w:val="auto"/>
          <w:szCs w:val="21"/>
          <w:highlight w:val="none"/>
          <w:lang w:eastAsia="zh-CN"/>
        </w:rPr>
        <w:t xml:space="preserve">盖章扫描件形式的</w:t>
      </w:r>
      <w:r>
        <w:rPr>
          <w:rFonts w:hint="eastAsia" w:ascii="宋体" w:hAnsi="宋体" w:eastAsia="宋体" w:cs="宋体"/>
          <w:color w:val="auto"/>
          <w:szCs w:val="21"/>
          <w:highlight w:val="none"/>
        </w:rPr>
        <w:t xml:space="preserve">承诺书，不再需要提供以下证明材料:</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（1）符合国家相关规定的财务状况报告;</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（2）依法缴纳税收的证明材料;</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（3）依法缴纳社会保障资金的证明材料;</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（4）具备履行政府采购合同所必需的设备和专业技术能力的证明材料;</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（5）参加政府采购活动前三年内在经营活动中没有重大违法记录的证明材料;</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（6）未被列入失信被执行人、重大税收违法案件当事人名单、府采购严重违法失信行为记录名单的证明材料。</w:t>
      </w:r>
      <w:r>
        <w:rPr>
          <w:rFonts w:hint="eastAsia" w:ascii="宋体" w:hAnsi="宋体" w:eastAsia="宋体" w:cs="宋体"/>
          <w:color w:val="auto"/>
          <w:szCs w:val="21"/>
          <w:highlight w:val="none"/>
        </w:rPr>
      </w:r>
      <w:r>
        <w:rPr>
          <w:color w:val="auto"/>
        </w:rPr>
      </w:r>
    </w:p>
    <w:p>
      <w:pPr>
        <w:pStyle w:val="899"/>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w:t>
      </w:r>
      <w:r>
        <w:rPr>
          <w:rFonts w:hint="eastAsia" w:ascii="宋体" w:hAnsi="宋体" w:eastAsia="宋体" w:cs="宋体"/>
          <w:b/>
          <w:color w:val="auto"/>
          <w:highlight w:val="none"/>
          <w:lang w:val="en-US" w:eastAsia="zh-CN"/>
        </w:rPr>
        <w:t xml:space="preserve">磋商</w:t>
      </w:r>
      <w:r>
        <w:rPr>
          <w:rFonts w:hint="eastAsia" w:ascii="宋体" w:hAnsi="宋体" w:eastAsia="宋体" w:cs="宋体"/>
          <w:b/>
          <w:color w:val="auto"/>
          <w:szCs w:val="21"/>
          <w:highlight w:val="none"/>
        </w:rPr>
        <w:t xml:space="preserve">响应性文件的组成</w:t>
      </w:r>
      <w:r>
        <w:rPr>
          <w:rFonts w:hint="eastAsia" w:ascii="宋体" w:hAnsi="宋体" w:eastAsia="宋体" w:cs="宋体"/>
          <w:b/>
          <w:color w:val="auto"/>
          <w:szCs w:val="21"/>
          <w:highlight w:val="none"/>
        </w:rPr>
      </w:r>
      <w:r>
        <w:rPr>
          <w:color w:val="auto"/>
        </w:rPr>
      </w:r>
    </w:p>
    <w:p>
      <w:pPr>
        <w:pStyle w:val="899"/>
        <w:ind w:firstLine="42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.1供应商应当根据磋商文件要求编制</w:t>
      </w:r>
      <w:r>
        <w:rPr>
          <w:rFonts w:hint="eastAsia" w:ascii="宋体" w:hAnsi="宋体" w:eastAsia="宋体" w:cs="宋体"/>
          <w:color w:val="auto"/>
          <w:szCs w:val="21"/>
          <w:highlight w:val="none"/>
          <w:lang w:eastAsia="zh-CN"/>
        </w:rPr>
        <w:t xml:space="preserve">电子响应</w:t>
      </w:r>
      <w:r>
        <w:rPr>
          <w:rFonts w:hint="eastAsia" w:ascii="宋体" w:hAnsi="宋体" w:eastAsia="宋体" w:cs="宋体"/>
          <w:color w:val="auto"/>
          <w:szCs w:val="21"/>
          <w:highlight w:val="none"/>
        </w:rPr>
        <w:t xml:space="preserve">文件，并根据自己的商务能力、技术水平对磋商文件提出的要求和条件逐条标明是否响应。</w:t>
      </w:r>
      <w:r>
        <w:rPr>
          <w:rFonts w:hint="eastAsia" w:ascii="宋体" w:hAnsi="宋体" w:eastAsia="宋体" w:cs="宋体"/>
          <w:color w:val="auto"/>
          <w:szCs w:val="21"/>
          <w:highlight w:val="none"/>
          <w:lang w:eastAsia="zh-CN"/>
        </w:rPr>
        <w:t xml:space="preserve">电子磋商响应文件</w:t>
      </w:r>
      <w:r>
        <w:rPr>
          <w:rFonts w:hint="eastAsia" w:ascii="宋体" w:hAnsi="宋体" w:eastAsia="宋体" w:cs="宋体"/>
          <w:color w:val="auto"/>
          <w:szCs w:val="21"/>
          <w:highlight w:val="none"/>
        </w:rPr>
        <w:t xml:space="preserve">由商务部分、技术部分、价格部分，以及其他部分组成。</w:t>
      </w:r>
      <w:r>
        <w:rPr>
          <w:rFonts w:hint="eastAsia" w:ascii="宋体" w:hAnsi="宋体" w:eastAsia="宋体" w:cs="宋体"/>
          <w:color w:val="auto"/>
          <w:szCs w:val="21"/>
          <w:highlight w:val="none"/>
          <w:lang w:eastAsia="zh-CN"/>
        </w:rPr>
        <w:t xml:space="preserve">（电子</w:t>
      </w:r>
      <w:r>
        <w:rPr>
          <w:rFonts w:hint="eastAsia" w:ascii="宋体" w:hAnsi="宋体" w:eastAsia="宋体" w:cs="宋体"/>
          <w:color w:val="auto"/>
          <w:szCs w:val="21"/>
          <w:highlight w:val="none"/>
        </w:rPr>
        <w:t xml:space="preserve">响应文件按竞争性磋商文件要求签署、盖章</w:t>
      </w:r>
      <w:r>
        <w:rPr>
          <w:rFonts w:hint="eastAsia" w:ascii="宋体" w:hAnsi="宋体" w:eastAsia="宋体" w:cs="宋体"/>
          <w:color w:val="auto"/>
          <w:szCs w:val="21"/>
          <w:highlight w:val="none"/>
          <w:lang w:eastAsia="zh-CN"/>
        </w:rPr>
        <w:t xml:space="preserve">或加盖电子公章）</w:t>
      </w:r>
      <w:r>
        <w:rPr>
          <w:rFonts w:hint="eastAsia" w:ascii="宋体" w:hAnsi="宋体" w:eastAsia="宋体" w:cs="宋体"/>
          <w:color w:val="auto"/>
          <w:szCs w:val="21"/>
          <w:highlight w:val="none"/>
          <w:lang w:eastAsia="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10.2</w:t>
      </w:r>
      <w:r>
        <w:rPr>
          <w:rFonts w:hint="eastAsia" w:ascii="宋体" w:hAnsi="宋体" w:eastAsia="宋体" w:cs="宋体"/>
          <w:color w:val="auto"/>
          <w:szCs w:val="21"/>
          <w:highlight w:val="none"/>
          <w:lang w:val="zh-CN" w:eastAsia="zh-CN"/>
        </w:rPr>
        <w:t xml:space="preserve">如标书制作工具中格式和内容与“江苏政府采购网”发布的竞争性磋商文件不一致，以“江苏政府采购网”发布的竞争性磋商文件为准。</w:t>
      </w:r>
      <w:r>
        <w:rPr>
          <w:rFonts w:hint="eastAsia" w:ascii="宋体" w:hAnsi="宋体" w:eastAsia="宋体" w:cs="宋体"/>
          <w:color w:val="auto"/>
          <w:szCs w:val="21"/>
          <w:highlight w:val="none"/>
          <w:lang w:val="en-US" w:eastAsia="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11.</w:t>
      </w:r>
      <w:r>
        <w:rPr>
          <w:rFonts w:hint="eastAsia" w:ascii="宋体" w:hAnsi="宋体" w:eastAsia="宋体" w:cs="宋体"/>
          <w:b/>
          <w:color w:val="auto"/>
          <w:highlight w:val="none"/>
          <w:lang w:val="en-US" w:eastAsia="zh-CN"/>
        </w:rPr>
        <w:t xml:space="preserve">磋商</w:t>
      </w:r>
      <w:r>
        <w:rPr>
          <w:rFonts w:hint="eastAsia" w:ascii="宋体" w:hAnsi="宋体" w:eastAsia="宋体" w:cs="宋体"/>
          <w:b/>
          <w:color w:val="auto"/>
          <w:szCs w:val="21"/>
          <w:highlight w:val="none"/>
        </w:rPr>
        <w:t xml:space="preserve">响应性文件的商务部分</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 商务部分是证明供应商有资格参加磋商和成交后有能力履行合同的文件，</w:t>
      </w:r>
      <w:r>
        <w:rPr>
          <w:rFonts w:hint="eastAsia" w:ascii="宋体" w:hAnsi="宋体" w:eastAsia="宋体" w:cs="宋体"/>
          <w:color w:val="auto"/>
          <w:szCs w:val="21"/>
          <w:highlight w:val="none"/>
        </w:rPr>
        <w:t xml:space="preserve">这些文件应能满足竞争性磋商采购的要求</w:t>
      </w:r>
      <w:r>
        <w:rPr>
          <w:rFonts w:hint="eastAsia" w:ascii="宋体" w:hAnsi="宋体" w:eastAsia="宋体" w:cs="宋体"/>
          <w:color w:val="auto"/>
          <w:szCs w:val="21"/>
          <w:highlight w:val="none"/>
          <w:lang w:val="zh-CN"/>
        </w:rPr>
        <w:t xml:space="preserve">，包括但不限于下列文件，其中加</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项目不得有缺失或无效。</w:t>
      </w:r>
      <w:r>
        <w:rPr>
          <w:rFonts w:hint="eastAsia" w:ascii="宋体" w:hAnsi="宋体" w:eastAsia="宋体" w:cs="宋体"/>
          <w:color w:val="auto"/>
          <w:szCs w:val="21"/>
          <w:highlight w:val="none"/>
          <w:lang w:val="zh-CN"/>
        </w:rPr>
      </w:r>
      <w:r>
        <w:rPr>
          <w:color w:val="auto"/>
        </w:rPr>
      </w:r>
    </w:p>
    <w:p>
      <w:pPr>
        <w:pStyle w:val="899"/>
        <w:ind w:firstLine="420"/>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磋商申请及声明；</w:t>
      </w:r>
      <w:r>
        <w:rPr>
          <w:rFonts w:hint="eastAsia" w:ascii="宋体" w:hAnsi="宋体" w:eastAsia="宋体" w:cs="宋体"/>
          <w:color w:val="auto"/>
          <w:szCs w:val="21"/>
          <w:highlight w:val="none"/>
          <w:lang w:val="zh-CN"/>
        </w:rPr>
      </w:r>
      <w:r>
        <w:rPr>
          <w:color w:val="auto"/>
        </w:rPr>
      </w:r>
    </w:p>
    <w:p>
      <w:pPr>
        <w:pStyle w:val="899"/>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法定代表人授权委托书及授权代表身份证复印件和</w:t>
      </w:r>
      <w:r>
        <w:rPr>
          <w:rFonts w:hint="eastAsia" w:ascii="宋体" w:hAnsi="宋体" w:eastAsia="宋体" w:cs="宋体"/>
          <w:color w:val="auto"/>
          <w:szCs w:val="21"/>
          <w:highlight w:val="none"/>
          <w:lang w:eastAsia="zh-CN"/>
        </w:rPr>
        <w:t xml:space="preserve">近</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个月投标申请人为其缴纳的由劳动和社会保障部门出具的养老保险缴纳凭证（须明确缴费月份、个人姓名、缴费单位，且加盖社保中心章或社保中心参保缴费证明电子专用章）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Cs w:val="21"/>
          <w:highlight w:val="none"/>
          <w:lang w:val="zh-CN" w:eastAsia="zh-CN"/>
        </w:rPr>
        <w:t xml:space="preserve">以上材料</w:t>
      </w:r>
      <w:r>
        <w:rPr>
          <w:rFonts w:hint="eastAsia" w:ascii="宋体" w:hAnsi="宋体" w:eastAsia="宋体" w:cs="宋体"/>
          <w:color w:val="auto"/>
          <w:szCs w:val="21"/>
          <w:highlight w:val="none"/>
          <w:lang w:val="en-US" w:eastAsia="zh-CN"/>
        </w:rPr>
        <w:t xml:space="preserve">提供</w:t>
      </w:r>
      <w:r>
        <w:rPr>
          <w:rFonts w:hint="eastAsia" w:ascii="宋体" w:hAnsi="宋体" w:eastAsia="宋体" w:cs="宋体"/>
          <w:color w:val="auto"/>
          <w:szCs w:val="21"/>
          <w:highlight w:val="none"/>
          <w:lang w:val="zh-CN" w:eastAsia="zh-CN"/>
        </w:rPr>
        <w:t xml:space="preserve">扫描件并加盖投标供应商公章后上传至投标系统；</w:t>
      </w:r>
      <w:r>
        <w:rPr>
          <w:rFonts w:hint="eastAsia" w:ascii="宋体" w:hAnsi="宋体" w:eastAsia="宋体" w:cs="宋体"/>
          <w:color w:val="auto"/>
          <w:szCs w:val="21"/>
          <w:highlight w:val="none"/>
          <w:lang w:val="zh-CN"/>
        </w:rPr>
      </w:r>
      <w:r>
        <w:rPr>
          <w:color w:val="auto"/>
        </w:rPr>
      </w:r>
    </w:p>
    <w:p>
      <w:pPr>
        <w:pStyle w:val="899"/>
        <w:ind w:firstLine="420"/>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第二章4.1《中华人民共和国政府采购法》规定的条件证明文件（复印件）并加盖公章；</w:t>
      </w:r>
      <w:r>
        <w:rPr>
          <w:rFonts w:hint="eastAsia" w:ascii="宋体" w:hAnsi="宋体" w:eastAsia="宋体" w:cs="宋体"/>
          <w:color w:val="auto"/>
          <w:szCs w:val="21"/>
          <w:highlight w:val="none"/>
          <w:lang w:val="zh-CN"/>
        </w:rPr>
      </w:r>
      <w:r>
        <w:rPr>
          <w:color w:val="auto"/>
        </w:rPr>
      </w:r>
    </w:p>
    <w:p>
      <w:pPr>
        <w:pStyle w:val="899"/>
        <w:ind w:firstLine="420"/>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第二章4.2</w:t>
      </w:r>
      <w:r>
        <w:rPr>
          <w:rFonts w:hint="eastAsia" w:ascii="宋体" w:hAnsi="宋体" w:eastAsia="宋体" w:cs="宋体"/>
          <w:color w:val="auto"/>
          <w:highlight w:val="none"/>
        </w:rPr>
        <w:t xml:space="preserve">采购人根据采购项目的特殊要求提出的特定条件证明文件；</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rPr>
      </w:r>
      <w:r>
        <w:rPr>
          <w:color w:val="auto"/>
        </w:rPr>
      </w:r>
    </w:p>
    <w:p>
      <w:pPr>
        <w:pStyle w:val="899"/>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rPr>
        <w:t xml:space="preserve">第二章4.4</w:t>
      </w:r>
      <w:r>
        <w:rPr>
          <w:rFonts w:hint="eastAsia" w:ascii="宋体" w:hAnsi="宋体" w:eastAsia="宋体" w:cs="宋体"/>
          <w:color w:val="auto"/>
          <w:szCs w:val="21"/>
          <w:highlight w:val="none"/>
          <w:lang w:val="zh-CN"/>
        </w:rPr>
        <w:t xml:space="preserve">《南京市政府采购供应商信用记录表暨信用承诺书》注：本表打印时间必须在采购文件发布之日起至提交响应文件截止日前。</w:t>
      </w:r>
      <w:r>
        <w:rPr>
          <w:rFonts w:hint="eastAsia" w:ascii="宋体" w:hAnsi="宋体" w:eastAsia="宋体" w:cs="宋体"/>
          <w:color w:val="auto"/>
          <w:szCs w:val="21"/>
          <w:highlight w:val="none"/>
          <w:lang w:val="zh-CN"/>
        </w:rPr>
      </w:r>
      <w:r>
        <w:rPr>
          <w:color w:val="auto"/>
        </w:rPr>
      </w:r>
    </w:p>
    <w:p>
      <w:pPr>
        <w:pStyle w:val="899"/>
        <w:ind w:left="1050" w:hanging="63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w:t>
      </w:r>
      <w:r>
        <w:rPr>
          <w:rFonts w:hint="eastAsia" w:ascii="宋体" w:hAnsi="宋体" w:eastAsia="宋体" w:cs="宋体"/>
          <w:b/>
          <w:color w:val="auto"/>
          <w:szCs w:val="21"/>
          <w:highlight w:val="none"/>
        </w:rPr>
        <w:t xml:space="preserve">★</w:t>
      </w:r>
      <w:r>
        <w:rPr>
          <w:rFonts w:hint="eastAsia" w:ascii="宋体" w:hAnsi="宋体" w:eastAsia="宋体" w:cs="宋体"/>
          <w:bCs/>
          <w:color w:val="auto"/>
          <w:highlight w:val="none"/>
          <w:lang w:val="zh-CN"/>
        </w:rPr>
        <w:t xml:space="preserve">商务条款</w:t>
      </w:r>
      <w:r>
        <w:rPr>
          <w:rFonts w:hint="eastAsia" w:ascii="宋体" w:hAnsi="宋体" w:eastAsia="宋体" w:cs="宋体"/>
          <w:bCs/>
          <w:color w:val="auto"/>
          <w:highlight w:val="none"/>
          <w:lang w:val="en-US" w:eastAsia="zh-CN"/>
        </w:rPr>
        <w:t xml:space="preserve">响应及</w:t>
      </w:r>
      <w:r>
        <w:rPr>
          <w:rFonts w:hint="eastAsia" w:ascii="宋体" w:hAnsi="宋体" w:eastAsia="宋体" w:cs="宋体"/>
          <w:color w:val="auto"/>
          <w:szCs w:val="21"/>
          <w:highlight w:val="none"/>
          <w:lang w:val="zh-CN"/>
        </w:rPr>
        <w:t xml:space="preserve">偏离</w:t>
      </w:r>
      <w:r>
        <w:rPr>
          <w:rFonts w:hint="eastAsia" w:ascii="宋体" w:hAnsi="宋体" w:eastAsia="宋体" w:cs="宋体"/>
          <w:bCs/>
          <w:color w:val="auto"/>
          <w:highlight w:val="none"/>
          <w:lang w:val="zh-CN"/>
        </w:rPr>
        <w:t xml:space="preserve">表</w:t>
      </w:r>
      <w:r>
        <w:rPr>
          <w:rFonts w:hint="eastAsia" w:ascii="宋体" w:hAnsi="宋体" w:eastAsia="宋体" w:cs="宋体"/>
          <w:color w:val="auto"/>
          <w:szCs w:val="21"/>
          <w:highlight w:val="none"/>
          <w:lang w:val="zh-CN"/>
        </w:rPr>
      </w:r>
      <w:r>
        <w:rPr>
          <w:color w:val="auto"/>
        </w:rPr>
      </w:r>
    </w:p>
    <w:p>
      <w:pPr>
        <w:pStyle w:val="899"/>
        <w:ind w:left="1050" w:hanging="63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）经营业绩；</w:t>
      </w:r>
      <w:r>
        <w:rPr>
          <w:rFonts w:hint="eastAsia" w:ascii="宋体" w:hAnsi="宋体" w:eastAsia="宋体" w:cs="宋体"/>
          <w:color w:val="auto"/>
          <w:szCs w:val="21"/>
          <w:highlight w:val="none"/>
          <w:lang w:val="zh-CN"/>
        </w:rPr>
      </w:r>
      <w:r>
        <w:rPr>
          <w:color w:val="auto"/>
        </w:rPr>
      </w:r>
    </w:p>
    <w:p>
      <w:pPr>
        <w:pStyle w:val="899"/>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val="zh-CN"/>
        </w:rPr>
        <w:t xml:space="preserve">）供应商认为需要提供的其他证明文件和商务资料。</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b/>
          <w:color w:val="auto"/>
          <w:highlight w:val="none"/>
        </w:rPr>
      </w:pPr>
      <w:r>
        <w:rPr>
          <w:rFonts w:hint="eastAsia" w:ascii="宋体" w:hAnsi="宋体" w:eastAsia="宋体" w:cs="宋体"/>
          <w:b/>
          <w:color w:val="auto"/>
          <w:highlight w:val="none"/>
        </w:rPr>
        <w:t xml:space="preserve">12.</w:t>
      </w:r>
      <w:r>
        <w:rPr>
          <w:rFonts w:hint="eastAsia" w:ascii="宋体" w:hAnsi="宋体" w:eastAsia="宋体" w:cs="宋体"/>
          <w:b/>
          <w:color w:val="auto"/>
          <w:highlight w:val="none"/>
          <w:lang w:val="en-US" w:eastAsia="zh-CN"/>
        </w:rPr>
        <w:t xml:space="preserve">价格</w:t>
      </w:r>
      <w:r>
        <w:rPr>
          <w:rFonts w:hint="eastAsia" w:ascii="宋体" w:hAnsi="宋体" w:eastAsia="宋体" w:cs="宋体"/>
          <w:b/>
          <w:color w:val="auto"/>
          <w:highlight w:val="none"/>
        </w:rPr>
        <w:t xml:space="preserve">部分</w:t>
      </w:r>
      <w:r>
        <w:rPr>
          <w:rFonts w:hint="eastAsia" w:ascii="宋体" w:hAnsi="宋体" w:eastAsia="宋体" w:cs="宋体"/>
          <w:b/>
          <w:color w:val="auto"/>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.1价格部分是对货物和服务价格构成的说明，竞争性磋商文件如没有特别说明的话，对每一项货物和服务仅接受一个价格。</w:t>
      </w:r>
      <w:r>
        <w:rPr>
          <w:rFonts w:hint="eastAsia" w:ascii="宋体" w:hAnsi="宋体" w:eastAsia="宋体" w:cs="宋体"/>
          <w:color w:val="auto"/>
          <w:szCs w:val="21"/>
          <w:highlight w:val="none"/>
          <w:lang w:val="zh-CN"/>
        </w:rPr>
      </w:r>
      <w:r>
        <w:rPr>
          <w:color w:val="auto"/>
        </w:rPr>
      </w:r>
    </w:p>
    <w:p>
      <w:pPr>
        <w:pStyle w:val="899"/>
        <w:contextualSpacing/>
        <w:ind w:firstLine="420"/>
        <w:spacing w:before="156" w:after="156"/>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lang w:val="zh-CN"/>
        </w:rPr>
        <w:t xml:space="preserve">报价是招标文件所确定的采购范围内的全部货物或服务的价格体现。</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lang w:val="zh-CN"/>
        </w:rPr>
        <w:t xml:space="preserve">报价：包括但不限于完成文件所确定的服务范围所需的材料、设备、管理、</w:t>
      </w:r>
      <w:r>
        <w:rPr>
          <w:rFonts w:hint="eastAsia" w:ascii="宋体" w:hAnsi="宋体" w:eastAsia="宋体" w:cs="宋体"/>
          <w:color w:val="auto"/>
          <w:szCs w:val="21"/>
          <w:highlight w:val="none"/>
          <w:lang w:val="en-US" w:eastAsia="zh-CN"/>
        </w:rPr>
        <w:t xml:space="preserve">差旅、</w:t>
      </w:r>
      <w:r>
        <w:rPr>
          <w:rFonts w:hint="eastAsia" w:ascii="宋体" w:hAnsi="宋体" w:eastAsia="宋体" w:cs="宋体"/>
          <w:color w:val="auto"/>
          <w:szCs w:val="21"/>
          <w:highlight w:val="none"/>
          <w:lang w:val="zh-CN"/>
        </w:rPr>
        <w:t xml:space="preserve">维护、利润、支付给员工的工资和国家强制缴纳的各种社会保障资金、采购代理服务费、专家评审费等全部费用，及政策性文件规定、采购过程中发生的市场风险、责任等各项应有费用，不论其在采购文件中是否有提及。投标供应商应根据上述因素自行考虑含入投标报价。</w:t>
      </w:r>
      <w:r>
        <w:rPr>
          <w:rFonts w:hint="eastAsia" w:ascii="宋体" w:hAnsi="宋体" w:eastAsia="宋体" w:cs="宋体"/>
          <w:b/>
          <w:bCs/>
          <w:color w:val="auto"/>
          <w:szCs w:val="21"/>
          <w:highlight w:val="none"/>
        </w:rPr>
        <w:t xml:space="preserve">供应商一旦成交，</w:t>
      </w:r>
      <w:r>
        <w:rPr>
          <w:rFonts w:hint="eastAsia" w:ascii="宋体" w:hAnsi="宋体" w:eastAsia="宋体" w:cs="宋体"/>
          <w:b/>
          <w:bCs/>
          <w:color w:val="auto"/>
          <w:szCs w:val="21"/>
          <w:highlight w:val="none"/>
          <w:lang w:val="en-US" w:eastAsia="zh-CN"/>
        </w:rPr>
        <w:t xml:space="preserve">价格</w:t>
      </w:r>
      <w:r>
        <w:rPr>
          <w:rFonts w:hint="eastAsia" w:ascii="宋体" w:hAnsi="宋体" w:eastAsia="宋体" w:cs="宋体"/>
          <w:b/>
          <w:bCs/>
          <w:color w:val="auto"/>
          <w:szCs w:val="21"/>
          <w:highlight w:val="none"/>
        </w:rPr>
        <w:t xml:space="preserve">不得变更。</w:t>
      </w:r>
      <w:r>
        <w:rPr>
          <w:rFonts w:hint="eastAsia" w:ascii="宋体" w:hAnsi="宋体" w:eastAsia="宋体" w:cs="宋体"/>
          <w:color w:val="auto"/>
          <w:highlight w:val="none"/>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12.3供应商应在《磋商报价汇总表》、《磋商分项报价表》等中标明拟提供货物和服务的单价、总价以及分项报价。</w:t>
      </w:r>
      <w:r>
        <w:rPr>
          <w:rFonts w:hint="eastAsia" w:ascii="宋体" w:hAnsi="宋体" w:eastAsia="宋体" w:cs="宋体"/>
          <w:color w:val="auto"/>
          <w:highlight w:val="none"/>
        </w:rPr>
      </w:r>
      <w:r>
        <w:rPr>
          <w:color w:val="auto"/>
        </w:rPr>
      </w:r>
    </w:p>
    <w:p>
      <w:pPr>
        <w:pStyle w:val="899"/>
        <w:ind w:firstLine="420"/>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12.4</w:t>
      </w:r>
      <w:r>
        <w:rPr>
          <w:rFonts w:hint="eastAsia" w:ascii="宋体" w:hAnsi="宋体" w:eastAsia="宋体" w:cs="宋体"/>
          <w:b/>
          <w:color w:val="auto"/>
          <w:szCs w:val="21"/>
          <w:highlight w:val="none"/>
          <w:lang w:val="zh-CN"/>
        </w:rPr>
        <w:t xml:space="preserve">供应商应</w:t>
      </w:r>
      <w:r>
        <w:rPr>
          <w:rFonts w:hint="eastAsia" w:ascii="宋体" w:hAnsi="宋体" w:eastAsia="宋体" w:cs="宋体"/>
          <w:b/>
          <w:color w:val="auto"/>
          <w:szCs w:val="21"/>
          <w:highlight w:val="none"/>
        </w:rPr>
        <w:t xml:space="preserve">仔细阅读和理解磋商文件中有关项目需求、义务、付款方式、付款条件和时间进度安排，</w:t>
      </w:r>
      <w:r>
        <w:rPr>
          <w:rFonts w:hint="eastAsia" w:ascii="宋体" w:hAnsi="宋体" w:eastAsia="宋体" w:cs="宋体"/>
          <w:b/>
          <w:color w:val="auto"/>
          <w:szCs w:val="21"/>
          <w:highlight w:val="none"/>
          <w:lang w:val="zh-CN"/>
        </w:rPr>
        <w:t xml:space="preserve">充分考虑到市场价格变动以及项目实施过程中的不可预见因素，</w:t>
      </w:r>
      <w:r>
        <w:rPr>
          <w:rFonts w:hint="eastAsia" w:ascii="宋体" w:hAnsi="宋体" w:eastAsia="宋体" w:cs="宋体"/>
          <w:b/>
          <w:color w:val="auto"/>
          <w:szCs w:val="21"/>
          <w:highlight w:val="none"/>
        </w:rPr>
        <w:t xml:space="preserve">结合企业自身条件进行报价，</w:t>
      </w:r>
      <w:r>
        <w:rPr>
          <w:rFonts w:hint="eastAsia" w:ascii="宋体" w:hAnsi="宋体" w:eastAsia="宋体" w:cs="宋体"/>
          <w:b/>
          <w:color w:val="auto"/>
          <w:szCs w:val="21"/>
          <w:highlight w:val="none"/>
          <w:lang w:val="zh-CN"/>
        </w:rPr>
        <w:t xml:space="preserve">一旦成交，如果有漏项，视同让利。</w:t>
      </w:r>
      <w:r>
        <w:rPr>
          <w:rFonts w:hint="eastAsia" w:ascii="宋体" w:hAnsi="宋体" w:eastAsia="宋体" w:cs="宋体"/>
          <w:b/>
          <w:color w:val="auto"/>
          <w:szCs w:val="21"/>
          <w:highlight w:val="none"/>
          <w:lang w:val="zh-CN"/>
        </w:rPr>
      </w:r>
      <w:r>
        <w:rPr>
          <w:color w:val="auto"/>
        </w:rPr>
      </w:r>
    </w:p>
    <w:p>
      <w:pPr>
        <w:pStyle w:val="899"/>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1</w:t>
      </w:r>
      <w:r>
        <w:rPr>
          <w:rFonts w:hint="eastAsia" w:ascii="宋体" w:hAnsi="宋体" w:eastAsia="宋体" w:cs="宋体"/>
          <w:b/>
          <w:color w:val="auto"/>
          <w:szCs w:val="21"/>
          <w:highlight w:val="none"/>
        </w:rPr>
        <w:t xml:space="preserve">2</w:t>
      </w:r>
      <w:r>
        <w:rPr>
          <w:rFonts w:hint="eastAsia" w:ascii="宋体" w:hAnsi="宋体" w:eastAsia="宋体" w:cs="宋体"/>
          <w:b/>
          <w:color w:val="auto"/>
          <w:szCs w:val="21"/>
          <w:highlight w:val="none"/>
          <w:lang w:val="zh-CN"/>
        </w:rPr>
        <w:t xml:space="preserve">.5 经磋商后，如果成交价高于或低于供应商在磋商响应文件报价的话，分项报价同比例调整。</w:t>
      </w:r>
      <w:r>
        <w:rPr>
          <w:rFonts w:hint="eastAsia" w:ascii="宋体" w:hAnsi="宋体" w:eastAsia="宋体" w:cs="宋体"/>
          <w:b/>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12.6报价表必须由供应商法人代表或委托授权人签字、或加盖单位公章。如有优惠条款，请单独列明，但不得影响报价，影响货物或服务整体功能。</w:t>
      </w:r>
      <w:r>
        <w:rPr>
          <w:rFonts w:hint="eastAsia" w:ascii="宋体" w:hAnsi="宋体" w:eastAsia="宋体" w:cs="宋体"/>
          <w:color w:val="auto"/>
          <w:szCs w:val="21"/>
          <w:highlight w:val="none"/>
        </w:rPr>
      </w:r>
      <w:r>
        <w:rPr>
          <w:color w:val="auto"/>
        </w:rPr>
      </w:r>
    </w:p>
    <w:p>
      <w:pPr>
        <w:pStyle w:val="899"/>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12.7 政府采购提倡公平竞争，反对盲目压价参与磋商，任何盲目压价和低于成本报价将会被拒绝。</w:t>
      </w:r>
      <w:r>
        <w:rPr>
          <w:rFonts w:hint="eastAsia" w:ascii="宋体" w:hAnsi="宋体" w:eastAsia="宋体" w:cs="宋体"/>
          <w:b/>
          <w:color w:val="auto"/>
          <w:szCs w:val="21"/>
          <w:highlight w:val="none"/>
        </w:rPr>
      </w:r>
      <w:r>
        <w:rPr>
          <w:color w:val="auto"/>
        </w:rPr>
      </w:r>
    </w:p>
    <w:p>
      <w:pPr>
        <w:pStyle w:val="899"/>
        <w:ind w:firstLine="422"/>
        <w:rPr>
          <w:rFonts w:hint="eastAsia" w:ascii="宋体" w:hAnsi="宋体" w:eastAsia="宋体" w:cs="宋体"/>
          <w:b/>
          <w:color w:val="auto"/>
          <w:highlight w:val="none"/>
        </w:rPr>
      </w:pPr>
      <w:r>
        <w:rPr>
          <w:rFonts w:hint="eastAsia" w:ascii="宋体" w:hAnsi="宋体" w:eastAsia="宋体" w:cs="宋体"/>
          <w:b/>
          <w:color w:val="auto"/>
          <w:szCs w:val="21"/>
          <w:highlight w:val="none"/>
        </w:rPr>
        <w:t xml:space="preserve">13.</w:t>
      </w:r>
      <w:r>
        <w:rPr>
          <w:rFonts w:hint="eastAsia" w:ascii="宋体" w:hAnsi="宋体" w:eastAsia="宋体" w:cs="宋体"/>
          <w:b/>
          <w:color w:val="auto"/>
          <w:highlight w:val="none"/>
          <w:lang w:val="en-US" w:eastAsia="zh-CN"/>
        </w:rPr>
        <w:t xml:space="preserve">磋商</w:t>
      </w:r>
      <w:r>
        <w:rPr>
          <w:rFonts w:hint="eastAsia" w:ascii="宋体" w:hAnsi="宋体" w:eastAsia="宋体" w:cs="宋体"/>
          <w:b/>
          <w:color w:val="auto"/>
          <w:szCs w:val="21"/>
          <w:highlight w:val="none"/>
        </w:rPr>
        <w:t xml:space="preserve">响应性文件的</w:t>
      </w:r>
      <w:r>
        <w:rPr>
          <w:rFonts w:hint="eastAsia" w:ascii="宋体" w:hAnsi="宋体" w:eastAsia="宋体" w:cs="宋体"/>
          <w:b/>
          <w:color w:val="auto"/>
          <w:highlight w:val="none"/>
        </w:rPr>
        <w:t xml:space="preserve">技术部分.</w:t>
      </w:r>
      <w:r>
        <w:rPr>
          <w:rFonts w:hint="eastAsia" w:ascii="宋体" w:hAnsi="宋体" w:eastAsia="宋体" w:cs="宋体"/>
          <w:color w:val="auto"/>
          <w:szCs w:val="21"/>
          <w:highlight w:val="none"/>
          <w:lang w:val="zh-CN"/>
        </w:rPr>
        <w:t xml:space="preserve"> 技术部分是证明</w:t>
      </w:r>
      <w:r>
        <w:rPr>
          <w:rFonts w:hint="eastAsia" w:ascii="宋体" w:hAnsi="宋体" w:eastAsia="宋体" w:cs="宋体"/>
          <w:color w:val="auto"/>
          <w:szCs w:val="21"/>
          <w:highlight w:val="none"/>
        </w:rPr>
        <w:t xml:space="preserve">供应商提供的货物和服务是合格的、并符合竞争性磋商文件要求的证明文件，以及</w:t>
      </w:r>
      <w:r>
        <w:rPr>
          <w:rFonts w:hint="eastAsia" w:ascii="宋体" w:hAnsi="宋体" w:eastAsia="宋体" w:cs="宋体"/>
          <w:color w:val="auto"/>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项目不得有缺失或无效。</w:t>
      </w:r>
      <w:r>
        <w:rPr>
          <w:rFonts w:hint="eastAsia" w:ascii="宋体" w:hAnsi="宋体" w:eastAsia="宋体" w:cs="宋体"/>
          <w:b/>
          <w:color w:val="auto"/>
          <w:highlight w:val="none"/>
        </w:rPr>
      </w:r>
      <w:r>
        <w:rPr>
          <w:color w:val="auto"/>
        </w:rPr>
      </w:r>
    </w:p>
    <w:p>
      <w:pPr>
        <w:pStyle w:val="899"/>
        <w:ind w:firstLine="420"/>
        <w:tabs>
          <w:tab w:val="left" w:pos="732" w:leader="none"/>
        </w:tabs>
        <w:rPr>
          <w:rFonts w:hint="eastAsia" w:ascii="宋体" w:hAnsi="宋体" w:eastAsia="宋体" w:cs="宋体"/>
          <w:color w:val="auto"/>
          <w:szCs w:val="21"/>
          <w:highlight w:val="none"/>
        </w:rPr>
      </w:pPr>
      <w:r>
        <w:rPr>
          <w:color w:val="auto"/>
        </w:rPr>
      </w:r>
      <w:bookmarkStart w:id="158" w:name="_Toc345336138"/>
      <w:r>
        <w:rPr>
          <w:rFonts w:hint="eastAsia" w:ascii="宋体" w:hAnsi="宋体" w:eastAsia="宋体" w:cs="宋体"/>
          <w:color w:val="auto"/>
          <w:szCs w:val="21"/>
          <w:highlight w:val="none"/>
          <w:lang w:val="zh-CN"/>
        </w:rPr>
        <w:t xml:space="preserve">（1）</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项目</w:t>
      </w:r>
      <w:r>
        <w:rPr>
          <w:rFonts w:hint="eastAsia" w:ascii="宋体" w:hAnsi="宋体" w:eastAsia="宋体" w:cs="宋体"/>
          <w:color w:val="auto"/>
          <w:szCs w:val="21"/>
          <w:highlight w:val="none"/>
        </w:rPr>
        <w:t xml:space="preserve">服务方案</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r>
      <w:r>
        <w:rPr>
          <w:color w:val="auto"/>
        </w:rPr>
      </w:r>
    </w:p>
    <w:p>
      <w:pPr>
        <w:pStyle w:val="899"/>
        <w:ind w:firstLine="420"/>
        <w:tabs>
          <w:tab w:val="left" w:pos="73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en-US" w:eastAsia="zh-CN"/>
        </w:rPr>
        <w:t xml:space="preserve">服务人员</w:t>
      </w:r>
      <w:r>
        <w:rPr>
          <w:rFonts w:hint="eastAsia" w:ascii="宋体" w:hAnsi="宋体" w:eastAsia="宋体" w:cs="宋体"/>
          <w:color w:val="auto"/>
          <w:szCs w:val="21"/>
          <w:highlight w:val="none"/>
          <w:lang w:val="zh-CN"/>
        </w:rPr>
        <w:t xml:space="preserve">一览表</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w:t>
      </w:r>
      <w:r>
        <w:rPr>
          <w:rFonts w:hint="eastAsia" w:ascii="宋体" w:hAnsi="宋体" w:eastAsia="宋体" w:cs="宋体"/>
          <w:color w:val="auto"/>
          <w:szCs w:val="21"/>
          <w:highlight w:val="none"/>
          <w:lang w:eastAsia="zh-CN"/>
        </w:rPr>
        <w:t xml:space="preserve">技术及服务条款响应及偏离表</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r>
      <w:r>
        <w:rPr>
          <w:color w:val="auto"/>
        </w:rPr>
      </w:r>
    </w:p>
    <w:p>
      <w:pPr>
        <w:pStyle w:val="915"/>
        <w:ind w:firstLine="420"/>
        <w:spacing w:after="0"/>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）备品备件明细表（</w:t>
      </w:r>
      <w:r>
        <w:rPr>
          <w:rFonts w:hint="eastAsia" w:ascii="宋体" w:hAnsi="宋体" w:eastAsia="宋体" w:cs="宋体"/>
          <w:color w:val="auto"/>
          <w:szCs w:val="21"/>
          <w:highlight w:val="none"/>
          <w:lang w:val="en-US" w:eastAsia="zh-CN"/>
        </w:rPr>
        <w:t xml:space="preserve">如有</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）供应商认为需要提供的其他技术文件或资料等。</w:t>
      </w:r>
      <w:r>
        <w:rPr>
          <w:rFonts w:hint="eastAsia" w:ascii="宋体" w:hAnsi="宋体" w:eastAsia="宋体" w:cs="宋体"/>
          <w:color w:val="auto"/>
          <w:szCs w:val="21"/>
          <w:highlight w:val="none"/>
          <w:lang w:val="zh-CN"/>
        </w:rPr>
      </w:r>
      <w:r>
        <w:rPr>
          <w:color w:val="auto"/>
        </w:rPr>
      </w:r>
    </w:p>
    <w:p>
      <w:pPr>
        <w:pStyle w:val="899"/>
        <w:ind w:firstLine="422"/>
        <w:rPr>
          <w:rFonts w:hint="eastAsia" w:ascii="宋体" w:hAnsi="宋体" w:eastAsia="宋体" w:cs="宋体"/>
          <w:b/>
          <w:color w:val="auto"/>
          <w:highlight w:val="none"/>
        </w:rPr>
        <w:outlineLvl w:val="1"/>
      </w:pPr>
      <w:r>
        <w:rPr>
          <w:color w:val="auto"/>
        </w:rPr>
      </w:r>
      <w:bookmarkStart w:id="159" w:name="_Toc7167"/>
      <w:r>
        <w:rPr>
          <w:color w:val="auto"/>
        </w:rPr>
      </w:r>
      <w:bookmarkStart w:id="160" w:name="_Toc18928"/>
      <w:r>
        <w:rPr>
          <w:color w:val="auto"/>
        </w:rPr>
      </w:r>
      <w:bookmarkStart w:id="161" w:name="_Toc21818"/>
      <w:r>
        <w:rPr>
          <w:color w:val="auto"/>
        </w:rPr>
      </w:r>
      <w:bookmarkStart w:id="162" w:name="_Toc11854"/>
      <w:r>
        <w:rPr>
          <w:color w:val="auto"/>
        </w:rPr>
      </w:r>
      <w:bookmarkStart w:id="163" w:name="_Toc6584"/>
      <w:r>
        <w:rPr>
          <w:color w:val="auto"/>
        </w:rPr>
      </w:r>
      <w:bookmarkStart w:id="164" w:name="_Toc17726"/>
      <w:r>
        <w:rPr>
          <w:color w:val="auto"/>
        </w:rPr>
      </w:r>
      <w:bookmarkStart w:id="165" w:name="_Toc10660"/>
      <w:r>
        <w:rPr>
          <w:color w:val="auto"/>
        </w:rPr>
      </w:r>
      <w:bookmarkStart w:id="166" w:name="_Toc32189"/>
      <w:r>
        <w:rPr>
          <w:color w:val="auto"/>
        </w:rPr>
      </w:r>
      <w:bookmarkStart w:id="167" w:name="_Toc30439"/>
      <w:r>
        <w:rPr>
          <w:color w:val="auto"/>
        </w:rPr>
      </w:r>
      <w:bookmarkStart w:id="168" w:name="_Toc22884"/>
      <w:r>
        <w:rPr>
          <w:color w:val="auto"/>
        </w:rPr>
      </w:r>
      <w:bookmarkStart w:id="169" w:name="_Toc23193"/>
      <w:r>
        <w:rPr>
          <w:color w:val="auto"/>
        </w:rPr>
      </w:r>
      <w:bookmarkStart w:id="170" w:name="_Toc6675"/>
      <w:r>
        <w:rPr>
          <w:color w:val="auto"/>
        </w:rPr>
      </w:r>
      <w:bookmarkStart w:id="171" w:name="_Toc28102"/>
      <w:r>
        <w:rPr>
          <w:color w:val="auto"/>
        </w:rPr>
      </w:r>
      <w:bookmarkStart w:id="172" w:name="_Toc10399"/>
      <w:r>
        <w:rPr>
          <w:color w:val="auto"/>
        </w:rPr>
      </w:r>
      <w:bookmarkStart w:id="173" w:name="_Toc10318"/>
      <w:r>
        <w:rPr>
          <w:color w:val="auto"/>
        </w:rPr>
      </w:r>
      <w:bookmarkStart w:id="174" w:name="_Toc8046"/>
      <w:r>
        <w:rPr>
          <w:color w:val="auto"/>
        </w:rPr>
      </w:r>
      <w:bookmarkStart w:id="175" w:name="_Toc4007"/>
      <w:r>
        <w:rPr>
          <w:color w:val="auto"/>
        </w:rPr>
      </w:r>
      <w:bookmarkStart w:id="176" w:name="_Toc21053"/>
      <w:r>
        <w:rPr>
          <w:color w:val="auto"/>
        </w:rPr>
      </w:r>
      <w:bookmarkStart w:id="177" w:name="_Toc2132"/>
      <w:r>
        <w:rPr>
          <w:color w:val="auto"/>
        </w:rPr>
      </w:r>
      <w:bookmarkStart w:id="178" w:name="_Toc16489"/>
      <w:r>
        <w:rPr>
          <w:color w:val="auto"/>
        </w:rPr>
      </w:r>
      <w:bookmarkStart w:id="179" w:name="_Toc28833"/>
      <w:r>
        <w:rPr>
          <w:color w:val="auto"/>
        </w:rPr>
      </w:r>
      <w:bookmarkStart w:id="180" w:name="_Toc24964"/>
      <w:r>
        <w:rPr>
          <w:color w:val="auto"/>
        </w:rPr>
      </w:r>
      <w:bookmarkStart w:id="181" w:name="_Toc31865"/>
      <w:r>
        <w:rPr>
          <w:color w:val="auto"/>
        </w:rPr>
      </w:r>
      <w:bookmarkStart w:id="182" w:name="_Toc28976"/>
      <w:r>
        <w:rPr>
          <w:color w:val="auto"/>
        </w:rPr>
      </w:r>
      <w:bookmarkStart w:id="183" w:name="_Toc19401"/>
      <w:r>
        <w:rPr>
          <w:color w:val="auto"/>
        </w:rPr>
      </w:r>
      <w:bookmarkStart w:id="184" w:name="_Toc504141739"/>
      <w:r>
        <w:rPr>
          <w:color w:val="auto"/>
        </w:rPr>
      </w:r>
      <w:bookmarkStart w:id="185" w:name="_Toc25657"/>
      <w:r>
        <w:rPr>
          <w:color w:val="auto"/>
        </w:rPr>
      </w:r>
      <w:bookmarkStart w:id="186" w:name="_Toc3212"/>
      <w:r>
        <w:rPr>
          <w:color w:val="auto"/>
        </w:rPr>
      </w:r>
      <w:bookmarkStart w:id="187" w:name="_Toc4248"/>
      <w:r>
        <w:rPr>
          <w:color w:val="auto"/>
        </w:rPr>
      </w:r>
      <w:bookmarkStart w:id="188" w:name="_Toc23355"/>
      <w:r>
        <w:rPr>
          <w:rFonts w:hint="eastAsia" w:ascii="宋体" w:hAnsi="宋体" w:eastAsia="宋体" w:cs="宋体"/>
          <w:b/>
          <w:color w:val="auto"/>
          <w:highlight w:val="none"/>
        </w:rPr>
        <w:t xml:space="preserve">三、</w:t>
      </w:r>
      <w:r>
        <w:rPr>
          <w:rFonts w:hint="eastAsia" w:ascii="宋体" w:hAnsi="宋体" w:eastAsia="宋体" w:cs="宋体"/>
          <w:b/>
          <w:color w:val="auto"/>
          <w:highlight w:val="none"/>
          <w:lang w:val="en-US" w:eastAsia="zh-CN"/>
        </w:rPr>
        <w:t xml:space="preserve">磋商</w:t>
      </w:r>
      <w:r>
        <w:rPr>
          <w:rFonts w:hint="eastAsia" w:ascii="宋体" w:hAnsi="宋体" w:eastAsia="宋体" w:cs="宋体"/>
          <w:b/>
          <w:color w:val="auto"/>
          <w:highlight w:val="none"/>
        </w:rPr>
        <w:t xml:space="preserve">响应性文件递交</w:t>
      </w:r>
      <w:bookmarkEnd w:id="158"/>
      <w:r>
        <w:rPr>
          <w:color w:val="auto"/>
        </w:rPr>
      </w:r>
      <w:bookmarkEnd w:id="159"/>
      <w:r>
        <w:rPr>
          <w:color w:val="auto"/>
        </w:rPr>
      </w:r>
      <w:bookmarkEnd w:id="160"/>
      <w:r>
        <w:rPr>
          <w:color w:val="auto"/>
        </w:rPr>
      </w:r>
      <w:bookmarkEnd w:id="161"/>
      <w:r>
        <w:rPr>
          <w:color w:val="auto"/>
        </w:rPr>
      </w:r>
      <w:bookmarkEnd w:id="162"/>
      <w:r>
        <w:rPr>
          <w:color w:val="auto"/>
        </w:rPr>
      </w:r>
      <w:bookmarkEnd w:id="163"/>
      <w:r>
        <w:rPr>
          <w:color w:val="auto"/>
        </w:rPr>
      </w:r>
      <w:bookmarkEnd w:id="164"/>
      <w:r>
        <w:rPr>
          <w:color w:val="auto"/>
        </w:rPr>
      </w:r>
      <w:bookmarkEnd w:id="165"/>
      <w:r>
        <w:rPr>
          <w:color w:val="auto"/>
        </w:rPr>
      </w:r>
      <w:bookmarkEnd w:id="166"/>
      <w:r>
        <w:rPr>
          <w:color w:val="auto"/>
        </w:rPr>
      </w:r>
      <w:bookmarkEnd w:id="167"/>
      <w:r>
        <w:rPr>
          <w:color w:val="auto"/>
        </w:rPr>
      </w:r>
      <w:bookmarkEnd w:id="168"/>
      <w:r>
        <w:rPr>
          <w:color w:val="auto"/>
        </w:rPr>
      </w:r>
      <w:bookmarkEnd w:id="169"/>
      <w:r>
        <w:rPr>
          <w:color w:val="auto"/>
        </w:rPr>
      </w:r>
      <w:bookmarkEnd w:id="170"/>
      <w:r>
        <w:rPr>
          <w:color w:val="auto"/>
        </w:rPr>
      </w:r>
      <w:bookmarkEnd w:id="171"/>
      <w:r>
        <w:rPr>
          <w:color w:val="auto"/>
        </w:rPr>
      </w:r>
      <w:bookmarkEnd w:id="172"/>
      <w:r>
        <w:rPr>
          <w:color w:val="auto"/>
        </w:rPr>
      </w:r>
      <w:bookmarkEnd w:id="173"/>
      <w:r>
        <w:rPr>
          <w:color w:val="auto"/>
        </w:rPr>
      </w:r>
      <w:bookmarkEnd w:id="174"/>
      <w:r>
        <w:rPr>
          <w:color w:val="auto"/>
        </w:rPr>
      </w:r>
      <w:bookmarkEnd w:id="175"/>
      <w:r>
        <w:rPr>
          <w:color w:val="auto"/>
        </w:rPr>
      </w:r>
      <w:bookmarkEnd w:id="176"/>
      <w:r>
        <w:rPr>
          <w:color w:val="auto"/>
        </w:rPr>
      </w:r>
      <w:bookmarkEnd w:id="177"/>
      <w:r>
        <w:rPr>
          <w:color w:val="auto"/>
        </w:rPr>
      </w:r>
      <w:bookmarkEnd w:id="178"/>
      <w:r>
        <w:rPr>
          <w:color w:val="auto"/>
        </w:rPr>
      </w:r>
      <w:bookmarkEnd w:id="179"/>
      <w:r>
        <w:rPr>
          <w:color w:val="auto"/>
        </w:rPr>
      </w:r>
      <w:bookmarkEnd w:id="180"/>
      <w:r>
        <w:rPr>
          <w:color w:val="auto"/>
        </w:rPr>
      </w:r>
      <w:bookmarkEnd w:id="181"/>
      <w:r>
        <w:rPr>
          <w:color w:val="auto"/>
        </w:rPr>
      </w:r>
      <w:bookmarkEnd w:id="182"/>
      <w:r>
        <w:rPr>
          <w:color w:val="auto"/>
        </w:rPr>
      </w:r>
      <w:bookmarkEnd w:id="183"/>
      <w:r>
        <w:rPr>
          <w:color w:val="auto"/>
        </w:rPr>
      </w:r>
      <w:bookmarkEnd w:id="184"/>
      <w:r>
        <w:rPr>
          <w:color w:val="auto"/>
        </w:rPr>
      </w:r>
      <w:bookmarkEnd w:id="185"/>
      <w:r>
        <w:rPr>
          <w:color w:val="auto"/>
        </w:rPr>
      </w:r>
      <w:bookmarkEnd w:id="186"/>
      <w:r>
        <w:rPr>
          <w:color w:val="auto"/>
        </w:rPr>
      </w:r>
      <w:bookmarkEnd w:id="187"/>
      <w:r>
        <w:rPr>
          <w:color w:val="auto"/>
        </w:rPr>
      </w:r>
      <w:bookmarkEnd w:id="188"/>
      <w:r>
        <w:rPr>
          <w:rFonts w:hint="eastAsia" w:ascii="宋体" w:hAnsi="宋体" w:eastAsia="宋体" w:cs="宋体"/>
          <w:b/>
          <w:color w:val="auto"/>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.1 供应商应当按照《操作手册》规定，在磋商公告规定的提交响应文件截止时间前制作并上传电子响应文件。</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.2 供应商应充分考虑网络环境、网络带宽等因素可能对磋商产生的影响，如因供应商自身原因造成的电子响应文件上传不成功的，按照本磋商文件第二章第</w:t>
      </w:r>
      <w:r>
        <w:rPr>
          <w:rFonts w:hint="eastAsia" w:ascii="宋体" w:hAnsi="宋体" w:eastAsia="宋体" w:cs="宋体"/>
          <w:color w:val="auto"/>
          <w:szCs w:val="21"/>
          <w:highlight w:val="none"/>
          <w:lang w:val="en-US" w:eastAsia="zh-CN"/>
        </w:rPr>
        <w:t xml:space="preserve">19.6</w:t>
      </w:r>
      <w:r>
        <w:rPr>
          <w:rFonts w:hint="eastAsia" w:ascii="宋体" w:hAnsi="宋体" w:eastAsia="宋体" w:cs="宋体"/>
          <w:color w:val="auto"/>
          <w:szCs w:val="21"/>
          <w:highlight w:val="none"/>
          <w:lang w:val="zh-CN"/>
        </w:rPr>
        <w:t xml:space="preserve">条规定做无效响应处理。</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b/>
          <w:bCs/>
          <w:color w:val="auto"/>
          <w:szCs w:val="21"/>
          <w:highlight w:val="none"/>
        </w:rPr>
      </w:pPr>
      <w:r>
        <w:rPr>
          <w:rFonts w:hint="eastAsia" w:ascii="宋体" w:hAnsi="宋体" w:eastAsia="宋体" w:cs="宋体"/>
          <w:color w:val="auto"/>
          <w:highlight w:val="none"/>
        </w:rPr>
        <w:t xml:space="preserve">16.</w:t>
      </w:r>
      <w:r>
        <w:rPr>
          <w:rFonts w:hint="eastAsia" w:ascii="宋体" w:hAnsi="宋体" w:eastAsia="宋体" w:cs="宋体"/>
          <w:b/>
          <w:bCs/>
          <w:color w:val="auto"/>
          <w:szCs w:val="21"/>
          <w:highlight w:val="none"/>
          <w:lang w:val="zh-CN"/>
        </w:rPr>
        <w:t xml:space="preserve">有下列情形之一的磋商响应文件将拒收：</w:t>
      </w:r>
      <w:r>
        <w:rPr>
          <w:rFonts w:hint="eastAsia" w:ascii="宋体" w:hAnsi="宋体" w:eastAsia="宋体" w:cs="宋体"/>
          <w:b/>
          <w:bCs/>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在磋商文件要求提交电子磋商响应文件的截止时间之后上传送达的。</w:t>
      </w:r>
      <w:r>
        <w:rPr>
          <w:rFonts w:hint="eastAsia" w:ascii="宋体" w:hAnsi="宋体" w:eastAsia="宋体" w:cs="宋体"/>
          <w:color w:val="auto"/>
          <w:szCs w:val="21"/>
          <w:highlight w:val="none"/>
          <w:lang w:val="zh-CN"/>
        </w:rPr>
      </w:r>
      <w:r>
        <w:rPr>
          <w:color w:val="auto"/>
        </w:rPr>
      </w:r>
    </w:p>
    <w:p>
      <w:pPr>
        <w:pStyle w:val="899"/>
        <w:ind w:firstLine="420"/>
        <w:tabs>
          <w:tab w:val="left" w:pos="5355" w:leader="none"/>
        </w:tabs>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lang w:val="zh-CN"/>
        </w:rPr>
        <w:t xml:space="preserve"> 诚实信用</w:t>
      </w:r>
      <w:r>
        <w:rPr>
          <w:rFonts w:hint="eastAsia" w:ascii="宋体" w:hAnsi="宋体" w:eastAsia="宋体" w:cs="宋体"/>
          <w:b/>
          <w:bCs/>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.1 供应商之间不得相互串通报价，不得妨碍其他供应商的公平竞争，不得损害采购人或者其他供应商的合法权益。</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CN"/>
        </w:rPr>
        <w:t xml:space="preserve">.2 供应商不得以向代理机构工作人员、磋商小组成员行贿或者采取其他不正当手段谋取成交。</w:t>
      </w:r>
      <w:r>
        <w:rPr>
          <w:rFonts w:hint="eastAsia" w:ascii="宋体" w:hAnsi="宋体" w:eastAsia="宋体" w:cs="宋体"/>
          <w:color w:val="auto"/>
          <w:szCs w:val="21"/>
          <w:highlight w:val="none"/>
          <w:lang w:val="zh-CN"/>
        </w:rPr>
      </w:r>
      <w:r>
        <w:rPr>
          <w:color w:val="auto"/>
        </w:rPr>
      </w:r>
    </w:p>
    <w:p>
      <w:pPr>
        <w:pStyle w:val="899"/>
        <w:ind w:firstLine="422"/>
        <w:rPr>
          <w:rFonts w:hint="eastAsia" w:ascii="宋体" w:hAnsi="宋体" w:eastAsia="宋体" w:cs="宋体"/>
          <w:b/>
          <w:color w:val="auto"/>
          <w:highlight w:val="none"/>
        </w:rPr>
        <w:outlineLvl w:val="1"/>
      </w:pPr>
      <w:r>
        <w:rPr>
          <w:color w:val="auto"/>
        </w:rPr>
      </w:r>
      <w:bookmarkStart w:id="189" w:name="_Toc30653"/>
      <w:r>
        <w:rPr>
          <w:color w:val="auto"/>
        </w:rPr>
      </w:r>
      <w:bookmarkStart w:id="190" w:name="_Toc20577"/>
      <w:r>
        <w:rPr>
          <w:color w:val="auto"/>
        </w:rPr>
      </w:r>
      <w:bookmarkStart w:id="191" w:name="_Toc1232"/>
      <w:r>
        <w:rPr>
          <w:color w:val="auto"/>
        </w:rPr>
      </w:r>
      <w:bookmarkStart w:id="192" w:name="_Toc20962"/>
      <w:r>
        <w:rPr>
          <w:color w:val="auto"/>
        </w:rPr>
      </w:r>
      <w:bookmarkStart w:id="193" w:name="_Toc7905"/>
      <w:r>
        <w:rPr>
          <w:color w:val="auto"/>
        </w:rPr>
      </w:r>
      <w:bookmarkStart w:id="194" w:name="_Toc32634"/>
      <w:r>
        <w:rPr>
          <w:color w:val="auto"/>
        </w:rPr>
      </w:r>
      <w:bookmarkStart w:id="195" w:name="_Toc23666"/>
      <w:r>
        <w:rPr>
          <w:color w:val="auto"/>
        </w:rPr>
      </w:r>
      <w:bookmarkStart w:id="196" w:name="_Toc4568"/>
      <w:r>
        <w:rPr>
          <w:color w:val="auto"/>
        </w:rPr>
      </w:r>
      <w:bookmarkStart w:id="197" w:name="_Toc9488"/>
      <w:r>
        <w:rPr>
          <w:color w:val="auto"/>
        </w:rPr>
      </w:r>
      <w:bookmarkStart w:id="198" w:name="_Toc18192"/>
      <w:r>
        <w:rPr>
          <w:color w:val="auto"/>
        </w:rPr>
      </w:r>
      <w:bookmarkStart w:id="199" w:name="_Toc27195"/>
      <w:r>
        <w:rPr>
          <w:color w:val="auto"/>
        </w:rPr>
      </w:r>
      <w:bookmarkStart w:id="200" w:name="_Toc10251"/>
      <w:r>
        <w:rPr>
          <w:color w:val="auto"/>
        </w:rPr>
      </w:r>
      <w:bookmarkStart w:id="201" w:name="_Toc345336139"/>
      <w:r>
        <w:rPr>
          <w:color w:val="auto"/>
        </w:rPr>
      </w:r>
      <w:bookmarkStart w:id="202" w:name="_Toc17487"/>
      <w:r>
        <w:rPr>
          <w:color w:val="auto"/>
        </w:rPr>
      </w:r>
      <w:bookmarkStart w:id="203" w:name="_Toc23976"/>
      <w:r>
        <w:rPr>
          <w:color w:val="auto"/>
        </w:rPr>
      </w:r>
      <w:bookmarkStart w:id="204" w:name="_Toc19867"/>
      <w:r>
        <w:rPr>
          <w:color w:val="auto"/>
        </w:rPr>
      </w:r>
      <w:bookmarkStart w:id="205" w:name="_Toc4943"/>
      <w:r>
        <w:rPr>
          <w:color w:val="auto"/>
        </w:rPr>
      </w:r>
      <w:bookmarkStart w:id="206" w:name="_Toc16553"/>
      <w:r>
        <w:rPr>
          <w:color w:val="auto"/>
        </w:rPr>
      </w:r>
      <w:bookmarkStart w:id="207" w:name="_Toc11328"/>
      <w:r>
        <w:rPr>
          <w:color w:val="auto"/>
        </w:rPr>
      </w:r>
      <w:bookmarkStart w:id="208" w:name="_Toc815"/>
      <w:r>
        <w:rPr>
          <w:color w:val="auto"/>
        </w:rPr>
      </w:r>
      <w:bookmarkStart w:id="209" w:name="_Toc21664"/>
      <w:r>
        <w:rPr>
          <w:color w:val="auto"/>
        </w:rPr>
      </w:r>
      <w:bookmarkStart w:id="210" w:name="_Toc16693"/>
      <w:r>
        <w:rPr>
          <w:color w:val="auto"/>
        </w:rPr>
      </w:r>
      <w:bookmarkStart w:id="211" w:name="_Toc11097"/>
      <w:r>
        <w:rPr>
          <w:color w:val="auto"/>
        </w:rPr>
      </w:r>
      <w:bookmarkStart w:id="212" w:name="_Toc9275"/>
      <w:r>
        <w:rPr>
          <w:color w:val="auto"/>
        </w:rPr>
      </w:r>
      <w:bookmarkStart w:id="213" w:name="_Toc14137"/>
      <w:r>
        <w:rPr>
          <w:color w:val="auto"/>
        </w:rPr>
      </w:r>
      <w:bookmarkStart w:id="214" w:name="_Toc9375"/>
      <w:r>
        <w:rPr>
          <w:color w:val="auto"/>
        </w:rPr>
      </w:r>
      <w:bookmarkStart w:id="215" w:name="_Toc9281"/>
      <w:r>
        <w:rPr>
          <w:color w:val="auto"/>
        </w:rPr>
      </w:r>
      <w:bookmarkStart w:id="216" w:name="_Toc504141740"/>
      <w:r>
        <w:rPr>
          <w:color w:val="auto"/>
        </w:rPr>
      </w:r>
      <w:bookmarkStart w:id="217" w:name="_Toc25230"/>
      <w:r>
        <w:rPr>
          <w:color w:val="auto"/>
        </w:rPr>
      </w:r>
      <w:bookmarkStart w:id="218" w:name="_Toc3577"/>
      <w:r>
        <w:rPr>
          <w:color w:val="auto"/>
        </w:rPr>
      </w:r>
      <w:bookmarkStart w:id="219" w:name="_Toc322"/>
      <w:r>
        <w:rPr>
          <w:rFonts w:hint="eastAsia" w:ascii="宋体" w:hAnsi="宋体" w:eastAsia="宋体" w:cs="宋体"/>
          <w:b/>
          <w:color w:val="auto"/>
          <w:highlight w:val="none"/>
        </w:rPr>
        <w:t xml:space="preserve">四、磋商</w:t>
      </w:r>
      <w:bookmarkEnd w:id="189"/>
      <w:r>
        <w:rPr>
          <w:color w:val="auto"/>
        </w:rPr>
      </w:r>
      <w:bookmarkEnd w:id="190"/>
      <w:r>
        <w:rPr>
          <w:color w:val="auto"/>
        </w:rPr>
      </w:r>
      <w:bookmarkEnd w:id="191"/>
      <w:r>
        <w:rPr>
          <w:color w:val="auto"/>
        </w:rPr>
      </w:r>
      <w:bookmarkEnd w:id="192"/>
      <w:r>
        <w:rPr>
          <w:color w:val="auto"/>
        </w:rPr>
      </w:r>
      <w:bookmarkEnd w:id="193"/>
      <w:r>
        <w:rPr>
          <w:color w:val="auto"/>
        </w:rPr>
      </w:r>
      <w:bookmarkEnd w:id="194"/>
      <w:r>
        <w:rPr>
          <w:color w:val="auto"/>
        </w:rPr>
      </w:r>
      <w:bookmarkEnd w:id="195"/>
      <w:r>
        <w:rPr>
          <w:color w:val="auto"/>
        </w:rPr>
      </w:r>
      <w:bookmarkEnd w:id="196"/>
      <w:r>
        <w:rPr>
          <w:color w:val="auto"/>
        </w:rPr>
      </w:r>
      <w:bookmarkEnd w:id="197"/>
      <w:r>
        <w:rPr>
          <w:color w:val="auto"/>
        </w:rPr>
      </w:r>
      <w:bookmarkEnd w:id="198"/>
      <w:r>
        <w:rPr>
          <w:color w:val="auto"/>
        </w:rPr>
      </w:r>
      <w:bookmarkEnd w:id="199"/>
      <w:r>
        <w:rPr>
          <w:color w:val="auto"/>
        </w:rPr>
      </w:r>
      <w:bookmarkEnd w:id="200"/>
      <w:r>
        <w:rPr>
          <w:color w:val="auto"/>
        </w:rPr>
      </w:r>
      <w:bookmarkEnd w:id="201"/>
      <w:r>
        <w:rPr>
          <w:color w:val="auto"/>
        </w:rPr>
      </w:r>
      <w:bookmarkEnd w:id="202"/>
      <w:r>
        <w:rPr>
          <w:color w:val="auto"/>
        </w:rPr>
      </w:r>
      <w:bookmarkEnd w:id="203"/>
      <w:r>
        <w:rPr>
          <w:color w:val="auto"/>
        </w:rPr>
      </w:r>
      <w:bookmarkEnd w:id="204"/>
      <w:r>
        <w:rPr>
          <w:color w:val="auto"/>
        </w:rPr>
      </w:r>
      <w:bookmarkEnd w:id="205"/>
      <w:r>
        <w:rPr>
          <w:color w:val="auto"/>
        </w:rPr>
      </w:r>
      <w:bookmarkEnd w:id="206"/>
      <w:r>
        <w:rPr>
          <w:color w:val="auto"/>
        </w:rPr>
      </w:r>
      <w:bookmarkEnd w:id="207"/>
      <w:r>
        <w:rPr>
          <w:color w:val="auto"/>
        </w:rPr>
      </w:r>
      <w:bookmarkEnd w:id="208"/>
      <w:r>
        <w:rPr>
          <w:color w:val="auto"/>
        </w:rPr>
      </w:r>
      <w:bookmarkEnd w:id="209"/>
      <w:r>
        <w:rPr>
          <w:color w:val="auto"/>
        </w:rPr>
      </w:r>
      <w:bookmarkEnd w:id="210"/>
      <w:r>
        <w:rPr>
          <w:color w:val="auto"/>
        </w:rPr>
      </w:r>
      <w:bookmarkEnd w:id="211"/>
      <w:r>
        <w:rPr>
          <w:color w:val="auto"/>
        </w:rPr>
      </w:r>
      <w:bookmarkEnd w:id="212"/>
      <w:r>
        <w:rPr>
          <w:color w:val="auto"/>
        </w:rPr>
      </w:r>
      <w:bookmarkEnd w:id="213"/>
      <w:r>
        <w:rPr>
          <w:color w:val="auto"/>
        </w:rPr>
      </w:r>
      <w:bookmarkEnd w:id="214"/>
      <w:r>
        <w:rPr>
          <w:color w:val="auto"/>
        </w:rPr>
      </w:r>
      <w:bookmarkEnd w:id="215"/>
      <w:r>
        <w:rPr>
          <w:color w:val="auto"/>
        </w:rPr>
      </w:r>
      <w:bookmarkEnd w:id="216"/>
      <w:r>
        <w:rPr>
          <w:color w:val="auto"/>
        </w:rPr>
      </w:r>
      <w:bookmarkEnd w:id="217"/>
      <w:r>
        <w:rPr>
          <w:color w:val="auto"/>
        </w:rPr>
      </w:r>
      <w:bookmarkEnd w:id="218"/>
      <w:r>
        <w:rPr>
          <w:color w:val="auto"/>
        </w:rPr>
      </w:r>
      <w:bookmarkEnd w:id="219"/>
      <w:r>
        <w:rPr>
          <w:rFonts w:hint="eastAsia" w:ascii="宋体" w:hAnsi="宋体" w:eastAsia="宋体" w:cs="宋体"/>
          <w:b/>
          <w:color w:val="auto"/>
          <w:highlight w:val="none"/>
        </w:rPr>
      </w:r>
      <w:r>
        <w:rPr>
          <w:color w:val="auto"/>
        </w:rPr>
      </w:r>
    </w:p>
    <w:p>
      <w:pPr>
        <w:pStyle w:val="899"/>
        <w:ind w:firstLine="420"/>
        <w:rPr>
          <w:rFonts w:hint="eastAsia" w:ascii="宋体" w:hAnsi="宋体" w:eastAsia="宋体" w:cs="宋体"/>
          <w:b/>
          <w:bCs/>
          <w:color w:val="auto"/>
          <w:szCs w:val="21"/>
          <w:highlight w:val="none"/>
        </w:rPr>
      </w:pPr>
      <w:r>
        <w:rPr>
          <w:color w:val="auto"/>
        </w:rPr>
      </w:r>
      <w:bookmarkStart w:id="220" w:name="_Toc345336140"/>
      <w:r>
        <w:rPr>
          <w:rFonts w:hint="eastAsia" w:ascii="宋体" w:hAnsi="宋体" w:eastAsia="宋体" w:cs="宋体"/>
          <w:b/>
          <w:bCs/>
          <w:color w:val="auto"/>
          <w:szCs w:val="21"/>
          <w:highlight w:val="none"/>
          <w:lang w:val="zh-CN"/>
        </w:rPr>
        <w:t xml:space="preserve">1</w:t>
      </w:r>
      <w:r>
        <w:rPr>
          <w:rFonts w:hint="eastAsia" w:ascii="宋体" w:hAnsi="宋体" w:eastAsia="宋体" w:cs="宋体"/>
          <w:b/>
          <w:bCs/>
          <w:color w:val="auto"/>
          <w:szCs w:val="21"/>
          <w:highlight w:val="none"/>
        </w:rPr>
        <w:t xml:space="preserve">8</w:t>
      </w:r>
      <w:r>
        <w:rPr>
          <w:rFonts w:hint="eastAsia" w:ascii="宋体" w:hAnsi="宋体" w:eastAsia="宋体" w:cs="宋体"/>
          <w:b/>
          <w:bCs/>
          <w:color w:val="auto"/>
          <w:szCs w:val="21"/>
          <w:highlight w:val="none"/>
          <w:lang w:val="zh-CN"/>
        </w:rPr>
        <w:t xml:space="preserve">、磋商组织</w:t>
      </w:r>
      <w:r>
        <w:rPr>
          <w:rFonts w:hint="eastAsia" w:ascii="宋体" w:hAnsi="宋体" w:eastAsia="宋体" w:cs="宋体"/>
          <w:b/>
          <w:bCs/>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.1 在递交</w:t>
      </w:r>
      <w:r>
        <w:rPr>
          <w:rFonts w:hint="eastAsia" w:ascii="宋体" w:hAnsi="宋体" w:eastAsia="宋体" w:cs="宋体"/>
          <w:color w:val="auto"/>
          <w:szCs w:val="21"/>
          <w:highlight w:val="none"/>
          <w:lang w:val="en-US" w:eastAsia="zh-CN"/>
        </w:rPr>
        <w:t xml:space="preserve">电子</w:t>
      </w:r>
      <w:r>
        <w:rPr>
          <w:rFonts w:hint="eastAsia" w:ascii="宋体" w:hAnsi="宋体" w:eastAsia="宋体" w:cs="宋体"/>
          <w:color w:val="auto"/>
          <w:szCs w:val="21"/>
          <w:highlight w:val="none"/>
          <w:lang w:val="zh-CN"/>
        </w:rPr>
        <w:t xml:space="preserve">磋商响应文件时间截止后，代理机构在规定的时间和地点组织磋商小组分别与供应商进行磋商。</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zh-CN"/>
        </w:rPr>
        <w:t xml:space="preserve">.2 磋商工作由代理机构负责组织，具体磋商事务由依法组建的磋商小组负责。</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w:t>
      </w:r>
      <w:r>
        <w:rPr>
          <w:rFonts w:hint="eastAsia" w:ascii="宋体" w:hAnsi="宋体" w:eastAsia="宋体" w:cs="宋体"/>
          <w:b/>
          <w:color w:val="auto"/>
          <w:szCs w:val="21"/>
          <w:highlight w:val="none"/>
          <w:lang w:val="zh-CN"/>
        </w:rPr>
        <w:t xml:space="preserve">、磋商程序</w:t>
      </w:r>
      <w:r>
        <w:rPr>
          <w:rFonts w:hint="eastAsia" w:ascii="宋体" w:hAnsi="宋体" w:eastAsia="宋体" w:cs="宋体"/>
          <w:b/>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.1 依据法律法规和磋商文件的规定，磋商小组对响应文件中的资格证明文件进行审查，以确定供应商是否具备参加磋商的资格。凡不具备资格条件的供应商不得进入磋商程序。</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.2 磋商小组所有成员集中与所有通过资格条件审查、符合性审查通过的供应商就竞争性磋商采购项目的商务和价格进行磋商，磋商的轮次由磋商小组决定。</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19.3</w:t>
      </w:r>
      <w:r>
        <w:rPr>
          <w:rFonts w:hint="eastAsia" w:ascii="宋体" w:hAnsi="宋体" w:eastAsia="宋体" w:cs="宋体"/>
          <w:color w:val="auto"/>
          <w:szCs w:val="21"/>
          <w:highlight w:val="none"/>
          <w:lang w:val="zh-CN"/>
        </w:rPr>
        <w:t xml:space="preserve">供应商提供最终报价的方式：所有供应商</w:t>
      </w:r>
      <w:r>
        <w:rPr>
          <w:rFonts w:hint="eastAsia" w:ascii="宋体" w:hAnsi="宋体" w:eastAsia="宋体" w:cs="宋体"/>
          <w:color w:val="auto"/>
          <w:szCs w:val="21"/>
          <w:highlight w:val="none"/>
          <w:lang w:val="zh-CN" w:eastAsia="zh-CN"/>
        </w:rPr>
        <w:t xml:space="preserve">在</w:t>
      </w:r>
      <w:r>
        <w:rPr>
          <w:rFonts w:hint="eastAsia" w:ascii="宋体" w:hAnsi="宋体" w:eastAsia="宋体" w:cs="宋体"/>
          <w:color w:val="auto"/>
          <w:szCs w:val="21"/>
          <w:highlight w:val="none"/>
          <w:lang w:val="zh-CN"/>
        </w:rPr>
        <w:t xml:space="preserve">苏采云系统规定的时间内填写完最终报价表后</w:t>
      </w:r>
      <w:r>
        <w:rPr>
          <w:rFonts w:hint="eastAsia" w:ascii="宋体" w:hAnsi="宋体" w:eastAsia="宋体" w:cs="宋体"/>
          <w:color w:val="auto"/>
          <w:szCs w:val="21"/>
          <w:highlight w:val="none"/>
          <w:lang w:val="zh-CN" w:eastAsia="zh-CN"/>
        </w:rPr>
        <w:t xml:space="preserve">签章并提交。</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 磋商小组制定一个符合采购人要求的最优方案，或直接根据响应性文件要求所有供应商在规定时间内作最后报价。</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19.5 供应商最终总报价在响应产品数量没有增加，配置、服务没有重大提高的情况下，一般不允许高于第一次报价（即采购响应文件配置与分项报价表中的报价）。否则，磋商小组有权拒绝该报价并不再给予报价补救机会。</w:t>
      </w:r>
      <w:r>
        <w:rPr>
          <w:rFonts w:hint="eastAsia" w:ascii="宋体" w:hAnsi="宋体" w:eastAsia="宋体" w:cs="宋体"/>
          <w:color w:val="auto"/>
          <w:szCs w:val="21"/>
          <w:highlight w:val="none"/>
        </w:rPr>
      </w:r>
      <w:r>
        <w:rPr>
          <w:color w:val="auto"/>
        </w:rPr>
      </w:r>
    </w:p>
    <w:p>
      <w:pPr>
        <w:pStyle w:val="899"/>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6</w:t>
      </w:r>
      <w:r>
        <w:rPr>
          <w:rFonts w:hint="eastAsia" w:ascii="宋体" w:hAnsi="宋体" w:eastAsia="宋体" w:cs="宋体"/>
          <w:b/>
          <w:bCs/>
          <w:color w:val="auto"/>
          <w:szCs w:val="21"/>
          <w:highlight w:val="none"/>
          <w:lang w:val="zh-CN"/>
        </w:rPr>
        <w:t xml:space="preserve"> 出现下列情形之一的磋商响应文件按照无效处理：</w:t>
      </w:r>
      <w:r>
        <w:rPr>
          <w:rFonts w:hint="eastAsia" w:ascii="宋体" w:hAnsi="宋体" w:eastAsia="宋体" w:cs="宋体"/>
          <w:b/>
          <w:bCs/>
          <w:color w:val="auto"/>
          <w:szCs w:val="21"/>
          <w:highlight w:val="none"/>
        </w:rPr>
      </w:r>
      <w:r>
        <w:rPr>
          <w:color w:val="auto"/>
        </w:rPr>
      </w:r>
    </w:p>
    <w:p>
      <w:pPr>
        <w:pStyle w:val="899"/>
        <w:ind w:firstLine="420"/>
        <w:rPr>
          <w:rFonts w:hint="eastAsia" w:ascii="宋体" w:hAnsi="宋体" w:eastAsia="宋体" w:cs="宋体"/>
          <w:bCs/>
          <w:color w:val="auto"/>
          <w:szCs w:val="21"/>
          <w:highlight w:val="none"/>
        </w:rPr>
      </w:pPr>
      <w:r>
        <w:rPr>
          <w:color w:val="auto"/>
        </w:rPr>
      </w:r>
      <w:bookmarkStart w:id="221" w:name="_Toc450643042"/>
      <w:r>
        <w:rPr>
          <w:rFonts w:hint="eastAsia" w:ascii="宋体" w:hAnsi="宋体" w:eastAsia="宋体" w:cs="宋体"/>
          <w:bCs/>
          <w:color w:val="auto"/>
          <w:szCs w:val="21"/>
          <w:highlight w:val="none"/>
          <w:lang w:val="en-US" w:eastAsia="zh-CN"/>
        </w:rPr>
        <w:t xml:space="preserve">19.6.1</w:t>
      </w:r>
      <w:r>
        <w:rPr>
          <w:rFonts w:hint="eastAsia" w:ascii="宋体" w:hAnsi="宋体" w:eastAsia="宋体" w:cs="宋体"/>
          <w:bCs/>
          <w:color w:val="auto"/>
          <w:szCs w:val="21"/>
          <w:highlight w:val="none"/>
          <w:lang w:val="zh-CN"/>
        </w:rPr>
        <w:t xml:space="preserve">如果响应文件实质上没有响应竞争性磋商文件的要求，磋商小组将予以拒绝，供应商不得通过修改或撤销不合要求的偏离或保留而使其投标成为实质性响应的投标。</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（1）供应商在苏采云系统规定的时间内未成功解密电子响应文件；</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color w:val="auto"/>
        </w:rPr>
      </w:r>
      <w:bookmarkStart w:id="222" w:name="OLE_LINK9"/>
      <w:r>
        <w:rPr>
          <w:rFonts w:hint="eastAsia" w:ascii="宋体" w:hAnsi="宋体" w:eastAsia="宋体" w:cs="宋体"/>
          <w:bCs/>
          <w:color w:val="auto"/>
          <w:szCs w:val="21"/>
          <w:highlight w:val="none"/>
          <w:lang w:val="zh-CN"/>
        </w:rPr>
        <w:t xml:space="preserve">（2）</w:t>
      </w:r>
      <w:bookmarkEnd w:id="222"/>
      <w:r>
        <w:rPr>
          <w:rFonts w:hint="eastAsia" w:ascii="宋体" w:hAnsi="宋体" w:eastAsia="宋体" w:cs="宋体"/>
          <w:bCs/>
          <w:color w:val="auto"/>
          <w:szCs w:val="21"/>
          <w:highlight w:val="none"/>
          <w:lang w:val="zh-CN"/>
        </w:rPr>
        <w:t xml:space="preserve">供应商未按照磋商文件要求上传电子响应文件；</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（3）</w:t>
      </w:r>
      <w:r>
        <w:rPr>
          <w:rFonts w:hint="eastAsia" w:ascii="宋体" w:hAnsi="宋体" w:eastAsia="宋体" w:cs="宋体"/>
          <w:bCs/>
          <w:color w:val="auto"/>
          <w:szCs w:val="21"/>
          <w:highlight w:val="none"/>
          <w:lang w:val="zh-CN" w:eastAsia="zh-CN"/>
        </w:rPr>
        <w:t xml:space="preserve">电子</w:t>
      </w:r>
      <w:r>
        <w:rPr>
          <w:rFonts w:hint="eastAsia" w:ascii="宋体" w:hAnsi="宋体" w:eastAsia="宋体" w:cs="宋体"/>
          <w:bCs/>
          <w:color w:val="auto"/>
          <w:szCs w:val="21"/>
          <w:highlight w:val="none"/>
          <w:lang w:val="zh-CN"/>
        </w:rPr>
        <w:t xml:space="preserve">响应文件未按竞争性磋商文件要求签署、盖章</w:t>
      </w:r>
      <w:r>
        <w:rPr>
          <w:rFonts w:hint="eastAsia" w:ascii="宋体" w:hAnsi="宋体" w:eastAsia="宋体" w:cs="宋体"/>
          <w:bCs/>
          <w:color w:val="auto"/>
          <w:szCs w:val="21"/>
          <w:highlight w:val="none"/>
          <w:lang w:val="zh-CN" w:eastAsia="zh-CN"/>
        </w:rPr>
        <w:t xml:space="preserve">或加盖电子公章</w:t>
      </w:r>
      <w:r>
        <w:rPr>
          <w:rFonts w:hint="eastAsia" w:ascii="宋体" w:hAnsi="宋体" w:eastAsia="宋体" w:cs="宋体"/>
          <w:bCs/>
          <w:color w:val="auto"/>
          <w:szCs w:val="21"/>
          <w:highlight w:val="none"/>
          <w:lang w:val="zh-CN"/>
        </w:rPr>
        <w:t xml:space="preserve">的；</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（4）同一供应商提交两个（含两个）以上不同的响应文件或者最后报价</w:t>
      </w:r>
      <w:r>
        <w:rPr>
          <w:rFonts w:hint="eastAsia" w:ascii="宋体" w:hAnsi="宋体" w:eastAsia="宋体" w:cs="宋体"/>
          <w:bCs/>
          <w:color w:val="auto"/>
          <w:szCs w:val="21"/>
          <w:highlight w:val="none"/>
          <w:lang w:val="zh-CN" w:eastAsia="zh-CN"/>
        </w:rPr>
        <w:t xml:space="preserve">；</w:t>
      </w:r>
      <w:r>
        <w:rPr>
          <w:rFonts w:hint="eastAsia" w:ascii="宋体" w:hAnsi="宋体" w:eastAsia="宋体" w:cs="宋体"/>
          <w:bCs/>
          <w:color w:val="auto"/>
          <w:szCs w:val="21"/>
          <w:highlight w:val="none"/>
          <w:lang w:val="zh-CN" w:eastAsia="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（5）不具备竞争性磋商文件中规定资格要求的；</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（6）投标总价超出采购项目预算或者最高限价的；</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eastAsia="zh-CN"/>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val="zh-CN" w:eastAsia="zh-CN"/>
        </w:rPr>
        <w:t xml:space="preserve">）</w:t>
      </w:r>
      <w:r>
        <w:rPr>
          <w:rFonts w:hint="eastAsia" w:ascii="宋体" w:hAnsi="宋体" w:eastAsia="宋体" w:cs="宋体"/>
          <w:bCs/>
          <w:color w:val="auto"/>
          <w:szCs w:val="21"/>
          <w:highlight w:val="none"/>
          <w:lang w:val="zh-CN"/>
        </w:rPr>
        <w:t xml:space="preserve">未</w:t>
      </w:r>
      <w:r>
        <w:rPr>
          <w:rFonts w:hint="eastAsia" w:ascii="宋体" w:hAnsi="宋体" w:eastAsia="宋体" w:cs="宋体"/>
          <w:bCs/>
          <w:color w:val="auto"/>
          <w:szCs w:val="21"/>
          <w:highlight w:val="none"/>
          <w:lang w:val="zh-CN" w:eastAsia="zh-CN"/>
        </w:rPr>
        <w:t xml:space="preserve">按要求</w:t>
      </w:r>
      <w:r>
        <w:rPr>
          <w:rFonts w:hint="eastAsia" w:ascii="宋体" w:hAnsi="宋体" w:eastAsia="宋体" w:cs="宋体"/>
          <w:bCs/>
          <w:color w:val="auto"/>
          <w:szCs w:val="21"/>
          <w:highlight w:val="none"/>
          <w:lang w:val="zh-CN"/>
        </w:rPr>
        <w:t xml:space="preserve">提供《南京市政府采购供应商信用记录表暨信用承诺书》。</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lang w:val="zh-CN" w:eastAsia="zh-CN"/>
        </w:rPr>
        <w:t xml:space="preserve">根据</w:t>
      </w:r>
      <w:r>
        <w:rPr>
          <w:rFonts w:hint="eastAsia" w:ascii="宋体" w:hAnsi="宋体" w:eastAsia="宋体" w:cs="宋体"/>
          <w:bCs/>
          <w:color w:val="auto"/>
          <w:szCs w:val="21"/>
          <w:highlight w:val="none"/>
          <w:lang w:val="zh-CN"/>
        </w:rPr>
        <w:t xml:space="preserve">财库〔2026〕2号</w:t>
      </w:r>
      <w:r>
        <w:rPr>
          <w:rFonts w:hint="eastAsia" w:ascii="宋体" w:hAnsi="宋体" w:eastAsia="宋体" w:cs="宋体"/>
          <w:bCs/>
          <w:color w:val="auto"/>
          <w:szCs w:val="21"/>
          <w:highlight w:val="none"/>
          <w:lang w:val="zh-CN" w:eastAsia="zh-CN"/>
        </w:rPr>
        <w:t xml:space="preserve">文件要求，</w:t>
      </w:r>
      <w:r>
        <w:rPr>
          <w:rFonts w:hint="eastAsia" w:ascii="宋体" w:hAnsi="宋体" w:eastAsia="宋体" w:cs="宋体"/>
          <w:bCs/>
          <w:color w:val="auto"/>
          <w:szCs w:val="21"/>
          <w:highlight w:val="none"/>
          <w:lang w:val="zh-CN"/>
        </w:rPr>
        <w:t xml:space="preserve">出现下列情形之一的，评审委员会应当启动异常低价投标（响应）审查程序： </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3）投标（响应）报价低于采购项目最高限价45%的，即投标（响应）报价&lt;采购项目最高限价×45%； </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4）评审委员会基于专业判断，认为供应商报价过低，有可能影响产品质量或者不能诚信履约的其他情形。 </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lang w:val="zh-CN"/>
        </w:rPr>
        <w:t xml:space="preserve">）响应文件含有采购人不能接受的附加条件的；</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lang w:val="zh-CN"/>
        </w:rPr>
        <w:t xml:space="preserve">）不符合法律、法规和竞争性磋商文件规定的其他实质性要求的。</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19.6.2</w:t>
      </w:r>
      <w:r>
        <w:rPr>
          <w:rFonts w:hint="eastAsia" w:ascii="宋体" w:hAnsi="宋体" w:eastAsia="宋体" w:cs="宋体"/>
          <w:b w:val="0"/>
          <w:bCs/>
          <w:color w:val="auto"/>
          <w:szCs w:val="21"/>
          <w:highlight w:val="none"/>
          <w:lang w:val="zh-CN"/>
        </w:rPr>
        <w:t xml:space="preserve">有下列情形之一的，视为供应商串通投标，其投标无效：</w:t>
      </w:r>
      <w:r>
        <w:rPr>
          <w:rFonts w:hint="eastAsia" w:ascii="宋体" w:hAnsi="宋体" w:eastAsia="宋体" w:cs="宋体"/>
          <w:b w:val="0"/>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（1）不同供应商的投标文件由同一单位或者个人编制；</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（2）不同供应商委托同一单位或者个人办理投标事宜；</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（3）不同供应商的投标文件载明的项目管理成员或者联系人员为同一人；</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（4）不同供应商的投标文件异常一致或者投标报价呈规律性差异；</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（5）不同供应商的MAC地址、标书制作工具客户端标识码一致的；</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19</w:t>
      </w:r>
      <w:r>
        <w:rPr>
          <w:rFonts w:hint="eastAsia" w:ascii="宋体" w:hAnsi="宋体" w:eastAsia="宋体" w:cs="宋体"/>
          <w:b/>
          <w:color w:val="auto"/>
          <w:szCs w:val="21"/>
          <w:highlight w:val="none"/>
          <w:lang w:val="zh-CN"/>
        </w:rPr>
        <w:t xml:space="preserve">.</w:t>
      </w:r>
      <w:r>
        <w:rPr>
          <w:rFonts w:hint="eastAsia" w:ascii="宋体" w:hAnsi="宋体" w:eastAsia="宋体" w:cs="宋体"/>
          <w:b/>
          <w:color w:val="auto"/>
          <w:szCs w:val="21"/>
          <w:highlight w:val="none"/>
        </w:rPr>
        <w:t xml:space="preserve">7</w:t>
      </w:r>
      <w:r>
        <w:rPr>
          <w:rFonts w:hint="eastAsia" w:ascii="宋体" w:hAnsi="宋体" w:eastAsia="宋体" w:cs="宋体"/>
          <w:b/>
          <w:color w:val="auto"/>
          <w:szCs w:val="21"/>
          <w:highlight w:val="none"/>
          <w:lang w:val="zh-CN"/>
        </w:rPr>
        <w:t xml:space="preserve"> </w:t>
      </w:r>
      <w:r>
        <w:rPr>
          <w:rFonts w:hint="eastAsia" w:ascii="宋体" w:hAnsi="宋体" w:eastAsia="宋体" w:cs="宋体"/>
          <w:b/>
          <w:bCs/>
          <w:color w:val="auto"/>
          <w:szCs w:val="21"/>
          <w:highlight w:val="none"/>
        </w:rPr>
        <w:t xml:space="preserve">出现下列情形之一的磋商终止，无成交供应商：</w:t>
      </w:r>
      <w:bookmarkEnd w:id="221"/>
      <w:r>
        <w:rPr>
          <w:rFonts w:hint="eastAsia" w:ascii="宋体" w:hAnsi="宋体" w:eastAsia="宋体" w:cs="宋体"/>
          <w:b/>
          <w:bCs/>
          <w:color w:val="auto"/>
          <w:szCs w:val="21"/>
          <w:highlight w:val="none"/>
        </w:rPr>
      </w:r>
      <w:r>
        <w:rPr>
          <w:color w:val="auto"/>
        </w:rPr>
      </w:r>
    </w:p>
    <w:p>
      <w:pPr>
        <w:pStyle w:val="899"/>
        <w:ind w:firstLine="420"/>
        <w:rPr>
          <w:rFonts w:hint="eastAsia" w:ascii="宋体" w:hAnsi="宋体" w:eastAsia="宋体" w:cs="宋体"/>
          <w:b/>
          <w:bCs/>
          <w:color w:val="auto"/>
          <w:szCs w:val="21"/>
          <w:highlight w:val="none"/>
        </w:rPr>
      </w:pPr>
      <w:r>
        <w:rPr>
          <w:color w:val="auto"/>
        </w:rPr>
      </w:r>
      <w:bookmarkStart w:id="223" w:name="_Toc450643043"/>
      <w:r>
        <w:rPr>
          <w:rFonts w:hint="eastAsia" w:ascii="宋体" w:hAnsi="宋体" w:eastAsia="宋体" w:cs="宋体"/>
          <w:bCs/>
          <w:color w:val="auto"/>
          <w:szCs w:val="21"/>
          <w:highlight w:val="none"/>
          <w:lang w:val="zh-CN"/>
        </w:rPr>
        <w:t xml:space="preserve">（1）所有供应商的磋商响应文件被磋商小组认定为无效的；</w:t>
      </w:r>
      <w:bookmarkEnd w:id="223"/>
      <w:r>
        <w:rPr>
          <w:rFonts w:hint="eastAsia" w:ascii="宋体" w:hAnsi="宋体" w:eastAsia="宋体" w:cs="宋体"/>
          <w:b/>
          <w:bCs/>
          <w:color w:val="auto"/>
          <w:szCs w:val="21"/>
          <w:highlight w:val="none"/>
          <w:lang w:val="zh-CN"/>
        </w:rPr>
      </w:r>
      <w:r>
        <w:rPr>
          <w:color w:val="auto"/>
        </w:rPr>
      </w:r>
    </w:p>
    <w:p>
      <w:pPr>
        <w:pStyle w:val="899"/>
        <w:ind w:firstLine="420"/>
        <w:rPr>
          <w:rFonts w:hint="eastAsia" w:ascii="宋体" w:hAnsi="宋体" w:eastAsia="宋体" w:cs="宋体"/>
          <w:b/>
          <w:bCs/>
          <w:color w:val="auto"/>
          <w:szCs w:val="21"/>
          <w:highlight w:val="none"/>
        </w:rPr>
      </w:pPr>
      <w:r>
        <w:rPr>
          <w:color w:val="auto"/>
        </w:rPr>
      </w:r>
      <w:bookmarkStart w:id="224" w:name="_Toc450643044"/>
      <w:r>
        <w:rPr>
          <w:rFonts w:hint="eastAsia" w:ascii="宋体" w:hAnsi="宋体" w:eastAsia="宋体" w:cs="宋体"/>
          <w:bCs/>
          <w:color w:val="auto"/>
          <w:szCs w:val="21"/>
          <w:highlight w:val="none"/>
          <w:lang w:val="zh-CN"/>
        </w:rPr>
        <w:t xml:space="preserve">（2）</w:t>
      </w:r>
      <w:r>
        <w:rPr>
          <w:rFonts w:hint="eastAsia" w:ascii="宋体" w:hAnsi="宋体" w:eastAsia="宋体" w:cs="宋体"/>
          <w:color w:val="auto"/>
          <w:szCs w:val="21"/>
          <w:highlight w:val="none"/>
          <w:lang w:val="zh-CN"/>
        </w:rPr>
        <w:t xml:space="preserve">出现影响采购公正的违法、违规行为的；</w:t>
      </w:r>
      <w:bookmarkEnd w:id="224"/>
      <w:r>
        <w:rPr>
          <w:rFonts w:hint="eastAsia" w:ascii="宋体" w:hAnsi="宋体" w:eastAsia="宋体" w:cs="宋体"/>
          <w:b/>
          <w:bCs/>
          <w:color w:val="auto"/>
          <w:szCs w:val="21"/>
          <w:highlight w:val="none"/>
          <w:lang w:val="zh-CN"/>
        </w:rPr>
      </w:r>
      <w:r>
        <w:rPr>
          <w:color w:val="auto"/>
        </w:rPr>
      </w:r>
    </w:p>
    <w:p>
      <w:pPr>
        <w:pStyle w:val="899"/>
        <w:ind w:firstLine="420"/>
        <w:rPr>
          <w:rFonts w:hint="eastAsia" w:ascii="宋体" w:hAnsi="宋体" w:eastAsia="宋体" w:cs="宋体"/>
          <w:bCs/>
          <w:color w:val="auto"/>
          <w:szCs w:val="21"/>
          <w:highlight w:val="none"/>
        </w:rPr>
      </w:pPr>
      <w:r>
        <w:rPr>
          <w:color w:val="auto"/>
        </w:rPr>
      </w:r>
      <w:bookmarkStart w:id="225" w:name="_Toc450643045"/>
      <w:r>
        <w:rPr>
          <w:rFonts w:hint="eastAsia" w:ascii="宋体" w:hAnsi="宋体" w:eastAsia="宋体" w:cs="宋体"/>
          <w:bCs/>
          <w:color w:val="auto"/>
          <w:szCs w:val="21"/>
          <w:highlight w:val="none"/>
          <w:lang w:val="zh-CN"/>
        </w:rPr>
        <w:t xml:space="preserve">（3）供应商的最终报价超过采购预算，且采购人不能支付的；</w:t>
      </w:r>
      <w:bookmarkEnd w:id="225"/>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（4）因重大变故，采购任务取消的；</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（5）采购人需求发生重大变化暂时不能确定或供应商提供的服务不能满足需求等。</w:t>
      </w:r>
      <w:r>
        <w:rPr>
          <w:rFonts w:hint="eastAsia" w:ascii="宋体" w:hAnsi="宋体" w:eastAsia="宋体" w:cs="宋体"/>
          <w:b/>
          <w:bCs/>
          <w:color w:val="auto"/>
          <w:szCs w:val="21"/>
          <w:highlight w:val="none"/>
          <w:lang w:val="zh-CN"/>
        </w:rPr>
      </w:r>
      <w:r>
        <w:rPr>
          <w:color w:val="auto"/>
        </w:rPr>
      </w:r>
    </w:p>
    <w:p>
      <w:pPr>
        <w:pStyle w:val="899"/>
        <w:ind w:firstLine="42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20</w:t>
      </w:r>
      <w:r>
        <w:rPr>
          <w:rFonts w:hint="eastAsia" w:ascii="宋体" w:hAnsi="宋体" w:eastAsia="宋体" w:cs="宋体"/>
          <w:b/>
          <w:color w:val="auto"/>
          <w:szCs w:val="21"/>
          <w:highlight w:val="none"/>
          <w:lang w:val="zh-CN"/>
        </w:rPr>
        <w:t xml:space="preserve">、</w:t>
      </w:r>
      <w:r>
        <w:rPr>
          <w:rFonts w:hint="eastAsia" w:ascii="宋体" w:hAnsi="宋体" w:eastAsia="宋体" w:cs="宋体"/>
          <w:b/>
          <w:bCs/>
          <w:color w:val="auto"/>
          <w:szCs w:val="21"/>
          <w:highlight w:val="none"/>
          <w:lang w:val="zh-CN"/>
        </w:rPr>
        <w:t xml:space="preserve">评分方法和标准。</w:t>
      </w:r>
      <w:r>
        <w:rPr>
          <w:rFonts w:hint="eastAsia" w:ascii="宋体" w:hAnsi="宋体" w:eastAsia="宋体" w:cs="宋体"/>
          <w:b/>
          <w:color w:val="auto"/>
          <w:szCs w:val="21"/>
          <w:highlight w:val="none"/>
          <w:lang w:val="zh-CN"/>
        </w:rPr>
      </w:r>
      <w:r>
        <w:rPr>
          <w:color w:val="auto"/>
        </w:rPr>
      </w:r>
    </w:p>
    <w:p>
      <w:pPr>
        <w:pStyle w:val="899"/>
        <w:ind w:firstLine="420"/>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2</w:t>
      </w:r>
      <w:r>
        <w:rPr>
          <w:rFonts w:hint="eastAsia" w:ascii="宋体" w:hAnsi="宋体" w:eastAsia="宋体" w:cs="宋体"/>
          <w:bCs/>
          <w:color w:val="auto"/>
          <w:szCs w:val="21"/>
          <w:highlight w:val="none"/>
        </w:rPr>
        <w:t xml:space="preserve">0</w:t>
      </w:r>
      <w:r>
        <w:rPr>
          <w:rFonts w:hint="eastAsia" w:ascii="宋体" w:hAnsi="宋体" w:eastAsia="宋体" w:cs="宋体"/>
          <w:bCs/>
          <w:color w:val="auto"/>
          <w:szCs w:val="21"/>
          <w:highlight w:val="none"/>
          <w:lang w:val="zh-CN"/>
        </w:rPr>
        <w:t xml:space="preserve">.1 </w:t>
      </w:r>
      <w:r>
        <w:rPr>
          <w:rFonts w:hint="eastAsia" w:ascii="宋体" w:hAnsi="宋体" w:eastAsia="宋体" w:cs="宋体"/>
          <w:color w:val="auto"/>
          <w:szCs w:val="21"/>
          <w:highlight w:val="none"/>
          <w:lang w:val="zh-CN"/>
        </w:rPr>
        <w:t xml:space="preserve">采用综合评分法。即</w:t>
      </w:r>
      <w:r>
        <w:rPr>
          <w:rFonts w:hint="eastAsia" w:ascii="宋体" w:hAnsi="宋体" w:eastAsia="宋体" w:cs="宋体"/>
          <w:color w:val="auto"/>
          <w:szCs w:val="21"/>
          <w:highlight w:val="none"/>
        </w:rPr>
        <w:t xml:space="preserve">在满足磋商文件实质性要求前提下，按照磋商文件中规定的各项因素进行综合评审后，以评审总得分最高的供应商作为成交候选供应商或者成交供应商的评分方法。</w:t>
      </w:r>
      <w:r>
        <w:rPr>
          <w:rFonts w:hint="eastAsia" w:ascii="宋体" w:hAnsi="宋体" w:eastAsia="宋体" w:cs="宋体"/>
          <w:bCs/>
          <w:color w:val="auto"/>
          <w:szCs w:val="21"/>
          <w:highlight w:val="none"/>
          <w:lang w:val="zh-CN"/>
        </w:rPr>
      </w:r>
      <w:r>
        <w:rPr>
          <w:color w:val="auto"/>
        </w:rPr>
      </w:r>
    </w:p>
    <w:p>
      <w:pPr>
        <w:pStyle w:val="899"/>
        <w:ind w:firstLine="420"/>
        <w:rPr>
          <w:rFonts w:hint="eastAsia" w:ascii="宋体" w:hAnsi="宋体" w:eastAsia="宋体" w:cs="宋体"/>
          <w:b/>
          <w:color w:val="auto"/>
          <w:szCs w:val="21"/>
          <w:highlight w:val="none"/>
        </w:rPr>
      </w:pPr>
      <w:r>
        <w:rPr>
          <w:rFonts w:hint="eastAsia" w:ascii="宋体" w:hAnsi="宋体" w:eastAsia="宋体" w:cs="宋体"/>
          <w:bCs/>
          <w:color w:val="auto"/>
          <w:szCs w:val="21"/>
          <w:highlight w:val="none"/>
          <w:lang w:val="zh-CN"/>
        </w:rPr>
        <w:t xml:space="preserve">2</w:t>
      </w:r>
      <w:r>
        <w:rPr>
          <w:rFonts w:hint="eastAsia" w:ascii="宋体" w:hAnsi="宋体" w:eastAsia="宋体" w:cs="宋体"/>
          <w:bCs/>
          <w:color w:val="auto"/>
          <w:szCs w:val="21"/>
          <w:highlight w:val="none"/>
        </w:rPr>
        <w:t xml:space="preserve">0</w:t>
      </w:r>
      <w:r>
        <w:rPr>
          <w:rFonts w:hint="eastAsia" w:ascii="宋体" w:hAnsi="宋体" w:eastAsia="宋体" w:cs="宋体"/>
          <w:bCs/>
          <w:color w:val="auto"/>
          <w:szCs w:val="21"/>
          <w:highlight w:val="none"/>
          <w:lang w:val="zh-CN"/>
        </w:rPr>
        <w:t xml:space="preserve">.2 </w:t>
      </w:r>
      <w:r>
        <w:rPr>
          <w:rFonts w:hint="eastAsia" w:ascii="宋体" w:hAnsi="宋体" w:eastAsia="宋体" w:cs="宋体"/>
          <w:color w:val="auto"/>
          <w:szCs w:val="21"/>
          <w:highlight w:val="none"/>
        </w:rPr>
        <w:t xml:space="preserve">综合评分的</w:t>
      </w:r>
      <w:r>
        <w:rPr>
          <w:rFonts w:hint="eastAsia" w:ascii="宋体" w:hAnsi="宋体" w:eastAsia="宋体" w:cs="宋体"/>
          <w:color w:val="auto"/>
          <w:szCs w:val="21"/>
          <w:highlight w:val="none"/>
          <w:lang w:val="zh-CN"/>
        </w:rPr>
        <w:t xml:space="preserve">主要因素是：</w:t>
      </w:r>
      <w:r>
        <w:rPr>
          <w:rFonts w:hint="eastAsia" w:ascii="宋体" w:hAnsi="宋体" w:eastAsia="宋体" w:cs="宋体"/>
          <w:b/>
          <w:color w:val="auto"/>
          <w:szCs w:val="21"/>
          <w:highlight w:val="none"/>
        </w:rPr>
        <w:t xml:space="preserve">价</w:t>
      </w:r>
      <w:r>
        <w:rPr>
          <w:rFonts w:hint="eastAsia" w:ascii="宋体" w:hAnsi="宋体" w:eastAsia="宋体" w:cs="宋体"/>
          <w:b/>
          <w:color w:val="auto"/>
          <w:szCs w:val="21"/>
          <w:highlight w:val="none"/>
        </w:rPr>
        <w:t xml:space="preserve">格、</w:t>
      </w:r>
      <w:r>
        <w:rPr>
          <w:rFonts w:hint="eastAsia" w:ascii="宋体" w:hAnsi="宋体" w:eastAsia="宋体" w:cs="宋体"/>
          <w:b/>
          <w:bCs/>
          <w:color w:val="auto"/>
          <w:szCs w:val="21"/>
          <w:highlight w:val="none"/>
        </w:rPr>
        <w:t xml:space="preserve">服务方案</w:t>
      </w:r>
      <w:r>
        <w:rPr>
          <w:rFonts w:hint="eastAsia" w:ascii="宋体" w:hAnsi="宋体" w:eastAsia="宋体" w:cs="宋体"/>
          <w:b/>
          <w:bCs/>
          <w:color w:val="auto"/>
          <w:szCs w:val="21"/>
          <w:highlight w:val="none"/>
        </w:rPr>
        <w:t xml:space="preserve">、</w:t>
      </w:r>
      <w:r>
        <w:rPr>
          <w:rFonts w:hint="eastAsia" w:ascii="宋体" w:hAnsi="宋体" w:eastAsia="宋体" w:cs="宋体"/>
          <w:b/>
          <w:color w:val="auto"/>
          <w:szCs w:val="21"/>
          <w:highlight w:val="none"/>
        </w:rPr>
        <w:t xml:space="preserve">业绩、</w:t>
      </w:r>
      <w:bookmarkEnd w:id="220"/>
      <w:r>
        <w:rPr>
          <w:rFonts w:hint="eastAsia" w:ascii="宋体" w:hAnsi="宋体" w:eastAsia="宋体" w:cs="宋体"/>
          <w:b/>
          <w:color w:val="auto"/>
          <w:szCs w:val="21"/>
          <w:highlight w:val="none"/>
        </w:rPr>
        <w:t xml:space="preserve">综合实力等，同时根据《南京市政府采购供应商信用管理工作暂行办法》有关规定，将供应商诚信档案记录在政府采购活动中进行运用。</w:t>
      </w:r>
      <w:r>
        <w:rPr>
          <w:rFonts w:hint="eastAsia" w:ascii="宋体" w:hAnsi="宋体" w:eastAsia="宋体" w:cs="宋体"/>
          <w:b/>
          <w:color w:val="auto"/>
          <w:szCs w:val="21"/>
          <w:highlight w:val="none"/>
        </w:rPr>
      </w:r>
      <w:r>
        <w:rPr>
          <w:color w:val="auto"/>
        </w:rPr>
      </w:r>
    </w:p>
    <w:p>
      <w:pPr>
        <w:pStyle w:val="899"/>
        <w:ind w:firstLine="420"/>
        <w:rPr>
          <w:rFonts w:hint="eastAsia" w:ascii="宋体" w:hAnsi="宋体" w:eastAsia="宋体" w:cs="宋体"/>
          <w:b/>
          <w:color w:val="auto"/>
          <w:szCs w:val="21"/>
          <w:highlight w:val="none"/>
        </w:rPr>
      </w:pPr>
      <w:r>
        <w:rPr>
          <w:rFonts w:hint="eastAsia" w:ascii="宋体" w:hAnsi="宋体" w:eastAsia="宋体" w:cs="宋体"/>
          <w:bCs/>
          <w:color w:val="auto"/>
          <w:szCs w:val="21"/>
          <w:highlight w:val="none"/>
          <w:lang w:val="zh-CN"/>
        </w:rPr>
        <w:t xml:space="preserve">2</w:t>
      </w:r>
      <w:r>
        <w:rPr>
          <w:rFonts w:hint="eastAsia" w:ascii="宋体" w:hAnsi="宋体" w:eastAsia="宋体" w:cs="宋体"/>
          <w:bCs/>
          <w:color w:val="auto"/>
          <w:szCs w:val="21"/>
          <w:highlight w:val="none"/>
        </w:rPr>
        <w:t xml:space="preserve">0</w:t>
      </w:r>
      <w:r>
        <w:rPr>
          <w:rFonts w:hint="eastAsia" w:ascii="宋体" w:hAnsi="宋体" w:eastAsia="宋体" w:cs="宋体"/>
          <w:bCs/>
          <w:color w:val="auto"/>
          <w:szCs w:val="21"/>
          <w:highlight w:val="none"/>
          <w:lang w:val="zh-CN"/>
        </w:rPr>
        <w:t xml:space="preserve">.3</w:t>
      </w:r>
      <w:r>
        <w:rPr>
          <w:rFonts w:hint="eastAsia" w:ascii="宋体" w:hAnsi="宋体" w:eastAsia="宋体" w:cs="宋体"/>
          <w:color w:val="auto"/>
          <w:szCs w:val="21"/>
          <w:highlight w:val="none"/>
        </w:rPr>
        <w:t xml:space="preserve"> </w:t>
      </w:r>
      <w:r>
        <w:rPr>
          <w:rFonts w:hint="eastAsia" w:ascii="宋体" w:hAnsi="宋体" w:eastAsia="宋体" w:cs="宋体"/>
          <w:b/>
          <w:color w:val="auto"/>
          <w:szCs w:val="21"/>
          <w:highlight w:val="none"/>
        </w:rPr>
        <w:t xml:space="preserve">评分标准详见第四章</w:t>
      </w:r>
      <w:r>
        <w:rPr>
          <w:rFonts w:hint="eastAsia" w:ascii="宋体" w:hAnsi="宋体" w:eastAsia="宋体" w:cs="宋体"/>
          <w:b/>
          <w:color w:val="auto"/>
          <w:szCs w:val="21"/>
          <w:highlight w:val="none"/>
        </w:rPr>
      </w:r>
      <w:r>
        <w:rPr>
          <w:color w:val="auto"/>
        </w:rPr>
      </w:r>
    </w:p>
    <w:p>
      <w:pPr>
        <w:pStyle w:val="899"/>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2</w:t>
      </w: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zh-CN"/>
        </w:rPr>
        <w:t xml:space="preserve">、确定成交供应商</w:t>
      </w:r>
      <w:r>
        <w:rPr>
          <w:rFonts w:hint="eastAsia" w:ascii="宋体" w:hAnsi="宋体" w:eastAsia="宋体" w:cs="宋体"/>
          <w:b/>
          <w:bCs/>
          <w:color w:val="auto"/>
          <w:szCs w:val="21"/>
          <w:highlight w:val="none"/>
          <w:lang w:val="zh-CN"/>
        </w:rPr>
      </w:r>
      <w:r>
        <w:rPr>
          <w:color w:val="auto"/>
        </w:rPr>
      </w:r>
    </w:p>
    <w:p>
      <w:pPr>
        <w:pStyle w:val="899"/>
        <w:ind w:firstLine="420"/>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.1综合比较与评价后按照得分高低顺序对供应商进行排列。</w:t>
      </w:r>
      <w:r>
        <w:rPr>
          <w:rFonts w:hint="eastAsia" w:ascii="宋体" w:hAnsi="宋体" w:eastAsia="宋体" w:cs="宋体"/>
          <w:color w:val="auto"/>
          <w:szCs w:val="21"/>
          <w:highlight w:val="none"/>
        </w:rPr>
        <w:t xml:space="preserve">得分相同的，按磋商报价由低到高顺序排列。得分且磋商报价相同的，按技术指标优劣顺序排列。</w:t>
      </w:r>
      <w:r>
        <w:rPr>
          <w:rFonts w:hint="eastAsia" w:ascii="宋体" w:hAnsi="宋体" w:eastAsia="宋体" w:cs="宋体"/>
          <w:b/>
          <w:color w:val="auto"/>
          <w:szCs w:val="21"/>
          <w:highlight w:val="none"/>
          <w:lang w:val="zh-CN"/>
        </w:rPr>
        <w:t xml:space="preserve">综合排名第一名的供应商确定为成交供应商。</w:t>
      </w:r>
      <w:r>
        <w:rPr>
          <w:rFonts w:hint="eastAsia" w:ascii="宋体" w:hAnsi="宋体" w:eastAsia="宋体" w:cs="宋体"/>
          <w:color w:val="auto"/>
          <w:szCs w:val="21"/>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b/>
          <w:color w:val="auto"/>
          <w:szCs w:val="21"/>
          <w:highlight w:val="none"/>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.2 成交供应商确定后，将在原采购公告发布媒体上发布公告，向成交供应商发出成交通知书。</w:t>
      </w:r>
      <w:r>
        <w:rPr>
          <w:rFonts w:hint="eastAsia" w:ascii="宋体" w:hAnsi="宋体" w:eastAsia="宋体" w:cs="宋体"/>
          <w:color w:val="auto"/>
          <w:highlight w:val="none"/>
        </w:rPr>
        <w:t xml:space="preserve">成交供应商应按成交通知书规定的时间、地点与采购单位、政府代理机构签订政府采购合同。</w:t>
      </w:r>
      <w:r>
        <w:rPr>
          <w:rFonts w:hint="eastAsia" w:ascii="宋体" w:hAnsi="宋体" w:eastAsia="宋体" w:cs="宋体"/>
          <w:color w:val="auto"/>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.3 成交通知书对采购人和成交供应商具有同等法律效力。</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.4 </w:t>
      </w:r>
      <w:r>
        <w:rPr>
          <w:rFonts w:hint="eastAsia" w:ascii="宋体" w:hAnsi="宋体" w:eastAsia="宋体" w:cs="宋体"/>
          <w:color w:val="auto"/>
          <w:szCs w:val="21"/>
          <w:highlight w:val="none"/>
        </w:rPr>
        <w:t xml:space="preserve">成交通知书发出后，采购人或成交供应商拒绝签订合同的，拒绝签订合同的一方应至少向另一方支付补偿金，以及为磋商过程所发生的有关费用和双方商定的其他补偿。</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21.5 </w:t>
      </w:r>
      <w:r>
        <w:rPr>
          <w:rFonts w:hint="eastAsia" w:ascii="宋体" w:hAnsi="宋体" w:eastAsia="宋体" w:cs="宋体"/>
          <w:b/>
          <w:color w:val="auto"/>
          <w:szCs w:val="21"/>
          <w:highlight w:val="none"/>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江宁区政府采购活动。</w:t>
      </w:r>
      <w:r>
        <w:rPr>
          <w:rFonts w:hint="eastAsia" w:ascii="宋体" w:hAnsi="宋体" w:eastAsia="宋体" w:cs="宋体"/>
          <w:b/>
          <w:color w:val="auto"/>
          <w:szCs w:val="21"/>
          <w:highlight w:val="none"/>
        </w:rPr>
      </w:r>
      <w:r>
        <w:rPr>
          <w:color w:val="auto"/>
        </w:rPr>
      </w:r>
    </w:p>
    <w:p>
      <w:pPr>
        <w:pStyle w:val="899"/>
        <w:ind w:firstLine="420"/>
        <w:tabs>
          <w:tab w:val="left" w:pos="12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21.6 代理机构对未成交的供应商不作未成交原因的解释。</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21.7 所有磋商响应文件都将作为档案保存，不论成交与否，代理机构均不退回。</w:t>
      </w:r>
      <w:r>
        <w:rPr>
          <w:rFonts w:hint="eastAsia" w:ascii="宋体" w:hAnsi="宋体" w:eastAsia="宋体" w:cs="宋体"/>
          <w:b/>
          <w:color w:val="auto"/>
          <w:szCs w:val="21"/>
          <w:highlight w:val="none"/>
        </w:rPr>
      </w:r>
      <w:r>
        <w:rPr>
          <w:color w:val="auto"/>
        </w:rPr>
      </w:r>
    </w:p>
    <w:p>
      <w:pPr>
        <w:pStyle w:val="899"/>
        <w:ind w:firstLine="413"/>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2</w:t>
      </w:r>
      <w:r>
        <w:rPr>
          <w:rFonts w:hint="eastAsia" w:ascii="宋体" w:hAnsi="宋体" w:eastAsia="宋体" w:cs="宋体"/>
          <w:b/>
          <w:color w:val="auto"/>
          <w:szCs w:val="21"/>
          <w:highlight w:val="none"/>
        </w:rPr>
        <w:t xml:space="preserve">2</w:t>
      </w:r>
      <w:r>
        <w:rPr>
          <w:rFonts w:hint="eastAsia" w:ascii="宋体" w:hAnsi="宋体" w:eastAsia="宋体" w:cs="宋体"/>
          <w:b/>
          <w:bCs/>
          <w:color w:val="auto"/>
          <w:szCs w:val="21"/>
          <w:highlight w:val="none"/>
          <w:lang w:val="zh-CN"/>
        </w:rPr>
        <w:t xml:space="preserve">、</w:t>
      </w:r>
      <w:r>
        <w:rPr>
          <w:rFonts w:hint="eastAsia" w:ascii="宋体" w:hAnsi="宋体" w:eastAsia="宋体" w:cs="宋体"/>
          <w:b/>
          <w:color w:val="auto"/>
          <w:szCs w:val="21"/>
          <w:highlight w:val="none"/>
        </w:rPr>
        <w:t xml:space="preserve">编写磋商（评审）报告</w:t>
      </w:r>
      <w:r>
        <w:rPr>
          <w:rFonts w:hint="eastAsia" w:ascii="宋体" w:hAnsi="宋体" w:eastAsia="宋体" w:cs="宋体"/>
          <w:b/>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磋商小组根据磋商过程和结果编写磋商（评审）报告。</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b/>
          <w:bCs/>
          <w:color w:val="auto"/>
          <w:szCs w:val="21"/>
          <w:highlight w:val="none"/>
        </w:rPr>
        <w:outlineLvl w:val="1"/>
      </w:pPr>
      <w:r>
        <w:rPr>
          <w:color w:val="auto"/>
        </w:rPr>
      </w:r>
      <w:bookmarkStart w:id="226" w:name="_Toc159"/>
      <w:r>
        <w:rPr>
          <w:color w:val="auto"/>
        </w:rPr>
      </w:r>
      <w:bookmarkStart w:id="227" w:name="_Toc5356"/>
      <w:r>
        <w:rPr>
          <w:color w:val="auto"/>
        </w:rPr>
      </w:r>
      <w:bookmarkStart w:id="228" w:name="_Toc4507"/>
      <w:r>
        <w:rPr>
          <w:color w:val="auto"/>
        </w:rPr>
      </w:r>
      <w:bookmarkStart w:id="229" w:name="_Toc18042"/>
      <w:r>
        <w:rPr>
          <w:color w:val="auto"/>
        </w:rPr>
      </w:r>
      <w:bookmarkStart w:id="230" w:name="_Toc22312"/>
      <w:r>
        <w:rPr>
          <w:color w:val="auto"/>
        </w:rPr>
      </w:r>
      <w:bookmarkStart w:id="231" w:name="_Toc10463"/>
      <w:r>
        <w:rPr>
          <w:color w:val="auto"/>
        </w:rPr>
      </w:r>
      <w:bookmarkStart w:id="232" w:name="_Toc504141741"/>
      <w:r>
        <w:rPr>
          <w:color w:val="auto"/>
        </w:rPr>
      </w:r>
      <w:bookmarkStart w:id="233" w:name="_Toc31853"/>
      <w:r>
        <w:rPr>
          <w:color w:val="auto"/>
        </w:rPr>
      </w:r>
      <w:bookmarkStart w:id="234" w:name="_Toc6338"/>
      <w:r>
        <w:rPr>
          <w:color w:val="auto"/>
        </w:rPr>
      </w:r>
      <w:bookmarkStart w:id="235" w:name="_Toc9070"/>
      <w:r>
        <w:rPr>
          <w:color w:val="auto"/>
        </w:rPr>
      </w:r>
      <w:bookmarkStart w:id="236" w:name="_Toc23903"/>
      <w:r>
        <w:rPr>
          <w:color w:val="auto"/>
        </w:rPr>
      </w:r>
      <w:bookmarkStart w:id="237" w:name="_Toc27293"/>
      <w:r>
        <w:rPr>
          <w:color w:val="auto"/>
        </w:rPr>
      </w:r>
      <w:bookmarkStart w:id="238" w:name="_Toc31448"/>
      <w:r>
        <w:rPr>
          <w:color w:val="auto"/>
        </w:rPr>
      </w:r>
      <w:bookmarkStart w:id="239" w:name="_Toc2456"/>
      <w:r>
        <w:rPr>
          <w:color w:val="auto"/>
        </w:rPr>
      </w:r>
      <w:bookmarkStart w:id="240" w:name="_Toc18338"/>
      <w:r>
        <w:rPr>
          <w:color w:val="auto"/>
        </w:rPr>
      </w:r>
      <w:bookmarkStart w:id="241" w:name="_Toc31660"/>
      <w:r>
        <w:rPr>
          <w:color w:val="auto"/>
        </w:rPr>
      </w:r>
      <w:bookmarkStart w:id="242" w:name="_Toc28237"/>
      <w:r>
        <w:rPr>
          <w:color w:val="auto"/>
        </w:rPr>
      </w:r>
      <w:bookmarkStart w:id="243" w:name="_Toc29768"/>
      <w:r>
        <w:rPr>
          <w:color w:val="auto"/>
        </w:rPr>
      </w:r>
      <w:bookmarkStart w:id="244" w:name="_Toc1202"/>
      <w:r>
        <w:rPr>
          <w:color w:val="auto"/>
        </w:rPr>
      </w:r>
      <w:bookmarkStart w:id="245" w:name="_Toc12903"/>
      <w:r>
        <w:rPr>
          <w:color w:val="auto"/>
        </w:rPr>
      </w:r>
      <w:bookmarkStart w:id="246" w:name="_Toc3583"/>
      <w:r>
        <w:rPr>
          <w:color w:val="auto"/>
        </w:rPr>
      </w:r>
      <w:bookmarkStart w:id="247" w:name="_Toc19082"/>
      <w:r>
        <w:rPr>
          <w:color w:val="auto"/>
        </w:rPr>
      </w:r>
      <w:bookmarkStart w:id="248" w:name="_Toc2409"/>
      <w:r>
        <w:rPr>
          <w:color w:val="auto"/>
        </w:rPr>
      </w:r>
      <w:bookmarkStart w:id="249" w:name="_Toc20289"/>
      <w:r>
        <w:rPr>
          <w:color w:val="auto"/>
        </w:rPr>
      </w:r>
      <w:bookmarkStart w:id="250" w:name="_Toc5114"/>
      <w:r>
        <w:rPr>
          <w:color w:val="auto"/>
        </w:rPr>
      </w:r>
      <w:bookmarkStart w:id="251" w:name="_Toc1203"/>
      <w:r>
        <w:rPr>
          <w:color w:val="auto"/>
        </w:rPr>
      </w:r>
      <w:bookmarkStart w:id="252" w:name="_Toc22518"/>
      <w:r>
        <w:rPr>
          <w:color w:val="auto"/>
        </w:rPr>
      </w:r>
      <w:bookmarkStart w:id="253" w:name="_Toc26804"/>
      <w:r>
        <w:rPr>
          <w:color w:val="auto"/>
        </w:rPr>
      </w:r>
      <w:bookmarkStart w:id="254" w:name="_Toc9350"/>
      <w:r>
        <w:rPr>
          <w:color w:val="auto"/>
        </w:rPr>
      </w:r>
      <w:bookmarkStart w:id="255" w:name="_Toc30543"/>
      <w:r>
        <w:rPr>
          <w:rFonts w:hint="eastAsia" w:ascii="宋体" w:hAnsi="宋体" w:eastAsia="宋体" w:cs="宋体"/>
          <w:b/>
          <w:color w:val="auto"/>
          <w:szCs w:val="21"/>
          <w:highlight w:val="none"/>
          <w:lang w:val="zh-CN"/>
        </w:rPr>
        <w:t xml:space="preserve">五、</w:t>
      </w:r>
      <w:r>
        <w:rPr>
          <w:rFonts w:hint="eastAsia" w:ascii="宋体" w:hAnsi="宋体" w:eastAsia="宋体" w:cs="宋体"/>
          <w:b/>
          <w:bCs/>
          <w:color w:val="auto"/>
          <w:szCs w:val="21"/>
          <w:highlight w:val="none"/>
          <w:lang w:val="zh-CN"/>
        </w:rPr>
        <w:t xml:space="preserve">签订合同</w:t>
      </w:r>
      <w:bookmarkEnd w:id="226"/>
      <w:r>
        <w:rPr>
          <w:color w:val="auto"/>
        </w:rPr>
      </w:r>
      <w:bookmarkEnd w:id="227"/>
      <w:r>
        <w:rPr>
          <w:color w:val="auto"/>
        </w:rPr>
      </w:r>
      <w:bookmarkEnd w:id="228"/>
      <w:r>
        <w:rPr>
          <w:color w:val="auto"/>
        </w:rPr>
      </w:r>
      <w:bookmarkEnd w:id="229"/>
      <w:r>
        <w:rPr>
          <w:color w:val="auto"/>
        </w:rPr>
      </w:r>
      <w:bookmarkEnd w:id="230"/>
      <w:r>
        <w:rPr>
          <w:color w:val="auto"/>
        </w:rPr>
      </w:r>
      <w:bookmarkEnd w:id="231"/>
      <w:r>
        <w:rPr>
          <w:color w:val="auto"/>
        </w:rPr>
      </w:r>
      <w:bookmarkEnd w:id="232"/>
      <w:r>
        <w:rPr>
          <w:color w:val="auto"/>
        </w:rPr>
      </w:r>
      <w:bookmarkEnd w:id="233"/>
      <w:r>
        <w:rPr>
          <w:color w:val="auto"/>
        </w:rPr>
      </w:r>
      <w:bookmarkEnd w:id="234"/>
      <w:r>
        <w:rPr>
          <w:color w:val="auto"/>
        </w:rPr>
      </w:r>
      <w:bookmarkEnd w:id="235"/>
      <w:r>
        <w:rPr>
          <w:color w:val="auto"/>
        </w:rPr>
      </w:r>
      <w:bookmarkEnd w:id="236"/>
      <w:r>
        <w:rPr>
          <w:color w:val="auto"/>
        </w:rPr>
      </w:r>
      <w:bookmarkEnd w:id="237"/>
      <w:r>
        <w:rPr>
          <w:color w:val="auto"/>
        </w:rPr>
      </w:r>
      <w:bookmarkEnd w:id="238"/>
      <w:r>
        <w:rPr>
          <w:color w:val="auto"/>
        </w:rPr>
      </w:r>
      <w:bookmarkEnd w:id="239"/>
      <w:r>
        <w:rPr>
          <w:color w:val="auto"/>
        </w:rPr>
      </w:r>
      <w:bookmarkEnd w:id="240"/>
      <w:r>
        <w:rPr>
          <w:color w:val="auto"/>
        </w:rPr>
      </w:r>
      <w:bookmarkEnd w:id="241"/>
      <w:r>
        <w:rPr>
          <w:color w:val="auto"/>
        </w:rPr>
      </w:r>
      <w:bookmarkEnd w:id="242"/>
      <w:r>
        <w:rPr>
          <w:color w:val="auto"/>
        </w:rPr>
      </w:r>
      <w:bookmarkEnd w:id="243"/>
      <w:r>
        <w:rPr>
          <w:color w:val="auto"/>
        </w:rPr>
      </w:r>
      <w:bookmarkEnd w:id="244"/>
      <w:r>
        <w:rPr>
          <w:color w:val="auto"/>
        </w:rPr>
      </w:r>
      <w:bookmarkEnd w:id="245"/>
      <w:r>
        <w:rPr>
          <w:color w:val="auto"/>
        </w:rPr>
      </w:r>
      <w:bookmarkEnd w:id="246"/>
      <w:r>
        <w:rPr>
          <w:color w:val="auto"/>
        </w:rPr>
      </w:r>
      <w:bookmarkEnd w:id="247"/>
      <w:r>
        <w:rPr>
          <w:color w:val="auto"/>
        </w:rPr>
      </w:r>
      <w:bookmarkEnd w:id="248"/>
      <w:r>
        <w:rPr>
          <w:color w:val="auto"/>
        </w:rPr>
      </w:r>
      <w:bookmarkEnd w:id="249"/>
      <w:r>
        <w:rPr>
          <w:color w:val="auto"/>
        </w:rPr>
      </w:r>
      <w:bookmarkEnd w:id="250"/>
      <w:r>
        <w:rPr>
          <w:color w:val="auto"/>
        </w:rPr>
      </w:r>
      <w:bookmarkEnd w:id="251"/>
      <w:r>
        <w:rPr>
          <w:color w:val="auto"/>
        </w:rPr>
      </w:r>
      <w:bookmarkEnd w:id="252"/>
      <w:r>
        <w:rPr>
          <w:color w:val="auto"/>
        </w:rPr>
      </w:r>
      <w:bookmarkEnd w:id="253"/>
      <w:r>
        <w:rPr>
          <w:color w:val="auto"/>
        </w:rPr>
      </w:r>
      <w:bookmarkEnd w:id="254"/>
      <w:r>
        <w:rPr>
          <w:color w:val="auto"/>
        </w:rPr>
      </w:r>
      <w:bookmarkEnd w:id="255"/>
      <w:r>
        <w:rPr>
          <w:rFonts w:hint="eastAsia" w:ascii="宋体" w:hAnsi="宋体" w:eastAsia="宋体" w:cs="宋体"/>
          <w:b/>
          <w:bCs/>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 成交供应商应当</w:t>
      </w:r>
      <w:r>
        <w:rPr>
          <w:rFonts w:hint="eastAsia" w:ascii="宋体" w:hAnsi="宋体" w:eastAsia="宋体" w:cs="宋体"/>
          <w:color w:val="auto"/>
          <w:szCs w:val="21"/>
          <w:highlight w:val="none"/>
          <w:lang w:val="zh-CN"/>
        </w:rPr>
        <w:t xml:space="preserve">自成交通知书发出之日起三十日内，</w:t>
      </w:r>
      <w:r>
        <w:rPr>
          <w:rFonts w:hint="eastAsia" w:ascii="宋体" w:hAnsi="宋体" w:eastAsia="宋体" w:cs="宋体"/>
          <w:color w:val="auto"/>
          <w:szCs w:val="21"/>
          <w:highlight w:val="none"/>
        </w:rPr>
        <w:t xml:space="preserve">与采购人签订政府采购合同，所签订的合同不得对竞争性磋商文件和竞争性磋商响应文件作实质性修改。</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zh-CN"/>
        </w:rPr>
        <w:t xml:space="preserve">.2 </w:t>
      </w:r>
      <w:r>
        <w:rPr>
          <w:rFonts w:hint="eastAsia" w:ascii="宋体" w:hAnsi="宋体" w:eastAsia="宋体" w:cs="宋体"/>
          <w:color w:val="auto"/>
          <w:szCs w:val="21"/>
          <w:highlight w:val="none"/>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.3 成交供应商因不可抗力或者自身原因不能履行政府采购合同的，采购人可以视情与排位在成交供应商之后第一位的成交候选供应商签订政府采购合同，以此类推。</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b/>
          <w:bCs/>
          <w:color w:val="auto"/>
          <w:szCs w:val="21"/>
          <w:highlight w:val="none"/>
        </w:rPr>
        <w:outlineLvl w:val="1"/>
      </w:pPr>
      <w:r>
        <w:rPr>
          <w:color w:val="auto"/>
        </w:rPr>
      </w:r>
      <w:bookmarkStart w:id="256" w:name="_Toc450643046"/>
      <w:r>
        <w:rPr>
          <w:color w:val="auto"/>
        </w:rPr>
      </w:r>
      <w:bookmarkStart w:id="257" w:name="_Toc13068"/>
      <w:r>
        <w:rPr>
          <w:color w:val="auto"/>
        </w:rPr>
      </w:r>
      <w:bookmarkStart w:id="258" w:name="_Toc24468"/>
      <w:r>
        <w:rPr>
          <w:color w:val="auto"/>
        </w:rPr>
      </w:r>
      <w:bookmarkStart w:id="259" w:name="_Toc31831"/>
      <w:r>
        <w:rPr>
          <w:color w:val="auto"/>
        </w:rPr>
      </w:r>
      <w:bookmarkStart w:id="260" w:name="_Toc3731"/>
      <w:r>
        <w:rPr>
          <w:color w:val="auto"/>
        </w:rPr>
      </w:r>
      <w:bookmarkStart w:id="261" w:name="_Toc21561"/>
      <w:r>
        <w:rPr>
          <w:color w:val="auto"/>
        </w:rPr>
      </w:r>
      <w:bookmarkStart w:id="262" w:name="_Toc4669"/>
      <w:r>
        <w:rPr>
          <w:color w:val="auto"/>
        </w:rPr>
      </w:r>
      <w:bookmarkStart w:id="263" w:name="_Toc5437"/>
      <w:r>
        <w:rPr>
          <w:color w:val="auto"/>
        </w:rPr>
      </w:r>
      <w:bookmarkStart w:id="264" w:name="_Toc10873"/>
      <w:r>
        <w:rPr>
          <w:color w:val="auto"/>
        </w:rPr>
      </w:r>
      <w:bookmarkStart w:id="265" w:name="_Toc3565"/>
      <w:r>
        <w:rPr>
          <w:color w:val="auto"/>
        </w:rPr>
      </w:r>
      <w:bookmarkStart w:id="266" w:name="_Toc459106792"/>
      <w:r>
        <w:rPr>
          <w:color w:val="auto"/>
        </w:rPr>
      </w:r>
      <w:bookmarkStart w:id="267" w:name="_Toc21751"/>
      <w:r>
        <w:rPr>
          <w:color w:val="auto"/>
        </w:rPr>
      </w:r>
      <w:bookmarkStart w:id="268" w:name="_Toc24231"/>
      <w:r>
        <w:rPr>
          <w:color w:val="auto"/>
        </w:rPr>
      </w:r>
      <w:bookmarkStart w:id="269" w:name="_Toc10542"/>
      <w:r>
        <w:rPr>
          <w:color w:val="auto"/>
        </w:rPr>
      </w:r>
      <w:bookmarkStart w:id="270" w:name="_Toc27223"/>
      <w:r>
        <w:rPr>
          <w:color w:val="auto"/>
        </w:rPr>
      </w:r>
      <w:bookmarkStart w:id="271" w:name="_Toc6436"/>
      <w:r>
        <w:rPr>
          <w:color w:val="auto"/>
        </w:rPr>
      </w:r>
      <w:bookmarkStart w:id="272" w:name="_Toc30584"/>
      <w:r>
        <w:rPr>
          <w:color w:val="auto"/>
        </w:rPr>
      </w:r>
      <w:bookmarkStart w:id="273" w:name="_Toc27584"/>
      <w:r>
        <w:rPr>
          <w:color w:val="auto"/>
        </w:rPr>
      </w:r>
      <w:bookmarkStart w:id="274" w:name="_Toc27633"/>
      <w:r>
        <w:rPr>
          <w:color w:val="auto"/>
        </w:rPr>
      </w:r>
      <w:bookmarkStart w:id="275" w:name="_Toc29248"/>
      <w:r>
        <w:rPr>
          <w:color w:val="auto"/>
        </w:rPr>
      </w:r>
      <w:bookmarkStart w:id="276" w:name="_Toc11594"/>
      <w:r>
        <w:rPr>
          <w:color w:val="auto"/>
        </w:rPr>
      </w:r>
      <w:bookmarkStart w:id="277" w:name="_Toc14682"/>
      <w:r>
        <w:rPr>
          <w:color w:val="auto"/>
        </w:rPr>
      </w:r>
      <w:bookmarkStart w:id="278" w:name="_Toc9641"/>
      <w:r>
        <w:rPr>
          <w:color w:val="auto"/>
        </w:rPr>
      </w:r>
      <w:bookmarkStart w:id="279" w:name="_Toc20220"/>
      <w:r>
        <w:rPr>
          <w:color w:val="auto"/>
        </w:rPr>
      </w:r>
      <w:bookmarkStart w:id="280" w:name="_Toc30726"/>
      <w:r>
        <w:rPr>
          <w:color w:val="auto"/>
        </w:rPr>
      </w:r>
      <w:bookmarkStart w:id="281" w:name="_Toc504141742"/>
      <w:r>
        <w:rPr>
          <w:color w:val="auto"/>
        </w:rPr>
      </w:r>
      <w:bookmarkStart w:id="282" w:name="_Toc21673"/>
      <w:r>
        <w:rPr>
          <w:color w:val="auto"/>
        </w:rPr>
      </w:r>
      <w:bookmarkStart w:id="283" w:name="_Toc22670"/>
      <w:r>
        <w:rPr>
          <w:color w:val="auto"/>
        </w:rPr>
      </w:r>
      <w:bookmarkStart w:id="284" w:name="_Toc20385"/>
      <w:r>
        <w:rPr>
          <w:color w:val="auto"/>
        </w:rPr>
      </w:r>
      <w:bookmarkStart w:id="285" w:name="_Toc29031"/>
      <w:r>
        <w:rPr>
          <w:color w:val="auto"/>
        </w:rPr>
      </w:r>
      <w:bookmarkStart w:id="286" w:name="_Toc23900"/>
      <w:r>
        <w:rPr>
          <w:color w:val="auto"/>
        </w:rPr>
      </w:r>
      <w:bookmarkStart w:id="287" w:name="_Toc10349"/>
      <w:r>
        <w:rPr>
          <w:rFonts w:hint="eastAsia" w:ascii="宋体" w:hAnsi="宋体" w:eastAsia="宋体" w:cs="宋体"/>
          <w:b/>
          <w:bCs/>
          <w:color w:val="auto"/>
          <w:szCs w:val="21"/>
          <w:highlight w:val="none"/>
          <w:lang w:val="zh-CN"/>
        </w:rPr>
        <w:t xml:space="preserve">六、质疑和投诉</w:t>
      </w:r>
      <w:bookmarkEnd w:id="256"/>
      <w:r>
        <w:rPr>
          <w:color w:val="auto"/>
        </w:rPr>
      </w:r>
      <w:bookmarkEnd w:id="257"/>
      <w:r>
        <w:rPr>
          <w:color w:val="auto"/>
        </w:rPr>
      </w:r>
      <w:bookmarkEnd w:id="258"/>
      <w:r>
        <w:rPr>
          <w:color w:val="auto"/>
        </w:rPr>
      </w:r>
      <w:bookmarkEnd w:id="259"/>
      <w:r>
        <w:rPr>
          <w:color w:val="auto"/>
        </w:rPr>
      </w:r>
      <w:bookmarkEnd w:id="260"/>
      <w:r>
        <w:rPr>
          <w:color w:val="auto"/>
        </w:rPr>
      </w:r>
      <w:bookmarkEnd w:id="261"/>
      <w:r>
        <w:rPr>
          <w:color w:val="auto"/>
        </w:rPr>
      </w:r>
      <w:bookmarkEnd w:id="262"/>
      <w:r>
        <w:rPr>
          <w:color w:val="auto"/>
        </w:rPr>
      </w:r>
      <w:bookmarkEnd w:id="263"/>
      <w:r>
        <w:rPr>
          <w:color w:val="auto"/>
        </w:rPr>
      </w:r>
      <w:bookmarkEnd w:id="264"/>
      <w:r>
        <w:rPr>
          <w:color w:val="auto"/>
        </w:rPr>
      </w:r>
      <w:bookmarkEnd w:id="265"/>
      <w:r>
        <w:rPr>
          <w:color w:val="auto"/>
        </w:rPr>
      </w:r>
      <w:bookmarkEnd w:id="266"/>
      <w:r>
        <w:rPr>
          <w:color w:val="auto"/>
        </w:rPr>
      </w:r>
      <w:bookmarkEnd w:id="267"/>
      <w:r>
        <w:rPr>
          <w:color w:val="auto"/>
        </w:rPr>
      </w:r>
      <w:bookmarkEnd w:id="268"/>
      <w:r>
        <w:rPr>
          <w:color w:val="auto"/>
        </w:rPr>
      </w:r>
      <w:bookmarkEnd w:id="269"/>
      <w:r>
        <w:rPr>
          <w:color w:val="auto"/>
        </w:rPr>
      </w:r>
      <w:bookmarkEnd w:id="270"/>
      <w:r>
        <w:rPr>
          <w:color w:val="auto"/>
        </w:rPr>
      </w:r>
      <w:bookmarkEnd w:id="271"/>
      <w:r>
        <w:rPr>
          <w:color w:val="auto"/>
        </w:rPr>
      </w:r>
      <w:bookmarkEnd w:id="272"/>
      <w:r>
        <w:rPr>
          <w:color w:val="auto"/>
        </w:rPr>
      </w:r>
      <w:bookmarkEnd w:id="273"/>
      <w:r>
        <w:rPr>
          <w:color w:val="auto"/>
        </w:rPr>
      </w:r>
      <w:bookmarkEnd w:id="274"/>
      <w:r>
        <w:rPr>
          <w:color w:val="auto"/>
        </w:rPr>
      </w:r>
      <w:bookmarkEnd w:id="275"/>
      <w:r>
        <w:rPr>
          <w:color w:val="auto"/>
        </w:rPr>
      </w:r>
      <w:bookmarkEnd w:id="276"/>
      <w:r>
        <w:rPr>
          <w:color w:val="auto"/>
        </w:rPr>
      </w:r>
      <w:bookmarkEnd w:id="277"/>
      <w:r>
        <w:rPr>
          <w:color w:val="auto"/>
        </w:rPr>
      </w:r>
      <w:bookmarkEnd w:id="278"/>
      <w:r>
        <w:rPr>
          <w:color w:val="auto"/>
        </w:rPr>
      </w:r>
      <w:bookmarkEnd w:id="279"/>
      <w:r>
        <w:rPr>
          <w:color w:val="auto"/>
        </w:rPr>
      </w:r>
      <w:bookmarkEnd w:id="280"/>
      <w:r>
        <w:rPr>
          <w:color w:val="auto"/>
        </w:rPr>
      </w:r>
      <w:bookmarkEnd w:id="281"/>
      <w:r>
        <w:rPr>
          <w:color w:val="auto"/>
        </w:rPr>
      </w:r>
      <w:bookmarkEnd w:id="282"/>
      <w:r>
        <w:rPr>
          <w:color w:val="auto"/>
        </w:rPr>
      </w:r>
      <w:bookmarkEnd w:id="283"/>
      <w:r>
        <w:rPr>
          <w:color w:val="auto"/>
        </w:rPr>
      </w:r>
      <w:bookmarkEnd w:id="284"/>
      <w:r>
        <w:rPr>
          <w:color w:val="auto"/>
        </w:rPr>
      </w:r>
      <w:bookmarkEnd w:id="285"/>
      <w:r>
        <w:rPr>
          <w:color w:val="auto"/>
        </w:rPr>
      </w:r>
      <w:bookmarkEnd w:id="286"/>
      <w:r>
        <w:rPr>
          <w:color w:val="auto"/>
        </w:rPr>
      </w:r>
      <w:bookmarkEnd w:id="287"/>
      <w:r>
        <w:rPr>
          <w:rFonts w:hint="eastAsia" w:ascii="宋体" w:hAnsi="宋体" w:eastAsia="宋体" w:cs="宋体"/>
          <w:b/>
          <w:bCs/>
          <w:color w:val="auto"/>
          <w:szCs w:val="21"/>
          <w:highlight w:val="none"/>
          <w:lang w:val="zh-CN"/>
        </w:rPr>
      </w:r>
      <w:r>
        <w:rPr>
          <w:color w:val="auto"/>
        </w:rPr>
      </w:r>
    </w:p>
    <w:p>
      <w:pPr>
        <w:pStyle w:val="899"/>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2</w:t>
      </w: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zh-CN"/>
        </w:rPr>
        <w:t xml:space="preserve">、质疑</w:t>
      </w:r>
      <w:r>
        <w:rPr>
          <w:rFonts w:hint="eastAsia" w:ascii="宋体" w:hAnsi="宋体" w:eastAsia="宋体" w:cs="宋体"/>
          <w:b/>
          <w:bCs/>
          <w:color w:val="auto"/>
          <w:szCs w:val="21"/>
          <w:highlight w:val="none"/>
          <w:lang w:val="zh-CN"/>
        </w:rPr>
      </w:r>
      <w:r>
        <w:rPr>
          <w:color w:val="auto"/>
        </w:rPr>
      </w:r>
    </w:p>
    <w:p>
      <w:pPr>
        <w:pStyle w:val="899"/>
        <w:ind w:firstLine="420"/>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.1 供应商对磋商活动事项有疑问的，可以向代理机构提出询问。供应商提出质疑时，须一次性提出全部问题及相关质疑资料，代理机构将依法作出答复，但答复的内容不涉及商业秘密。</w:t>
      </w:r>
      <w:r>
        <w:rPr>
          <w:rFonts w:hint="eastAsia" w:ascii="宋体" w:hAnsi="宋体" w:eastAsia="宋体" w:cs="宋体"/>
          <w:b/>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.2 供应商认为采购文件、采购过程和成交结果使自己的合法权益受到损害的，可以在知道或者应当知道其权益受到损害之日起七个工作日内，将质疑文件原件送达代理机构。</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24.3 </w:t>
      </w:r>
      <w:r>
        <w:rPr>
          <w:rFonts w:hint="eastAsia" w:ascii="宋体" w:hAnsi="宋体" w:eastAsia="宋体" w:cs="宋体"/>
          <w:color w:val="auto"/>
          <w:szCs w:val="21"/>
          <w:highlight w:val="none"/>
          <w:lang w:val="zh-CN"/>
        </w:rPr>
        <w:t xml:space="preserve">质疑文件应包括以下主要内容，并</w:t>
      </w:r>
      <w:r>
        <w:rPr>
          <w:rFonts w:hint="eastAsia" w:ascii="宋体" w:hAnsi="宋体" w:eastAsia="宋体" w:cs="宋体"/>
          <w:color w:val="auto"/>
          <w:szCs w:val="21"/>
          <w:highlight w:val="none"/>
        </w:rPr>
        <w:t xml:space="preserve">按照“谁主张、谁举证”的原则，附上相关证明材料。否则，代理机构不予受理：</w:t>
      </w:r>
      <w:r>
        <w:rPr>
          <w:rFonts w:hint="eastAsia" w:ascii="宋体" w:hAnsi="宋体" w:eastAsia="宋体" w:cs="宋体"/>
          <w:color w:val="auto"/>
          <w:szCs w:val="21"/>
          <w:highlight w:val="none"/>
        </w:rPr>
      </w:r>
      <w:r>
        <w:rPr>
          <w:color w:val="auto"/>
        </w:rPr>
      </w:r>
    </w:p>
    <w:p>
      <w:pPr>
        <w:pStyle w:val="899"/>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（1）质疑项目名称、项目编号、包号、磋商公告发布时间、磋商时间；</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（2）具体的质疑事项及法律依据（具体条款）；</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（3）质疑相关证明文件或证明材料，如果涉及到产品功能或技术指标的，应出具相关制造商的证明文件（友情提示：</w:t>
      </w:r>
      <w:r>
        <w:rPr>
          <w:rFonts w:hint="eastAsia" w:ascii="宋体" w:hAnsi="宋体" w:eastAsia="宋体" w:cs="宋体"/>
          <w:color w:val="auto"/>
          <w:szCs w:val="21"/>
          <w:highlight w:val="none"/>
        </w:rPr>
        <w:t xml:space="preserve">供应商全部产品线中没有满足技术需求要求的产品才可以对采购产品提出质疑，并提出</w:t>
      </w:r>
      <w:r>
        <w:rPr>
          <w:rFonts w:hint="eastAsia" w:ascii="宋体" w:hAnsi="宋体" w:eastAsia="宋体" w:cs="宋体"/>
          <w:b/>
          <w:bCs/>
          <w:color w:val="auto"/>
          <w:szCs w:val="21"/>
          <w:highlight w:val="none"/>
        </w:rPr>
        <w:t xml:space="preserve">修改理由</w:t>
      </w:r>
      <w:r>
        <w:rPr>
          <w:rFonts w:hint="eastAsia" w:ascii="宋体" w:hAnsi="宋体" w:eastAsia="宋体" w:cs="宋体"/>
          <w:color w:val="auto"/>
          <w:szCs w:val="21"/>
          <w:highlight w:val="none"/>
        </w:rPr>
        <w:t xml:space="preserve">和</w:t>
      </w:r>
      <w:r>
        <w:rPr>
          <w:rFonts w:hint="eastAsia" w:ascii="宋体" w:hAnsi="宋体" w:eastAsia="宋体" w:cs="宋体"/>
          <w:b/>
          <w:bCs/>
          <w:color w:val="auto"/>
          <w:szCs w:val="21"/>
          <w:highlight w:val="none"/>
        </w:rPr>
        <w:t xml:space="preserve">修改建议</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（4）质疑供应商名称、地址、联系方式</w:t>
      </w:r>
      <w:r>
        <w:rPr>
          <w:rFonts w:hint="eastAsia" w:ascii="宋体" w:hAnsi="宋体" w:eastAsia="宋体" w:cs="宋体"/>
          <w:color w:val="auto"/>
          <w:szCs w:val="21"/>
          <w:highlight w:val="none"/>
        </w:rPr>
        <w:t xml:space="preserve">（包括手机、传真号码）</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（5）法定代表人</w:t>
      </w:r>
      <w:r>
        <w:rPr>
          <w:rFonts w:hint="eastAsia" w:ascii="宋体" w:hAnsi="宋体" w:eastAsia="宋体" w:cs="宋体"/>
          <w:color w:val="auto"/>
          <w:szCs w:val="21"/>
          <w:highlight w:val="none"/>
        </w:rPr>
        <w:t xml:space="preserve">签署本人姓名或印盖本人姓名章并加盖单位公章，</w:t>
      </w:r>
      <w:r>
        <w:rPr>
          <w:rFonts w:hint="eastAsia" w:ascii="宋体" w:hAnsi="宋体" w:eastAsia="宋体" w:cs="宋体"/>
          <w:color w:val="auto"/>
          <w:szCs w:val="21"/>
          <w:highlight w:val="none"/>
          <w:lang w:val="zh-CN"/>
        </w:rPr>
        <w:t xml:space="preserve">或</w:t>
      </w:r>
      <w:r>
        <w:rPr>
          <w:rFonts w:hint="eastAsia" w:ascii="宋体" w:hAnsi="宋体" w:eastAsia="宋体" w:cs="宋体"/>
          <w:color w:val="auto"/>
          <w:szCs w:val="21"/>
          <w:highlight w:val="none"/>
        </w:rPr>
        <w:t xml:space="preserve">由参加采购项目的</w:t>
      </w:r>
      <w:r>
        <w:rPr>
          <w:rFonts w:hint="eastAsia" w:ascii="宋体" w:hAnsi="宋体" w:eastAsia="宋体" w:cs="宋体"/>
          <w:color w:val="auto"/>
          <w:szCs w:val="21"/>
          <w:highlight w:val="none"/>
          <w:lang w:val="zh-CN"/>
        </w:rPr>
        <w:t xml:space="preserve">授权委托代理人</w:t>
      </w:r>
      <w:r>
        <w:rPr>
          <w:rFonts w:hint="eastAsia" w:ascii="宋体" w:hAnsi="宋体" w:eastAsia="宋体" w:cs="宋体"/>
          <w:color w:val="auto"/>
          <w:szCs w:val="21"/>
          <w:highlight w:val="none"/>
        </w:rPr>
        <w:t xml:space="preserve">签署本人姓名或印盖本人姓名章并加盖单位公章</w:t>
      </w:r>
      <w:r>
        <w:rPr>
          <w:rFonts w:hint="eastAsia" w:ascii="宋体" w:hAnsi="宋体" w:eastAsia="宋体" w:cs="宋体"/>
          <w:color w:val="auto"/>
          <w:szCs w:val="21"/>
          <w:highlight w:val="none"/>
          <w:lang w:val="zh-CN"/>
        </w:rPr>
        <w:t xml:space="preserve">等。</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rPr>
        <w:t xml:space="preserve">质疑必须书面原件送达的方式提交，内容应符合《江苏省政府采购供应商监督管理暂行办法》的相关规定，须一次性提出全部问题及相关质疑资料，未按上述要求提交的质疑函（含传真、电子邮件等）代理机构有权不予受理。</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 供应商不得虚假质疑和恶意质疑，并对质疑内容的真实性承担责任。</w:t>
      </w:r>
      <w:r>
        <w:rPr>
          <w:rFonts w:hint="eastAsia" w:ascii="宋体" w:hAnsi="宋体" w:eastAsia="宋体" w:cs="宋体"/>
          <w:color w:val="auto"/>
          <w:szCs w:val="21"/>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24.6 代理机构在收到供应商的书面质疑后将及时组织调查核实，在</w:t>
      </w:r>
      <w:r>
        <w:rPr>
          <w:rFonts w:hint="eastAsia" w:ascii="宋体" w:hAnsi="宋体" w:eastAsia="宋体" w:cs="宋体"/>
          <w:b/>
          <w:bCs/>
          <w:color w:val="auto"/>
          <w:szCs w:val="21"/>
          <w:highlight w:val="none"/>
          <w:lang w:val="zh-CN"/>
        </w:rPr>
        <w:t xml:space="preserve">七个工作日内</w:t>
      </w:r>
      <w:r>
        <w:rPr>
          <w:rFonts w:hint="eastAsia" w:ascii="宋体" w:hAnsi="宋体" w:eastAsia="宋体" w:cs="宋体"/>
          <w:color w:val="auto"/>
          <w:szCs w:val="21"/>
          <w:highlight w:val="none"/>
          <w:lang w:val="zh-CN"/>
        </w:rPr>
        <w:t xml:space="preserve">作出答复，并以书面或在网站公告形式通知质疑供应商和其他有关供应商，答复的内容不涉及商业秘密。</w:t>
      </w:r>
      <w:r>
        <w:rPr>
          <w:rFonts w:hint="eastAsia" w:ascii="宋体" w:hAnsi="宋体" w:eastAsia="宋体" w:cs="宋体"/>
          <w:color w:val="auto"/>
          <w:szCs w:val="21"/>
          <w:highlight w:val="none"/>
        </w:rPr>
        <w:t xml:space="preserve">代理机构遵循“谁过错谁负担”的原则，有过错的一方承担调查论证费用。</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lang w:val="zh-CN"/>
        </w:rPr>
        <w:t xml:space="preserve">投诉</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质疑供应商对代理机构的答复不满意，或代理机构未在规定的时间内作出答复的，可以在答复期满后</w:t>
      </w:r>
      <w:r>
        <w:rPr>
          <w:rFonts w:hint="eastAsia" w:ascii="宋体" w:hAnsi="宋体" w:eastAsia="宋体" w:cs="宋体"/>
          <w:b/>
          <w:bCs/>
          <w:color w:val="auto"/>
          <w:szCs w:val="21"/>
          <w:highlight w:val="none"/>
          <w:lang w:val="zh-CN"/>
        </w:rPr>
        <w:t xml:space="preserve">十五个工作日内</w:t>
      </w:r>
      <w:r>
        <w:rPr>
          <w:rFonts w:hint="eastAsia" w:ascii="宋体" w:hAnsi="宋体" w:eastAsia="宋体" w:cs="宋体"/>
          <w:color w:val="auto"/>
          <w:szCs w:val="21"/>
          <w:highlight w:val="none"/>
          <w:lang w:val="zh-CN"/>
        </w:rPr>
        <w:t xml:space="preserve">向同级财政部门投诉。</w:t>
      </w:r>
      <w:r>
        <w:rPr>
          <w:rFonts w:hint="eastAsia" w:ascii="宋体" w:hAnsi="宋体" w:eastAsia="宋体" w:cs="宋体"/>
          <w:color w:val="auto"/>
          <w:highlight w:val="none"/>
        </w:rPr>
        <w:t xml:space="preserve">   </w:t>
      </w:r>
      <w:r>
        <w:rPr>
          <w:rFonts w:hint="eastAsia" w:ascii="宋体" w:hAnsi="宋体" w:eastAsia="宋体" w:cs="宋体"/>
          <w:color w:val="auto"/>
          <w:highlight w:val="none"/>
        </w:rPr>
      </w:r>
      <w:r>
        <w:rPr>
          <w:color w:val="auto"/>
        </w:rPr>
      </w:r>
    </w:p>
    <w:p>
      <w:pPr>
        <w:pStyle w:val="899"/>
        <w:ind w:firstLine="420"/>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zh-CN"/>
        </w:rPr>
        <w:t xml:space="preserve">2</w:t>
      </w:r>
      <w:r>
        <w:rPr>
          <w:rFonts w:hint="eastAsia" w:ascii="宋体" w:hAnsi="宋体" w:eastAsia="宋体" w:cs="宋体"/>
          <w:b/>
          <w:bCs/>
          <w:color w:val="auto"/>
          <w:szCs w:val="21"/>
          <w:highlight w:val="none"/>
          <w:lang w:val="zh-CN" w:eastAsia="zh-CN"/>
        </w:rPr>
        <w:t xml:space="preserve">6</w:t>
      </w:r>
      <w:r>
        <w:rPr>
          <w:rFonts w:hint="eastAsia" w:ascii="宋体" w:hAnsi="宋体" w:eastAsia="宋体" w:cs="宋体"/>
          <w:b/>
          <w:bCs/>
          <w:color w:val="auto"/>
          <w:szCs w:val="21"/>
          <w:highlight w:val="none"/>
          <w:lang w:val="zh-CN"/>
        </w:rPr>
        <w:t xml:space="preserve">、诚实信用</w:t>
      </w:r>
      <w:r>
        <w:rPr>
          <w:rFonts w:hint="eastAsia" w:ascii="宋体" w:hAnsi="宋体" w:eastAsia="宋体" w:cs="宋体"/>
          <w:b/>
          <w:bCs/>
          <w:color w:val="auto"/>
          <w:szCs w:val="21"/>
          <w:highlight w:val="none"/>
          <w:lang w:val="zh-CN"/>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rPr>
        <w:t xml:space="preserve">.1 供应商之间不得相互串通投标报价，不得妨碍其他供应商的公平竞争，不得损害采购人和其他供应商的合法权益。</w:t>
      </w:r>
      <w:r>
        <w:rPr>
          <w:rFonts w:hint="eastAsia" w:ascii="宋体" w:hAnsi="宋体" w:eastAsia="宋体" w:cs="宋体"/>
          <w:color w:val="auto"/>
          <w:highlight w:val="none"/>
          <w:lang w:val="zh-CN"/>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rPr>
        <w:t xml:space="preserve">.2 供应商不得以向代理机构工作人员、评标委员会成员行贿或者采取其他不正当手段谋取中标。经查实供应商有此行为的，</w:t>
      </w:r>
      <w:r>
        <w:rPr>
          <w:rFonts w:hint="eastAsia" w:ascii="宋体" w:hAnsi="宋体" w:eastAsia="宋体" w:cs="宋体"/>
          <w:color w:val="auto"/>
          <w:highlight w:val="none"/>
        </w:rPr>
        <w:t xml:space="preserve">政府采购管理部门将供应商列入不良行为记录名单，按照《政府采购法》有关规定处理。</w:t>
      </w:r>
      <w:r>
        <w:rPr>
          <w:rFonts w:hint="eastAsia" w:ascii="宋体" w:hAnsi="宋体" w:eastAsia="宋体" w:cs="宋体"/>
          <w:color w:val="auto"/>
          <w:highlight w:val="none"/>
          <w:lang w:val="zh-CN"/>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rPr>
        <w:t xml:space="preserve">.3 供应商不得虚假质疑和恶意质疑，并对质疑内容的真实性承担责任。</w:t>
      </w:r>
      <w:r>
        <w:rPr>
          <w:rFonts w:hint="eastAsia" w:ascii="宋体" w:hAnsi="宋体" w:eastAsia="宋体" w:cs="宋体"/>
          <w:color w:val="auto"/>
          <w:highlight w:val="none"/>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auto"/>
          <w:highlight w:val="none"/>
        </w:rPr>
      </w:r>
      <w:r>
        <w:rPr>
          <w:color w:val="auto"/>
        </w:rPr>
      </w:r>
    </w:p>
    <w:p>
      <w:pPr>
        <w:pStyle w:val="899"/>
        <w:ind w:firstLine="420"/>
        <w:jc w:val="left"/>
        <w:rPr>
          <w:rFonts w:hint="eastAsia" w:ascii="宋体" w:hAnsi="宋体" w:eastAsia="宋体" w:cs="宋体"/>
          <w:color w:val="auto"/>
          <w:highlight w:val="none"/>
        </w:rPr>
        <w:outlineLvl w:val="9"/>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rPr>
        <w:t xml:space="preserve">.4 供应商不得虚假承诺，否则，按照提供虚假材料谋取中标成交处理。</w:t>
      </w:r>
      <w:r>
        <w:rPr>
          <w:rFonts w:hint="eastAsia" w:ascii="宋体" w:hAnsi="宋体" w:eastAsia="宋体" w:cs="宋体"/>
          <w:color w:val="auto"/>
          <w:highlight w:val="none"/>
          <w:lang w:val="zh-CN"/>
        </w:rPr>
      </w:r>
      <w:r>
        <w:rPr>
          <w:color w:val="auto"/>
        </w:rPr>
      </w:r>
    </w:p>
    <w:p>
      <w:pPr>
        <w:pStyle w:val="899"/>
        <w:ind w:firstLine="420"/>
        <w:jc w:val="left"/>
        <w:rPr>
          <w:rFonts w:hint="eastAsia" w:ascii="宋体" w:hAnsi="宋体" w:eastAsia="宋体" w:cs="宋体"/>
          <w:color w:val="auto"/>
          <w:highlight w:val="none"/>
        </w:rPr>
        <w:outlineLvl w:val="9"/>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rPr>
        <w:t xml:space="preserve">.5 供应商应自觉遵守开标、评标纪律，扰乱开标评标现场秩序的，属于失信行为，根据《江苏省政府采购供应商监督管理暂行办法》，失信行为将被记入供应商诚信档案。</w:t>
      </w:r>
      <w:r>
        <w:rPr>
          <w:rFonts w:hint="eastAsia" w:ascii="宋体" w:hAnsi="宋体" w:eastAsia="宋体" w:cs="宋体"/>
          <w:color w:val="auto"/>
          <w:highlight w:val="none"/>
          <w:lang w:val="zh-CN"/>
        </w:rPr>
      </w:r>
      <w:r>
        <w:rPr>
          <w:color w:val="auto"/>
        </w:rPr>
      </w:r>
    </w:p>
    <w:p>
      <w:pPr>
        <w:pStyle w:val="899"/>
        <w:ind w:firstLine="420"/>
        <w:jc w:val="left"/>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26.6违反信用承诺的法律责任</w:t>
      </w:r>
      <w:r>
        <w:rPr>
          <w:rFonts w:hint="eastAsia" w:ascii="宋体" w:hAnsi="宋体" w:eastAsia="宋体" w:cs="宋体"/>
          <w:color w:val="auto"/>
          <w:highlight w:val="none"/>
          <w:lang w:val="en-US" w:eastAsia="zh-CN"/>
        </w:rPr>
      </w:r>
      <w:r>
        <w:rPr>
          <w:color w:val="auto"/>
        </w:rPr>
      </w:r>
    </w:p>
    <w:p>
      <w:pPr>
        <w:pStyle w:val="899"/>
        <w:ind w:firstLine="420"/>
        <w:jc w:val="left"/>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color w:val="auto"/>
          <w:highlight w:val="none"/>
          <w:lang w:val="en-US" w:eastAsia="zh-CN"/>
        </w:rPr>
      </w:r>
      <w:r>
        <w:rPr>
          <w:color w:val="auto"/>
        </w:rPr>
      </w:r>
    </w:p>
    <w:p>
      <w:pPr>
        <w:pStyle w:val="899"/>
        <w:jc w:val="center"/>
        <w:rPr>
          <w:rFonts w:hint="eastAsia" w:ascii="宋体" w:hAnsi="宋体" w:eastAsia="宋体" w:cs="宋体"/>
          <w:color w:val="auto"/>
          <w:sz w:val="36"/>
          <w:szCs w:val="36"/>
          <w:highlight w:val="none"/>
        </w:rPr>
        <w:outlineLvl w:val="0"/>
      </w:pPr>
      <w:r>
        <w:rPr>
          <w:rFonts w:hint="eastAsia" w:ascii="宋体" w:hAnsi="宋体" w:eastAsia="宋体" w:cs="宋体"/>
          <w:color w:val="auto"/>
          <w:highlight w:val="none"/>
        </w:rPr>
        <w:br w:type="page" w:clear="all"/>
      </w:r>
      <w:bookmarkStart w:id="288" w:name="_Toc13815"/>
      <w:r>
        <w:rPr>
          <w:color w:val="auto"/>
        </w:rPr>
      </w:r>
      <w:bookmarkStart w:id="289" w:name="_Toc10709"/>
      <w:r>
        <w:rPr>
          <w:color w:val="auto"/>
        </w:rPr>
      </w:r>
      <w:bookmarkStart w:id="290" w:name="_Toc19197"/>
      <w:r>
        <w:rPr>
          <w:color w:val="auto"/>
        </w:rPr>
      </w:r>
      <w:bookmarkStart w:id="291" w:name="_Toc16990"/>
      <w:r>
        <w:rPr>
          <w:color w:val="auto"/>
        </w:rPr>
      </w:r>
      <w:bookmarkStart w:id="292" w:name="_Toc8186"/>
      <w:r>
        <w:rPr>
          <w:color w:val="auto"/>
        </w:rPr>
      </w:r>
      <w:bookmarkStart w:id="293" w:name="_Toc3119"/>
      <w:r>
        <w:rPr>
          <w:color w:val="auto"/>
        </w:rPr>
      </w:r>
      <w:bookmarkStart w:id="294" w:name="_Toc17206"/>
      <w:r>
        <w:rPr>
          <w:color w:val="auto"/>
        </w:rPr>
      </w:r>
      <w:bookmarkStart w:id="295" w:name="_Toc27469"/>
      <w:r>
        <w:rPr>
          <w:color w:val="auto"/>
        </w:rPr>
      </w:r>
      <w:bookmarkStart w:id="296" w:name="_Toc5025"/>
      <w:r>
        <w:rPr>
          <w:color w:val="auto"/>
        </w:rPr>
      </w:r>
      <w:bookmarkStart w:id="297" w:name="_Toc10559"/>
      <w:r>
        <w:rPr>
          <w:color w:val="auto"/>
        </w:rPr>
      </w:r>
      <w:bookmarkStart w:id="298" w:name="_Toc18181"/>
      <w:r>
        <w:rPr>
          <w:color w:val="auto"/>
        </w:rPr>
      </w:r>
      <w:bookmarkStart w:id="299" w:name="_Toc764"/>
      <w:r>
        <w:rPr>
          <w:color w:val="auto"/>
        </w:rPr>
      </w:r>
      <w:bookmarkStart w:id="300" w:name="_Toc25136"/>
      <w:r>
        <w:rPr>
          <w:color w:val="auto"/>
        </w:rPr>
      </w:r>
      <w:bookmarkStart w:id="301" w:name="_Toc21449"/>
      <w:r>
        <w:rPr>
          <w:color w:val="auto"/>
        </w:rPr>
      </w:r>
      <w:bookmarkStart w:id="302" w:name="_Toc8477"/>
      <w:r>
        <w:rPr>
          <w:color w:val="auto"/>
        </w:rPr>
      </w:r>
      <w:bookmarkStart w:id="303" w:name="_Toc21172"/>
      <w:r>
        <w:rPr>
          <w:rFonts w:hint="eastAsia" w:ascii="宋体" w:hAnsi="宋体" w:eastAsia="宋体" w:cs="宋体"/>
          <w:color w:val="auto"/>
          <w:sz w:val="36"/>
          <w:szCs w:val="36"/>
          <w:highlight w:val="none"/>
          <w:lang w:val="zh-CN"/>
        </w:rPr>
        <w:t xml:space="preserve">第三章</w:t>
      </w: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lang w:val="zh-CN"/>
        </w:rPr>
        <w:t xml:space="preserve"> 磋商项目需求</w:t>
      </w:r>
      <w:bookmarkEnd w:id="288"/>
      <w:r>
        <w:rPr>
          <w:color w:val="auto"/>
        </w:rPr>
      </w:r>
      <w:bookmarkEnd w:id="289"/>
      <w:r>
        <w:rPr>
          <w:color w:val="auto"/>
        </w:rPr>
      </w:r>
      <w:bookmarkEnd w:id="290"/>
      <w:r>
        <w:rPr>
          <w:color w:val="auto"/>
        </w:rPr>
      </w:r>
      <w:bookmarkEnd w:id="291"/>
      <w:r>
        <w:rPr>
          <w:color w:val="auto"/>
        </w:rPr>
      </w:r>
      <w:bookmarkEnd w:id="292"/>
      <w:r>
        <w:rPr>
          <w:color w:val="auto"/>
        </w:rPr>
      </w:r>
      <w:bookmarkEnd w:id="293"/>
      <w:r>
        <w:rPr>
          <w:color w:val="auto"/>
        </w:rPr>
      </w:r>
      <w:bookmarkEnd w:id="294"/>
      <w:r>
        <w:rPr>
          <w:color w:val="auto"/>
        </w:rPr>
      </w:r>
      <w:bookmarkEnd w:id="295"/>
      <w:r>
        <w:rPr>
          <w:color w:val="auto"/>
        </w:rPr>
      </w:r>
      <w:bookmarkEnd w:id="296"/>
      <w:r>
        <w:rPr>
          <w:color w:val="auto"/>
        </w:rPr>
      </w:r>
      <w:bookmarkEnd w:id="297"/>
      <w:r>
        <w:rPr>
          <w:color w:val="auto"/>
        </w:rPr>
      </w:r>
      <w:bookmarkEnd w:id="298"/>
      <w:r>
        <w:rPr>
          <w:color w:val="auto"/>
        </w:rPr>
      </w:r>
      <w:bookmarkEnd w:id="299"/>
      <w:r>
        <w:rPr>
          <w:color w:val="auto"/>
        </w:rPr>
      </w:r>
      <w:bookmarkEnd w:id="300"/>
      <w:r>
        <w:rPr>
          <w:color w:val="auto"/>
        </w:rPr>
      </w:r>
      <w:bookmarkEnd w:id="301"/>
      <w:r>
        <w:rPr>
          <w:color w:val="auto"/>
        </w:rPr>
      </w:r>
      <w:bookmarkEnd w:id="302"/>
      <w:r>
        <w:rPr>
          <w:color w:val="auto"/>
        </w:rPr>
      </w:r>
      <w:bookmarkEnd w:id="303"/>
      <w:r>
        <w:rPr>
          <w:rFonts w:hint="eastAsia" w:ascii="宋体" w:hAnsi="宋体" w:eastAsia="宋体" w:cs="宋体"/>
          <w:color w:val="auto"/>
          <w:sz w:val="36"/>
          <w:szCs w:val="36"/>
          <w:highlight w:val="none"/>
          <w:lang w:val="zh-CN"/>
        </w:rPr>
      </w:r>
      <w:r>
        <w:rPr>
          <w:color w:val="auto"/>
        </w:rPr>
      </w:r>
    </w:p>
    <w:p>
      <w:pPr>
        <w:pStyle w:val="899"/>
        <w:spacing w:line="360" w:lineRule="auto"/>
        <w:rPr>
          <w:rFonts w:hint="eastAsia" w:ascii="宋体" w:hAnsi="宋体" w:eastAsia="宋体" w:cs="宋体"/>
          <w:b/>
          <w:color w:val="auto"/>
          <w:sz w:val="28"/>
          <w:szCs w:val="28"/>
          <w:highlight w:val="none"/>
        </w:rPr>
        <w:outlineLvl w:val="1"/>
      </w:pPr>
      <w:r>
        <w:rPr>
          <w:color w:val="auto"/>
        </w:rPr>
      </w:r>
      <w:bookmarkStart w:id="304" w:name="_Toc7522"/>
      <w:r>
        <w:rPr>
          <w:color w:val="auto"/>
        </w:rPr>
      </w:r>
      <w:bookmarkStart w:id="305" w:name="_Toc1618"/>
      <w:r>
        <w:rPr>
          <w:color w:val="auto"/>
        </w:rPr>
      </w:r>
      <w:bookmarkStart w:id="306" w:name="_Toc18898"/>
      <w:r>
        <w:rPr>
          <w:color w:val="auto"/>
        </w:rPr>
      </w:r>
      <w:bookmarkStart w:id="307" w:name="_Toc7588"/>
      <w:r>
        <w:rPr>
          <w:color w:val="auto"/>
        </w:rPr>
      </w:r>
      <w:bookmarkStart w:id="308" w:name="_Toc29080"/>
      <w:r>
        <w:rPr>
          <w:color w:val="auto"/>
        </w:rPr>
      </w:r>
      <w:bookmarkStart w:id="309" w:name="_Toc22403"/>
      <w:r>
        <w:rPr>
          <w:color w:val="auto"/>
        </w:rPr>
      </w:r>
      <w:bookmarkStart w:id="310" w:name="_Toc1998"/>
      <w:r>
        <w:rPr>
          <w:color w:val="auto"/>
        </w:rPr>
      </w:r>
      <w:bookmarkStart w:id="311" w:name="_Toc30556"/>
      <w:r>
        <w:rPr>
          <w:color w:val="auto"/>
        </w:rPr>
      </w:r>
      <w:bookmarkStart w:id="312" w:name="_Toc461864499"/>
      <w:r>
        <w:rPr>
          <w:color w:val="auto"/>
        </w:rPr>
      </w:r>
      <w:bookmarkStart w:id="313" w:name="_Toc13287"/>
      <w:r>
        <w:rPr>
          <w:color w:val="auto"/>
        </w:rPr>
      </w:r>
      <w:bookmarkStart w:id="314" w:name="_Toc32312"/>
      <w:r>
        <w:rPr>
          <w:color w:val="auto"/>
        </w:rPr>
      </w:r>
      <w:bookmarkStart w:id="315" w:name="_Toc13576"/>
      <w:r>
        <w:rPr>
          <w:color w:val="auto"/>
        </w:rPr>
      </w:r>
      <w:bookmarkStart w:id="316" w:name="_Toc13505"/>
      <w:r>
        <w:rPr>
          <w:color w:val="auto"/>
        </w:rPr>
      </w:r>
      <w:bookmarkStart w:id="317" w:name="_Toc27339"/>
      <w:r>
        <w:rPr>
          <w:color w:val="auto"/>
        </w:rPr>
      </w:r>
      <w:bookmarkStart w:id="318" w:name="_Toc455956315"/>
      <w:r>
        <w:rPr>
          <w:color w:val="auto"/>
        </w:rPr>
      </w:r>
      <w:bookmarkStart w:id="319" w:name="_Toc28629"/>
      <w:r>
        <w:rPr>
          <w:color w:val="auto"/>
        </w:rPr>
      </w:r>
      <w:bookmarkStart w:id="320" w:name="_Toc488141921"/>
      <w:r>
        <w:rPr>
          <w:color w:val="auto"/>
        </w:rPr>
      </w:r>
      <w:bookmarkStart w:id="321" w:name="_Toc513558055"/>
      <w:r>
        <w:rPr>
          <w:color w:val="auto"/>
        </w:rPr>
      </w:r>
      <w:bookmarkStart w:id="322" w:name="_Toc484706996"/>
      <w:r>
        <w:rPr>
          <w:color w:val="auto"/>
        </w:rPr>
      </w:r>
      <w:bookmarkStart w:id="323" w:name="_Toc18948"/>
      <w:r>
        <w:rPr>
          <w:color w:val="auto"/>
        </w:rPr>
      </w:r>
      <w:bookmarkStart w:id="324" w:name="_Toc383764485"/>
      <w:r>
        <w:rPr>
          <w:color w:val="auto"/>
        </w:rPr>
      </w:r>
      <w:bookmarkStart w:id="325" w:name="_Toc24900"/>
      <w:r>
        <w:rPr>
          <w:color w:val="auto"/>
        </w:rPr>
      </w:r>
      <w:bookmarkStart w:id="326" w:name="_Toc25218"/>
      <w:r>
        <w:rPr>
          <w:color w:val="auto"/>
        </w:rPr>
      </w:r>
      <w:bookmarkStart w:id="327" w:name="_Toc26699"/>
      <w:r>
        <w:rPr>
          <w:color w:val="auto"/>
        </w:rPr>
      </w:r>
      <w:bookmarkStart w:id="328" w:name="_Toc23360"/>
      <w:r>
        <w:rPr>
          <w:color w:val="auto"/>
        </w:rPr>
      </w:r>
      <w:bookmarkStart w:id="329" w:name="_Toc504141751"/>
      <w:r>
        <w:rPr>
          <w:color w:val="auto"/>
        </w:rPr>
      </w:r>
      <w:bookmarkStart w:id="330" w:name="_Toc9174"/>
      <w:r>
        <w:rPr>
          <w:color w:val="auto"/>
        </w:rPr>
      </w:r>
      <w:bookmarkStart w:id="331" w:name="_Toc15461"/>
      <w:r>
        <w:rPr>
          <w:color w:val="auto"/>
        </w:rPr>
      </w:r>
      <w:bookmarkStart w:id="332" w:name="_Toc21270"/>
      <w:r>
        <w:rPr>
          <w:color w:val="auto"/>
        </w:rPr>
      </w:r>
      <w:bookmarkStart w:id="333" w:name="_Toc28898"/>
      <w:r>
        <w:rPr>
          <w:color w:val="auto"/>
        </w:rPr>
      </w:r>
      <w:bookmarkStart w:id="334" w:name="_Toc29294"/>
      <w:r>
        <w:rPr>
          <w:color w:val="auto"/>
        </w:rPr>
      </w:r>
      <w:bookmarkStart w:id="335" w:name="_Toc4141"/>
      <w:r>
        <w:rPr>
          <w:color w:val="auto"/>
        </w:rPr>
      </w:r>
      <w:bookmarkStart w:id="336" w:name="_Toc11659"/>
      <w:r>
        <w:rPr>
          <w:color w:val="auto"/>
        </w:rPr>
      </w:r>
      <w:bookmarkStart w:id="337" w:name="_Toc25532"/>
      <w:r>
        <w:rPr>
          <w:color w:val="auto"/>
        </w:rPr>
      </w:r>
      <w:bookmarkStart w:id="338" w:name="_Toc24094"/>
      <w:r>
        <w:rPr>
          <w:rFonts w:hint="eastAsia" w:ascii="宋体" w:hAnsi="宋体" w:eastAsia="宋体" w:cs="宋体"/>
          <w:b/>
          <w:color w:val="auto"/>
          <w:sz w:val="28"/>
          <w:szCs w:val="28"/>
          <w:highlight w:val="none"/>
          <w:lang w:val="zh-CN"/>
        </w:rPr>
        <w:t xml:space="preserve">一、项目概况</w:t>
      </w:r>
      <w:bookmarkEnd w:id="304"/>
      <w:r>
        <w:rPr>
          <w:color w:val="auto"/>
        </w:rPr>
      </w:r>
      <w:bookmarkEnd w:id="305"/>
      <w:r>
        <w:rPr>
          <w:color w:val="auto"/>
        </w:rPr>
      </w:r>
      <w:bookmarkEnd w:id="306"/>
      <w:r>
        <w:rPr>
          <w:color w:val="auto"/>
        </w:rPr>
      </w:r>
      <w:bookmarkEnd w:id="307"/>
      <w:r>
        <w:rPr>
          <w:color w:val="auto"/>
        </w:rPr>
      </w:r>
      <w:bookmarkEnd w:id="308"/>
      <w:r>
        <w:rPr>
          <w:color w:val="auto"/>
        </w:rPr>
      </w:r>
      <w:bookmarkEnd w:id="309"/>
      <w:r>
        <w:rPr>
          <w:color w:val="auto"/>
        </w:rPr>
      </w:r>
      <w:bookmarkEnd w:id="310"/>
      <w:r>
        <w:rPr>
          <w:color w:val="auto"/>
        </w:rPr>
      </w:r>
      <w:bookmarkEnd w:id="311"/>
      <w:r>
        <w:rPr>
          <w:color w:val="auto"/>
        </w:rPr>
      </w:r>
      <w:bookmarkEnd w:id="312"/>
      <w:r>
        <w:rPr>
          <w:color w:val="auto"/>
        </w:rPr>
      </w:r>
      <w:bookmarkEnd w:id="313"/>
      <w:r>
        <w:rPr>
          <w:color w:val="auto"/>
        </w:rPr>
      </w:r>
      <w:bookmarkEnd w:id="314"/>
      <w:r>
        <w:rPr>
          <w:color w:val="auto"/>
        </w:rPr>
      </w:r>
      <w:bookmarkEnd w:id="315"/>
      <w:r>
        <w:rPr>
          <w:color w:val="auto"/>
        </w:rPr>
      </w:r>
      <w:bookmarkEnd w:id="316"/>
      <w:r>
        <w:rPr>
          <w:color w:val="auto"/>
        </w:rPr>
      </w:r>
      <w:bookmarkEnd w:id="317"/>
      <w:r>
        <w:rPr>
          <w:color w:val="auto"/>
        </w:rPr>
      </w:r>
      <w:bookmarkEnd w:id="318"/>
      <w:r>
        <w:rPr>
          <w:color w:val="auto"/>
        </w:rPr>
      </w:r>
      <w:bookmarkEnd w:id="319"/>
      <w:r>
        <w:rPr>
          <w:rFonts w:hint="eastAsia" w:ascii="宋体" w:hAnsi="宋体" w:eastAsia="宋体" w:cs="宋体"/>
          <w:b/>
          <w:color w:val="auto"/>
          <w:sz w:val="28"/>
          <w:szCs w:val="28"/>
          <w:highlight w:val="none"/>
          <w:lang w:val="zh-CN"/>
        </w:rPr>
      </w:r>
      <w:r>
        <w:rPr>
          <w:color w:val="auto"/>
        </w:rPr>
      </w:r>
    </w:p>
    <w:p>
      <w:pPr>
        <w:pStyle w:val="899"/>
        <w:ind w:firstLine="482"/>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1、项目名称：</w:t>
      </w:r>
      <w:r>
        <w:rPr>
          <w:rFonts w:hint="eastAsia" w:ascii="宋体" w:hAnsi="宋体" w:eastAsia="宋体" w:cs="宋体"/>
          <w:color w:val="auto"/>
          <w:sz w:val="24"/>
          <w:szCs w:val="24"/>
          <w:highlight w:val="none"/>
          <w:lang w:val="en-US" w:eastAsia="zh-CN"/>
        </w:rPr>
        <w:t xml:space="preserve">东山街道大马涵泵站等七座雨水泵站维保</w:t>
      </w:r>
      <w:r>
        <w:rPr>
          <w:rFonts w:hint="eastAsia" w:ascii="宋体" w:hAnsi="宋体" w:eastAsia="宋体" w:cs="宋体"/>
          <w:color w:val="auto"/>
          <w:sz w:val="24"/>
          <w:szCs w:val="24"/>
          <w:highlight w:val="none"/>
          <w:lang w:val="en-US" w:eastAsia="zh-CN"/>
        </w:rPr>
      </w:r>
      <w:r>
        <w:rPr>
          <w:color w:val="auto"/>
        </w:rPr>
      </w:r>
    </w:p>
    <w:p>
      <w:pPr>
        <w:pStyle w:val="899"/>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2、项目背景：</w:t>
      </w:r>
      <w:r>
        <w:rPr>
          <w:rFonts w:hint="eastAsia" w:ascii="宋体" w:hAnsi="宋体" w:eastAsia="宋体" w:cs="宋体"/>
          <w:color w:val="auto"/>
          <w:sz w:val="24"/>
          <w:szCs w:val="24"/>
          <w:highlight w:val="none"/>
          <w:lang w:val="en-US" w:eastAsia="zh-CN"/>
        </w:rPr>
        <w:t xml:space="preserve">东山街道大马涵泵站等七座雨水泵站维保项目采购。拟通过竞争性磋商方式确定维保服务单位。</w:t>
      </w:r>
      <w:r>
        <w:rPr>
          <w:rFonts w:hint="eastAsia" w:ascii="宋体" w:hAnsi="宋体" w:eastAsia="宋体" w:cs="宋体"/>
          <w:b/>
          <w:bCs/>
          <w:color w:val="auto"/>
          <w:sz w:val="24"/>
          <w:szCs w:val="24"/>
          <w:highlight w:val="none"/>
          <w:lang w:val="en-US" w:eastAsia="zh-CN"/>
        </w:rPr>
      </w:r>
      <w:r>
        <w:rPr>
          <w:color w:val="auto"/>
        </w:rPr>
      </w:r>
    </w:p>
    <w:p>
      <w:pPr>
        <w:pStyle w:val="899"/>
        <w:ind w:firstLine="482"/>
        <w:jc w:val="left"/>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3、项目预算：</w:t>
      </w:r>
      <w:r>
        <w:rPr>
          <w:rFonts w:hint="eastAsia" w:ascii="宋体" w:hAnsi="宋体" w:eastAsia="宋体" w:cs="宋体"/>
          <w:b w:val="0"/>
          <w:bCs w:val="0"/>
          <w:color w:val="auto"/>
          <w:sz w:val="24"/>
          <w:szCs w:val="24"/>
          <w:highlight w:val="none"/>
          <w:u w:val="none"/>
          <w:lang w:val="en-US" w:eastAsia="zh-CN"/>
        </w:rPr>
        <w:t xml:space="preserve">72</w:t>
      </w:r>
      <w:r>
        <w:rPr>
          <w:rFonts w:hint="eastAsia" w:ascii="宋体" w:hAnsi="宋体" w:eastAsia="宋体" w:cs="宋体"/>
          <w:b w:val="0"/>
          <w:bCs w:val="0"/>
          <w:color w:val="auto"/>
          <w:sz w:val="24"/>
          <w:szCs w:val="24"/>
          <w:highlight w:val="none"/>
          <w:lang w:val="en-US" w:eastAsia="zh-CN"/>
        </w:rPr>
        <w:t xml:space="preserve">万元/年，总预算144万元。</w:t>
      </w:r>
      <w:r>
        <w:rPr>
          <w:rFonts w:hint="eastAsia" w:ascii="宋体" w:hAnsi="宋体" w:eastAsia="宋体" w:cs="宋体"/>
          <w:b w:val="0"/>
          <w:bCs w:val="0"/>
          <w:color w:val="auto"/>
          <w:sz w:val="24"/>
          <w:szCs w:val="24"/>
          <w:highlight w:val="none"/>
          <w:lang w:val="en-US" w:eastAsia="zh-CN"/>
        </w:rPr>
      </w:r>
      <w:r>
        <w:rPr>
          <w:color w:val="auto"/>
        </w:rPr>
      </w:r>
    </w:p>
    <w:p>
      <w:pPr>
        <w:pStyle w:val="899"/>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最高限价：</w:t>
      </w:r>
      <w:r>
        <w:rPr>
          <w:rFonts w:hint="eastAsia" w:ascii="宋体" w:hAnsi="宋体" w:eastAsia="宋体" w:cs="宋体"/>
          <w:b w:val="0"/>
          <w:bCs w:val="0"/>
          <w:color w:val="auto"/>
          <w:sz w:val="24"/>
          <w:szCs w:val="24"/>
          <w:highlight w:val="none"/>
          <w:lang w:val="en-US" w:eastAsia="zh-CN"/>
        </w:rPr>
        <w:t xml:space="preserve">71.87万元/年（</w:t>
      </w:r>
      <w:r>
        <w:rPr>
          <w:rFonts w:hint="eastAsia" w:ascii="宋体" w:hAnsi="宋体" w:eastAsia="宋体" w:cs="宋体"/>
          <w:color w:val="auto"/>
          <w:sz w:val="24"/>
          <w:szCs w:val="24"/>
          <w:highlight w:val="none"/>
          <w:lang w:val="en-US" w:eastAsia="zh-CN"/>
        </w:rPr>
        <w:t xml:space="preserve">供应商报价高于最高限价的，作无效标处理。</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r>
      <w:r>
        <w:rPr>
          <w:color w:val="auto"/>
        </w:rPr>
      </w:r>
    </w:p>
    <w:p>
      <w:pPr>
        <w:pStyle w:val="899"/>
        <w:ind w:firstLine="482"/>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5、服务期限：</w:t>
      </w:r>
      <w:r>
        <w:rPr>
          <w:rFonts w:hint="eastAsia" w:ascii="宋体" w:hAnsi="宋体" w:eastAsia="宋体" w:cs="宋体"/>
          <w:color w:val="auto"/>
          <w:sz w:val="24"/>
          <w:szCs w:val="24"/>
          <w:highlight w:val="none"/>
          <w:lang w:val="en-US" w:eastAsia="zh-CN"/>
        </w:rPr>
        <w:t xml:space="preserve">两年</w:t>
      </w:r>
      <w:r>
        <w:rPr>
          <w:rFonts w:hint="eastAsia" w:ascii="宋体" w:hAnsi="宋体" w:eastAsia="宋体" w:cs="宋体"/>
          <w:color w:val="auto"/>
          <w:sz w:val="24"/>
          <w:szCs w:val="24"/>
          <w:highlight w:val="none"/>
          <w:lang w:eastAsia="zh-CN"/>
        </w:rPr>
        <w:t xml:space="preserve">（合同一年一签，逐年考核。）</w:t>
      </w:r>
      <w:r>
        <w:rPr>
          <w:rFonts w:hint="eastAsia" w:ascii="宋体" w:hAnsi="宋体" w:eastAsia="宋体" w:cs="宋体"/>
          <w:color w:val="auto"/>
          <w:sz w:val="24"/>
          <w:szCs w:val="24"/>
          <w:highlight w:val="none"/>
          <w:lang w:val="en-US" w:eastAsia="zh-CN"/>
        </w:rPr>
      </w:r>
      <w:r>
        <w:rPr>
          <w:color w:val="auto"/>
        </w:rPr>
      </w:r>
    </w:p>
    <w:p>
      <w:pPr>
        <w:pStyle w:val="899"/>
        <w:keepLines w:val="0"/>
        <w:keepNext w:val="0"/>
        <w:pageBreakBefore w:val="0"/>
        <w:spacing w:line="360" w:lineRule="auto"/>
        <w:rPr>
          <w:rFonts w:hint="eastAsia" w:ascii="宋体" w:hAnsi="宋体" w:eastAsia="宋体" w:cs="宋体"/>
          <w:b/>
          <w:bCs/>
          <w:color w:val="auto"/>
          <w:sz w:val="28"/>
          <w:szCs w:val="28"/>
          <w:highlight w:val="none"/>
        </w:rPr>
      </w:pPr>
      <w:r>
        <w:rPr>
          <w:color w:val="auto"/>
        </w:rPr>
      </w:r>
      <w:bookmarkEnd w:id="320"/>
      <w:r>
        <w:rPr>
          <w:color w:val="auto"/>
        </w:rPr>
      </w:r>
      <w:bookmarkEnd w:id="321"/>
      <w:r>
        <w:rPr>
          <w:color w:val="auto"/>
        </w:rPr>
      </w:r>
      <w:bookmarkEnd w:id="322"/>
      <w:r>
        <w:rPr>
          <w:color w:val="auto"/>
        </w:rPr>
      </w:r>
      <w:bookmarkEnd w:id="323"/>
      <w:r>
        <w:rPr>
          <w:color w:val="auto"/>
        </w:rPr>
      </w:r>
      <w:bookmarkEnd w:id="324"/>
      <w:r>
        <w:rPr>
          <w:rFonts w:hint="eastAsia" w:ascii="宋体" w:hAnsi="宋体" w:eastAsia="宋体" w:cs="宋体"/>
          <w:b/>
          <w:color w:val="auto"/>
          <w:sz w:val="28"/>
          <w:szCs w:val="28"/>
          <w:highlight w:val="none"/>
          <w:lang w:val="zh-CN" w:eastAsia="zh-CN"/>
        </w:rPr>
        <w:t xml:space="preserve">二</w:t>
      </w:r>
      <w:r>
        <w:rPr>
          <w:rFonts w:hint="eastAsia" w:ascii="宋体" w:hAnsi="宋体" w:eastAsia="宋体" w:cs="宋体"/>
          <w:b/>
          <w:color w:val="auto"/>
          <w:sz w:val="28"/>
          <w:szCs w:val="28"/>
          <w:highlight w:val="none"/>
          <w:lang w:val="zh-CN"/>
        </w:rPr>
        <w:t xml:space="preserve">、服务内容</w:t>
      </w:r>
      <w:r>
        <w:rPr>
          <w:rFonts w:hint="eastAsia" w:ascii="宋体" w:hAnsi="宋体" w:eastAsia="宋体" w:cs="宋体"/>
          <w:b/>
          <w:bCs/>
          <w:color w:val="auto"/>
          <w:sz w:val="28"/>
          <w:szCs w:val="28"/>
          <w:highlight w:val="none"/>
        </w:rPr>
      </w:r>
      <w:r>
        <w:rPr>
          <w:color w:val="auto"/>
        </w:rPr>
      </w:r>
    </w:p>
    <w:p>
      <w:pPr>
        <w:pStyle w:val="899"/>
        <w:ind w:firstLine="47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（一）泵站基本信息：</w:t>
      </w:r>
      <w:r>
        <w:rPr>
          <w:rFonts w:hint="eastAsia" w:ascii="宋体" w:hAnsi="宋体" w:eastAsia="宋体" w:cs="宋体"/>
          <w:b/>
          <w:bCs/>
          <w:color w:val="auto"/>
          <w:sz w:val="24"/>
          <w:szCs w:val="24"/>
          <w:highlight w:val="none"/>
          <w:lang w:eastAsia="zh-CN"/>
        </w:rPr>
      </w:r>
      <w:r>
        <w:rPr>
          <w:color w:val="auto"/>
        </w:rPr>
      </w:r>
    </w:p>
    <w:p>
      <w:pPr>
        <w:pStyle w:val="908"/>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1、滨河路泵站：</w:t>
      </w:r>
      <w:r>
        <w:rPr>
          <w:rFonts w:hint="eastAsia" w:ascii="宋体" w:hAnsi="宋体" w:eastAsia="宋体" w:cs="宋体"/>
          <w:b/>
          <w:bCs/>
          <w:color w:val="auto"/>
          <w:sz w:val="24"/>
          <w:szCs w:val="24"/>
          <w:highlight w:val="none"/>
          <w:lang w:val="en-US" w:eastAsia="zh-CN"/>
        </w:rPr>
      </w:r>
      <w:r>
        <w:rPr>
          <w:color w:val="auto"/>
        </w:rPr>
      </w:r>
    </w:p>
    <w:p>
      <w:pPr>
        <w:pStyle w:val="90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位于东山街道龙西社区滨河路，内有4台套900ZQB—220南深牌水泵及相关附属设施，功率880KW，合计11个流量。</w:t>
      </w:r>
      <w:r>
        <w:rPr>
          <w:rFonts w:hint="eastAsia" w:ascii="宋体" w:hAnsi="宋体" w:eastAsia="宋体" w:cs="宋体"/>
          <w:color w:val="auto"/>
          <w:sz w:val="24"/>
          <w:szCs w:val="24"/>
          <w:highlight w:val="none"/>
          <w:lang w:val="en-US" w:eastAsia="zh-CN" w:bidi="ar-SA"/>
        </w:rPr>
      </w:r>
      <w:r>
        <w:rPr>
          <w:color w:val="auto"/>
        </w:rPr>
      </w:r>
    </w:p>
    <w:p>
      <w:pPr>
        <w:pStyle w:val="899"/>
        <w:numPr>
          <w:ilvl w:val="0"/>
          <w:numId w:val="0"/>
        </w:numPr>
        <w:ind w:left="0" w:firstLine="482"/>
        <w:jc w:val="left"/>
        <w:keepLines w:val="0"/>
        <w:keepNext w:val="0"/>
        <w:pageBreakBefore w:val="0"/>
        <w:spacing w:line="360" w:lineRule="auto"/>
        <w:widowControl w:val="off"/>
        <w:tabs>
          <w:tab w:val="left" w:pos="8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2、大马涵泵站：</w:t>
      </w:r>
      <w:r>
        <w:rPr>
          <w:rFonts w:hint="eastAsia" w:ascii="宋体" w:hAnsi="宋体" w:eastAsia="宋体" w:cs="宋体"/>
          <w:b/>
          <w:bCs/>
          <w:color w:val="auto"/>
          <w:sz w:val="24"/>
          <w:szCs w:val="24"/>
          <w:highlight w:val="none"/>
          <w:lang w:val="en-US" w:eastAsia="zh-CN"/>
        </w:rPr>
      </w:r>
      <w:r>
        <w:rPr>
          <w:color w:val="auto"/>
        </w:rPr>
      </w:r>
    </w:p>
    <w:p>
      <w:pPr>
        <w:pStyle w:val="90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位于东山街道邵圣社区明月港湾与秦淮河之间，内有5台套型号为900ZQB—220凯旋牌水泵</w:t>
      </w:r>
      <w:r>
        <w:rPr>
          <w:rFonts w:hint="eastAsia" w:ascii="宋体" w:hAnsi="宋体" w:eastAsia="宋体" w:cs="宋体"/>
          <w:color w:val="auto"/>
          <w:sz w:val="24"/>
          <w:szCs w:val="24"/>
          <w:highlight w:val="none"/>
          <w:lang w:eastAsia="zh-CN"/>
        </w:rPr>
        <w:t xml:space="preserve">及相关附属设施，</w:t>
      </w:r>
      <w:r>
        <w:rPr>
          <w:rFonts w:hint="eastAsia" w:ascii="宋体" w:hAnsi="宋体" w:eastAsia="宋体" w:cs="宋体"/>
          <w:color w:val="auto"/>
          <w:sz w:val="24"/>
          <w:szCs w:val="24"/>
          <w:highlight w:val="none"/>
          <w:lang w:val="en-US" w:eastAsia="zh-CN" w:bidi="ar-SA"/>
        </w:rPr>
        <w:t xml:space="preserve">功率1100KW，合计10个流量。</w:t>
      </w:r>
      <w:r>
        <w:rPr>
          <w:rFonts w:hint="eastAsia" w:ascii="宋体" w:hAnsi="宋体" w:eastAsia="宋体" w:cs="宋体"/>
          <w:color w:val="auto"/>
          <w:sz w:val="24"/>
          <w:szCs w:val="24"/>
          <w:highlight w:val="none"/>
          <w:lang w:eastAsia="zh-CN"/>
        </w:rPr>
      </w:r>
      <w:r>
        <w:rPr>
          <w:color w:val="auto"/>
        </w:rPr>
      </w:r>
    </w:p>
    <w:p>
      <w:pPr>
        <w:pStyle w:val="899"/>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3、双麒泵站：</w:t>
      </w:r>
      <w:r>
        <w:rPr>
          <w:rFonts w:hint="eastAsia" w:ascii="宋体" w:hAnsi="宋体" w:eastAsia="宋体" w:cs="宋体"/>
          <w:b/>
          <w:bCs/>
          <w:color w:val="auto"/>
          <w:sz w:val="24"/>
          <w:szCs w:val="24"/>
          <w:highlight w:val="none"/>
          <w:lang w:val="en-US" w:eastAsia="zh-CN"/>
        </w:rPr>
      </w:r>
      <w:r>
        <w:rPr>
          <w:color w:val="auto"/>
        </w:rPr>
      </w:r>
    </w:p>
    <w:p>
      <w:pPr>
        <w:pStyle w:val="90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位于中前社区上坊门大桥旁，内有3台套型号为700ZQB--132亚太牌水泵</w:t>
      </w:r>
      <w:r>
        <w:rPr>
          <w:rFonts w:hint="eastAsia" w:ascii="宋体" w:hAnsi="宋体" w:eastAsia="宋体" w:cs="宋体"/>
          <w:color w:val="auto"/>
          <w:sz w:val="24"/>
          <w:szCs w:val="24"/>
          <w:highlight w:val="none"/>
          <w:lang w:eastAsia="zh-CN"/>
        </w:rPr>
        <w:t xml:space="preserve">及相关附属设施，</w:t>
      </w:r>
      <w:r>
        <w:rPr>
          <w:rFonts w:hint="eastAsia" w:ascii="宋体" w:hAnsi="宋体" w:eastAsia="宋体" w:cs="宋体"/>
          <w:color w:val="auto"/>
          <w:sz w:val="24"/>
          <w:szCs w:val="24"/>
          <w:highlight w:val="none"/>
          <w:lang w:val="en-US" w:eastAsia="zh-CN" w:bidi="ar-SA"/>
        </w:rPr>
        <w:t xml:space="preserve">功率396KW，合计4个流量。</w:t>
      </w:r>
      <w:r>
        <w:rPr>
          <w:rFonts w:hint="eastAsia" w:ascii="宋体" w:hAnsi="宋体" w:eastAsia="宋体" w:cs="宋体"/>
          <w:color w:val="auto"/>
          <w:sz w:val="24"/>
          <w:szCs w:val="24"/>
          <w:highlight w:val="none"/>
          <w:lang w:val="en-US" w:eastAsia="zh-CN"/>
        </w:rPr>
      </w:r>
      <w:r>
        <w:rPr>
          <w:color w:val="auto"/>
        </w:rPr>
      </w:r>
    </w:p>
    <w:p>
      <w:pPr>
        <w:pStyle w:val="899"/>
        <w:numPr>
          <w:ilvl w:val="0"/>
          <w:numId w:val="6"/>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北涵泵站：</w:t>
      </w:r>
      <w:r>
        <w:rPr>
          <w:rFonts w:hint="eastAsia" w:ascii="宋体" w:hAnsi="宋体" w:eastAsia="宋体" w:cs="宋体"/>
          <w:b/>
          <w:bCs/>
          <w:color w:val="auto"/>
          <w:sz w:val="24"/>
          <w:szCs w:val="24"/>
          <w:highlight w:val="none"/>
          <w:lang w:val="en-US" w:eastAsia="zh-CN"/>
        </w:rPr>
      </w:r>
      <w:r>
        <w:rPr>
          <w:color w:val="auto"/>
        </w:rPr>
      </w:r>
    </w:p>
    <w:p>
      <w:pPr>
        <w:pStyle w:val="90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位于高桥社区运粮河旁，内有5台套型号为900QZ100--160亚太牌水泵</w:t>
      </w:r>
      <w:r>
        <w:rPr>
          <w:rFonts w:hint="eastAsia" w:ascii="宋体" w:hAnsi="宋体" w:eastAsia="宋体" w:cs="宋体"/>
          <w:color w:val="auto"/>
          <w:sz w:val="24"/>
          <w:szCs w:val="24"/>
          <w:highlight w:val="none"/>
          <w:lang w:eastAsia="zh-CN"/>
        </w:rPr>
        <w:t xml:space="preserve">及相关附属设施，</w:t>
      </w:r>
      <w:r>
        <w:rPr>
          <w:rFonts w:hint="eastAsia" w:ascii="宋体" w:hAnsi="宋体" w:eastAsia="宋体" w:cs="宋体"/>
          <w:color w:val="auto"/>
          <w:sz w:val="24"/>
          <w:szCs w:val="24"/>
          <w:highlight w:val="none"/>
          <w:lang w:val="en-US" w:eastAsia="zh-CN" w:bidi="ar-SA"/>
        </w:rPr>
        <w:t xml:space="preserve">功率800KW，合计12个流量。</w:t>
      </w:r>
      <w:r>
        <w:rPr>
          <w:rFonts w:hint="eastAsia" w:ascii="宋体" w:hAnsi="宋体" w:eastAsia="宋体" w:cs="宋体"/>
          <w:color w:val="auto"/>
          <w:sz w:val="24"/>
          <w:szCs w:val="24"/>
          <w:highlight w:val="none"/>
          <w:lang w:val="en-US" w:eastAsia="zh-CN" w:bidi="ar-SA"/>
        </w:rPr>
      </w:r>
      <w:r>
        <w:rPr>
          <w:color w:val="auto"/>
        </w:rPr>
      </w:r>
    </w:p>
    <w:p>
      <w:pPr>
        <w:pStyle w:val="899"/>
        <w:numPr>
          <w:ilvl w:val="0"/>
          <w:numId w:val="7"/>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下坝河泵站：</w:t>
      </w:r>
      <w:r>
        <w:rPr>
          <w:rFonts w:hint="eastAsia" w:ascii="宋体" w:hAnsi="宋体" w:eastAsia="宋体" w:cs="宋体"/>
          <w:b/>
          <w:bCs/>
          <w:color w:val="auto"/>
          <w:sz w:val="24"/>
          <w:szCs w:val="24"/>
          <w:highlight w:val="none"/>
          <w:lang w:val="en-US" w:eastAsia="zh-CN"/>
        </w:rPr>
      </w:r>
      <w:r>
        <w:rPr>
          <w:color w:val="auto"/>
        </w:rPr>
      </w:r>
    </w:p>
    <w:p>
      <w:pPr>
        <w:pStyle w:val="899"/>
        <w:numPr>
          <w:ilvl w:val="0"/>
          <w:numId w:val="0"/>
        </w:num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位于龙西社区红光河旁，内有2台套型号为600QZ--100--75亚太牌水泵</w:t>
      </w:r>
      <w:r>
        <w:rPr>
          <w:rFonts w:hint="eastAsia" w:ascii="宋体" w:hAnsi="宋体" w:eastAsia="宋体" w:cs="宋体"/>
          <w:color w:val="auto"/>
          <w:sz w:val="24"/>
          <w:szCs w:val="24"/>
          <w:highlight w:val="none"/>
          <w:lang w:eastAsia="zh-CN"/>
        </w:rPr>
        <w:t xml:space="preserve">及相关附属设施</w:t>
      </w:r>
      <w:r>
        <w:rPr>
          <w:rFonts w:hint="eastAsia" w:ascii="宋体" w:hAnsi="宋体" w:eastAsia="宋体" w:cs="宋体"/>
          <w:color w:val="auto"/>
          <w:sz w:val="24"/>
          <w:szCs w:val="24"/>
          <w:highlight w:val="none"/>
          <w:lang w:val="en-US" w:eastAsia="zh-CN"/>
        </w:rPr>
        <w:t xml:space="preserve">、3台套800QZ--100--132亚太牌水泵</w:t>
      </w:r>
      <w:r>
        <w:rPr>
          <w:rFonts w:hint="eastAsia" w:ascii="宋体" w:hAnsi="宋体" w:eastAsia="宋体" w:cs="宋体"/>
          <w:color w:val="auto"/>
          <w:sz w:val="24"/>
          <w:szCs w:val="24"/>
          <w:highlight w:val="none"/>
          <w:lang w:eastAsia="zh-CN"/>
        </w:rPr>
        <w:t xml:space="preserve">及相关附属设施，</w:t>
      </w:r>
      <w:r>
        <w:rPr>
          <w:rFonts w:hint="eastAsia" w:ascii="宋体" w:hAnsi="宋体" w:eastAsia="宋体" w:cs="宋体"/>
          <w:color w:val="auto"/>
          <w:sz w:val="24"/>
          <w:szCs w:val="24"/>
          <w:highlight w:val="none"/>
          <w:lang w:val="en-US" w:eastAsia="zh-CN" w:bidi="ar-SA"/>
        </w:rPr>
        <w:t xml:space="preserve">功率546KW，合计8个流量。</w:t>
      </w:r>
      <w:r>
        <w:rPr>
          <w:rFonts w:hint="eastAsia" w:ascii="宋体" w:hAnsi="宋体" w:eastAsia="宋体" w:cs="宋体"/>
          <w:color w:val="auto"/>
          <w:sz w:val="24"/>
          <w:szCs w:val="24"/>
          <w:highlight w:val="none"/>
          <w:lang w:val="en-US" w:eastAsia="zh-CN" w:bidi="ar-SA"/>
        </w:rPr>
      </w:r>
      <w:r>
        <w:rPr>
          <w:color w:val="auto"/>
        </w:rPr>
      </w:r>
    </w:p>
    <w:p>
      <w:pPr>
        <w:pStyle w:val="899"/>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6、新桥泵站：</w:t>
      </w:r>
      <w:r>
        <w:rPr>
          <w:rFonts w:hint="eastAsia" w:ascii="宋体" w:hAnsi="宋体" w:eastAsia="宋体" w:cs="宋体"/>
          <w:b/>
          <w:bCs/>
          <w:color w:val="auto"/>
          <w:sz w:val="24"/>
          <w:szCs w:val="24"/>
          <w:highlight w:val="none"/>
          <w:lang w:val="en-US" w:eastAsia="zh-CN"/>
        </w:rPr>
      </w:r>
      <w:r>
        <w:rPr>
          <w:color w:val="auto"/>
        </w:rPr>
      </w:r>
    </w:p>
    <w:p>
      <w:pPr>
        <w:pStyle w:val="899"/>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位于高桥社区运粮河旁，内6台套型号为20HB--90水泵、3台套16HB--30水泵，功率630KW，合计8个流量。</w:t>
      </w:r>
      <w:r>
        <w:rPr>
          <w:rFonts w:hint="eastAsia" w:ascii="宋体" w:hAnsi="宋体" w:eastAsia="宋体" w:cs="宋体"/>
          <w:color w:val="auto"/>
          <w:sz w:val="24"/>
          <w:szCs w:val="24"/>
          <w:highlight w:val="none"/>
          <w:lang w:val="en-US" w:eastAsia="zh-CN"/>
        </w:rPr>
      </w:r>
      <w:r>
        <w:rPr>
          <w:color w:val="auto"/>
        </w:rPr>
      </w:r>
    </w:p>
    <w:p>
      <w:pPr>
        <w:pStyle w:val="899"/>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7、上坊门泵站：</w:t>
      </w:r>
      <w:r>
        <w:rPr>
          <w:rFonts w:hint="eastAsia" w:ascii="宋体" w:hAnsi="宋体" w:eastAsia="宋体" w:cs="宋体"/>
          <w:b/>
          <w:bCs/>
          <w:color w:val="auto"/>
          <w:sz w:val="24"/>
          <w:szCs w:val="24"/>
          <w:highlight w:val="none"/>
          <w:lang w:val="en-US" w:eastAsia="zh-CN"/>
        </w:rPr>
      </w:r>
      <w:r>
        <w:rPr>
          <w:color w:val="auto"/>
        </w:rPr>
      </w:r>
    </w:p>
    <w:p>
      <w:pPr>
        <w:pStyle w:val="899"/>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位于中前社区上坊门大桥旁，内有4台套型号为500HB--45水泵，功率180KW，合计2个流量。</w:t>
      </w:r>
      <w:r>
        <w:rPr>
          <w:rFonts w:hint="eastAsia" w:ascii="宋体" w:hAnsi="宋体" w:eastAsia="宋体" w:cs="宋体"/>
          <w:color w:val="auto"/>
          <w:sz w:val="24"/>
          <w:szCs w:val="24"/>
          <w:highlight w:val="none"/>
          <w:lang w:val="en-US" w:eastAsia="zh-CN"/>
        </w:rPr>
      </w:r>
      <w:r>
        <w:rPr>
          <w:color w:val="auto"/>
        </w:rPr>
      </w:r>
    </w:p>
    <w:p>
      <w:pPr>
        <w:pStyle w:val="899"/>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（二）具体服务要求：2小时服务响应。</w:t>
      </w:r>
      <w:r>
        <w:rPr>
          <w:rFonts w:hint="eastAsia" w:ascii="宋体" w:hAnsi="宋体" w:eastAsia="宋体" w:cs="宋体"/>
          <w:color w:val="auto"/>
          <w:sz w:val="24"/>
          <w:szCs w:val="24"/>
          <w:highlight w:val="none"/>
          <w:lang w:val="en-US" w:eastAsia="zh-CN"/>
        </w:rPr>
      </w:r>
      <w:r>
        <w:rPr>
          <w:color w:val="auto"/>
        </w:rPr>
      </w:r>
    </w:p>
    <w:p>
      <w:pPr>
        <w:pStyle w:val="899"/>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（三）维保内容要求：  </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在每年汛期来之前对所有泵站的设备进行检修，</w:t>
      </w:r>
      <w:r>
        <w:rPr>
          <w:rFonts w:hint="eastAsia" w:ascii="宋体" w:hAnsi="宋体" w:eastAsia="宋体" w:cs="宋体"/>
          <w:color w:val="auto"/>
          <w:sz w:val="24"/>
          <w:szCs w:val="24"/>
          <w:highlight w:val="none"/>
          <w:lang w:val="en-US" w:eastAsia="zh-CN"/>
        </w:rPr>
        <w:t xml:space="preserve">汛期为每年的5月1日至8月30日，</w:t>
      </w:r>
      <w:r>
        <w:rPr>
          <w:rFonts w:hint="eastAsia" w:ascii="宋体" w:hAnsi="宋体" w:eastAsia="宋体" w:cs="宋体"/>
          <w:color w:val="auto"/>
          <w:sz w:val="24"/>
          <w:szCs w:val="24"/>
          <w:highlight w:val="none"/>
        </w:rPr>
        <w:t xml:space="preserve">确保所有设备100%无故障，保证汛期的正常排水。具体设备的维保方案如下：</w:t>
      </w:r>
      <w:r>
        <w:rPr>
          <w:rFonts w:hint="eastAsia" w:ascii="宋体" w:hAnsi="宋体" w:eastAsia="宋体" w:cs="宋体"/>
          <w:color w:val="auto"/>
          <w:sz w:val="24"/>
          <w:szCs w:val="24"/>
          <w:highlight w:val="none"/>
        </w:rPr>
      </w:r>
      <w:r>
        <w:rPr>
          <w:color w:val="auto"/>
        </w:rPr>
      </w:r>
    </w:p>
    <w:p>
      <w:pPr>
        <w:pStyle w:val="899"/>
        <w:ind w:firstLine="354"/>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1、滨河路泵站：</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（1）4台套9</w:t>
      </w:r>
      <w:r>
        <w:rPr>
          <w:rFonts w:hint="eastAsia" w:ascii="宋体" w:hAnsi="宋体" w:eastAsia="宋体" w:cs="宋体"/>
          <w:color w:val="auto"/>
          <w:sz w:val="24"/>
          <w:szCs w:val="24"/>
          <w:highlight w:val="none"/>
          <w:lang w:eastAsia="zh-CN"/>
        </w:rPr>
        <w:t xml:space="preserve">00ZQB—</w:t>
      </w:r>
      <w:r>
        <w:rPr>
          <w:rFonts w:hint="eastAsia" w:ascii="宋体" w:hAnsi="宋体" w:eastAsia="宋体" w:cs="宋体"/>
          <w:color w:val="auto"/>
          <w:sz w:val="24"/>
          <w:szCs w:val="24"/>
          <w:highlight w:val="none"/>
          <w:lang w:val="en-US" w:eastAsia="zh-CN"/>
        </w:rPr>
        <w:t xml:space="preserve">220</w:t>
      </w:r>
      <w:r>
        <w:rPr>
          <w:rFonts w:hint="eastAsia" w:ascii="宋体" w:hAnsi="宋体" w:eastAsia="宋体" w:cs="宋体"/>
          <w:color w:val="auto"/>
          <w:sz w:val="24"/>
          <w:szCs w:val="24"/>
          <w:highlight w:val="none"/>
          <w:lang w:eastAsia="zh-CN"/>
        </w:rPr>
        <w:t xml:space="preserve">南深牌</w:t>
      </w:r>
      <w:r>
        <w:rPr>
          <w:rFonts w:hint="eastAsia" w:ascii="宋体" w:hAnsi="宋体" w:eastAsia="宋体" w:cs="宋体"/>
          <w:color w:val="auto"/>
          <w:sz w:val="24"/>
          <w:szCs w:val="24"/>
          <w:highlight w:val="none"/>
          <w:lang w:val="en-US" w:eastAsia="zh-CN"/>
        </w:rPr>
        <w:t xml:space="preserve">水泵检查清扫、检测、保养、清理水泵底部杂物；</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（2）附属设施保养（含蝶阀、止回阀、输送带、捞脏机、拦污阀、格栅、行车等，在使用过程中出现故障及时修复）；</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（3）出水管道内部除锈刷漆。</w:t>
      </w:r>
      <w:r>
        <w:rPr>
          <w:rFonts w:hint="eastAsia" w:ascii="宋体" w:hAnsi="宋体" w:eastAsia="宋体" w:cs="宋体"/>
          <w:color w:val="auto"/>
          <w:sz w:val="24"/>
          <w:szCs w:val="24"/>
          <w:highlight w:val="none"/>
          <w:lang w:val="en-US" w:eastAsia="zh-CN"/>
        </w:rPr>
      </w:r>
      <w:r>
        <w:rPr>
          <w:color w:val="auto"/>
        </w:rPr>
      </w:r>
    </w:p>
    <w:p>
      <w:pPr>
        <w:pStyle w:val="899"/>
        <w:ind w:firstLine="354"/>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2、大马涵泵站：</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（1）5台套型号为900ZQB—220凯旋牌水泵检查清扫、检测、保养、清理水泵底部杂物；</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（2）附属设施保养（含蝶阀、止回阀、输送带、捞脏机、拦污阀、格栅、行车等，在使用过程中出现故障及时修复）；</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（3）出水管道内部除锈刷漆。</w:t>
      </w:r>
      <w:r>
        <w:rPr>
          <w:rFonts w:hint="eastAsia" w:ascii="宋体" w:hAnsi="宋体" w:eastAsia="宋体" w:cs="宋体"/>
          <w:color w:val="auto"/>
          <w:sz w:val="24"/>
          <w:szCs w:val="24"/>
          <w:highlight w:val="none"/>
          <w:lang w:val="en-US" w:eastAsia="zh-CN"/>
        </w:rPr>
      </w:r>
      <w:r>
        <w:rPr>
          <w:color w:val="auto"/>
        </w:rPr>
      </w:r>
    </w:p>
    <w:p>
      <w:pPr>
        <w:pStyle w:val="899"/>
        <w:ind w:firstLine="241"/>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3、双麒泵站：</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（1）3台套型号为700ZQB--132亚太牌水泵检查清扫、检测、保养、清理水泵底部杂物；</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（2）附属设施保养（含蝶阀、止回阀、输送带、捞脏机、拦污阀、格栅、行车等，在使用过程中出现故障及时修复）；</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（3）出水管道内部除锈刷漆。</w:t>
      </w:r>
      <w:r>
        <w:rPr>
          <w:rFonts w:hint="eastAsia" w:ascii="宋体" w:hAnsi="宋体" w:eastAsia="宋体" w:cs="宋体"/>
          <w:color w:val="auto"/>
          <w:sz w:val="24"/>
          <w:szCs w:val="24"/>
          <w:highlight w:val="none"/>
          <w:lang w:val="en-US" w:eastAsia="zh-CN"/>
        </w:rPr>
      </w:r>
      <w:r>
        <w:rPr>
          <w:color w:val="auto"/>
        </w:rPr>
      </w:r>
    </w:p>
    <w:p>
      <w:pPr>
        <w:pStyle w:val="899"/>
        <w:ind w:firstLine="354"/>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4、北涵泵站：</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（1）5台套型号为900QZ100--160亚太牌水泵检查清扫、检测、保养、清理水泵底部杂物；</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（2）附属设施保养（含蝶阀、止回阀、输送带、捞脏机、拦污阀、格栅、行车等，在使用过程中出现故障及时修复）；</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（3）出水管道内部除锈刷漆。</w:t>
      </w:r>
      <w:r>
        <w:rPr>
          <w:rFonts w:hint="eastAsia" w:ascii="宋体" w:hAnsi="宋体" w:eastAsia="宋体" w:cs="宋体"/>
          <w:color w:val="auto"/>
          <w:sz w:val="24"/>
          <w:szCs w:val="24"/>
          <w:highlight w:val="none"/>
          <w:lang w:val="en-US" w:eastAsia="zh-CN"/>
        </w:rPr>
      </w:r>
      <w:r>
        <w:rPr>
          <w:color w:val="auto"/>
        </w:rPr>
      </w:r>
    </w:p>
    <w:p>
      <w:pPr>
        <w:pStyle w:val="899"/>
        <w:ind w:firstLine="354"/>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5、下坝河泵站：</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（1）2台套型号为600QZ--100--75亚太牌、3台套800QZ--100--132亚太牌水泵检查清扫、检测、保养、清理水泵底部杂物；</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（2）附属设施保养（含蝶阀、止回阀、输送带、捞脏机、拦污阀、格栅、行车等，在使用过程中出现故障及时修复）；</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（3）出水管道内部除锈刷漆。</w:t>
      </w:r>
      <w:r>
        <w:rPr>
          <w:rFonts w:hint="eastAsia" w:ascii="宋体" w:hAnsi="宋体" w:eastAsia="宋体" w:cs="宋体"/>
          <w:color w:val="auto"/>
          <w:sz w:val="24"/>
          <w:szCs w:val="24"/>
          <w:highlight w:val="none"/>
          <w:lang w:val="en-US" w:eastAsia="zh-CN"/>
        </w:rPr>
      </w:r>
      <w:r>
        <w:rPr>
          <w:color w:val="auto"/>
        </w:rPr>
      </w:r>
    </w:p>
    <w:p>
      <w:pPr>
        <w:pStyle w:val="899"/>
        <w:ind w:firstLine="241"/>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6、新桥泵站：</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（1）6台套型号为20HB--90水泵、3台套16HB--30水泵检查清扫、检测、保养；</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（2）附属设施保养（含蝶阀、止回阀、启动柜在使用过程中出现故障及时修复）；</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（3）出水管道内部除锈刷漆。</w:t>
      </w:r>
      <w:r>
        <w:rPr>
          <w:rFonts w:hint="eastAsia" w:ascii="宋体" w:hAnsi="宋体" w:eastAsia="宋体" w:cs="宋体"/>
          <w:color w:val="auto"/>
          <w:sz w:val="24"/>
          <w:szCs w:val="24"/>
          <w:highlight w:val="none"/>
          <w:lang w:val="en-US" w:eastAsia="zh-CN"/>
        </w:rPr>
      </w:r>
      <w:r>
        <w:rPr>
          <w:color w:val="auto"/>
        </w:rPr>
      </w:r>
    </w:p>
    <w:p>
      <w:pPr>
        <w:pStyle w:val="899"/>
        <w:ind w:firstLine="241"/>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7、上坊门泵站：</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（1）4台套型号为500HB--45水泵检查清扫、检测、保养；</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（2）附属设施保养（含蝶阀、止回阀、启动柜在使用过程中出现故障及时修复）；</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（3）出水管道内部除锈刷漆。</w:t>
      </w:r>
      <w:r>
        <w:rPr>
          <w:rFonts w:hint="eastAsia" w:ascii="宋体" w:hAnsi="宋体" w:eastAsia="宋体" w:cs="宋体"/>
          <w:color w:val="auto"/>
          <w:sz w:val="24"/>
          <w:szCs w:val="24"/>
          <w:highlight w:val="none"/>
          <w:lang w:val="en-US" w:eastAsia="zh-CN"/>
        </w:rPr>
      </w:r>
      <w:r>
        <w:rPr>
          <w:color w:val="auto"/>
        </w:rPr>
      </w:r>
    </w:p>
    <w:p>
      <w:pPr>
        <w:pStyle w:val="899"/>
        <w:ind w:firstLine="354"/>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8、其他维保内容</w:t>
      </w:r>
      <w:r>
        <w:rPr>
          <w:rFonts w:hint="eastAsia" w:ascii="宋体" w:hAnsi="宋体" w:eastAsia="宋体" w:cs="宋体"/>
          <w:b/>
          <w:bCs/>
          <w:color w:val="auto"/>
          <w:sz w:val="24"/>
          <w:szCs w:val="24"/>
          <w:highlight w:val="none"/>
          <w:lang w:val="en-US" w:eastAsia="zh-CN"/>
        </w:rPr>
      </w:r>
      <w:r>
        <w:rPr>
          <w:color w:val="auto"/>
        </w:rPr>
      </w:r>
    </w:p>
    <w:p>
      <w:pPr>
        <w:pStyle w:val="899"/>
        <w:ind w:firstLine="35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水泵设备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包括水泵</w:t>
      </w:r>
      <w:r>
        <w:rPr>
          <w:rFonts w:hint="eastAsia" w:ascii="宋体" w:hAnsi="宋体" w:eastAsia="宋体" w:cs="宋体"/>
          <w:color w:val="auto"/>
          <w:sz w:val="24"/>
          <w:szCs w:val="24"/>
          <w:highlight w:val="none"/>
          <w:lang w:eastAsia="zh-CN"/>
        </w:rPr>
        <w:t xml:space="preserve">（包括电机烘干、轴承保养、机械密封保养、更换电缆线组件、转子轴校正、叶轮动平衡、更换密封圈等）</w:t>
      </w:r>
      <w:r>
        <w:rPr>
          <w:rFonts w:hint="eastAsia" w:ascii="宋体" w:hAnsi="宋体" w:eastAsia="宋体" w:cs="宋体"/>
          <w:color w:val="auto"/>
          <w:sz w:val="24"/>
          <w:szCs w:val="24"/>
          <w:highlight w:val="none"/>
        </w:rPr>
        <w:t xml:space="preserve">、控制柜内各种设备、线缆1年2次（汛前、汛后）常规性的定期检测、检查、保养工作</w:t>
      </w:r>
      <w:r>
        <w:rPr>
          <w:rFonts w:hint="eastAsia" w:ascii="宋体" w:hAnsi="宋体" w:eastAsia="宋体" w:cs="宋体"/>
          <w:color w:val="auto"/>
          <w:sz w:val="24"/>
          <w:szCs w:val="24"/>
          <w:highlight w:val="none"/>
          <w:lang w:eastAsia="zh-CN"/>
        </w:rPr>
        <w:t xml:space="preserve">，每年返厂保养</w:t>
      </w:r>
      <w:r>
        <w:rPr>
          <w:rFonts w:hint="eastAsia" w:ascii="宋体" w:hAnsi="宋体" w:eastAsia="宋体" w:cs="宋体"/>
          <w:color w:val="auto"/>
          <w:sz w:val="24"/>
          <w:szCs w:val="24"/>
          <w:highlight w:val="none"/>
          <w:lang w:val="en-US" w:eastAsia="zh-CN"/>
        </w:rPr>
        <w:t xml:space="preserve">1次，</w:t>
      </w:r>
      <w:r>
        <w:rPr>
          <w:rFonts w:hint="eastAsia" w:ascii="宋体" w:hAnsi="宋体" w:eastAsia="宋体" w:cs="宋体"/>
          <w:color w:val="auto"/>
          <w:sz w:val="24"/>
          <w:szCs w:val="24"/>
          <w:highlight w:val="none"/>
          <w:lang w:val="en-US" w:eastAsia="zh-CN"/>
        </w:rPr>
        <w:t xml:space="preserve">每次</w:t>
      </w:r>
      <w:r>
        <w:rPr>
          <w:rFonts w:hint="eastAsia" w:ascii="宋体" w:hAnsi="宋体" w:eastAsia="宋体" w:cs="宋体"/>
          <w:color w:val="auto"/>
          <w:sz w:val="24"/>
          <w:szCs w:val="24"/>
          <w:highlight w:val="none"/>
          <w:lang w:val="en-US" w:eastAsia="zh-CN"/>
        </w:rPr>
        <w:t xml:space="preserve">返厂保养</w:t>
      </w:r>
      <w:r>
        <w:rPr>
          <w:rFonts w:hint="eastAsia" w:ascii="宋体" w:hAnsi="宋体" w:eastAsia="宋体" w:cs="宋体"/>
          <w:color w:val="auto"/>
          <w:sz w:val="24"/>
          <w:szCs w:val="24"/>
          <w:highlight w:val="none"/>
          <w:lang w:val="en-US" w:eastAsia="zh-CN"/>
        </w:rPr>
        <w:t xml:space="preserve">不得超过15天</w:t>
      </w:r>
      <w:r>
        <w:rPr>
          <w:rFonts w:hint="eastAsia" w:ascii="宋体" w:hAnsi="宋体" w:eastAsia="宋体" w:cs="宋体"/>
          <w:color w:val="auto"/>
          <w:sz w:val="24"/>
          <w:szCs w:val="24"/>
          <w:highlight w:val="none"/>
          <w:lang w:val="en-US" w:eastAsia="zh-CN"/>
        </w:rPr>
        <w:t xml:space="preserve">。清理水泵底部杂物</w:t>
      </w:r>
      <w:r>
        <w:rPr>
          <w:rFonts w:hint="eastAsia" w:ascii="宋体" w:hAnsi="宋体" w:eastAsia="宋体" w:cs="宋体"/>
          <w:color w:val="auto"/>
          <w:sz w:val="24"/>
          <w:szCs w:val="24"/>
          <w:highlight w:val="none"/>
        </w:rPr>
        <w:t xml:space="preserve">1年2次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确保设备100%完</w:t>
      </w:r>
      <w:r>
        <w:rPr>
          <w:rFonts w:hint="eastAsia" w:ascii="宋体" w:hAnsi="宋体" w:eastAsia="宋体" w:cs="宋体"/>
          <w:color w:val="auto"/>
          <w:sz w:val="24"/>
          <w:szCs w:val="24"/>
          <w:highlight w:val="none"/>
          <w:lang w:val="en-US" w:eastAsia="zh-CN"/>
        </w:rPr>
        <w:t xml:space="preserve">好。</w:t>
      </w:r>
      <w:r>
        <w:rPr>
          <w:rFonts w:hint="eastAsia" w:ascii="宋体" w:hAnsi="宋体" w:eastAsia="宋体" w:cs="宋体"/>
          <w:color w:val="auto"/>
          <w:sz w:val="24"/>
          <w:szCs w:val="24"/>
          <w:highlight w:val="none"/>
        </w:rPr>
        <w:t xml:space="preserve">对设备在运行过程中出现的故障应判断准确、排除及时、处理不留后患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rPr>
      </w:r>
    </w:p>
    <w:p>
      <w:pPr>
        <w:pStyle w:val="899"/>
        <w:ind w:firstLine="35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（2）附属设施：</w:t>
      </w:r>
      <w:r>
        <w:rPr>
          <w:rFonts w:hint="eastAsia" w:ascii="宋体" w:hAnsi="宋体" w:eastAsia="宋体" w:cs="宋体"/>
          <w:color w:val="auto"/>
          <w:sz w:val="24"/>
          <w:szCs w:val="24"/>
          <w:highlight w:val="none"/>
          <w:lang w:val="en-US" w:eastAsia="zh-CN"/>
        </w:rPr>
        <w:t xml:space="preserve">蝶阀、止回阀、输送带、捞脏机、栏污栅、格栅、行车等，在使用过程中出现故障及时修复，每年不少于1次保养工作。</w:t>
      </w:r>
      <w:r>
        <w:rPr>
          <w:rFonts w:hint="eastAsia" w:ascii="宋体" w:hAnsi="宋体" w:eastAsia="宋体" w:cs="宋体"/>
          <w:color w:val="auto"/>
          <w:sz w:val="24"/>
          <w:szCs w:val="24"/>
          <w:highlight w:val="none"/>
          <w:lang w:val="en-US" w:eastAsia="zh-CN"/>
        </w:rPr>
      </w:r>
      <w:r>
        <w:rPr>
          <w:color w:val="auto"/>
        </w:rPr>
      </w:r>
    </w:p>
    <w:p>
      <w:pPr>
        <w:pStyle w:val="899"/>
        <w:numPr>
          <w:ilvl w:val="0"/>
          <w:numId w:val="0"/>
        </w:numPr>
        <w:ind w:left="66" w:firstLine="354"/>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（四）</w:t>
      </w:r>
      <w:r>
        <w:rPr>
          <w:rFonts w:hint="eastAsia" w:ascii="宋体" w:hAnsi="宋体" w:eastAsia="宋体" w:cs="宋体"/>
          <w:b/>
          <w:bCs/>
          <w:color w:val="auto"/>
          <w:sz w:val="24"/>
          <w:szCs w:val="24"/>
          <w:highlight w:val="none"/>
          <w:lang w:val="en-US" w:eastAsia="zh-CN"/>
        </w:rPr>
        <w:t xml:space="preserve">人员要求：</w:t>
      </w:r>
      <w:r>
        <w:rPr>
          <w:rFonts w:hint="eastAsia" w:ascii="宋体" w:hAnsi="宋体" w:eastAsia="宋体" w:cs="宋体"/>
          <w:b/>
          <w:bCs/>
          <w:color w:val="auto"/>
          <w:sz w:val="24"/>
          <w:szCs w:val="24"/>
          <w:highlight w:val="none"/>
          <w:lang w:val="en-US" w:eastAsia="zh-CN"/>
        </w:rPr>
      </w:r>
      <w:r>
        <w:rPr>
          <w:color w:val="auto"/>
        </w:rP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非汛期时（每年10月1日至下一年4月30日）每天2名工作人员，1名电工，1名机工。（</w:t>
      </w:r>
      <w:r>
        <w:rPr>
          <w:rFonts w:hint="eastAsia" w:ascii="宋体" w:hAnsi="宋体" w:eastAsia="宋体" w:cs="宋体"/>
          <w:b/>
          <w:bCs/>
          <w:color w:val="auto"/>
          <w:sz w:val="24"/>
          <w:szCs w:val="24"/>
          <w:highlight w:val="none"/>
          <w:lang w:val="en-US" w:eastAsia="zh-CN"/>
        </w:rPr>
        <w:t xml:space="preserve">电工须有电工证</w:t>
      </w:r>
      <w:r>
        <w:rPr>
          <w:rFonts w:hint="eastAsia" w:ascii="宋体" w:hAnsi="宋体" w:eastAsia="宋体" w:cs="宋体"/>
          <w:color w:val="auto"/>
          <w:sz w:val="24"/>
          <w:szCs w:val="24"/>
          <w:highlight w:val="none"/>
          <w:lang w:val="en-US" w:eastAsia="zh-CN"/>
        </w:rPr>
        <w:t xml:space="preserve">），如遇故障及时增派人员及时消除故障；</w:t>
      </w:r>
      <w:r>
        <w:rPr>
          <w:rFonts w:hint="eastAsia" w:ascii="宋体" w:hAnsi="宋体" w:eastAsia="宋体" w:cs="宋体"/>
          <w:color w:val="auto"/>
          <w:sz w:val="24"/>
          <w:szCs w:val="24"/>
          <w:highlight w:val="none"/>
          <w:lang w:val="en-US" w:eastAsia="zh-CN"/>
        </w:rPr>
      </w:r>
      <w:r>
        <w:rPr>
          <w:color w:val="auto"/>
        </w:rP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汛期时（每年5月1日至9月30日）每天工作人员数量至少保证4名，2名电工，2名机工。统一驻守指定地点由采购人统一调度。（</w:t>
      </w:r>
      <w:r>
        <w:rPr>
          <w:rFonts w:hint="eastAsia" w:ascii="宋体" w:hAnsi="宋体" w:eastAsia="宋体" w:cs="宋体"/>
          <w:b/>
          <w:bCs/>
          <w:color w:val="auto"/>
          <w:sz w:val="24"/>
          <w:szCs w:val="24"/>
          <w:highlight w:val="none"/>
          <w:lang w:val="en-US" w:eastAsia="zh-CN"/>
        </w:rPr>
        <w:t xml:space="preserve">电工须有电工证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r>
      <w:r>
        <w:rPr>
          <w:color w:val="auto"/>
        </w:rPr>
      </w:r>
    </w:p>
    <w:p>
      <w:pPr>
        <w:pStyle w:val="899"/>
        <w:numPr>
          <w:ilvl w:val="0"/>
          <w:numId w:val="0"/>
        </w:numPr>
        <w:ind w:left="66" w:firstLine="354"/>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（五）</w:t>
      </w:r>
      <w:r>
        <w:rPr>
          <w:rFonts w:hint="eastAsia" w:ascii="宋体" w:hAnsi="宋体" w:eastAsia="宋体" w:cs="宋体"/>
          <w:b/>
          <w:bCs/>
          <w:color w:val="auto"/>
          <w:sz w:val="24"/>
          <w:szCs w:val="24"/>
          <w:highlight w:val="none"/>
          <w:lang w:val="en-US" w:eastAsia="zh-CN"/>
        </w:rPr>
        <w:t xml:space="preserve">服务响应承诺：</w:t>
      </w:r>
      <w:r>
        <w:rPr>
          <w:rFonts w:ascii="宋体" w:hAnsi="宋体" w:eastAsia="宋体" w:cs="宋体"/>
          <w:b/>
          <w:bCs/>
          <w:color w:val="auto"/>
          <w:sz w:val="24"/>
          <w:szCs w:val="24"/>
          <w:highlight w:val="none"/>
          <w:lang w:val="en-US" w:eastAsia="zh-CN"/>
        </w:rPr>
      </w:r>
      <w:r>
        <w:rPr>
          <w:color w:val="auto"/>
        </w:rPr>
      </w:r>
    </w:p>
    <w:p>
      <w:pPr>
        <w:pStyle w:val="899"/>
        <w:numPr>
          <w:ilvl w:val="0"/>
          <w:numId w:val="0"/>
        </w:num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rPr>
        <w:t xml:space="preserve">供应商承诺合同期内所有服务人员的各种劳务纠纷、交通事故、生产安全事故、人身伤害、自然灾害、财产损失与第三方的债权债务等一切责任均由成交供应商自行负责，与采购人无关。</w:t>
      </w:r>
      <w:r>
        <w:rPr>
          <w:rFonts w:ascii="宋体" w:hAnsi="宋体" w:eastAsia="宋体" w:cs="宋体"/>
          <w:color w:val="auto"/>
          <w:sz w:val="24"/>
          <w:szCs w:val="24"/>
          <w:highlight w:val="none"/>
          <w:lang w:val="en-US" w:eastAsia="zh-CN"/>
        </w:rPr>
      </w:r>
      <w:r>
        <w:rPr>
          <w:color w:val="auto"/>
        </w:rPr>
      </w:r>
    </w:p>
    <w:p>
      <w:pPr>
        <w:pStyle w:val="951"/>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特别说明：</w:t>
      </w:r>
      <w:r>
        <w:rPr>
          <w:rFonts w:hint="eastAsia" w:ascii="宋体" w:hAnsi="宋体" w:eastAsia="宋体" w:cs="宋体"/>
          <w:b/>
          <w:color w:val="auto"/>
          <w:sz w:val="24"/>
          <w:szCs w:val="24"/>
          <w:highlight w:val="none"/>
          <w:lang w:eastAsia="zh-CN"/>
        </w:rPr>
      </w:r>
      <w:r>
        <w:rPr>
          <w:color w:val="auto"/>
        </w:rPr>
      </w:r>
    </w:p>
    <w:p>
      <w:pPr>
        <w:pStyle w:val="951"/>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.采购人在项目实施过程中的要求，若项目实施管理过程中中标供应商无法满足，采购人有权依据上述要求解除合同，具体由采购人在项目执行中负责解释及执行。</w:t>
      </w:r>
      <w:r>
        <w:rPr>
          <w:rFonts w:hint="eastAsia" w:ascii="宋体" w:hAnsi="宋体" w:eastAsia="宋体" w:cs="宋体"/>
          <w:b/>
          <w:color w:val="auto"/>
          <w:sz w:val="24"/>
          <w:szCs w:val="24"/>
          <w:highlight w:val="none"/>
          <w:lang w:eastAsia="zh-CN"/>
        </w:rPr>
      </w:r>
      <w:r>
        <w:rPr>
          <w:color w:val="auto"/>
        </w:rPr>
      </w:r>
    </w:p>
    <w:p>
      <w:pPr>
        <w:pStyle w:val="951"/>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.如对采购需求有任何疑问，请在规定的截止时间前与采购人联系。</w:t>
      </w:r>
      <w:r>
        <w:rPr>
          <w:rFonts w:hint="eastAsia" w:ascii="宋体" w:hAnsi="宋体" w:eastAsia="宋体" w:cs="宋体"/>
          <w:b/>
          <w:color w:val="auto"/>
          <w:sz w:val="24"/>
          <w:szCs w:val="24"/>
          <w:highlight w:val="none"/>
          <w:lang w:eastAsia="zh-CN"/>
        </w:rPr>
      </w:r>
      <w:r>
        <w:rPr>
          <w:color w:val="auto"/>
        </w:rPr>
      </w:r>
    </w:p>
    <w:p>
      <w:pPr>
        <w:pStyle w:val="899"/>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lang w:val="en-US" w:eastAsia="zh-CN"/>
        </w:rPr>
        <w:t xml:space="preserve">三、考核标准</w:t>
      </w:r>
      <w:r>
        <w:rPr>
          <w:rFonts w:hint="eastAsia" w:ascii="宋体" w:hAnsi="宋体" w:eastAsia="宋体" w:cs="宋体"/>
          <w:color w:val="auto"/>
          <w:szCs w:val="21"/>
          <w:highlight w:val="none"/>
          <w:lang w:val="en-US" w:eastAsia="zh-CN"/>
        </w:rPr>
      </w:r>
      <w:r>
        <w:rPr>
          <w:color w:val="auto"/>
        </w:rPr>
      </w:r>
    </w:p>
    <w:p>
      <w:pPr>
        <w:pStyle w:val="899"/>
        <w:ind w:firstLine="35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应定期将泵站检查（巡查）记录、运行记录、维护记录等台账汇总后报采购人，作为采购人考核中标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管理的指标之一。对采购人提出的问题，采取措施进行整改，将整改</w:t>
      </w:r>
      <w:r>
        <w:rPr>
          <w:rFonts w:hint="eastAsia" w:ascii="宋体" w:hAnsi="宋体" w:eastAsia="宋体" w:cs="宋体"/>
          <w:color w:val="auto"/>
          <w:sz w:val="24"/>
          <w:szCs w:val="24"/>
          <w:highlight w:val="none"/>
        </w:rPr>
        <w:t xml:space="preserve">的结果在三天内向采购人汇报。特殊情况下应根据采购人的要求及时进行。</w:t>
      </w:r>
      <w:r>
        <w:rPr>
          <w:rFonts w:hint="eastAsia" w:ascii="宋体" w:hAnsi="宋体" w:eastAsia="宋体" w:cs="宋体"/>
          <w:color w:val="auto"/>
          <w:sz w:val="24"/>
          <w:szCs w:val="24"/>
          <w:highlight w:val="none"/>
        </w:rPr>
      </w:r>
      <w:r>
        <w:rPr>
          <w:color w:val="auto"/>
        </w:rPr>
      </w:r>
    </w:p>
    <w:p>
      <w:pPr>
        <w:pStyle w:val="899"/>
        <w:ind w:firstLine="35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、采购人按月对供应商进行考核，根据考核结果计算应付服务费，具体如下：</w:t>
      </w:r>
      <w:r>
        <w:rPr>
          <w:rFonts w:hint="eastAsia" w:ascii="宋体" w:hAnsi="宋体" w:eastAsia="宋体" w:cs="宋体"/>
          <w:color w:val="auto"/>
          <w:sz w:val="24"/>
          <w:szCs w:val="24"/>
          <w:highlight w:val="none"/>
        </w:rPr>
      </w:r>
      <w:r>
        <w:rPr>
          <w:color w:val="auto"/>
        </w:rPr>
      </w:r>
    </w:p>
    <w:p>
      <w:pPr>
        <w:pStyle w:val="899"/>
        <w:ind w:firstLine="35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（1）月考核得分大于等于90 分核定为优，按100%计取当月</w:t>
      </w:r>
      <w:r>
        <w:rPr>
          <w:rFonts w:hint="eastAsia" w:ascii="宋体" w:hAnsi="宋体" w:eastAsia="宋体" w:cs="宋体"/>
          <w:color w:val="auto"/>
          <w:sz w:val="24"/>
          <w:szCs w:val="24"/>
          <w:highlight w:val="none"/>
          <w:lang w:eastAsia="zh-CN"/>
        </w:rPr>
        <w:t xml:space="preserve">维保</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rPr>
      </w:r>
      <w:r>
        <w:rPr>
          <w:color w:val="auto"/>
        </w:rPr>
      </w:r>
    </w:p>
    <w:p>
      <w:pPr>
        <w:pStyle w:val="899"/>
        <w:ind w:firstLine="35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（2）月考核得分大于等于 80 分小于 90 分核定为良，按90%计取当月</w:t>
      </w:r>
      <w:r>
        <w:rPr>
          <w:rFonts w:hint="eastAsia" w:ascii="宋体" w:hAnsi="宋体" w:eastAsia="宋体" w:cs="宋体"/>
          <w:color w:val="auto"/>
          <w:sz w:val="24"/>
          <w:szCs w:val="24"/>
          <w:highlight w:val="none"/>
          <w:lang w:eastAsia="zh-CN"/>
        </w:rPr>
        <w:t xml:space="preserve">维保</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rPr>
      </w:r>
      <w:r>
        <w:rPr>
          <w:color w:val="auto"/>
        </w:rPr>
      </w:r>
    </w:p>
    <w:p>
      <w:pPr>
        <w:pStyle w:val="899"/>
        <w:ind w:firstLine="35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（3）月考核得分大于等于 70 分小于 80 分核定为合格，按80%计取当月</w:t>
      </w:r>
      <w:r>
        <w:rPr>
          <w:rFonts w:hint="eastAsia" w:ascii="宋体" w:hAnsi="宋体" w:eastAsia="宋体" w:cs="宋体"/>
          <w:color w:val="auto"/>
          <w:sz w:val="24"/>
          <w:szCs w:val="24"/>
          <w:highlight w:val="none"/>
          <w:lang w:eastAsia="zh-CN"/>
        </w:rPr>
        <w:t xml:space="preserve">维保</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rPr>
      </w:r>
      <w:r>
        <w:rPr>
          <w:color w:val="auto"/>
        </w:rPr>
      </w:r>
    </w:p>
    <w:p>
      <w:pPr>
        <w:pStyle w:val="899"/>
        <w:ind w:firstLine="35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（4）月考核得分小于 70 分当月考核不合格，不支付当月</w:t>
      </w:r>
      <w:r>
        <w:rPr>
          <w:rFonts w:hint="eastAsia" w:ascii="宋体" w:hAnsi="宋体" w:eastAsia="宋体" w:cs="宋体"/>
          <w:color w:val="auto"/>
          <w:sz w:val="24"/>
          <w:szCs w:val="24"/>
          <w:highlight w:val="none"/>
          <w:lang w:eastAsia="zh-CN"/>
        </w:rPr>
        <w:t xml:space="preserve">维保</w:t>
      </w:r>
      <w:r>
        <w:rPr>
          <w:rFonts w:hint="eastAsia" w:ascii="宋体" w:hAnsi="宋体" w:eastAsia="宋体" w:cs="宋体"/>
          <w:color w:val="auto"/>
          <w:sz w:val="24"/>
          <w:szCs w:val="24"/>
          <w:highlight w:val="none"/>
        </w:rPr>
        <w:t xml:space="preserve">服务费并给予警告一次。累计两个月考核为不合格，甲方有权立即解除服务合同并不再续签下一年度服务合同。 </w:t>
      </w:r>
      <w:r>
        <w:rPr>
          <w:rFonts w:hint="eastAsia" w:ascii="宋体" w:hAnsi="宋体" w:eastAsia="宋体" w:cs="宋体"/>
          <w:color w:val="auto"/>
          <w:sz w:val="24"/>
          <w:szCs w:val="24"/>
          <w:highlight w:val="none"/>
        </w:rPr>
      </w:r>
      <w:r>
        <w:rPr>
          <w:color w:val="auto"/>
        </w:rPr>
      </w:r>
    </w:p>
    <w:p>
      <w:pPr>
        <w:pStyle w:val="899"/>
        <w:ind w:firstLine="35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（二）支付方法：年度 2 次支付。</w:t>
      </w:r>
      <w:r>
        <w:rPr>
          <w:rFonts w:hint="eastAsia" w:ascii="宋体" w:hAnsi="宋体" w:eastAsia="宋体" w:cs="宋体"/>
          <w:color w:val="auto"/>
          <w:sz w:val="24"/>
          <w:szCs w:val="24"/>
          <w:highlight w:val="none"/>
        </w:rPr>
      </w:r>
      <w:r>
        <w:rPr>
          <w:color w:val="auto"/>
        </w:rPr>
      </w:r>
    </w:p>
    <w:p>
      <w:pPr>
        <w:pStyle w:val="899"/>
        <w:ind w:firstLine="35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（1）每半年度支付。每半年度维保服务结束后，甲方根据考核结果向乙方支付该半年度应付维保费的80%。</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（2）余款待审计结束后，付清至审定价款。</w:t>
      </w:r>
      <w:r>
        <w:rPr>
          <w:rFonts w:hint="eastAsia" w:ascii="宋体" w:hAnsi="宋体" w:eastAsia="宋体" w:cs="宋体"/>
          <w:color w:val="auto"/>
          <w:sz w:val="24"/>
          <w:szCs w:val="24"/>
          <w:highlight w:val="none"/>
          <w:lang w:val="en-US" w:eastAsia="zh-CN"/>
        </w:rPr>
      </w:r>
      <w:r>
        <w:rPr>
          <w:color w:val="auto"/>
        </w:rPr>
      </w:r>
    </w:p>
    <w:p>
      <w:pPr>
        <w:pStyle w:val="941"/>
        <w:rPr>
          <w:rFonts w:hint="eastAsia"/>
          <w:color w:val="auto"/>
          <w:highlight w:val="none"/>
        </w:rPr>
      </w:pPr>
      <w:r>
        <w:rPr>
          <w:rFonts w:hint="eastAsia"/>
          <w:color w:val="auto"/>
          <w:highlight w:val="none"/>
          <w:lang w:val="en-US" w:eastAsia="zh-CN"/>
        </w:rPr>
      </w:r>
      <w:r>
        <w:rPr>
          <w:color w:val="auto"/>
        </w:rPr>
      </w:r>
    </w:p>
    <w:tbl>
      <w:tblPr>
        <w:tblW w:w="10520" w:type="dxa"/>
        <w:jc w:val="center"/>
        <w:tblInd w:w="-1566" w:type="dxa"/>
        <w:tblLayout w:type="fixed"/>
        <w:tblCellMar>
          <w:left w:w="108" w:type="dxa"/>
          <w:top w:w="0" w:type="dxa"/>
          <w:right w:w="108" w:type="dxa"/>
          <w:bottom w:w="0" w:type="dxa"/>
        </w:tblCellMar>
        <w:tblLook w:val="04A0" w:firstRow="1" w:lastRow="0" w:firstColumn="1" w:lastColumn="0" w:noHBand="0" w:noVBand="1"/>
      </w:tblPr>
      <w:tblGrid>
        <w:gridCol w:w="1752"/>
        <w:gridCol w:w="3595"/>
        <w:gridCol w:w="4183"/>
        <w:gridCol w:w="990"/>
      </w:tblGrid>
      <w:tr>
        <w:trPr>
          <w:trHeight w:val="529"/>
        </w:trPr>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pStyle w:val="899"/>
              <w:ind w:firstLine="35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考核项目</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考核内容</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考核要求</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得分</w:t>
            </w:r>
            <w:r>
              <w:rPr>
                <w:rFonts w:hint="eastAsia" w:ascii="宋体" w:hAnsi="宋体" w:eastAsia="宋体" w:cs="宋体"/>
                <w:color w:val="auto"/>
                <w:sz w:val="24"/>
                <w:szCs w:val="24"/>
                <w:highlight w:val="none"/>
              </w:rPr>
            </w:r>
            <w:r>
              <w:rPr>
                <w:color w:val="auto"/>
              </w:rPr>
            </w:r>
          </w:p>
        </w:tc>
      </w:tr>
      <w:tr>
        <w:trPr>
          <w:trHeight w:val="1350"/>
        </w:trPr>
        <w:tc>
          <w:tcPr>
            <w:tcBorders>
              <w:top w:val="single" w:color="000000" w:sz="4" w:space="0"/>
              <w:left w:val="single" w:color="000000" w:sz="4" w:space="0"/>
              <w:bottom w:val="single" w:color="000000" w:sz="4" w:space="0"/>
              <w:right w:val="single" w:color="000000" w:sz="4" w:space="0"/>
            </w:tcBorders>
            <w:tcW w:w="1752" w:type="dxa"/>
            <w:vAlign w:val="center"/>
            <w:vMerge w:val="restart"/>
            <w:textDirection w:val="lrTb"/>
            <w:noWrap w:val="false"/>
          </w:tcPr>
          <w:p>
            <w:pPr>
              <w:pStyle w:val="899"/>
              <w:ind w:left="239" w:firstLine="11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台账资料</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（15分）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泵站每日巡查记录表、设备运行记录、维护记录、工作人员工作签到表都有相应记录 （8分）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一个表格记录不全扣1分、3个以上记录不全扣8分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480"/>
        </w:trPr>
        <w:tc>
          <w:tcPr>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pStyle w:val="899"/>
              <w:ind w:firstLine="3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设备保养记录齐全 （4分）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记录不齐全的扣4分。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810"/>
        </w:trPr>
        <w:tc>
          <w:tcPr>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pStyle w:val="899"/>
              <w:ind w:firstLine="3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泵站每月运维台账送至采购方检查收录 （3分）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未及时送往采购方的扣2分，内容不完整扣3分。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tc>
      </w:tr>
      <w:tr>
        <w:trPr>
          <w:trHeight w:val="810"/>
        </w:trPr>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pStyle w:val="899"/>
              <w:ind w:firstLine="35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人员配备</w:t>
            </w:r>
            <w:r>
              <w:rPr>
                <w:rFonts w:hint="eastAsia" w:ascii="宋体" w:hAnsi="宋体" w:eastAsia="宋体" w:cs="宋体"/>
                <w:color w:val="auto"/>
                <w:sz w:val="24"/>
                <w:szCs w:val="24"/>
                <w:highlight w:val="none"/>
                <w:lang w:val="en-US" w:eastAsia="zh-CN"/>
              </w:rPr>
              <w:t xml:space="preserve">（5分）</w:t>
            </w:r>
            <w:r>
              <w:rPr>
                <w:rFonts w:hint="eastAsia" w:ascii="宋体" w:hAnsi="宋体" w:eastAsia="宋体" w:cs="宋体"/>
                <w:color w:val="auto"/>
                <w:sz w:val="24"/>
                <w:szCs w:val="24"/>
                <w:highlight w:val="none"/>
                <w:lang w:eastAsia="zh-CN"/>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汛期和非汛期要求按规定时间和人数到岗（5分）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未按规定时间和人数到岗，没发现一次扣1分。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tc>
      </w:tr>
      <w:tr>
        <w:trPr>
          <w:trHeight w:val="2580"/>
        </w:trPr>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pStyle w:val="89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日常设备检查</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rPr>
            </w:r>
            <w:r>
              <w:rPr>
                <w:color w:val="auto"/>
              </w:rPr>
            </w:r>
          </w:p>
        </w:tc>
        <w:tc>
          <w:tcPr>
            <w:tcBorders>
              <w:top w:val="single" w:color="000000" w:sz="4" w:space="0"/>
              <w:left w:val="none" w:color="000000" w:sz="4" w:space="0"/>
              <w:bottom w:val="single" w:color="000000" w:sz="4" w:space="0"/>
              <w:right w:val="single" w:color="000000" w:sz="4" w:space="0"/>
            </w:tcBorders>
            <w:tcW w:w="3595" w:type="dxa"/>
            <w:vAlign w:val="center"/>
            <w:textDirection w:val="lrTb"/>
            <w:noWrap w:val="false"/>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水泵、蝶阀、止回阀、格栅、输送带、捞脏机、拦污阀、行车等设备完好，无损坏无运行隐患。（26分）</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设备检查表必须填写完整，要求字迹工整，内容全面。（4分）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pStyle w:val="8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水泵完好，无运行隐患8分；</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蝶阀、止回阀、拦污阀、捞脏机设备完好，无运行隐患8分；</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格栅设备完好4分；</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行车、输送带完好，无运行隐患6分；</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设备检查表内容不完整的或未填写的扣4分。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980"/>
        </w:trPr>
        <w:tc>
          <w:tcPr>
            <w:tcBorders>
              <w:top w:val="single" w:color="000000" w:sz="4" w:space="0"/>
              <w:left w:val="single" w:color="000000" w:sz="4" w:space="0"/>
              <w:bottom w:val="single" w:color="000000" w:sz="4" w:space="0"/>
              <w:right w:val="single" w:color="000000" w:sz="4" w:space="0"/>
            </w:tcBorders>
            <w:tcW w:w="1752" w:type="dxa"/>
            <w:vAlign w:val="center"/>
            <w:vMerge w:val="restart"/>
            <w:textDirection w:val="lrTb"/>
            <w:noWrap w:val="false"/>
          </w:tcPr>
          <w:p>
            <w:pPr>
              <w:pStyle w:val="89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故障处理</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（32分）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故障检查到位，不留隐患 （8分）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未查出故障被采购人查出，如发现隐患较大（泵机运行异常、控制柜损坏等）扣8分；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1238"/>
        </w:trPr>
        <w:tc>
          <w:tcPr>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pStyle w:val="899"/>
              <w:ind w:firstLine="3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故障应急时间（8分）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应急时间超过原定时间15分钟的扣3分；超过30分钟的扣5分；超过45的扣8分。（汛期和雨天时间减半）</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1097"/>
        </w:trPr>
        <w:tc>
          <w:tcPr>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pStyle w:val="899"/>
              <w:ind w:firstLine="3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故障处理时间 （8分）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故障处理超过原定时间1天的扣3分；超过3天的扣5分；超过一周的扣8分。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1350"/>
        </w:trPr>
        <w:tc>
          <w:tcPr>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pStyle w:val="899"/>
              <w:ind w:firstLine="3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故障处理完成后，须完好可用，无隐患 （8分）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故障处理留有隐患，使用替换设备，原件与原先的不对应或者质量不过关的扣5分，故障处理完全不能正常使用的扣8分。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tc>
      </w:tr>
      <w:tr>
        <w:trPr>
          <w:trHeight w:val="1080"/>
        </w:trPr>
        <w:tc>
          <w:tcPr>
            <w:tcBorders>
              <w:top w:val="single" w:color="000000" w:sz="4" w:space="0"/>
              <w:left w:val="single" w:color="000000" w:sz="4" w:space="0"/>
              <w:bottom w:val="single" w:color="000000" w:sz="4" w:space="0"/>
              <w:right w:val="single" w:color="000000" w:sz="4" w:space="0"/>
            </w:tcBorders>
            <w:tcW w:w="1752" w:type="dxa"/>
            <w:vAlign w:val="center"/>
            <w:vMerge w:val="restart"/>
            <w:textDirection w:val="lrTb"/>
            <w:noWrap w:val="false"/>
          </w:tcPr>
          <w:p>
            <w:pPr>
              <w:pStyle w:val="89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日常工作</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（18分）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泵站维保人员必须穿戴工作服，持工作证上岗，电工必须持有电工证。 （8分）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未穿工作服的扣1分</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未持有电工证的操作低高压电气设备发现一次扣2分，发现两次此项不得分。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jc w:val="right"/>
              <w:keepLines w:val="0"/>
              <w:keepNext w:val="0"/>
              <w:widowControl/>
              <w:rPr>
                <w:rFonts w:hint="eastAsia" w:ascii="宋体" w:hAnsi="宋体" w:eastAsia="宋体" w:cs="宋体"/>
                <w:i w:val="0"/>
                <w:iCs w:val="0"/>
                <w:color w:val="auto"/>
                <w:sz w:val="21"/>
                <w:szCs w:val="21"/>
                <w:highlight w:val="none"/>
                <w:u w:val="single"/>
              </w:rPr>
              <w:suppressLineNumbers w:val="0"/>
            </w:pPr>
            <w:r>
              <w:rPr>
                <w:rFonts w:hint="eastAsia" w:ascii="宋体" w:hAnsi="宋体" w:eastAsia="宋体" w:cs="宋体"/>
                <w:i w:val="0"/>
                <w:iCs w:val="0"/>
                <w:color w:val="auto"/>
                <w:sz w:val="21"/>
                <w:szCs w:val="21"/>
                <w:highlight w:val="none"/>
                <w:u w:val="single"/>
              </w:rPr>
            </w:r>
            <w:r>
              <w:rPr>
                <w:color w:val="auto"/>
              </w:rPr>
            </w:r>
          </w:p>
        </w:tc>
      </w:tr>
      <w:tr>
        <w:trPr>
          <w:trHeight w:val="810"/>
        </w:trPr>
        <w:tc>
          <w:tcPr>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pStyle w:val="899"/>
              <w:ind w:firstLine="352"/>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泵站值班人员必须保持24小时通讯畅通，对采购人要求要第一时间完成。（6分）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20分钟内联系不到值班人员扣2分，（汛期和雨天时间减半）不听从采购人调派的扣6分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jc w:val="right"/>
              <w:keepLines w:val="0"/>
              <w:keepNext w:val="0"/>
              <w:widowControl/>
              <w:rPr>
                <w:rFonts w:hint="eastAsia" w:ascii="宋体" w:hAnsi="宋体" w:eastAsia="宋体" w:cs="宋体"/>
                <w:i w:val="0"/>
                <w:iCs w:val="0"/>
                <w:color w:val="auto"/>
                <w:sz w:val="21"/>
                <w:szCs w:val="21"/>
                <w:highlight w:val="none"/>
                <w:u w:val="single"/>
              </w:rPr>
              <w:suppressLineNumbers w:val="0"/>
            </w:pPr>
            <w:r>
              <w:rPr>
                <w:rFonts w:hint="eastAsia" w:ascii="宋体" w:hAnsi="宋体" w:eastAsia="宋体" w:cs="宋体"/>
                <w:i w:val="0"/>
                <w:iCs w:val="0"/>
                <w:color w:val="auto"/>
                <w:sz w:val="21"/>
                <w:szCs w:val="21"/>
                <w:highlight w:val="none"/>
                <w:u w:val="single"/>
                <w:lang w:val="en-US" w:eastAsia="zh-CN"/>
              </w:rPr>
            </w:r>
            <w:r>
              <w:rPr>
                <w:color w:val="auto"/>
              </w:rPr>
            </w:r>
          </w:p>
        </w:tc>
      </w:tr>
      <w:tr>
        <w:trPr>
          <w:trHeight w:val="810"/>
        </w:trPr>
        <w:tc>
          <w:tcPr>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pStyle w:val="899"/>
              <w:ind w:firstLine="352"/>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泵站维保人员当天工作迟到、早退 （4分）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一次未签到扣1分，代签发现一次扣2分。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jc w:val="right"/>
              <w:keepLines w:val="0"/>
              <w:keepNext w:val="0"/>
              <w:widowControl/>
              <w:rPr>
                <w:rFonts w:hint="eastAsia" w:ascii="宋体" w:hAnsi="宋体" w:eastAsia="宋体" w:cs="宋体"/>
                <w:i w:val="0"/>
                <w:iCs w:val="0"/>
                <w:color w:val="auto"/>
                <w:sz w:val="21"/>
                <w:szCs w:val="21"/>
                <w:highlight w:val="none"/>
                <w:u w:val="single"/>
              </w:rPr>
              <w:suppressLineNumbers w:val="0"/>
            </w:pPr>
            <w:r>
              <w:rPr>
                <w:rFonts w:hint="eastAsia" w:ascii="宋体" w:hAnsi="宋体" w:eastAsia="宋体" w:cs="宋体"/>
                <w:i w:val="0"/>
                <w:iCs w:val="0"/>
                <w:color w:val="auto"/>
                <w:sz w:val="21"/>
                <w:szCs w:val="21"/>
                <w:highlight w:val="none"/>
                <w:u w:val="single"/>
                <w:lang w:val="en-US" w:eastAsia="zh-CN"/>
              </w:rPr>
            </w:r>
            <w:r>
              <w:rPr>
                <w:color w:val="auto"/>
              </w:rPr>
            </w:r>
          </w:p>
        </w:tc>
      </w:tr>
      <w:tr>
        <w:trPr>
          <w:trHeight w:val="623"/>
        </w:trPr>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pStyle w:val="899"/>
              <w:ind w:firstLine="35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总分：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r>
            <w:r>
              <w:rPr>
                <w:color w:val="auto"/>
              </w:rPr>
            </w:r>
          </w:p>
        </w:tc>
      </w:tr>
      <w:tr>
        <w:trPr>
          <w:trHeight w:val="575"/>
        </w:trPr>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pStyle w:val="899"/>
              <w:ind w:firstLine="35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考核人员：</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r>
            <w:r>
              <w:rPr>
                <w:color w:val="auto"/>
              </w:rPr>
            </w:r>
          </w:p>
        </w:tc>
      </w:tr>
      <w:tr>
        <w:trPr>
          <w:trHeight w:val="586"/>
        </w:trPr>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pStyle w:val="899"/>
              <w:ind w:firstLine="35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维保单位：</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日期：</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r>
            <w:r>
              <w:rPr>
                <w:color w:val="auto"/>
              </w:rPr>
            </w:r>
          </w:p>
        </w:tc>
      </w:tr>
    </w:tbl>
    <w:p>
      <w:pPr>
        <w:pStyle w:val="899"/>
        <w:jc w:val="center"/>
        <w:rPr>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lang w:val="zh-CN"/>
        </w:rPr>
        <w:br w:type="page" w:clear="all"/>
      </w:r>
      <w:bookmarkStart w:id="339" w:name="_Toc2758"/>
      <w:r>
        <w:rPr>
          <w:color w:val="auto"/>
        </w:rPr>
      </w:r>
      <w:bookmarkStart w:id="340" w:name="_Toc6960"/>
      <w:r>
        <w:rPr>
          <w:color w:val="auto"/>
        </w:rPr>
      </w:r>
      <w:bookmarkStart w:id="341" w:name="_Toc13603"/>
      <w:r>
        <w:rPr>
          <w:color w:val="auto"/>
        </w:rPr>
      </w:r>
      <w:bookmarkStart w:id="342" w:name="_Toc32602"/>
      <w:r>
        <w:rPr>
          <w:color w:val="auto"/>
        </w:rPr>
      </w:r>
      <w:bookmarkStart w:id="343" w:name="_Toc5954"/>
      <w:r>
        <w:rPr>
          <w:color w:val="auto"/>
        </w:rPr>
      </w:r>
      <w:bookmarkStart w:id="344" w:name="_Toc21049"/>
      <w:r>
        <w:rPr>
          <w:color w:val="auto"/>
        </w:rPr>
      </w:r>
      <w:bookmarkStart w:id="345" w:name="_Toc10617"/>
      <w:r>
        <w:rPr>
          <w:color w:val="auto"/>
        </w:rPr>
      </w:r>
      <w:bookmarkStart w:id="346" w:name="_Toc21175"/>
      <w:r>
        <w:rPr>
          <w:color w:val="auto"/>
        </w:rPr>
      </w:r>
      <w:bookmarkStart w:id="347" w:name="_Toc3279"/>
      <w:r>
        <w:rPr>
          <w:color w:val="auto"/>
        </w:rPr>
      </w:r>
      <w:bookmarkStart w:id="348" w:name="_Toc11754"/>
      <w:r>
        <w:rPr>
          <w:color w:val="auto"/>
        </w:rPr>
      </w:r>
      <w:bookmarkStart w:id="349" w:name="_Toc13112"/>
      <w:r>
        <w:rPr>
          <w:color w:val="auto"/>
        </w:rPr>
      </w:r>
      <w:bookmarkStart w:id="350" w:name="_Toc4895"/>
      <w:r>
        <w:rPr>
          <w:color w:val="auto"/>
        </w:rPr>
      </w:r>
      <w:bookmarkStart w:id="351" w:name="_Toc1677"/>
      <w:r>
        <w:rPr>
          <w:color w:val="auto"/>
        </w:rPr>
      </w:r>
      <w:bookmarkStart w:id="352" w:name="_Toc24182"/>
      <w:r>
        <w:rPr>
          <w:color w:val="auto"/>
        </w:rPr>
      </w:r>
      <w:bookmarkStart w:id="353" w:name="_Toc28638"/>
      <w:r>
        <w:rPr>
          <w:rFonts w:hint="eastAsia" w:ascii="宋体" w:hAnsi="宋体" w:eastAsia="宋体" w:cs="宋体"/>
          <w:color w:val="auto"/>
          <w:sz w:val="36"/>
          <w:szCs w:val="36"/>
          <w:highlight w:val="none"/>
          <w:lang w:val="zh-CN"/>
        </w:rPr>
        <w:t xml:space="preserve">第四章</w:t>
      </w:r>
      <w:r>
        <w:rPr>
          <w:rFonts w:hint="eastAsia" w:ascii="宋体" w:hAnsi="宋体" w:eastAsia="宋体" w:cs="宋体"/>
          <w:color w:val="auto"/>
          <w:sz w:val="36"/>
          <w:szCs w:val="36"/>
          <w:highlight w:val="none"/>
        </w:rPr>
        <w:t xml:space="preserve"> </w:t>
      </w:r>
      <w:r>
        <w:rPr>
          <w:rFonts w:hint="eastAsia" w:ascii="宋体" w:hAnsi="宋体" w:eastAsia="宋体" w:cs="宋体"/>
          <w:color w:val="auto"/>
          <w:sz w:val="36"/>
          <w:szCs w:val="36"/>
          <w:highlight w:val="none"/>
          <w:lang w:val="zh-CN"/>
        </w:rPr>
        <w:t xml:space="preserve"> 评分标准</w:t>
      </w:r>
      <w:bookmarkEnd w:id="325"/>
      <w:r>
        <w:rPr>
          <w:color w:val="auto"/>
        </w:rPr>
      </w:r>
      <w:bookmarkEnd w:id="326"/>
      <w:r>
        <w:rPr>
          <w:color w:val="auto"/>
        </w:rPr>
      </w:r>
      <w:bookmarkEnd w:id="327"/>
      <w:r>
        <w:rPr>
          <w:color w:val="auto"/>
        </w:rPr>
      </w:r>
      <w:bookmarkEnd w:id="328"/>
      <w:r>
        <w:rPr>
          <w:color w:val="auto"/>
        </w:rPr>
      </w:r>
      <w:bookmarkEnd w:id="329"/>
      <w:r>
        <w:rPr>
          <w:color w:val="auto"/>
        </w:rPr>
      </w:r>
      <w:bookmarkEnd w:id="330"/>
      <w:r>
        <w:rPr>
          <w:color w:val="auto"/>
        </w:rPr>
      </w:r>
      <w:bookmarkEnd w:id="331"/>
      <w:r>
        <w:rPr>
          <w:color w:val="auto"/>
        </w:rPr>
      </w:r>
      <w:bookmarkEnd w:id="332"/>
      <w:r>
        <w:rPr>
          <w:color w:val="auto"/>
        </w:rPr>
      </w:r>
      <w:bookmarkEnd w:id="333"/>
      <w:r>
        <w:rPr>
          <w:color w:val="auto"/>
        </w:rPr>
      </w:r>
      <w:bookmarkEnd w:id="334"/>
      <w:r>
        <w:rPr>
          <w:color w:val="auto"/>
        </w:rPr>
      </w:r>
      <w:bookmarkEnd w:id="335"/>
      <w:r>
        <w:rPr>
          <w:color w:val="auto"/>
        </w:rPr>
      </w:r>
      <w:bookmarkEnd w:id="336"/>
      <w:r>
        <w:rPr>
          <w:color w:val="auto"/>
        </w:rPr>
      </w:r>
      <w:bookmarkEnd w:id="337"/>
      <w:r>
        <w:rPr>
          <w:color w:val="auto"/>
        </w:rPr>
      </w:r>
      <w:bookmarkEnd w:id="338"/>
      <w:r>
        <w:rPr>
          <w:color w:val="auto"/>
        </w:rPr>
      </w:r>
      <w:bookmarkEnd w:id="339"/>
      <w:r>
        <w:rPr>
          <w:color w:val="auto"/>
        </w:rPr>
      </w:r>
      <w:bookmarkEnd w:id="340"/>
      <w:r>
        <w:rPr>
          <w:color w:val="auto"/>
        </w:rPr>
      </w:r>
      <w:bookmarkEnd w:id="341"/>
      <w:r>
        <w:rPr>
          <w:color w:val="auto"/>
        </w:rPr>
      </w:r>
      <w:bookmarkEnd w:id="342"/>
      <w:r>
        <w:rPr>
          <w:color w:val="auto"/>
        </w:rPr>
      </w:r>
      <w:bookmarkEnd w:id="343"/>
      <w:r>
        <w:rPr>
          <w:color w:val="auto"/>
        </w:rPr>
      </w:r>
      <w:bookmarkEnd w:id="344"/>
      <w:r>
        <w:rPr>
          <w:color w:val="auto"/>
        </w:rPr>
      </w:r>
      <w:bookmarkEnd w:id="345"/>
      <w:r>
        <w:rPr>
          <w:color w:val="auto"/>
        </w:rPr>
      </w:r>
      <w:bookmarkEnd w:id="346"/>
      <w:r>
        <w:rPr>
          <w:color w:val="auto"/>
        </w:rPr>
      </w:r>
      <w:bookmarkEnd w:id="347"/>
      <w:r>
        <w:rPr>
          <w:color w:val="auto"/>
        </w:rPr>
      </w:r>
      <w:bookmarkEnd w:id="348"/>
      <w:r>
        <w:rPr>
          <w:color w:val="auto"/>
        </w:rPr>
      </w:r>
      <w:bookmarkEnd w:id="349"/>
      <w:r>
        <w:rPr>
          <w:color w:val="auto"/>
        </w:rPr>
      </w:r>
      <w:bookmarkEnd w:id="350"/>
      <w:r>
        <w:rPr>
          <w:color w:val="auto"/>
        </w:rPr>
      </w:r>
      <w:bookmarkEnd w:id="351"/>
      <w:r>
        <w:rPr>
          <w:color w:val="auto"/>
        </w:rPr>
      </w:r>
      <w:bookmarkEnd w:id="352"/>
      <w:r>
        <w:rPr>
          <w:color w:val="auto"/>
        </w:rPr>
      </w:r>
      <w:bookmarkEnd w:id="353"/>
      <w:r>
        <w:rPr>
          <w:rFonts w:hint="eastAsia" w:ascii="宋体" w:hAnsi="宋体" w:eastAsia="宋体" w:cs="宋体"/>
          <w:color w:val="auto"/>
          <w:sz w:val="36"/>
          <w:szCs w:val="36"/>
          <w:highlight w:val="none"/>
          <w:lang w:val="zh-CN"/>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highlight w:val="none"/>
          <w:lang w:val="zh-CN"/>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本项目采用</w:t>
      </w:r>
      <w:r>
        <w:rPr>
          <w:rFonts w:hint="eastAsia" w:ascii="宋体" w:hAnsi="宋体" w:eastAsia="宋体" w:cs="宋体"/>
          <w:b/>
          <w:bCs/>
          <w:color w:val="auto"/>
          <w:highlight w:val="none"/>
          <w:lang w:val="zh-CN"/>
        </w:rPr>
        <w:t xml:space="preserve">综合评分法</w:t>
      </w:r>
      <w:r>
        <w:rPr>
          <w:rFonts w:hint="eastAsia" w:ascii="宋体" w:hAnsi="宋体" w:eastAsia="宋体" w:cs="宋体"/>
          <w:color w:val="auto"/>
          <w:highlight w:val="none"/>
          <w:lang w:val="zh-CN"/>
        </w:rPr>
        <w:t xml:space="preserve">。综合评分法是指在满足采购文件实质性要求前提下，按照采购文件中规定的各项因素进行综合评审后，以总得分最高的响应供应商人作为成交供应商的方法。</w:t>
      </w:r>
      <w:r>
        <w:rPr>
          <w:rFonts w:hint="eastAsia" w:ascii="宋体" w:hAnsi="宋体" w:eastAsia="宋体" w:cs="宋体"/>
          <w:color w:val="auto"/>
          <w:highlight w:val="none"/>
        </w:rPr>
        <w:t xml:space="preserve">本次采购得分最高者为成交供应商，第二名为备选供应商，当成交供应商不能履行其义务时，由备选供应商顶替，成为新的成交供应商，也可重新组织采购。</w:t>
      </w:r>
      <w:r>
        <w:rPr>
          <w:rFonts w:hint="eastAsia" w:ascii="宋体" w:hAnsi="宋体" w:eastAsia="宋体" w:cs="宋体"/>
          <w:color w:val="auto"/>
          <w:highlight w:val="none"/>
        </w:rPr>
      </w:r>
      <w:r>
        <w:rPr>
          <w:color w:val="auto"/>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104"/>
        <w:gridCol w:w="6478"/>
        <w:gridCol w:w="745"/>
      </w:tblGrid>
      <w:tr>
        <w:trPr>
          <w:trHeight w:val="500"/>
          <w:tblHeader/>
        </w:trPr>
        <w:tc>
          <w:tcPr>
            <w:tcW w:w="732" w:type="dxa"/>
            <w:vAlign w:val="center"/>
            <w:vMerge w:val="restart"/>
            <w:textDirection w:val="lrTb"/>
            <w:noWrap w:val="false"/>
          </w:tcPr>
          <w:p>
            <w:pPr>
              <w:pStyle w:val="899"/>
              <w:jc w:val="center"/>
              <w:spacing w:line="360" w:lineRule="auto"/>
              <w:tabs>
                <w:tab w:val="left" w:pos="54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rPr>
              <w:t xml:space="preserve">序号</w:t>
            </w:r>
            <w:r>
              <w:rPr>
                <w:rFonts w:hint="eastAsia" w:ascii="宋体" w:hAnsi="宋体" w:eastAsia="宋体" w:cs="宋体"/>
                <w:b/>
                <w:bCs/>
                <w:color w:val="auto"/>
                <w:sz w:val="21"/>
                <w:szCs w:val="21"/>
                <w:highlight w:val="none"/>
                <w:lang w:val="en-US" w:eastAsia="zh-CN" w:bidi="ar-SA"/>
              </w:rPr>
            </w:r>
            <w:r>
              <w:rPr>
                <w:color w:val="auto"/>
              </w:rPr>
            </w:r>
          </w:p>
        </w:tc>
        <w:tc>
          <w:tcPr>
            <w:tcW w:w="1104" w:type="dxa"/>
            <w:vAlign w:val="center"/>
            <w:vMerge w:val="restart"/>
            <w:textDirection w:val="lrTb"/>
            <w:noWrap w:val="false"/>
          </w:tcPr>
          <w:p>
            <w:pPr>
              <w:pStyle w:val="899"/>
              <w:jc w:val="center"/>
              <w:spacing w:line="360" w:lineRule="auto"/>
              <w:tabs>
                <w:tab w:val="left" w:pos="54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rPr>
              <w:t xml:space="preserve">评分因素</w:t>
            </w:r>
            <w:r>
              <w:rPr>
                <w:rFonts w:hint="eastAsia" w:ascii="宋体" w:hAnsi="宋体" w:eastAsia="宋体" w:cs="宋体"/>
                <w:b/>
                <w:bCs/>
                <w:color w:val="auto"/>
                <w:sz w:val="21"/>
                <w:szCs w:val="21"/>
                <w:highlight w:val="none"/>
                <w:lang w:val="en-US" w:eastAsia="zh-CN" w:bidi="ar-SA"/>
              </w:rPr>
            </w:r>
            <w:r>
              <w:rPr>
                <w:color w:val="auto"/>
              </w:rPr>
            </w:r>
          </w:p>
        </w:tc>
        <w:tc>
          <w:tcPr>
            <w:tcW w:w="6478" w:type="dxa"/>
            <w:vAlign w:val="center"/>
            <w:vMerge w:val="restart"/>
            <w:textDirection w:val="lrTb"/>
            <w:noWrap w:val="false"/>
          </w:tcPr>
          <w:p>
            <w:pPr>
              <w:pStyle w:val="899"/>
              <w:jc w:val="center"/>
              <w:spacing w:line="360" w:lineRule="auto"/>
              <w:tabs>
                <w:tab w:val="left" w:pos="54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rPr>
              <w:t xml:space="preserve">评分标准</w:t>
            </w:r>
            <w:r>
              <w:rPr>
                <w:rFonts w:hint="eastAsia" w:ascii="宋体" w:hAnsi="宋体" w:eastAsia="宋体" w:cs="宋体"/>
                <w:b/>
                <w:bCs/>
                <w:color w:val="auto"/>
                <w:sz w:val="21"/>
                <w:szCs w:val="21"/>
                <w:highlight w:val="none"/>
                <w:lang w:val="en-US" w:eastAsia="zh-CN" w:bidi="ar-SA"/>
              </w:rPr>
            </w:r>
            <w:r>
              <w:rPr>
                <w:color w:val="auto"/>
              </w:rPr>
            </w:r>
          </w:p>
        </w:tc>
        <w:tc>
          <w:tcPr>
            <w:tcW w:w="745" w:type="dxa"/>
            <w:vAlign w:val="center"/>
            <w:vMerge w:val="restart"/>
            <w:textDirection w:val="lrTb"/>
            <w:noWrap w:val="false"/>
          </w:tcPr>
          <w:p>
            <w:pPr>
              <w:pStyle w:val="899"/>
              <w:jc w:val="center"/>
              <w:spacing w:line="360" w:lineRule="auto"/>
              <w:tabs>
                <w:tab w:val="left" w:pos="54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rPr>
              <w:t xml:space="preserve">分值</w:t>
            </w:r>
            <w:r>
              <w:rPr>
                <w:rFonts w:hint="eastAsia" w:ascii="宋体" w:hAnsi="宋体" w:eastAsia="宋体" w:cs="宋体"/>
                <w:b/>
                <w:bCs/>
                <w:color w:val="auto"/>
                <w:sz w:val="21"/>
                <w:szCs w:val="21"/>
                <w:highlight w:val="none"/>
                <w:lang w:val="en-US" w:eastAsia="zh-CN" w:bidi="ar-SA"/>
              </w:rPr>
            </w:r>
            <w:r>
              <w:rPr>
                <w:color w:val="auto"/>
              </w:rPr>
            </w:r>
          </w:p>
        </w:tc>
      </w:tr>
      <w:tr>
        <w:trPr>
          <w:trHeight w:val="2391"/>
          <w:tblHeader/>
        </w:trPr>
        <w:tc>
          <w:tcPr>
            <w:tcW w:w="732" w:type="dxa"/>
            <w:vAlign w:val="center"/>
            <w:textDirection w:val="lrTb"/>
            <w:noWrap w:val="false"/>
          </w:tcPr>
          <w:p>
            <w:pPr>
              <w:pStyle w:val="899"/>
              <w:ind w:right="13"/>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rPr>
                <w:rFonts w:hint="eastAsia" w:ascii="宋体" w:hAnsi="宋体" w:eastAsia="宋体" w:cs="宋体"/>
                <w:b/>
                <w:color w:val="auto"/>
                <w:szCs w:val="21"/>
                <w:highlight w:val="none"/>
              </w:rPr>
            </w:r>
            <w:r>
              <w:rPr>
                <w:color w:val="auto"/>
              </w:rPr>
            </w:r>
          </w:p>
        </w:tc>
        <w:tc>
          <w:tcPr>
            <w:tcW w:w="1104" w:type="dxa"/>
            <w:vAlign w:val="center"/>
            <w:textDirection w:val="lrTb"/>
            <w:noWrap w:val="false"/>
          </w:tcPr>
          <w:p>
            <w:pPr>
              <w:pStyle w:val="899"/>
              <w:ind w:right="13"/>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价格</w:t>
            </w:r>
            <w:r>
              <w:rPr>
                <w:rFonts w:hint="eastAsia" w:ascii="宋体" w:hAnsi="宋体" w:eastAsia="宋体" w:cs="宋体"/>
                <w:b/>
                <w:color w:val="auto"/>
                <w:szCs w:val="21"/>
                <w:highlight w:val="none"/>
              </w:rPr>
            </w:r>
            <w:r>
              <w:rPr>
                <w:color w:val="auto"/>
              </w:rPr>
            </w:r>
          </w:p>
          <w:p>
            <w:pPr>
              <w:pStyle w:val="899"/>
              <w:ind w:right="13"/>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10</w:t>
            </w:r>
            <w:r>
              <w:rPr>
                <w:rFonts w:hint="eastAsia" w:ascii="宋体" w:hAnsi="宋体" w:eastAsia="宋体" w:cs="宋体"/>
                <w:b/>
                <w:color w:val="auto"/>
                <w:szCs w:val="21"/>
                <w:highlight w:val="none"/>
              </w:rPr>
              <w:t xml:space="preserve">分）</w:t>
            </w:r>
            <w:r>
              <w:rPr>
                <w:rFonts w:hint="eastAsia" w:ascii="宋体" w:hAnsi="宋体" w:eastAsia="宋体" w:cs="宋体"/>
                <w:b/>
                <w:color w:val="auto"/>
                <w:szCs w:val="21"/>
                <w:highlight w:val="none"/>
              </w:rPr>
            </w:r>
            <w:r>
              <w:rPr>
                <w:color w:val="auto"/>
              </w:rPr>
            </w:r>
          </w:p>
          <w:p>
            <w:pPr>
              <w:pStyle w:val="899"/>
              <w:ind w:right="13"/>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rPr>
                <w:color w:val="auto"/>
              </w:rPr>
            </w:r>
          </w:p>
        </w:tc>
        <w:tc>
          <w:tcPr>
            <w:tcW w:w="6478" w:type="dxa"/>
            <w:vAlign w:val="center"/>
            <w:textDirection w:val="lrTb"/>
            <w:noWrap w:val="false"/>
          </w:tcPr>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采用低价优先法计算，即满足</w:t>
            </w:r>
            <w:r>
              <w:rPr>
                <w:rFonts w:hint="eastAsia" w:ascii="宋体" w:hAnsi="宋体" w:eastAsia="宋体" w:cs="宋体"/>
                <w:b w:val="0"/>
                <w:bCs/>
                <w:color w:val="auto"/>
                <w:szCs w:val="21"/>
                <w:highlight w:val="none"/>
                <w:lang w:eastAsia="zh-CN"/>
              </w:rPr>
              <w:t xml:space="preserve">采购</w:t>
            </w:r>
            <w:r>
              <w:rPr>
                <w:rFonts w:hint="eastAsia" w:ascii="宋体" w:hAnsi="宋体" w:eastAsia="宋体" w:cs="宋体"/>
                <w:b w:val="0"/>
                <w:bCs/>
                <w:color w:val="auto"/>
                <w:szCs w:val="21"/>
                <w:highlight w:val="none"/>
              </w:rPr>
              <w:t xml:space="preserve">文件要求</w:t>
            </w:r>
            <w:r>
              <w:rPr>
                <w:rFonts w:hint="eastAsia" w:ascii="宋体" w:hAnsi="宋体" w:eastAsia="宋体" w:cs="宋体"/>
                <w:b w:val="0"/>
                <w:bCs/>
                <w:color w:val="auto"/>
                <w:szCs w:val="21"/>
                <w:highlight w:val="none"/>
                <w:lang w:val="en-US" w:eastAsia="zh-CN"/>
              </w:rPr>
              <w:t xml:space="preserve">且</w:t>
            </w:r>
            <w:r>
              <w:rPr>
                <w:rFonts w:hint="eastAsia" w:ascii="宋体" w:hAnsi="宋体" w:eastAsia="宋体" w:cs="宋体"/>
                <w:b w:val="0"/>
                <w:bCs/>
                <w:color w:val="auto"/>
                <w:szCs w:val="21"/>
                <w:highlight w:val="none"/>
              </w:rPr>
              <w:t xml:space="preserve">投标价最低</w:t>
            </w:r>
            <w:r>
              <w:rPr>
                <w:rFonts w:hint="eastAsia" w:ascii="宋体" w:hAnsi="宋体" w:eastAsia="宋体" w:cs="宋体"/>
                <w:b w:val="0"/>
                <w:bCs/>
                <w:color w:val="auto"/>
                <w:szCs w:val="21"/>
                <w:highlight w:val="none"/>
                <w:lang w:val="en-US" w:eastAsia="zh-CN"/>
              </w:rPr>
              <w:t xml:space="preserve">的报价为</w:t>
            </w:r>
            <w:r>
              <w:rPr>
                <w:rFonts w:hint="eastAsia" w:ascii="宋体" w:hAnsi="宋体" w:eastAsia="宋体" w:cs="宋体"/>
                <w:b w:val="0"/>
                <w:bCs/>
                <w:color w:val="auto"/>
                <w:szCs w:val="21"/>
                <w:highlight w:val="none"/>
              </w:rPr>
              <w:t xml:space="preserve">评标基准价，其价格分为满分。其他</w:t>
            </w:r>
            <w:r>
              <w:rPr>
                <w:rFonts w:hint="eastAsia" w:ascii="宋体" w:hAnsi="宋体" w:eastAsia="宋体" w:cs="宋体"/>
                <w:b w:val="0"/>
                <w:bCs/>
                <w:color w:val="auto"/>
                <w:szCs w:val="21"/>
                <w:highlight w:val="none"/>
                <w:lang w:eastAsia="zh-CN"/>
              </w:rPr>
              <w:t xml:space="preserve">供应商</w:t>
            </w:r>
            <w:r>
              <w:rPr>
                <w:rFonts w:hint="eastAsia" w:ascii="宋体" w:hAnsi="宋体" w:eastAsia="宋体" w:cs="宋体"/>
                <w:b w:val="0"/>
                <w:bCs/>
                <w:color w:val="auto"/>
                <w:szCs w:val="21"/>
                <w:highlight w:val="none"/>
              </w:rPr>
              <w:t xml:space="preserve">的价格分按照下列公式计算（小数点保留两位）：评标价得分=(评标基准价／评标价)×</w:t>
            </w:r>
            <w:r>
              <w:rPr>
                <w:rFonts w:hint="eastAsia" w:ascii="宋体" w:hAnsi="宋体" w:eastAsia="宋体" w:cs="宋体"/>
                <w:b w:val="0"/>
                <w:bCs/>
                <w:color w:val="auto"/>
                <w:szCs w:val="21"/>
                <w:highlight w:val="none"/>
                <w:lang w:val="en-US" w:eastAsia="zh-CN"/>
              </w:rPr>
              <w:t xml:space="preserve">10</w:t>
            </w:r>
            <w:r>
              <w:rPr>
                <w:rFonts w:hint="eastAsia" w:ascii="宋体" w:hAnsi="宋体" w:eastAsia="宋体" w:cs="宋体"/>
                <w:b w:val="0"/>
                <w:bCs/>
                <w:color w:val="auto"/>
                <w:szCs w:val="21"/>
                <w:highlight w:val="none"/>
              </w:rPr>
              <w:t xml:space="preserve">。</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color w:val="auto"/>
                <w:szCs w:val="21"/>
                <w:highlight w:val="none"/>
              </w:rPr>
            </w:pPr>
            <w:r>
              <w:rPr>
                <w:rFonts w:hint="eastAsia" w:ascii="宋体" w:hAnsi="宋体" w:eastAsia="宋体" w:cs="宋体"/>
                <w:b w:val="0"/>
                <w:bCs/>
                <w:color w:val="auto"/>
                <w:szCs w:val="21"/>
                <w:highlight w:val="none"/>
              </w:rPr>
              <w:t xml:space="preserve">（</w:t>
            </w:r>
            <w:r>
              <w:rPr>
                <w:rFonts w:hint="eastAsia" w:ascii="宋体" w:hAnsi="宋体" w:eastAsia="宋体" w:cs="宋体"/>
                <w:b w:val="0"/>
                <w:bCs/>
                <w:color w:val="auto"/>
                <w:szCs w:val="21"/>
                <w:highlight w:val="none"/>
                <w:lang w:eastAsia="zh-CN"/>
              </w:rPr>
              <w:t xml:space="preserve">供应商</w:t>
            </w:r>
            <w:r>
              <w:rPr>
                <w:rFonts w:hint="eastAsia" w:ascii="宋体" w:hAnsi="宋体" w:eastAsia="宋体" w:cs="宋体"/>
                <w:b w:val="0"/>
                <w:bCs/>
                <w:color w:val="auto"/>
                <w:szCs w:val="21"/>
                <w:highlight w:val="none"/>
              </w:rPr>
              <w:t xml:space="preserve">报价超过</w:t>
            </w:r>
            <w:r>
              <w:rPr>
                <w:rFonts w:hint="eastAsia" w:ascii="宋体" w:hAnsi="宋体" w:eastAsia="宋体" w:cs="宋体"/>
                <w:b w:val="0"/>
                <w:bCs/>
                <w:color w:val="auto"/>
                <w:szCs w:val="21"/>
                <w:highlight w:val="none"/>
                <w:lang w:eastAsia="zh-CN"/>
              </w:rPr>
              <w:t xml:space="preserve">最高限价</w:t>
            </w:r>
            <w:r>
              <w:rPr>
                <w:rFonts w:hint="eastAsia" w:ascii="宋体" w:hAnsi="宋体" w:eastAsia="宋体" w:cs="宋体"/>
                <w:b w:val="0"/>
                <w:bCs/>
                <w:color w:val="auto"/>
                <w:szCs w:val="21"/>
                <w:highlight w:val="none"/>
              </w:rPr>
              <w:t xml:space="preserve">作无效标处理。评标委员会认为供应商的报价明显低于其他通过审查供应商的报价，有可能影响服务质量或者不能诚信履约的，应当要求其在开标现场合理的时间内提供书面说明，必要时提交相关证明材料；供应商不能证明其报价合理性的，评标委员会应当将其作为无效投标处理。</w:t>
            </w:r>
            <w:r>
              <w:rPr>
                <w:rFonts w:hint="eastAsia" w:ascii="宋体" w:hAnsi="宋体" w:eastAsia="宋体" w:cs="宋体"/>
                <w:b w:val="0"/>
                <w:bCs/>
                <w:color w:val="auto"/>
                <w:szCs w:val="21"/>
                <w:highlight w:val="none"/>
              </w:rPr>
              <w:t xml:space="preserve">）</w:t>
            </w:r>
            <w:r>
              <w:rPr>
                <w:rFonts w:hint="eastAsia" w:ascii="宋体" w:hAnsi="宋体" w:eastAsia="宋体" w:cs="宋体"/>
                <w:b/>
                <w:color w:val="auto"/>
                <w:szCs w:val="21"/>
                <w:highlight w:val="none"/>
              </w:rPr>
            </w:r>
            <w:r>
              <w:rPr>
                <w:color w:val="auto"/>
              </w:rPr>
            </w:r>
          </w:p>
        </w:tc>
        <w:tc>
          <w:tcPr>
            <w:tcW w:w="745" w:type="dxa"/>
            <w:vAlign w:val="center"/>
            <w:textDirection w:val="lrTb"/>
            <w:noWrap w:val="false"/>
          </w:tcPr>
          <w:p>
            <w:pPr>
              <w:pStyle w:val="899"/>
              <w:jc w:val="center"/>
              <w:keepLines w:val="0"/>
              <w:keepNext w:val="0"/>
              <w:widowControl/>
              <w:rPr>
                <w:rFonts w:hint="eastAsia" w:ascii="宋体" w:hAnsi="宋体" w:eastAsia="宋体" w:cs="宋体"/>
                <w:b/>
                <w:color w:val="auto"/>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rPr>
                <w:rFonts w:hint="eastAsia" w:ascii="宋体" w:hAnsi="宋体" w:eastAsia="宋体" w:cs="宋体"/>
                <w:b/>
                <w:color w:val="auto"/>
                <w:szCs w:val="21"/>
                <w:highlight w:val="none"/>
                <w:lang w:val="en-US" w:eastAsia="zh-CN"/>
              </w:rPr>
            </w:r>
            <w:r>
              <w:rPr>
                <w:color w:val="auto"/>
              </w:rPr>
            </w:r>
          </w:p>
        </w:tc>
      </w:tr>
      <w:tr>
        <w:trPr>
          <w:trHeight w:val="2863"/>
          <w:tblHeader/>
        </w:trPr>
        <w:tc>
          <w:tcPr>
            <w:tcW w:w="732" w:type="dxa"/>
            <w:vAlign w:val="center"/>
            <w:vMerge w:val="restart"/>
            <w:textDirection w:val="lrTb"/>
            <w:noWrap w:val="false"/>
          </w:tcPr>
          <w:p>
            <w:pPr>
              <w:pStyle w:val="899"/>
              <w:ind w:right="13"/>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2</w:t>
            </w:r>
            <w:r>
              <w:rPr>
                <w:rFonts w:hint="eastAsia" w:ascii="宋体" w:hAnsi="宋体" w:eastAsia="宋体" w:cs="宋体"/>
                <w:b/>
                <w:color w:val="auto"/>
                <w:szCs w:val="21"/>
                <w:highlight w:val="none"/>
                <w:lang w:eastAsia="zh-CN"/>
              </w:rPr>
            </w:r>
            <w:r>
              <w:rPr>
                <w:color w:val="auto"/>
              </w:rPr>
            </w:r>
          </w:p>
        </w:tc>
        <w:tc>
          <w:tcPr>
            <w:tcW w:w="1104" w:type="dxa"/>
            <w:vAlign w:val="center"/>
            <w:vMerge w:val="restart"/>
            <w:textDirection w:val="lrTb"/>
            <w:noWrap w:val="false"/>
          </w:tcPr>
          <w:p>
            <w:pPr>
              <w:pStyle w:val="899"/>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r>
            <w:r>
              <w:rPr>
                <w:color w:val="auto"/>
              </w:rPr>
            </w:r>
          </w:p>
          <w:p>
            <w:pPr>
              <w:pStyle w:val="899"/>
              <w:rPr>
                <w:rFonts w:hint="eastAsia"/>
                <w:color w:val="auto"/>
                <w:sz w:val="21"/>
                <w:szCs w:val="24"/>
                <w:highlight w:val="none"/>
              </w:rPr>
            </w:pPr>
            <w:r>
              <w:rPr>
                <w:rFonts w:hint="eastAsia"/>
                <w:color w:val="auto"/>
                <w:sz w:val="21"/>
                <w:szCs w:val="24"/>
                <w:highlight w:val="none"/>
                <w:lang w:val="zh-CN" w:eastAsia="zh-CN" w:bidi="ar-SA"/>
              </w:rPr>
            </w:r>
            <w:r>
              <w:rPr>
                <w:color w:val="auto"/>
              </w:rPr>
            </w:r>
          </w:p>
          <w:p>
            <w:pPr>
              <w:pStyle w:val="899"/>
              <w:rPr>
                <w:rFonts w:hint="eastAsia"/>
                <w:color w:val="auto"/>
                <w:highlight w:val="none"/>
              </w:rPr>
            </w:pPr>
            <w:r>
              <w:rPr>
                <w:rFonts w:hint="eastAsia"/>
                <w:color w:val="auto"/>
                <w:highlight w:val="none"/>
                <w:lang w:val="zh-CN" w:eastAsia="zh-CN"/>
              </w:rPr>
            </w:r>
            <w:r>
              <w:rPr>
                <w:color w:val="auto"/>
              </w:rPr>
            </w:r>
          </w:p>
          <w:p>
            <w:pPr>
              <w:pStyle w:val="899"/>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方案</w:t>
            </w:r>
            <w:r>
              <w:rPr>
                <w:rFonts w:hint="eastAsia" w:ascii="宋体" w:hAnsi="宋体" w:eastAsia="宋体" w:cs="宋体"/>
                <w:b/>
                <w:color w:val="auto"/>
                <w:szCs w:val="21"/>
                <w:highlight w:val="none"/>
                <w:lang w:val="en-US" w:eastAsia="zh-CN"/>
              </w:rPr>
            </w:r>
            <w:r>
              <w:rPr>
                <w:color w:val="auto"/>
              </w:rPr>
            </w:r>
          </w:p>
          <w:p>
            <w:pPr>
              <w:pStyle w:val="899"/>
              <w:jc w:val="center"/>
              <w:rPr>
                <w:color w:val="auto"/>
                <w:highlight w:val="none"/>
              </w:rPr>
            </w:pPr>
            <w:r>
              <w:rPr>
                <w:rFonts w:hint="eastAsia" w:ascii="宋体" w:hAnsi="宋体" w:eastAsia="宋体" w:cs="宋体"/>
                <w:b/>
                <w:color w:val="auto"/>
                <w:szCs w:val="21"/>
                <w:highlight w:val="none"/>
                <w:lang w:val="en-US" w:eastAsia="zh-CN"/>
              </w:rPr>
              <w:t xml:space="preserve">（68分）</w:t>
            </w:r>
            <w:r>
              <w:rPr>
                <w:color w:val="auto"/>
                <w:highlight w:val="none"/>
                <w:lang w:val="en-US" w:eastAsia="zh-CN"/>
              </w:rPr>
            </w:r>
            <w:r>
              <w:rPr>
                <w:color w:val="auto"/>
              </w:rPr>
            </w:r>
          </w:p>
        </w:tc>
        <w:tc>
          <w:tcPr>
            <w:tcW w:w="6478" w:type="dxa"/>
            <w:vAlign w:val="center"/>
            <w:textDirection w:val="lrTb"/>
            <w:noWrap w:val="false"/>
          </w:tcPr>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2.1 对本项目工作的理解</w:t>
            </w:r>
            <w:r>
              <w:rPr>
                <w:rFonts w:hint="eastAsia" w:ascii="宋体" w:hAnsi="宋体" w:eastAsia="宋体" w:cs="宋体"/>
                <w:b w:val="0"/>
                <w:bCs/>
                <w:color w:val="auto"/>
                <w:szCs w:val="21"/>
                <w:highlight w:val="none"/>
                <w:lang w:val="zh-CN"/>
              </w:rPr>
              <w:t xml:space="preserve">：</w:t>
            </w:r>
            <w:r>
              <w:rPr>
                <w:rFonts w:hint="eastAsia" w:ascii="宋体" w:hAnsi="宋体" w:eastAsia="宋体" w:cs="宋体"/>
                <w:b w:val="0"/>
                <w:bCs/>
                <w:color w:val="auto"/>
                <w:szCs w:val="21"/>
                <w:highlight w:val="none"/>
                <w:lang w:val="zh-CN"/>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（1）对总</w:t>
            </w:r>
            <w:r>
              <w:rPr>
                <w:rFonts w:hint="eastAsia" w:ascii="宋体" w:hAnsi="宋体" w:eastAsia="宋体" w:cs="宋体"/>
                <w:b w:val="0"/>
                <w:bCs/>
                <w:color w:val="auto"/>
                <w:szCs w:val="21"/>
                <w:highlight w:val="none"/>
                <w:lang w:val="zh-CN"/>
              </w:rPr>
              <w:t xml:space="preserve">体项目需求</w:t>
            </w:r>
            <w:r>
              <w:rPr>
                <w:rFonts w:hint="eastAsia" w:ascii="宋体" w:hAnsi="宋体" w:eastAsia="宋体" w:cs="宋体"/>
                <w:b w:val="0"/>
                <w:bCs/>
                <w:color w:val="auto"/>
                <w:szCs w:val="21"/>
                <w:highlight w:val="none"/>
              </w:rPr>
              <w:t xml:space="preserve">要求理解准确，提交的实施方案内容科学合理、针对性明确细致满足本项目任务要求的得1</w:t>
            </w:r>
            <w:r>
              <w:rPr>
                <w:rFonts w:hint="eastAsia" w:ascii="宋体" w:hAnsi="宋体" w:eastAsia="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（2）对总</w:t>
            </w:r>
            <w:r>
              <w:rPr>
                <w:rFonts w:hint="eastAsia" w:ascii="宋体" w:hAnsi="宋体" w:eastAsia="宋体" w:cs="宋体"/>
                <w:b w:val="0"/>
                <w:bCs/>
                <w:color w:val="auto"/>
                <w:szCs w:val="21"/>
                <w:highlight w:val="none"/>
                <w:lang w:val="zh-CN"/>
              </w:rPr>
              <w:t xml:space="preserve">体项目需求</w:t>
            </w:r>
            <w:r>
              <w:rPr>
                <w:rFonts w:hint="eastAsia" w:ascii="宋体" w:hAnsi="宋体" w:eastAsia="宋体" w:cs="宋体"/>
                <w:b w:val="0"/>
                <w:bCs/>
                <w:color w:val="auto"/>
                <w:szCs w:val="21"/>
                <w:highlight w:val="none"/>
              </w:rPr>
              <w:t xml:space="preserve">要求理解准确，提交的实施方案内容合理、针对性明确但不够细致，基本满足本项目任务要求的得</w:t>
            </w:r>
            <w:r>
              <w:rPr>
                <w:rFonts w:hint="eastAsia" w:ascii="宋体" w:hAnsi="宋体" w:eastAsia="宋体" w:cs="宋体"/>
                <w:b w:val="0"/>
                <w:bCs/>
                <w:color w:val="auto"/>
                <w:szCs w:val="21"/>
                <w:highlight w:val="none"/>
                <w:lang w:val="en-US" w:eastAsia="zh-CN"/>
              </w:rPr>
              <w:t xml:space="preserve">11</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（3）对总</w:t>
            </w:r>
            <w:r>
              <w:rPr>
                <w:rFonts w:hint="eastAsia" w:ascii="宋体" w:hAnsi="宋体" w:eastAsia="宋体" w:cs="宋体"/>
                <w:b w:val="0"/>
                <w:bCs/>
                <w:color w:val="auto"/>
                <w:szCs w:val="21"/>
                <w:highlight w:val="none"/>
                <w:lang w:val="zh-CN"/>
              </w:rPr>
              <w:t xml:space="preserve">体项目需求</w:t>
            </w:r>
            <w:r>
              <w:rPr>
                <w:rFonts w:hint="eastAsia" w:ascii="宋体" w:hAnsi="宋体" w:eastAsia="宋体" w:cs="宋体"/>
                <w:b w:val="0"/>
                <w:bCs/>
                <w:color w:val="auto"/>
                <w:szCs w:val="21"/>
                <w:highlight w:val="none"/>
              </w:rPr>
              <w:t xml:space="preserve">要求理解一般的，提交的实施针对性一般的得</w:t>
            </w:r>
            <w:r>
              <w:rPr>
                <w:rFonts w:hint="eastAsia" w:ascii="宋体" w:hAnsi="宋体" w:eastAsia="宋体" w:cs="宋体"/>
                <w:b w:val="0"/>
                <w:bCs/>
                <w:color w:val="auto"/>
                <w:szCs w:val="21"/>
                <w:highlight w:val="none"/>
                <w:lang w:val="en-US" w:eastAsia="zh-CN"/>
              </w:rPr>
              <w:t xml:space="preserve">8</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（4）对总</w:t>
            </w:r>
            <w:r>
              <w:rPr>
                <w:rFonts w:hint="eastAsia" w:ascii="宋体" w:hAnsi="宋体" w:eastAsia="宋体" w:cs="宋体"/>
                <w:b w:val="0"/>
                <w:bCs/>
                <w:color w:val="auto"/>
                <w:szCs w:val="21"/>
                <w:highlight w:val="none"/>
                <w:lang w:val="zh-CN"/>
              </w:rPr>
              <w:t xml:space="preserve">体项目需求</w:t>
            </w:r>
            <w:r>
              <w:rPr>
                <w:rFonts w:hint="eastAsia" w:ascii="宋体" w:hAnsi="宋体" w:eastAsia="宋体" w:cs="宋体"/>
                <w:b w:val="0"/>
                <w:bCs/>
                <w:color w:val="auto"/>
                <w:szCs w:val="21"/>
                <w:highlight w:val="none"/>
              </w:rPr>
              <w:t xml:space="preserve">要求理解不够准确，提交的实施方案无针对性，内容不能完全满足本项目任务要求的得</w:t>
            </w:r>
            <w:r>
              <w:rPr>
                <w:rFonts w:hint="eastAsia" w:ascii="宋体" w:hAnsi="宋体" w:eastAsia="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eastAsia="zh-CN"/>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（5）未提供的不得分。</w:t>
            </w:r>
            <w:r>
              <w:rPr>
                <w:rFonts w:hint="eastAsia" w:ascii="宋体" w:hAnsi="宋体" w:eastAsia="宋体" w:cs="宋体"/>
                <w:b w:val="0"/>
                <w:bCs/>
                <w:color w:val="auto"/>
                <w:szCs w:val="21"/>
                <w:highlight w:val="none"/>
              </w:rPr>
            </w:r>
            <w:r>
              <w:rPr>
                <w:color w:val="auto"/>
              </w:rPr>
            </w:r>
          </w:p>
        </w:tc>
        <w:tc>
          <w:tcPr>
            <w:tcW w:w="745" w:type="dxa"/>
            <w:vAlign w:val="center"/>
            <w:textDirection w:val="lrTb"/>
            <w:noWrap w:val="false"/>
          </w:tcPr>
          <w:p>
            <w:pPr>
              <w:pStyle w:val="899"/>
              <w:jc w:val="center"/>
              <w:keepLines w:val="0"/>
              <w:keepNext w:val="0"/>
              <w:widowControl/>
              <w:rPr>
                <w:rFonts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rPr>
                <w:rFonts w:ascii="宋体" w:hAnsi="宋体" w:eastAsia="宋体" w:cs="宋体"/>
                <w:b w:val="0"/>
                <w:bCs w:val="0"/>
                <w:i w:val="0"/>
                <w:iCs w:val="0"/>
                <w:color w:val="auto"/>
                <w:sz w:val="21"/>
                <w:szCs w:val="21"/>
                <w:highlight w:val="none"/>
                <w:u w:val="none"/>
                <w:lang w:val="en-US" w:eastAsia="zh-CN" w:bidi="ar"/>
              </w:rPr>
            </w:r>
            <w:r>
              <w:rPr>
                <w:color w:val="auto"/>
              </w:rPr>
            </w:r>
          </w:p>
        </w:tc>
      </w:tr>
      <w:tr>
        <w:trPr>
          <w:trHeight w:val="2292"/>
          <w:tblHeader/>
        </w:trPr>
        <w:tc>
          <w:tcPr>
            <w:tcW w:w="732" w:type="dxa"/>
            <w:vAlign w:val="center"/>
            <w:vMerge w:val="continue"/>
            <w:textDirection w:val="lrTb"/>
            <w:noWrap w:val="false"/>
          </w:tcPr>
          <w:p>
            <w:pPr>
              <w:pStyle w:val="899"/>
              <w:ind w:right="13"/>
              <w:jc w:val="center"/>
              <w:spacing w:line="24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r>
            <w:r/>
          </w:p>
        </w:tc>
        <w:tc>
          <w:tcPr>
            <w:tcW w:w="1104" w:type="dxa"/>
            <w:vAlign w:val="center"/>
            <w:vMerge w:val="continue"/>
            <w:textDirection w:val="lrTb"/>
            <w:noWrap w:val="false"/>
          </w:tcPr>
          <w:p>
            <w:pPr>
              <w:pStyle w:val="899"/>
              <w:jc w:val="center"/>
              <w:spacing w:line="24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r>
            <w:r/>
          </w:p>
        </w:tc>
        <w:tc>
          <w:tcPr>
            <w:tcW w:w="6478" w:type="dxa"/>
            <w:vAlign w:val="center"/>
            <w:textDirection w:val="lrTb"/>
            <w:noWrap w:val="false"/>
          </w:tcPr>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2.2本项目的重点和难点分析及应对措施：</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（1）重点和难点分析非常合理，措施考虑全面，针对性强能保证较好完成任务得1</w:t>
            </w:r>
            <w:r>
              <w:rPr>
                <w:rFonts w:hint="eastAsia" w:ascii="宋体" w:hAnsi="宋体" w:eastAsia="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（2）重点和难点分析合理，措施基本全面，有一定针对性能保证完成任务得</w:t>
            </w:r>
            <w:r>
              <w:rPr>
                <w:rFonts w:hint="eastAsia" w:ascii="宋体" w:hAnsi="宋体" w:eastAsia="宋体" w:cs="宋体"/>
                <w:b w:val="0"/>
                <w:bCs/>
                <w:color w:val="auto"/>
                <w:szCs w:val="21"/>
                <w:highlight w:val="none"/>
                <w:lang w:val="en-US" w:eastAsia="zh-CN"/>
              </w:rPr>
              <w:t xml:space="preserve">11</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（3）计划安排可行性、质量控制措施一般的得</w:t>
            </w:r>
            <w:r>
              <w:rPr>
                <w:rFonts w:hint="eastAsia" w:ascii="宋体" w:hAnsi="宋体" w:eastAsia="宋体" w:cs="宋体"/>
                <w:b w:val="0"/>
                <w:bCs/>
                <w:color w:val="auto"/>
                <w:szCs w:val="21"/>
                <w:highlight w:val="none"/>
                <w:lang w:val="en-US" w:eastAsia="zh-CN"/>
              </w:rPr>
              <w:t xml:space="preserve">8</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（4）计划安排可行，质量控制措施不够全面，无针对性的得</w:t>
            </w:r>
            <w:r>
              <w:rPr>
                <w:rFonts w:hint="eastAsia" w:ascii="宋体" w:hAnsi="宋体" w:eastAsia="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（5）未提供的不得分。</w:t>
            </w:r>
            <w:r>
              <w:rPr>
                <w:rFonts w:hint="eastAsia" w:ascii="宋体" w:hAnsi="宋体" w:eastAsia="宋体" w:cs="宋体"/>
                <w:b w:val="0"/>
                <w:bCs/>
                <w:color w:val="auto"/>
                <w:szCs w:val="21"/>
                <w:highlight w:val="none"/>
              </w:rPr>
            </w:r>
            <w:r>
              <w:rPr>
                <w:color w:val="auto"/>
              </w:rPr>
            </w:r>
          </w:p>
        </w:tc>
        <w:tc>
          <w:tcPr>
            <w:tcW w:w="745" w:type="dxa"/>
            <w:vAlign w:val="center"/>
            <w:textDirection w:val="lrTb"/>
            <w:noWrap w:val="false"/>
          </w:tcPr>
          <w:p>
            <w:pPr>
              <w:pStyle w:val="899"/>
              <w:jc w:val="center"/>
              <w:keepLines w:val="0"/>
              <w:keepNext w:val="0"/>
              <w:widowControl/>
              <w:rPr>
                <w:rFonts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rPr>
                <w:rFonts w:ascii="宋体" w:hAnsi="宋体" w:eastAsia="宋体" w:cs="宋体"/>
                <w:b w:val="0"/>
                <w:bCs w:val="0"/>
                <w:i w:val="0"/>
                <w:iCs w:val="0"/>
                <w:color w:val="auto"/>
                <w:sz w:val="21"/>
                <w:szCs w:val="21"/>
                <w:highlight w:val="none"/>
                <w:u w:val="none"/>
                <w:lang w:val="en-US" w:eastAsia="zh-CN" w:bidi="ar"/>
              </w:rPr>
            </w:r>
            <w:r>
              <w:rPr>
                <w:color w:val="auto"/>
              </w:rPr>
            </w:r>
          </w:p>
        </w:tc>
      </w:tr>
      <w:tr>
        <w:trPr>
          <w:trHeight w:val="2578"/>
          <w:tblHeader/>
        </w:trPr>
        <w:tc>
          <w:tcPr>
            <w:tcW w:w="732" w:type="dxa"/>
            <w:vAlign w:val="center"/>
            <w:vMerge w:val="continue"/>
            <w:textDirection w:val="lrTb"/>
            <w:noWrap w:val="false"/>
          </w:tcPr>
          <w:p>
            <w:pPr>
              <w:pStyle w:val="899"/>
              <w:ind w:right="13"/>
              <w:jc w:val="center"/>
              <w:spacing w:line="24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r>
            <w:r/>
          </w:p>
        </w:tc>
        <w:tc>
          <w:tcPr>
            <w:tcW w:w="1104" w:type="dxa"/>
            <w:vAlign w:val="center"/>
            <w:vMerge w:val="continue"/>
            <w:textDirection w:val="lrTb"/>
            <w:noWrap w:val="false"/>
          </w:tcPr>
          <w:p>
            <w:pPr>
              <w:pStyle w:val="899"/>
              <w:jc w:val="center"/>
              <w:spacing w:line="24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r>
            <w:r/>
          </w:p>
        </w:tc>
        <w:tc>
          <w:tcPr>
            <w:tcW w:w="6478" w:type="dxa"/>
            <w:vAlign w:val="center"/>
            <w:textDirection w:val="lrTb"/>
            <w:noWrap w:val="false"/>
          </w:tcPr>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2.3根据对团队人员配备计划、管理制度等方面进行评分：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（1）人员配备科学合理、管理制度全面完善，针对性强能保证较好完成任务得1</w:t>
            </w:r>
            <w:r>
              <w:rPr>
                <w:rFonts w:hint="eastAsia" w:ascii="宋体" w:hAnsi="宋体" w:eastAsia="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（2）人员配备合理、管理制度完善但不够全面，有一定针对性能完成任务的得</w:t>
            </w:r>
            <w:r>
              <w:rPr>
                <w:rFonts w:hint="eastAsia" w:ascii="宋体" w:hAnsi="宋体" w:eastAsia="宋体" w:cs="宋体"/>
                <w:b w:val="0"/>
                <w:bCs/>
                <w:color w:val="auto"/>
                <w:szCs w:val="21"/>
                <w:highlight w:val="none"/>
                <w:lang w:val="en-US" w:eastAsia="zh-CN"/>
              </w:rPr>
              <w:t xml:space="preserve">11</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（3）人员配备基本合理、管理制度一般，针对性一般的得</w:t>
            </w:r>
            <w:r>
              <w:rPr>
                <w:rFonts w:hint="eastAsia" w:ascii="宋体" w:hAnsi="宋体" w:eastAsia="宋体" w:cs="宋体"/>
                <w:b w:val="0"/>
                <w:bCs/>
                <w:color w:val="auto"/>
                <w:szCs w:val="21"/>
                <w:highlight w:val="none"/>
                <w:lang w:val="en-US" w:eastAsia="zh-CN"/>
              </w:rPr>
              <w:t xml:space="preserve">8</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（4）人员配备基本合理、管理制度不够完善，无针对性能基本完成任务的得</w:t>
            </w:r>
            <w:r>
              <w:rPr>
                <w:rFonts w:hint="eastAsia" w:ascii="宋体" w:hAnsi="宋体" w:eastAsia="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（5）未提供不得分。</w:t>
            </w:r>
            <w:r>
              <w:rPr>
                <w:rFonts w:hint="eastAsia" w:ascii="宋体" w:hAnsi="宋体" w:eastAsia="宋体" w:cs="宋体"/>
                <w:b w:val="0"/>
                <w:bCs/>
                <w:color w:val="auto"/>
                <w:szCs w:val="21"/>
                <w:highlight w:val="none"/>
              </w:rPr>
            </w:r>
            <w:r>
              <w:rPr>
                <w:color w:val="auto"/>
              </w:rPr>
            </w:r>
          </w:p>
        </w:tc>
        <w:tc>
          <w:tcPr>
            <w:tcW w:w="745" w:type="dxa"/>
            <w:vAlign w:val="center"/>
            <w:textDirection w:val="lrTb"/>
            <w:noWrap w:val="false"/>
          </w:tcPr>
          <w:p>
            <w:pPr>
              <w:pStyle w:val="899"/>
              <w:jc w:val="center"/>
              <w:keepLines w:val="0"/>
              <w:keepNext w:val="0"/>
              <w:widowControl/>
              <w:rPr>
                <w:rFonts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rPr>
                <w:rFonts w:ascii="宋体" w:hAnsi="宋体" w:eastAsia="宋体" w:cs="宋体"/>
                <w:b w:val="0"/>
                <w:bCs w:val="0"/>
                <w:i w:val="0"/>
                <w:iCs w:val="0"/>
                <w:color w:val="auto"/>
                <w:sz w:val="21"/>
                <w:szCs w:val="21"/>
                <w:highlight w:val="none"/>
                <w:u w:val="none"/>
                <w:lang w:val="en-US" w:eastAsia="zh-CN" w:bidi="ar"/>
              </w:rPr>
            </w:r>
            <w:r>
              <w:rPr>
                <w:color w:val="auto"/>
              </w:rPr>
            </w:r>
          </w:p>
        </w:tc>
      </w:tr>
      <w:tr>
        <w:trPr>
          <w:trHeight w:val="2828"/>
          <w:tblHeader/>
        </w:trPr>
        <w:tc>
          <w:tcPr>
            <w:tcW w:w="732" w:type="dxa"/>
            <w:vAlign w:val="center"/>
            <w:vMerge w:val="continue"/>
            <w:textDirection w:val="lrTb"/>
            <w:noWrap w:val="false"/>
          </w:tcPr>
          <w:p>
            <w:pPr>
              <w:pStyle w:val="899"/>
              <w:ind w:right="13"/>
              <w:jc w:val="center"/>
              <w:spacing w:line="24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r>
            <w:r/>
          </w:p>
        </w:tc>
        <w:tc>
          <w:tcPr>
            <w:tcW w:w="1104" w:type="dxa"/>
            <w:vAlign w:val="center"/>
            <w:vMerge w:val="continue"/>
            <w:textDirection w:val="lrTb"/>
            <w:noWrap w:val="false"/>
          </w:tcPr>
          <w:p>
            <w:pPr>
              <w:pStyle w:val="899"/>
              <w:jc w:val="center"/>
              <w:spacing w:line="24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r>
            <w:r/>
          </w:p>
        </w:tc>
        <w:tc>
          <w:tcPr>
            <w:tcW w:w="6478" w:type="dxa"/>
            <w:vAlign w:val="top"/>
            <w:textDirection w:val="lrTb"/>
            <w:noWrap w:val="false"/>
          </w:tcPr>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2.4突发事件应急处理预案：</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（1）突发情况应急预案科学合理，突击保障任务和突发问题处理措施全面完善详细的得1</w:t>
            </w:r>
            <w:r>
              <w:rPr>
                <w:rFonts w:hint="eastAsia" w:ascii="宋体" w:hAnsi="宋体" w:eastAsia="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（2）突发情况应急预案合理，突击保障任务和突发问题处理措施详细可行的得</w:t>
            </w:r>
            <w:r>
              <w:rPr>
                <w:rFonts w:hint="eastAsia" w:ascii="宋体" w:hAnsi="宋体" w:eastAsia="宋体" w:cs="宋体"/>
                <w:b w:val="0"/>
                <w:bCs/>
                <w:color w:val="auto"/>
                <w:szCs w:val="21"/>
                <w:highlight w:val="none"/>
                <w:lang w:val="en-US" w:eastAsia="zh-CN"/>
              </w:rPr>
              <w:t xml:space="preserve">11</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（3）突发情况应急预案一般，突击保障任务和突发问题处理措施一般的得</w:t>
            </w:r>
            <w:r>
              <w:rPr>
                <w:rFonts w:hint="eastAsia" w:ascii="宋体" w:hAnsi="宋体" w:eastAsia="宋体" w:cs="宋体"/>
                <w:b w:val="0"/>
                <w:bCs/>
                <w:color w:val="auto"/>
                <w:szCs w:val="21"/>
                <w:highlight w:val="none"/>
                <w:lang w:val="en-US" w:eastAsia="zh-CN"/>
              </w:rPr>
              <w:t xml:space="preserve">8</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（4）突发情况应急预案可行，突击保障任务和突发问题处理措施可行但不够详细的得</w:t>
            </w:r>
            <w:r>
              <w:rPr>
                <w:rFonts w:hint="eastAsia" w:ascii="宋体" w:hAnsi="宋体" w:eastAsia="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（5）未提供方案的不得分。</w:t>
            </w:r>
            <w:r>
              <w:rPr>
                <w:rFonts w:hint="eastAsia" w:ascii="宋体" w:hAnsi="宋体" w:eastAsia="宋体" w:cs="宋体"/>
                <w:b w:val="0"/>
                <w:bCs/>
                <w:color w:val="auto"/>
                <w:szCs w:val="21"/>
                <w:highlight w:val="none"/>
              </w:rPr>
            </w:r>
            <w:r>
              <w:rPr>
                <w:color w:val="auto"/>
              </w:rPr>
            </w:r>
          </w:p>
        </w:tc>
        <w:tc>
          <w:tcPr>
            <w:tcW w:w="745" w:type="dxa"/>
            <w:vAlign w:val="center"/>
            <w:textDirection w:val="lrTb"/>
            <w:noWrap w:val="false"/>
          </w:tcPr>
          <w:p>
            <w:pPr>
              <w:pStyle w:val="899"/>
              <w:jc w:val="center"/>
              <w:keepLines w:val="0"/>
              <w:keepNext w:val="0"/>
              <w:widowControl/>
              <w:rPr>
                <w:rFonts w:ascii="宋体" w:hAnsi="宋体" w:eastAsia="宋体" w:cs="宋体"/>
                <w:b w:val="0"/>
                <w:bCs/>
                <w:color w:val="auto"/>
                <w:szCs w:val="21"/>
                <w:highlight w:val="none"/>
              </w:rPr>
              <w:suppressLineNumbers w:val="0"/>
            </w:pPr>
            <w:r>
              <w:rPr>
                <w:rFonts w:hint="eastAsia" w:ascii="宋体" w:hAnsi="宋体" w:eastAsia="宋体" w:cs="宋体"/>
                <w:b w:val="0"/>
                <w:bCs/>
                <w:color w:val="auto"/>
                <w:szCs w:val="21"/>
                <w:highlight w:val="none"/>
                <w:lang w:val="en-US" w:eastAsia="zh-CN"/>
              </w:rPr>
              <w:t xml:space="preserve">14</w:t>
            </w:r>
            <w:r>
              <w:rPr>
                <w:rFonts w:ascii="宋体" w:hAnsi="宋体" w:eastAsia="宋体" w:cs="宋体"/>
                <w:b w:val="0"/>
                <w:bCs/>
                <w:color w:val="auto"/>
                <w:szCs w:val="21"/>
                <w:highlight w:val="none"/>
                <w:lang w:val="en-US" w:eastAsia="zh-CN"/>
              </w:rPr>
            </w:r>
            <w:r>
              <w:rPr>
                <w:color w:val="auto"/>
              </w:rPr>
            </w:r>
          </w:p>
        </w:tc>
      </w:tr>
      <w:tr>
        <w:trPr>
          <w:trHeight w:val="2763"/>
          <w:tblHeader/>
        </w:trPr>
        <w:tc>
          <w:tcPr>
            <w:tcW w:w="732" w:type="dxa"/>
            <w:vAlign w:val="center"/>
            <w:vMerge w:val="continue"/>
            <w:textDirection w:val="lrTb"/>
            <w:noWrap w:val="false"/>
          </w:tcPr>
          <w:p>
            <w:pPr>
              <w:pStyle w:val="899"/>
              <w:ind w:right="13"/>
              <w:jc w:val="center"/>
              <w:spacing w:line="240" w:lineRule="auto"/>
              <w:rPr>
                <w:rFonts w:ascii="宋体" w:hAnsi="宋体" w:eastAsia="宋体" w:cs="宋体"/>
                <w:b/>
                <w:color w:val="000000"/>
                <w:szCs w:val="21"/>
                <w:highlight w:val="none"/>
                <w:lang w:val="en-US" w:eastAsia="zh-CN"/>
              </w:rPr>
            </w:pPr>
            <w:r>
              <w:rPr>
                <w:rFonts w:ascii="宋体" w:hAnsi="宋体" w:eastAsia="宋体" w:cs="宋体"/>
                <w:b/>
                <w:color w:val="000000"/>
                <w:szCs w:val="21"/>
                <w:highlight w:val="none"/>
                <w:lang w:val="en-US" w:eastAsia="zh-CN"/>
              </w:rPr>
            </w:r>
            <w:r/>
          </w:p>
        </w:tc>
        <w:tc>
          <w:tcPr>
            <w:tcW w:w="1104" w:type="dxa"/>
            <w:vAlign w:val="center"/>
            <w:vMerge w:val="continue"/>
            <w:textDirection w:val="lrTb"/>
            <w:noWrap w:val="false"/>
          </w:tcPr>
          <w:p>
            <w:pPr>
              <w:pStyle w:val="899"/>
              <w:jc w:val="center"/>
              <w:spacing w:line="240" w:lineRule="auto"/>
              <w:rPr>
                <w:rFonts w:ascii="宋体" w:hAnsi="宋体" w:eastAsia="宋体" w:cs="宋体"/>
                <w:b/>
                <w:color w:val="000000"/>
                <w:szCs w:val="21"/>
                <w:highlight w:val="none"/>
                <w:lang w:val="en-US" w:eastAsia="zh-CN"/>
              </w:rPr>
            </w:pPr>
            <w:r>
              <w:rPr>
                <w:rFonts w:ascii="宋体" w:hAnsi="宋体" w:eastAsia="宋体" w:cs="宋体"/>
                <w:b/>
                <w:color w:val="000000"/>
                <w:szCs w:val="21"/>
                <w:highlight w:val="none"/>
                <w:lang w:val="en-US" w:eastAsia="zh-CN"/>
              </w:rPr>
            </w:r>
            <w:r/>
          </w:p>
        </w:tc>
        <w:tc>
          <w:tcPr>
            <w:tcW w:w="6478" w:type="dxa"/>
            <w:vAlign w:val="top"/>
            <w:textDirection w:val="lrTb"/>
            <w:noWrap w:val="false"/>
          </w:tcPr>
          <w:p>
            <w:pPr>
              <w:pStyle w:val="899"/>
              <w:spacing w:line="240" w:lineRule="auto"/>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2.5服务措施以及后续服务考虑：</w:t>
            </w:r>
            <w:r>
              <w:rPr>
                <w:rFonts w:ascii="宋体" w:hAnsi="宋体" w:eastAsia="宋体" w:cs="宋体"/>
                <w:b w:val="0"/>
                <w:bCs/>
                <w:color w:val="auto"/>
                <w:szCs w:val="21"/>
                <w:highlight w:val="none"/>
                <w:lang w:val="en-US" w:eastAsia="zh-CN"/>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（1）服务目标明确，服务措施全面、针对性明确细致，后续服务考虑全面详细的得12分；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（2）服务目标明确，服务措施全面、针对性明确但不够细致，后续服务考虑全面但不够详细的得9分；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（3）服务目标不够明确，服务措施及针对性一般的，后续服务考虑一般的得6分；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（4）服务目标不够明确，服务措施不够全面、无针对性，后续服务考虑不够详细的得3分；</w:t>
            </w:r>
            <w:r>
              <w:rPr>
                <w:rFonts w:hint="eastAsia" w:ascii="宋体" w:hAnsi="宋体" w:eastAsia="宋体" w:cs="宋体"/>
                <w:b w:val="0"/>
                <w:bCs/>
                <w:color w:val="auto"/>
                <w:szCs w:val="21"/>
                <w:highlight w:val="none"/>
              </w:rPr>
            </w:r>
            <w:r>
              <w:rPr>
                <w:color w:val="auto"/>
              </w:rPr>
            </w:r>
          </w:p>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（5）未提供的不得分。</w:t>
            </w:r>
            <w:r>
              <w:rPr>
                <w:rFonts w:hint="eastAsia" w:ascii="宋体" w:hAnsi="宋体" w:eastAsia="宋体" w:cs="宋体"/>
                <w:b w:val="0"/>
                <w:bCs/>
                <w:color w:val="auto"/>
                <w:szCs w:val="21"/>
                <w:highlight w:val="none"/>
              </w:rPr>
            </w:r>
            <w:r>
              <w:rPr>
                <w:color w:val="auto"/>
              </w:rPr>
            </w:r>
          </w:p>
        </w:tc>
        <w:tc>
          <w:tcPr>
            <w:tcW w:w="745" w:type="dxa"/>
            <w:vAlign w:val="center"/>
            <w:textDirection w:val="lrTb"/>
            <w:noWrap w:val="false"/>
          </w:tcPr>
          <w:p>
            <w:pPr>
              <w:pStyle w:val="899"/>
              <w:jc w:val="center"/>
              <w:keepLines w:val="0"/>
              <w:keepNext w:val="0"/>
              <w:widowControl/>
              <w:rPr>
                <w:rFonts w:ascii="宋体" w:hAnsi="宋体" w:eastAsia="宋体" w:cs="宋体"/>
                <w:b w:val="0"/>
                <w:bCs/>
                <w:color w:val="auto"/>
                <w:szCs w:val="21"/>
                <w:highlight w:val="none"/>
              </w:rPr>
              <w:suppressLineNumbers w:val="0"/>
            </w:pPr>
            <w:r>
              <w:rPr>
                <w:rFonts w:hint="eastAsia" w:ascii="宋体" w:hAnsi="宋体" w:eastAsia="宋体" w:cs="宋体"/>
                <w:b w:val="0"/>
                <w:bCs/>
                <w:color w:val="auto"/>
                <w:szCs w:val="21"/>
                <w:highlight w:val="none"/>
                <w:lang w:val="en-US" w:eastAsia="zh-CN"/>
              </w:rPr>
              <w:t xml:space="preserve">12</w:t>
            </w:r>
            <w:r>
              <w:rPr>
                <w:rFonts w:ascii="宋体" w:hAnsi="宋体" w:eastAsia="宋体" w:cs="宋体"/>
                <w:b w:val="0"/>
                <w:bCs/>
                <w:color w:val="auto"/>
                <w:szCs w:val="21"/>
                <w:highlight w:val="none"/>
                <w:lang w:val="en-US" w:eastAsia="zh-CN"/>
              </w:rPr>
            </w:r>
            <w:r>
              <w:rPr>
                <w:color w:val="auto"/>
              </w:rPr>
            </w:r>
          </w:p>
        </w:tc>
      </w:tr>
      <w:tr>
        <w:trPr>
          <w:trHeight w:val="1643"/>
          <w:tblHeader/>
        </w:trPr>
        <w:tc>
          <w:tcPr>
            <w:tcW w:w="732" w:type="dxa"/>
            <w:vAlign w:val="center"/>
            <w:textDirection w:val="lrTb"/>
            <w:noWrap w:val="false"/>
          </w:tcPr>
          <w:p>
            <w:pPr>
              <w:pStyle w:val="899"/>
              <w:ind w:right="13"/>
              <w:jc w:val="center"/>
              <w:spacing w:line="240" w:lineRule="auto"/>
              <w:rPr>
                <w:rFonts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3</w:t>
            </w:r>
            <w:r>
              <w:rPr>
                <w:rFonts w:ascii="宋体" w:hAnsi="宋体" w:eastAsia="宋体" w:cs="宋体"/>
                <w:b/>
                <w:color w:val="auto"/>
                <w:szCs w:val="21"/>
                <w:highlight w:val="none"/>
                <w:lang w:val="en-US" w:eastAsia="zh-CN"/>
              </w:rPr>
            </w:r>
            <w:r>
              <w:rPr>
                <w:color w:val="auto"/>
              </w:rPr>
            </w:r>
          </w:p>
        </w:tc>
        <w:tc>
          <w:tcPr>
            <w:tcW w:w="1104" w:type="dxa"/>
            <w:vAlign w:val="center"/>
            <w:textDirection w:val="lrTb"/>
            <w:noWrap w:val="false"/>
          </w:tcPr>
          <w:p>
            <w:pPr>
              <w:pStyle w:val="899"/>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Cs w:val="21"/>
                <w:highlight w:val="none"/>
                <w:lang w:val="en-US" w:eastAsia="zh-CN"/>
              </w:rPr>
              <w:t xml:space="preserve">类似业绩</w:t>
            </w:r>
            <w:r>
              <w:rPr>
                <w:rFonts w:hint="eastAsia" w:ascii="宋体" w:hAnsi="宋体" w:eastAsia="宋体" w:cs="宋体"/>
                <w:b/>
                <w:color w:val="auto"/>
                <w:szCs w:val="21"/>
                <w:highlight w:val="none"/>
                <w:lang w:val="zh-CN"/>
              </w:rPr>
              <w:t xml:space="preserve">（</w:t>
            </w:r>
            <w:r>
              <w:rPr>
                <w:rFonts w:hint="eastAsia" w:ascii="宋体" w:hAnsi="宋体" w:eastAsia="宋体" w:cs="宋体"/>
                <w:b/>
                <w:color w:val="auto"/>
                <w:szCs w:val="21"/>
                <w:highlight w:val="none"/>
                <w:lang w:val="en-US" w:eastAsia="zh-CN"/>
              </w:rPr>
              <w:t xml:space="preserve">9</w:t>
            </w:r>
            <w:r>
              <w:rPr>
                <w:rFonts w:hint="eastAsia" w:ascii="宋体" w:hAnsi="宋体" w:eastAsia="宋体" w:cs="宋体"/>
                <w:b/>
                <w:color w:val="auto"/>
                <w:szCs w:val="21"/>
                <w:highlight w:val="none"/>
              </w:rPr>
              <w:t xml:space="preserve">分</w:t>
            </w:r>
            <w:r>
              <w:rPr>
                <w:rFonts w:hint="eastAsia" w:ascii="宋体" w:hAnsi="宋体" w:eastAsia="宋体" w:cs="宋体"/>
                <w:b/>
                <w:color w:val="auto"/>
                <w:szCs w:val="21"/>
                <w:highlight w:val="none"/>
                <w:lang w:val="zh-CN"/>
              </w:rPr>
              <w:t xml:space="preserve">）</w:t>
            </w:r>
            <w:r>
              <w:rPr>
                <w:rFonts w:hint="eastAsia" w:ascii="宋体" w:hAnsi="宋体" w:eastAsia="宋体" w:cs="宋体"/>
                <w:b/>
                <w:color w:val="auto"/>
                <w:sz w:val="21"/>
                <w:szCs w:val="21"/>
                <w:highlight w:val="none"/>
                <w:lang w:val="en-US" w:eastAsia="zh-CN" w:bidi="ar-SA"/>
              </w:rPr>
            </w:r>
            <w:r>
              <w:rPr>
                <w:color w:val="auto"/>
              </w:rPr>
            </w:r>
          </w:p>
        </w:tc>
        <w:tc>
          <w:tcPr>
            <w:tcW w:w="6478" w:type="dxa"/>
            <w:vAlign w:val="center"/>
            <w:textDirection w:val="lrTb"/>
            <w:noWrap w:val="false"/>
          </w:tcPr>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2023</w:t>
            </w:r>
            <w:r>
              <w:rPr>
                <w:rFonts w:hint="eastAsia" w:ascii="宋体" w:hAnsi="宋体" w:eastAsia="宋体" w:cs="宋体"/>
                <w:b w:val="0"/>
                <w:bCs/>
                <w:color w:val="auto"/>
                <w:szCs w:val="21"/>
                <w:highlight w:val="none"/>
              </w:rPr>
              <w:t xml:space="preserve">年</w:t>
            </w:r>
            <w:r>
              <w:rPr>
                <w:rFonts w:hint="eastAsia" w:ascii="宋体" w:hAnsi="宋体" w:eastAsia="宋体" w:cs="宋体"/>
                <w:b w:val="0"/>
                <w:bCs/>
                <w:color w:val="auto"/>
                <w:szCs w:val="21"/>
                <w:highlight w:val="none"/>
                <w:lang w:val="en-US" w:eastAsia="zh-CN"/>
              </w:rPr>
              <w:t xml:space="preserve">4月</w:t>
            </w:r>
            <w:r>
              <w:rPr>
                <w:rFonts w:hint="eastAsia" w:ascii="宋体" w:hAnsi="宋体" w:eastAsia="宋体" w:cs="宋体"/>
                <w:b w:val="0"/>
                <w:bCs/>
                <w:color w:val="auto"/>
                <w:szCs w:val="21"/>
                <w:highlight w:val="none"/>
              </w:rPr>
              <w:t xml:space="preserve">至今，供应商有类似</w:t>
            </w:r>
            <w:r>
              <w:rPr>
                <w:rFonts w:hint="eastAsia" w:ascii="宋体" w:hAnsi="宋体" w:eastAsia="宋体" w:cs="宋体"/>
                <w:b w:val="0"/>
                <w:bCs/>
                <w:color w:val="auto"/>
                <w:szCs w:val="21"/>
                <w:highlight w:val="none"/>
                <w:lang w:eastAsia="zh-CN"/>
              </w:rPr>
              <w:t xml:space="preserve">服务业绩</w:t>
            </w:r>
            <w:r>
              <w:rPr>
                <w:rFonts w:hint="eastAsia" w:ascii="宋体" w:hAnsi="宋体" w:eastAsia="宋体" w:cs="宋体"/>
                <w:b w:val="0"/>
                <w:bCs/>
                <w:color w:val="auto"/>
                <w:szCs w:val="21"/>
                <w:highlight w:val="none"/>
              </w:rPr>
              <w:t xml:space="preserve">，每提供一个</w:t>
            </w:r>
            <w:r>
              <w:rPr>
                <w:rFonts w:hint="eastAsia" w:ascii="宋体" w:hAnsi="宋体" w:eastAsia="宋体" w:cs="宋体"/>
                <w:b w:val="0"/>
                <w:bCs/>
                <w:color w:val="auto"/>
                <w:szCs w:val="21"/>
                <w:highlight w:val="none"/>
                <w:lang w:val="en-US" w:eastAsia="zh-CN"/>
              </w:rPr>
              <w:t xml:space="preserve">业绩</w:t>
            </w:r>
            <w:r>
              <w:rPr>
                <w:rFonts w:hint="eastAsia" w:ascii="宋体" w:hAnsi="宋体" w:eastAsia="宋体" w:cs="宋体"/>
                <w:b w:val="0"/>
                <w:bCs/>
                <w:color w:val="auto"/>
                <w:szCs w:val="21"/>
                <w:highlight w:val="none"/>
              </w:rPr>
              <w:t xml:space="preserve">得</w:t>
            </w:r>
            <w:r>
              <w:rPr>
                <w:rFonts w:hint="eastAsia" w:ascii="宋体" w:hAnsi="宋体"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分，最多得</w:t>
            </w:r>
            <w:r>
              <w:rPr>
                <w:rFonts w:hint="eastAsia" w:ascii="宋体" w:hAnsi="宋体" w:eastAsia="宋体" w:cs="宋体"/>
                <w:b w:val="0"/>
                <w:bCs/>
                <w:color w:val="auto"/>
                <w:szCs w:val="21"/>
                <w:highlight w:val="none"/>
                <w:lang w:val="en-US" w:eastAsia="zh-CN"/>
              </w:rPr>
              <w:t xml:space="preserve">9</w:t>
            </w:r>
            <w:r>
              <w:rPr>
                <w:rFonts w:hint="eastAsia" w:ascii="宋体" w:hAnsi="宋体" w:eastAsia="宋体" w:cs="宋体"/>
                <w:b w:val="0"/>
                <w:bCs/>
                <w:color w:val="auto"/>
                <w:szCs w:val="21"/>
                <w:highlight w:val="none"/>
              </w:rPr>
              <w:t xml:space="preserve">分。</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业绩以合同为准，时间以合同签订时间为准，合同应能反映相关信息，否则不得分，需</w:t>
            </w:r>
            <w:r>
              <w:rPr>
                <w:rFonts w:hint="eastAsia" w:ascii="宋体" w:hAnsi="宋体" w:eastAsia="宋体" w:cs="宋体"/>
                <w:b w:val="0"/>
                <w:bCs/>
                <w:color w:val="auto"/>
                <w:szCs w:val="21"/>
                <w:highlight w:val="none"/>
              </w:rPr>
              <w:t xml:space="preserve">提供合同复印件加盖公章</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r>
            <w:r>
              <w:rPr>
                <w:color w:val="auto"/>
              </w:rPr>
            </w:r>
          </w:p>
        </w:tc>
        <w:tc>
          <w:tcPr>
            <w:tcW w:w="745" w:type="dxa"/>
            <w:vAlign w:val="center"/>
            <w:textDirection w:val="lrTb"/>
            <w:noWrap w:val="false"/>
          </w:tcPr>
          <w:p>
            <w:pPr>
              <w:pStyle w:val="899"/>
              <w:jc w:val="center"/>
              <w:keepLines w:val="0"/>
              <w:keepNext w:val="0"/>
              <w:widowControl/>
              <w:rPr>
                <w:rFonts w:hint="eastAsia" w:ascii="宋体" w:hAnsi="宋体" w:eastAsia="宋体" w:cs="宋体"/>
                <w:b w:val="0"/>
                <w:bCs/>
                <w:color w:val="auto"/>
                <w:szCs w:val="21"/>
                <w:highlight w:val="none"/>
              </w:rPr>
              <w:suppressLineNumbers w:val="0"/>
            </w:pPr>
            <w:r>
              <w:rPr>
                <w:rFonts w:hint="eastAsia" w:ascii="宋体" w:hAnsi="宋体" w:eastAsia="宋体" w:cs="宋体"/>
                <w:b w:val="0"/>
                <w:bCs/>
                <w:color w:val="auto"/>
                <w:szCs w:val="21"/>
                <w:highlight w:val="none"/>
                <w:lang w:val="en-US" w:eastAsia="zh-CN"/>
              </w:rPr>
              <w:t xml:space="preserve">9</w:t>
            </w:r>
            <w:r>
              <w:rPr>
                <w:rFonts w:hint="eastAsia" w:ascii="宋体" w:hAnsi="宋体" w:eastAsia="宋体" w:cs="宋体"/>
                <w:b w:val="0"/>
                <w:bCs/>
                <w:color w:val="auto"/>
                <w:szCs w:val="21"/>
                <w:highlight w:val="none"/>
                <w:lang w:val="en-US" w:eastAsia="zh-CN"/>
              </w:rPr>
            </w:r>
            <w:r>
              <w:rPr>
                <w:color w:val="auto"/>
              </w:rPr>
            </w:r>
          </w:p>
        </w:tc>
      </w:tr>
      <w:tr>
        <w:trPr>
          <w:trHeight w:val="1643"/>
          <w:tblHeader/>
        </w:trPr>
        <w:tc>
          <w:tcPr>
            <w:tcW w:w="732" w:type="dxa"/>
            <w:vAlign w:val="center"/>
            <w:textDirection w:val="lrTb"/>
            <w:noWrap w:val="false"/>
          </w:tcPr>
          <w:p>
            <w:pPr>
              <w:pStyle w:val="899"/>
              <w:ind w:right="13"/>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4</w:t>
            </w:r>
            <w:r>
              <w:rPr>
                <w:rFonts w:hint="eastAsia" w:ascii="宋体" w:hAnsi="宋体" w:eastAsia="宋体" w:cs="宋体"/>
                <w:b/>
                <w:color w:val="auto"/>
                <w:szCs w:val="21"/>
                <w:highlight w:val="none"/>
                <w:lang w:eastAsia="zh-CN"/>
              </w:rPr>
            </w:r>
            <w:r>
              <w:rPr>
                <w:color w:val="auto"/>
              </w:rPr>
            </w:r>
          </w:p>
        </w:tc>
        <w:tc>
          <w:tcPr>
            <w:tcW w:w="1104" w:type="dxa"/>
            <w:vAlign w:val="center"/>
            <w:textDirection w:val="lrTb"/>
            <w:noWrap w:val="false"/>
          </w:tcPr>
          <w:p>
            <w:pPr>
              <w:pStyle w:val="899"/>
              <w:jc w:val="center"/>
              <w:spacing w:line="240" w:lineRule="auto"/>
              <w:rPr>
                <w:rFonts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项目负责人（4分）</w:t>
            </w:r>
            <w:r>
              <w:rPr>
                <w:rFonts w:ascii="宋体" w:hAnsi="宋体" w:eastAsia="宋体" w:cs="宋体"/>
                <w:b/>
                <w:color w:val="auto"/>
                <w:szCs w:val="21"/>
                <w:highlight w:val="none"/>
                <w:lang w:val="en-US" w:eastAsia="zh-CN"/>
              </w:rPr>
            </w:r>
            <w:r>
              <w:rPr>
                <w:color w:val="auto"/>
              </w:rPr>
            </w:r>
          </w:p>
        </w:tc>
        <w:tc>
          <w:tcPr>
            <w:tcW w:w="6478" w:type="dxa"/>
            <w:vAlign w:val="center"/>
            <w:textDirection w:val="lrTb"/>
            <w:noWrap w:val="false"/>
          </w:tcPr>
          <w:p>
            <w:pPr>
              <w:pStyle w:val="899"/>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供应商拟派项目负责人具有中级职称的，得4分。</w:t>
            </w:r>
            <w:r>
              <w:rPr>
                <w:rFonts w:hint="eastAsia" w:ascii="宋体" w:hAnsi="宋体" w:eastAsia="宋体" w:cs="宋体"/>
                <w:b w:val="0"/>
                <w:bCs/>
                <w:color w:val="auto"/>
                <w:szCs w:val="21"/>
                <w:highlight w:val="none"/>
                <w:lang w:val="en-US" w:eastAsia="zh-CN"/>
              </w:rPr>
            </w:r>
            <w:r>
              <w:rPr>
                <w:color w:val="auto"/>
              </w:rPr>
            </w:r>
          </w:p>
          <w:p>
            <w:pPr>
              <w:pStyle w:val="899"/>
              <w:spacing w:line="240" w:lineRule="auto"/>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（提供有效的证书复印件加盖公章以及投标人自2026年2月-2025年4月期间任意一个月为其缴纳的社保证明材料复印件或劳务合同复印件加盖公章，未提供不得分。）</w:t>
            </w:r>
            <w:r>
              <w:rPr>
                <w:rFonts w:ascii="宋体" w:hAnsi="宋体" w:eastAsia="宋体" w:cs="宋体"/>
                <w:b w:val="0"/>
                <w:bCs/>
                <w:color w:val="auto"/>
                <w:szCs w:val="21"/>
                <w:highlight w:val="none"/>
                <w:lang w:val="en-US" w:eastAsia="zh-CN"/>
              </w:rPr>
            </w:r>
            <w:r>
              <w:rPr>
                <w:color w:val="auto"/>
              </w:rPr>
            </w:r>
          </w:p>
        </w:tc>
        <w:tc>
          <w:tcPr>
            <w:tcW w:w="745" w:type="dxa"/>
            <w:vAlign w:val="center"/>
            <w:textDirection w:val="lrTb"/>
            <w:noWrap w:val="false"/>
          </w:tcPr>
          <w:p>
            <w:pPr>
              <w:pStyle w:val="899"/>
              <w:jc w:val="center"/>
              <w:keepLines w:val="0"/>
              <w:keepNext w:val="0"/>
              <w:widowControl/>
              <w:rPr>
                <w:rFonts w:hint="eastAsia" w:ascii="宋体" w:hAnsi="宋体" w:eastAsia="宋体" w:cs="宋体"/>
                <w:b w:val="0"/>
                <w:bCs/>
                <w:color w:val="auto"/>
                <w:szCs w:val="21"/>
                <w:highlight w:val="none"/>
              </w:rPr>
              <w:suppressLineNumbers w:val="0"/>
            </w:pPr>
            <w:r>
              <w:rPr>
                <w:rFonts w:hint="eastAsia" w:ascii="宋体" w:hAnsi="宋体" w:eastAsia="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lang w:val="en-US" w:eastAsia="zh-CN"/>
              </w:rPr>
            </w:r>
            <w:r>
              <w:rPr>
                <w:color w:val="auto"/>
              </w:rPr>
            </w:r>
          </w:p>
        </w:tc>
      </w:tr>
      <w:tr>
        <w:trPr>
          <w:trHeight w:val="1533"/>
          <w:tblHeader/>
        </w:trPr>
        <w:tc>
          <w:tcPr>
            <w:tcW w:w="732" w:type="dxa"/>
            <w:vAlign w:val="center"/>
            <w:textDirection w:val="lrTb"/>
            <w:noWrap w:val="false"/>
          </w:tcPr>
          <w:p>
            <w:pPr>
              <w:pStyle w:val="899"/>
              <w:ind w:right="13"/>
              <w:jc w:val="center"/>
              <w:spacing w:line="240" w:lineRule="auto"/>
              <w:rPr>
                <w:rFonts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5</w:t>
            </w:r>
            <w:r>
              <w:rPr>
                <w:rFonts w:ascii="宋体" w:hAnsi="宋体" w:eastAsia="宋体" w:cs="宋体"/>
                <w:b/>
                <w:color w:val="auto"/>
                <w:szCs w:val="21"/>
                <w:highlight w:val="none"/>
                <w:lang w:val="en-US" w:eastAsia="zh-CN"/>
              </w:rPr>
            </w:r>
            <w:r>
              <w:rPr>
                <w:color w:val="auto"/>
              </w:rPr>
            </w:r>
          </w:p>
        </w:tc>
        <w:tc>
          <w:tcPr>
            <w:tcW w:w="1104" w:type="dxa"/>
            <w:vAlign w:val="center"/>
            <w:textDirection w:val="lrTb"/>
            <w:noWrap w:val="false"/>
          </w:tcPr>
          <w:p>
            <w:pPr>
              <w:pStyle w:val="899"/>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Cs w:val="21"/>
                <w:highlight w:val="none"/>
                <w:lang w:val="en-US" w:eastAsia="zh-CN"/>
              </w:rPr>
              <w:t xml:space="preserve">人员要求</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9</w:t>
            </w:r>
            <w:r>
              <w:rPr>
                <w:rFonts w:hint="eastAsia" w:ascii="宋体" w:hAnsi="宋体" w:eastAsia="宋体" w:cs="宋体"/>
                <w:b/>
                <w:color w:val="auto"/>
                <w:szCs w:val="21"/>
                <w:highlight w:val="none"/>
              </w:rPr>
              <w:t xml:space="preserve">分）</w:t>
            </w:r>
            <w:r>
              <w:rPr>
                <w:rFonts w:ascii="宋体" w:hAnsi="宋体" w:eastAsia="宋体" w:cs="宋体"/>
                <w:b/>
                <w:color w:val="auto"/>
                <w:sz w:val="21"/>
                <w:szCs w:val="21"/>
                <w:highlight w:val="none"/>
                <w:lang w:val="en-US" w:eastAsia="zh-CN" w:bidi="ar-SA"/>
              </w:rPr>
            </w:r>
            <w:r>
              <w:rPr>
                <w:color w:val="auto"/>
              </w:rPr>
            </w:r>
          </w:p>
        </w:tc>
        <w:tc>
          <w:tcPr>
            <w:tcW w:w="6478" w:type="dxa"/>
            <w:vAlign w:val="center"/>
            <w:textDirection w:val="lrTb"/>
            <w:noWrap w:val="false"/>
          </w:tcPr>
          <w:p>
            <w:pPr>
              <w:pStyle w:val="899"/>
              <w:spacing w:line="240" w:lineRule="auto"/>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根据项目需求，在电工人员数量的2人基础之上，每增加一名得3分，最多得9分，需具备电工操作证。</w:t>
            </w:r>
            <w:r>
              <w:rPr>
                <w:rFonts w:ascii="宋体" w:hAnsi="宋体" w:eastAsia="宋体" w:cs="宋体"/>
                <w:b w:val="0"/>
                <w:bCs/>
                <w:color w:val="auto"/>
                <w:szCs w:val="21"/>
                <w:highlight w:val="none"/>
                <w:lang w:val="en-US" w:eastAsia="zh-CN"/>
              </w:rPr>
            </w:r>
            <w:r>
              <w:rPr>
                <w:color w:val="auto"/>
              </w:rPr>
            </w:r>
          </w:p>
          <w:p>
            <w:pPr>
              <w:pStyle w:val="899"/>
              <w:spacing w:line="240" w:lineRule="auto"/>
              <w:rPr>
                <w:rFonts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（提供有效的证书复印件加盖公章以及投标人自2026年2月-2025年4月期间任意一个月为其缴纳的社保证明材料复印件或劳务合同复印件加盖公章，未提供不得分。）</w:t>
            </w:r>
            <w:r>
              <w:rPr>
                <w:rFonts w:ascii="宋体" w:hAnsi="宋体" w:eastAsia="宋体" w:cs="宋体"/>
                <w:b w:val="0"/>
                <w:bCs/>
                <w:color w:val="auto"/>
                <w:szCs w:val="21"/>
                <w:highlight w:val="none"/>
                <w:lang w:val="en-US" w:eastAsia="zh-CN"/>
              </w:rPr>
            </w:r>
            <w:r>
              <w:rPr>
                <w:color w:val="auto"/>
              </w:rPr>
            </w:r>
          </w:p>
        </w:tc>
        <w:tc>
          <w:tcPr>
            <w:tcW w:w="745" w:type="dxa"/>
            <w:vAlign w:val="center"/>
            <w:textDirection w:val="lrTb"/>
            <w:noWrap w:val="false"/>
          </w:tcPr>
          <w:p>
            <w:pPr>
              <w:pStyle w:val="899"/>
              <w:jc w:val="center"/>
              <w:keepLines w:val="0"/>
              <w:keepNext w:val="0"/>
              <w:widowControl/>
              <w:rPr>
                <w:rFonts w:ascii="宋体" w:hAnsi="宋体" w:eastAsia="宋体" w:cs="宋体"/>
                <w:b w:val="0"/>
                <w:bCs/>
                <w:color w:val="auto"/>
                <w:szCs w:val="21"/>
                <w:highlight w:val="none"/>
              </w:rPr>
              <w:suppressLineNumbers w:val="0"/>
            </w:pPr>
            <w:r>
              <w:rPr>
                <w:rFonts w:hint="eastAsia" w:ascii="宋体" w:hAnsi="宋体" w:eastAsia="宋体" w:cs="宋体"/>
                <w:b w:val="0"/>
                <w:bCs/>
                <w:color w:val="auto"/>
                <w:szCs w:val="21"/>
                <w:highlight w:val="none"/>
                <w:lang w:val="en-US" w:eastAsia="zh-CN"/>
              </w:rPr>
              <w:t xml:space="preserve">9</w:t>
            </w:r>
            <w:r>
              <w:rPr>
                <w:rFonts w:ascii="宋体" w:hAnsi="宋体" w:eastAsia="宋体" w:cs="宋体"/>
                <w:b w:val="0"/>
                <w:bCs/>
                <w:color w:val="auto"/>
                <w:szCs w:val="21"/>
                <w:highlight w:val="none"/>
                <w:lang w:val="en-US" w:eastAsia="zh-CN"/>
              </w:rPr>
            </w:r>
            <w:r>
              <w:rPr>
                <w:color w:val="auto"/>
              </w:rPr>
            </w:r>
          </w:p>
        </w:tc>
      </w:tr>
    </w:tbl>
    <w:p>
      <w:pPr>
        <w:pStyle w:val="899"/>
        <w:ind w:firstLine="641"/>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rPr>
          <w:color w:val="auto"/>
        </w:rPr>
      </w:r>
    </w:p>
    <w:p>
      <w:pPr>
        <w:pStyle w:val="899"/>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说明：</w:t>
      </w:r>
      <w:bookmarkStart w:id="354" w:name="_Toc17293"/>
      <w:r>
        <w:rPr>
          <w:color w:val="auto"/>
        </w:rPr>
      </w:r>
      <w:bookmarkStart w:id="355" w:name="_Toc11253"/>
      <w:r>
        <w:rPr>
          <w:color w:val="auto"/>
        </w:rPr>
      </w:r>
      <w:bookmarkStart w:id="356" w:name="_Toc8849"/>
      <w:r>
        <w:rPr>
          <w:color w:val="auto"/>
        </w:rPr>
      </w:r>
      <w:bookmarkStart w:id="357" w:name="_Toc16157"/>
      <w:r>
        <w:rPr>
          <w:color w:val="auto"/>
        </w:rPr>
      </w:r>
      <w:bookmarkStart w:id="358" w:name="_Toc26164"/>
      <w:r>
        <w:rPr>
          <w:color w:val="auto"/>
        </w:rPr>
      </w:r>
      <w:bookmarkStart w:id="359" w:name="_Toc2495"/>
      <w:r>
        <w:rPr>
          <w:color w:val="auto"/>
        </w:rPr>
      </w:r>
      <w:bookmarkStart w:id="360" w:name="_Toc13172"/>
      <w:r>
        <w:rPr>
          <w:color w:val="auto"/>
        </w:rPr>
      </w:r>
      <w:bookmarkStart w:id="361" w:name="_Toc32113"/>
      <w:r>
        <w:rPr>
          <w:color w:val="auto"/>
        </w:rPr>
      </w:r>
      <w:bookmarkStart w:id="362" w:name="_Toc12107"/>
      <w:r>
        <w:rPr>
          <w:color w:val="auto"/>
        </w:rPr>
      </w:r>
      <w:bookmarkStart w:id="363" w:name="_Toc504141752"/>
      <w:r>
        <w:rPr>
          <w:color w:val="auto"/>
        </w:rPr>
      </w:r>
      <w:bookmarkStart w:id="364" w:name="_Toc5832"/>
      <w:r>
        <w:rPr>
          <w:color w:val="auto"/>
        </w:rPr>
      </w:r>
      <w:bookmarkStart w:id="365" w:name="_Toc30268"/>
      <w:r>
        <w:rPr>
          <w:rFonts w:hint="eastAsia" w:ascii="宋体" w:hAnsi="宋体" w:eastAsia="宋体" w:cs="宋体"/>
          <w:color w:val="auto"/>
          <w:highlight w:val="none"/>
        </w:rPr>
      </w:r>
      <w:r>
        <w:rPr>
          <w:color w:val="auto"/>
        </w:rPr>
      </w:r>
    </w:p>
    <w:p>
      <w:pPr>
        <w:pStyle w:val="899"/>
        <w:numPr>
          <w:ilvl w:val="0"/>
          <w:numId w:val="8"/>
        </w:numPr>
        <w:ind w:left="210"/>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对小型、微型企业产品（限货物）的价格给予10%的扣除，用扣除后的价格参与评审。</w:t>
      </w:r>
      <w:r>
        <w:rPr>
          <w:rFonts w:hint="eastAsia" w:ascii="宋体" w:hAnsi="宋体" w:eastAsia="宋体" w:cs="宋体"/>
          <w:color w:val="auto"/>
          <w:highlight w:val="none"/>
        </w:rPr>
      </w:r>
      <w:r>
        <w:rPr>
          <w:color w:val="auto"/>
        </w:rPr>
      </w:r>
    </w:p>
    <w:p>
      <w:pPr>
        <w:pStyle w:val="899"/>
        <w:numPr>
          <w:ilvl w:val="0"/>
          <w:numId w:val="8"/>
        </w:numPr>
        <w:ind w:left="210"/>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对监狱企业产品（限货物）的价格给予6%的扣除，用扣除后的价格参与评审。</w:t>
      </w:r>
      <w:r>
        <w:rPr>
          <w:rFonts w:hint="eastAsia" w:ascii="宋体" w:hAnsi="宋体" w:eastAsia="宋体" w:cs="宋体"/>
          <w:color w:val="auto"/>
          <w:highlight w:val="none"/>
        </w:rPr>
      </w:r>
      <w:r>
        <w:rPr>
          <w:color w:val="auto"/>
        </w:rPr>
      </w:r>
    </w:p>
    <w:p>
      <w:pPr>
        <w:pStyle w:val="899"/>
        <w:numPr>
          <w:ilvl w:val="0"/>
          <w:numId w:val="8"/>
        </w:numPr>
        <w:ind w:left="210"/>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残疾人福利性单位提供本单位制造的货物、承担的工程或服务，或提供其他残疾人福利性单位制造的货物（不包括使用非残疾人福利性单位注册商标的货物），对相应货物、工程或服务的价格给予6%的扣除，用扣除后的价格参与评审。</w:t>
      </w:r>
      <w:r>
        <w:rPr>
          <w:rFonts w:hint="eastAsia" w:ascii="宋体" w:hAnsi="宋体" w:eastAsia="宋体" w:cs="宋体"/>
          <w:color w:val="auto"/>
          <w:highlight w:val="none"/>
        </w:rPr>
      </w:r>
      <w:r>
        <w:rPr>
          <w:color w:val="auto"/>
        </w:rPr>
      </w:r>
    </w:p>
    <w:p>
      <w:pPr>
        <w:pStyle w:val="899"/>
        <w:numPr>
          <w:ilvl w:val="0"/>
          <w:numId w:val="8"/>
        </w:numPr>
        <w:ind w:left="210"/>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小企业（含小型、微型企业）应当同时符合以下条件：</w:t>
      </w:r>
      <w:r>
        <w:rPr>
          <w:rFonts w:hint="eastAsia" w:ascii="宋体" w:hAnsi="宋体" w:eastAsia="宋体" w:cs="宋体"/>
          <w:color w:val="auto"/>
          <w:highlight w:val="none"/>
        </w:rPr>
      </w:r>
      <w:r>
        <w:rPr>
          <w:color w:val="auto"/>
        </w:rPr>
      </w:r>
    </w:p>
    <w:p>
      <w:pPr>
        <w:pStyle w:val="899"/>
        <w:numPr>
          <w:ilvl w:val="0"/>
          <w:numId w:val="0"/>
        </w:numPr>
        <w:ind w:left="210"/>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（1）供应商为小企业，且符合中小企业划分标准；</w:t>
      </w:r>
      <w:r>
        <w:rPr>
          <w:rFonts w:hint="eastAsia" w:ascii="宋体" w:hAnsi="宋体" w:eastAsia="宋体" w:cs="宋体"/>
          <w:color w:val="auto"/>
          <w:highlight w:val="none"/>
        </w:rPr>
      </w:r>
      <w:r>
        <w:rPr>
          <w:color w:val="auto"/>
        </w:rPr>
      </w:r>
    </w:p>
    <w:p>
      <w:pPr>
        <w:pStyle w:val="899"/>
        <w:numPr>
          <w:ilvl w:val="0"/>
          <w:numId w:val="0"/>
        </w:numPr>
        <w:ind w:left="210"/>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eastAsia="宋体" w:cs="宋体"/>
          <w:color w:val="auto"/>
          <w:highlight w:val="none"/>
        </w:rPr>
      </w:r>
      <w:r>
        <w:rPr>
          <w:color w:val="auto"/>
        </w:rPr>
      </w:r>
    </w:p>
    <w:p>
      <w:pPr>
        <w:pStyle w:val="899"/>
        <w:numPr>
          <w:ilvl w:val="0"/>
          <w:numId w:val="0"/>
        </w:numPr>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监狱和戒毒企业的价格扣除</w:t>
      </w:r>
      <w:r>
        <w:rPr>
          <w:rFonts w:hint="eastAsia" w:ascii="宋体" w:hAnsi="宋体" w:eastAsia="宋体" w:cs="宋体"/>
          <w:color w:val="auto"/>
          <w:highlight w:val="none"/>
        </w:rPr>
      </w:r>
      <w:r>
        <w:rPr>
          <w:color w:val="auto"/>
        </w:rPr>
      </w:r>
    </w:p>
    <w:p>
      <w:pPr>
        <w:pStyle w:val="899"/>
        <w:numPr>
          <w:ilvl w:val="0"/>
          <w:numId w:val="0"/>
        </w:numPr>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（1）本项目对监狱和戒毒企业(简称监狱企业),给予6%的价格扣除，用扣除后的价格参与评审。</w:t>
      </w:r>
      <w:r>
        <w:rPr>
          <w:rFonts w:hint="eastAsia" w:ascii="宋体" w:hAnsi="宋体" w:eastAsia="宋体" w:cs="宋体"/>
          <w:color w:val="auto"/>
          <w:highlight w:val="none"/>
        </w:rPr>
      </w:r>
      <w:r>
        <w:rPr>
          <w:color w:val="auto"/>
        </w:rPr>
      </w:r>
    </w:p>
    <w:p>
      <w:pPr>
        <w:pStyle w:val="899"/>
        <w:numPr>
          <w:ilvl w:val="0"/>
          <w:numId w:val="0"/>
        </w:numPr>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（2）监狱企业需提供由省级以上监狱管理局、戒毒管理局(含新疆生产建设兵团)出具的属于监狱企业的证明文件。</w:t>
      </w:r>
      <w:r>
        <w:rPr>
          <w:rFonts w:hint="eastAsia" w:ascii="宋体" w:hAnsi="宋体" w:eastAsia="宋体" w:cs="宋体"/>
          <w:color w:val="auto"/>
          <w:highlight w:val="none"/>
        </w:rPr>
      </w:r>
      <w:r>
        <w:rPr>
          <w:color w:val="auto"/>
        </w:rPr>
      </w:r>
    </w:p>
    <w:p>
      <w:pPr>
        <w:pStyle w:val="899"/>
        <w:numPr>
          <w:ilvl w:val="0"/>
          <w:numId w:val="0"/>
        </w:numPr>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、残疾人福利性单位的价格扣除</w:t>
      </w:r>
      <w:r>
        <w:rPr>
          <w:rFonts w:hint="eastAsia" w:ascii="宋体" w:hAnsi="宋体" w:eastAsia="宋体" w:cs="宋体"/>
          <w:color w:val="auto"/>
          <w:highlight w:val="none"/>
        </w:rPr>
      </w:r>
      <w:r>
        <w:rPr>
          <w:color w:val="auto"/>
        </w:rPr>
      </w:r>
    </w:p>
    <w:p>
      <w:pPr>
        <w:pStyle w:val="899"/>
        <w:numPr>
          <w:ilvl w:val="0"/>
          <w:numId w:val="0"/>
        </w:numPr>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（1）本项目对残疾人福利单位,给予6%的价格扣除,用扣除后的价格参与评审。</w:t>
      </w:r>
      <w:r>
        <w:rPr>
          <w:rFonts w:hint="eastAsia" w:ascii="宋体" w:hAnsi="宋体" w:eastAsia="宋体" w:cs="宋体"/>
          <w:color w:val="auto"/>
          <w:highlight w:val="none"/>
        </w:rPr>
      </w:r>
      <w:r>
        <w:rPr>
          <w:color w:val="auto"/>
        </w:rPr>
      </w:r>
    </w:p>
    <w:p>
      <w:pPr>
        <w:pStyle w:val="899"/>
        <w:numPr>
          <w:ilvl w:val="0"/>
          <w:numId w:val="0"/>
        </w:numPr>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（2）残疾人福利性单位需按照采购文件的要求提供《残疾人福利性单位声明函》。</w:t>
      </w:r>
      <w:r>
        <w:rPr>
          <w:rFonts w:hint="eastAsia" w:ascii="宋体" w:hAnsi="宋体" w:eastAsia="宋体" w:cs="宋体"/>
          <w:color w:val="auto"/>
          <w:highlight w:val="none"/>
        </w:rPr>
      </w:r>
      <w:r>
        <w:rPr>
          <w:color w:val="auto"/>
        </w:rPr>
      </w:r>
    </w:p>
    <w:p>
      <w:pPr>
        <w:pStyle w:val="899"/>
        <w:numPr>
          <w:ilvl w:val="0"/>
          <w:numId w:val="0"/>
        </w:numPr>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（3）残疾人福利性单位标准参照《关于促进残疾人就业政府采购政策的通知》(财库[2017]141号)。</w:t>
      </w:r>
      <w:r>
        <w:rPr>
          <w:rFonts w:hint="eastAsia" w:ascii="宋体" w:hAnsi="宋体" w:eastAsia="宋体" w:cs="宋体"/>
          <w:color w:val="auto"/>
          <w:highlight w:val="none"/>
        </w:rPr>
      </w:r>
      <w:r>
        <w:rPr>
          <w:color w:val="auto"/>
        </w:rPr>
      </w:r>
    </w:p>
    <w:p>
      <w:pPr>
        <w:pStyle w:val="899"/>
        <w:numPr>
          <w:ilvl w:val="0"/>
          <w:numId w:val="0"/>
        </w:numPr>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、监狱企业、残疾人福利单位属于小型、微型企业的，不重复享受政策。</w:t>
      </w:r>
      <w:r>
        <w:rPr>
          <w:rFonts w:hint="eastAsia" w:ascii="宋体" w:hAnsi="宋体" w:eastAsia="宋体" w:cs="宋体"/>
          <w:color w:val="auto"/>
          <w:highlight w:val="none"/>
        </w:rPr>
      </w:r>
      <w:r>
        <w:rPr>
          <w:color w:val="auto"/>
        </w:rPr>
      </w:r>
    </w:p>
    <w:p>
      <w:pPr>
        <w:pStyle w:val="899"/>
        <w:numPr>
          <w:ilvl w:val="0"/>
          <w:numId w:val="0"/>
        </w:numPr>
        <w:spacing w:line="360" w:lineRule="auto"/>
        <w:shd w:val="clear" w:color="auto" w:fil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、所有认证、证明和业绩均以有效的复印件为依据，原件备查。</w:t>
      </w:r>
      <w:r>
        <w:rPr>
          <w:rFonts w:hint="eastAsia" w:ascii="宋体" w:hAnsi="宋体" w:eastAsia="宋体" w:cs="宋体"/>
          <w:color w:val="auto"/>
          <w:highlight w:val="none"/>
        </w:rPr>
      </w:r>
      <w:r>
        <w:rPr>
          <w:color w:val="auto"/>
        </w:rPr>
      </w:r>
    </w:p>
    <w:p>
      <w:pPr>
        <w:pStyle w:val="899"/>
        <w:numPr>
          <w:ilvl w:val="0"/>
          <w:numId w:val="0"/>
        </w:numPr>
        <w:jc w:val="center"/>
        <w:spacing w:line="360" w:lineRule="auto"/>
        <w:shd w:val="clear" w:color="auto" w:fill="auto"/>
        <w:rPr>
          <w:rFonts w:ascii="宋体" w:hAnsi="宋体" w:eastAsia="宋体" w:cs="宋体"/>
          <w:color w:val="auto"/>
          <w:sz w:val="36"/>
          <w:szCs w:val="36"/>
          <w:highlight w:val="none"/>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、如果评审分数畸高、畸低的，应详细说明理由</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rPr>
        <w:br w:type="page" w:clear="all"/>
      </w:r>
      <w:bookmarkEnd w:id="354"/>
      <w:r>
        <w:rPr>
          <w:color w:val="auto"/>
        </w:rPr>
      </w:r>
      <w:bookmarkEnd w:id="355"/>
      <w:r>
        <w:rPr>
          <w:color w:val="auto"/>
        </w:rPr>
      </w:r>
      <w:bookmarkEnd w:id="356"/>
      <w:r>
        <w:rPr>
          <w:color w:val="auto"/>
        </w:rPr>
      </w:r>
      <w:bookmarkEnd w:id="357"/>
      <w:r>
        <w:rPr>
          <w:color w:val="auto"/>
        </w:rPr>
      </w:r>
      <w:bookmarkEnd w:id="358"/>
      <w:r>
        <w:rPr>
          <w:color w:val="auto"/>
        </w:rPr>
      </w:r>
      <w:bookmarkEnd w:id="359"/>
      <w:r>
        <w:rPr>
          <w:color w:val="auto"/>
        </w:rPr>
      </w:r>
      <w:bookmarkEnd w:id="360"/>
      <w:r>
        <w:rPr>
          <w:color w:val="auto"/>
        </w:rPr>
      </w:r>
      <w:bookmarkEnd w:id="361"/>
      <w:r>
        <w:rPr>
          <w:color w:val="auto"/>
        </w:rPr>
      </w:r>
      <w:bookmarkEnd w:id="362"/>
      <w:r>
        <w:rPr>
          <w:color w:val="auto"/>
        </w:rPr>
      </w:r>
      <w:bookmarkEnd w:id="363"/>
      <w:r>
        <w:rPr>
          <w:color w:val="auto"/>
        </w:rPr>
      </w:r>
      <w:bookmarkEnd w:id="364"/>
      <w:r>
        <w:rPr>
          <w:color w:val="auto"/>
        </w:rPr>
      </w:r>
      <w:bookmarkEnd w:id="365"/>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36"/>
          <w:szCs w:val="36"/>
          <w:highlight w:val="none"/>
          <w:lang w:val="zh-CN"/>
        </w:rPr>
        <w:t xml:space="preserve">第</w:t>
      </w:r>
      <w:r>
        <w:rPr>
          <w:rFonts w:hint="eastAsia" w:ascii="宋体" w:hAnsi="宋体" w:eastAsia="宋体" w:cs="宋体"/>
          <w:color w:val="auto"/>
          <w:sz w:val="36"/>
          <w:szCs w:val="36"/>
          <w:highlight w:val="none"/>
          <w:lang w:val="en-US" w:eastAsia="zh-CN"/>
        </w:rPr>
        <w:t xml:space="preserve">五</w:t>
      </w:r>
      <w:r>
        <w:rPr>
          <w:rFonts w:hint="eastAsia" w:ascii="宋体" w:hAnsi="宋体" w:eastAsia="宋体" w:cs="宋体"/>
          <w:color w:val="auto"/>
          <w:sz w:val="36"/>
          <w:szCs w:val="36"/>
          <w:highlight w:val="none"/>
          <w:lang w:val="zh-CN"/>
        </w:rPr>
        <w:t xml:space="preserve">章  </w:t>
      </w:r>
      <w:r>
        <w:rPr>
          <w:rFonts w:hint="eastAsia" w:ascii="宋体" w:hAnsi="宋体" w:eastAsia="宋体" w:cs="宋体"/>
          <w:color w:val="auto"/>
          <w:sz w:val="36"/>
          <w:szCs w:val="36"/>
          <w:highlight w:val="none"/>
          <w:lang w:val="en-US" w:eastAsia="zh-CN"/>
        </w:rPr>
        <w:t xml:space="preserve">南京市政府采购合同格式</w:t>
      </w:r>
      <w:r>
        <w:rPr>
          <w:rFonts w:ascii="宋体" w:hAnsi="宋体" w:eastAsia="宋体" w:cs="宋体"/>
          <w:color w:val="auto"/>
          <w:sz w:val="36"/>
          <w:szCs w:val="36"/>
          <w:highlight w:val="none"/>
          <w:lang w:val="en-US" w:eastAsia="zh-CN"/>
        </w:rPr>
      </w:r>
      <w:r>
        <w:rPr>
          <w:color w:val="auto"/>
        </w:rPr>
      </w:r>
    </w:p>
    <w:p>
      <w:pPr>
        <w:pStyle w:val="899"/>
        <w:jc w:val="both"/>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rPr>
          <w:color w:val="auto"/>
        </w:rPr>
      </w:r>
    </w:p>
    <w:p>
      <w:pPr>
        <w:pStyle w:val="899"/>
        <w:ind w:left="0" w:firstLine="843"/>
        <w:rPr>
          <w:rFonts w:hint="eastAsia" w:ascii="宋体" w:hAnsi="宋体" w:eastAsia="宋体" w:cs="宋体"/>
          <w:b/>
          <w:color w:val="auto"/>
          <w:sz w:val="28"/>
          <w:szCs w:val="28"/>
          <w:highlight w:val="none"/>
        </w:rPr>
      </w:pPr>
      <w:r>
        <w:rPr>
          <w:color w:val="auto"/>
        </w:rPr>
      </w:r>
      <w:bookmarkStart w:id="366" w:name="_Hlt460313659"/>
      <w:r>
        <w:rPr>
          <w:color w:val="auto"/>
        </w:rPr>
      </w:r>
      <w:bookmarkEnd w:id="366"/>
      <w:r>
        <w:rPr>
          <w:color w:val="auto"/>
        </w:rPr>
      </w:r>
      <w:bookmarkStart w:id="367" w:name="_Hlt460313661"/>
      <w:r>
        <w:rPr>
          <w:color w:val="auto"/>
        </w:rPr>
      </w:r>
      <w:bookmarkEnd w:id="367"/>
      <w:r>
        <w:rPr>
          <w:color w:val="auto"/>
        </w:rPr>
      </w:r>
      <w:bookmarkStart w:id="368" w:name="_Toc24037"/>
      <w:r>
        <w:rPr>
          <w:color w:val="auto"/>
        </w:rPr>
      </w:r>
      <w:bookmarkStart w:id="369" w:name="_Toc14875"/>
      <w:r>
        <w:rPr>
          <w:color w:val="auto"/>
        </w:rPr>
      </w:r>
      <w:bookmarkStart w:id="370" w:name="_Toc31670"/>
      <w:r>
        <w:rPr>
          <w:color w:val="auto"/>
        </w:rPr>
      </w:r>
      <w:bookmarkStart w:id="371" w:name="_Toc3107"/>
      <w:r>
        <w:rPr>
          <w:color w:val="auto"/>
        </w:rPr>
      </w:r>
      <w:bookmarkStart w:id="372" w:name="_Toc11999"/>
      <w:r>
        <w:rPr>
          <w:color w:val="auto"/>
        </w:rPr>
      </w:r>
      <w:bookmarkStart w:id="373" w:name="_Toc504141753"/>
      <w:r>
        <w:rPr>
          <w:color w:val="auto"/>
        </w:rPr>
      </w:r>
      <w:bookmarkStart w:id="374" w:name="_Toc23352"/>
      <w:r>
        <w:rPr>
          <w:color w:val="auto"/>
        </w:rPr>
      </w:r>
      <w:bookmarkStart w:id="375" w:name="_Toc31393"/>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r>
      <w:r>
        <w:rPr>
          <w:color w:val="auto"/>
        </w:rPr>
      </w:r>
    </w:p>
    <w:p>
      <w:pPr>
        <w:pStyle w:val="89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rPr>
      </w:r>
      <w:r>
        <w:rPr>
          <w:color w:val="auto"/>
        </w:rPr>
      </w:r>
    </w:p>
    <w:p>
      <w:pPr>
        <w:pStyle w:val="89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p>
    <w:p>
      <w:pPr>
        <w:pStyle w:val="899"/>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56"/>
          <w:szCs w:val="21"/>
          <w:highlight w:val="none"/>
        </w:rPr>
        <w:t xml:space="preserve">南京市政府采购合同</w:t>
      </w:r>
      <w:r>
        <w:rPr>
          <w:rFonts w:hint="eastAsia" w:ascii="宋体" w:hAnsi="宋体" w:eastAsia="宋体" w:cs="宋体"/>
          <w:b/>
          <w:bCs/>
          <w:color w:val="auto"/>
          <w:sz w:val="32"/>
          <w:szCs w:val="32"/>
          <w:highlight w:val="none"/>
          <w:lang w:val="zh-CN"/>
        </w:rPr>
      </w:r>
      <w:r>
        <w:rPr>
          <w:color w:val="auto"/>
        </w:rP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35"/>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ind w:firstLine="315"/>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color w:val="auto"/>
        </w:rPr>
      </w:r>
    </w:p>
    <w:p>
      <w:pPr>
        <w:pStyle w:val="899"/>
        <w:ind w:firstLine="1807"/>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color w:val="auto"/>
        </w:rP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51"/>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23"/>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23"/>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color w:val="auto"/>
        </w:rPr>
      </w:r>
    </w:p>
    <w:p>
      <w:pPr>
        <w:pStyle w:val="899"/>
        <w:ind w:firstLine="964"/>
        <w:jc w:val="left"/>
        <w:keepLines w:val="0"/>
        <w:keepNext w:val="0"/>
        <w:pageBreakBefore w:val="0"/>
        <w:spacing w:line="360" w:lineRule="auto"/>
        <w:widowControl w:val="off"/>
        <w:rPr>
          <w:rFonts w:hint="eastAsia" w:ascii="宋体" w:hAnsi="宋体" w:eastAsia="宋体" w:cs="宋体"/>
          <w:b/>
          <w:color w:val="auto"/>
          <w:sz w:val="32"/>
          <w:szCs w:val="18"/>
          <w:highlight w:val="none"/>
          <w:u w:val="single"/>
        </w:rPr>
      </w:pPr>
      <w:r>
        <w:rPr>
          <w:rFonts w:hint="eastAsia" w:ascii="宋体" w:hAnsi="宋体" w:eastAsia="宋体" w:cs="宋体"/>
          <w:b/>
          <w:color w:val="auto"/>
          <w:sz w:val="32"/>
          <w:szCs w:val="18"/>
          <w:highlight w:val="none"/>
        </w:rPr>
        <w:t xml:space="preserve">合同编号：</w:t>
      </w:r>
      <w:r>
        <w:rPr>
          <w:rFonts w:hint="eastAsia" w:ascii="宋体" w:hAnsi="宋体" w:eastAsia="宋体" w:cs="宋体"/>
          <w:b/>
          <w:color w:val="auto"/>
          <w:sz w:val="32"/>
          <w:szCs w:val="18"/>
          <w:highlight w:val="none"/>
          <w:lang w:eastAsia="zh-CN"/>
        </w:rPr>
        <w:t xml:space="preserve">JSZC-320115-HHJS-C2026-0001</w:t>
      </w:r>
      <w:r>
        <w:rPr>
          <w:rFonts w:hint="eastAsia" w:ascii="宋体" w:hAnsi="宋体" w:eastAsia="宋体" w:cs="宋体"/>
          <w:b/>
          <w:color w:val="auto"/>
          <w:sz w:val="32"/>
          <w:szCs w:val="18"/>
          <w:highlight w:val="none"/>
          <w:lang w:val="en-US" w:eastAsia="zh-CN"/>
        </w:rPr>
        <w:t xml:space="preserve">  </w:t>
      </w:r>
      <w:r>
        <w:rPr>
          <w:rFonts w:hint="eastAsia" w:ascii="宋体" w:hAnsi="宋体" w:eastAsia="宋体" w:cs="宋体"/>
          <w:b/>
          <w:color w:val="auto"/>
          <w:sz w:val="32"/>
          <w:szCs w:val="36"/>
          <w:highlight w:val="none"/>
          <w:u w:val="single"/>
          <w:lang w:val="en-US" w:eastAsia="zh-CN"/>
        </w:rPr>
        <w:t xml:space="preserve">                     </w:t>
      </w:r>
      <w:r>
        <w:rPr>
          <w:rFonts w:hint="eastAsia" w:ascii="宋体" w:hAnsi="宋体" w:eastAsia="宋体" w:cs="宋体"/>
          <w:b/>
          <w:color w:val="auto"/>
          <w:sz w:val="32"/>
          <w:szCs w:val="18"/>
          <w:highlight w:val="none"/>
          <w:u w:val="single"/>
          <w:lang w:val="en-US" w:eastAsia="zh-CN"/>
        </w:rPr>
      </w:r>
      <w:r>
        <w:rPr>
          <w:color w:val="auto"/>
        </w:rPr>
      </w:r>
    </w:p>
    <w:p>
      <w:pPr>
        <w:pStyle w:val="899"/>
        <w:ind w:firstLine="964"/>
        <w:jc w:val="left"/>
        <w:keepLines w:val="0"/>
        <w:keepNext w:val="0"/>
        <w:pageBreakBefore w:val="0"/>
        <w:spacing w:line="360" w:lineRule="auto"/>
        <w:widowControl w:val="off"/>
        <w:rPr>
          <w:rFonts w:hint="eastAsia" w:ascii="宋体" w:hAnsi="宋体" w:eastAsia="宋体" w:cs="宋体"/>
          <w:b/>
          <w:color w:val="auto"/>
          <w:sz w:val="32"/>
          <w:szCs w:val="18"/>
          <w:highlight w:val="none"/>
        </w:rPr>
      </w:pPr>
      <w:r>
        <w:rPr>
          <w:rFonts w:hint="eastAsia" w:ascii="宋体" w:hAnsi="宋体" w:eastAsia="宋体" w:cs="宋体"/>
          <w:b/>
          <w:color w:val="auto"/>
          <w:sz w:val="32"/>
          <w:szCs w:val="18"/>
          <w:highlight w:val="none"/>
        </w:rPr>
        <w:t xml:space="preserve">项目名称：</w:t>
      </w:r>
      <w:r>
        <w:rPr>
          <w:rFonts w:hint="eastAsia" w:ascii="宋体" w:hAnsi="宋体" w:eastAsia="宋体" w:cs="宋体"/>
          <w:b/>
          <w:color w:val="auto"/>
          <w:sz w:val="32"/>
          <w:szCs w:val="18"/>
          <w:highlight w:val="none"/>
          <w:lang w:eastAsia="zh-CN"/>
        </w:rPr>
        <w:t xml:space="preserve">东山街道大马涵</w:t>
      </w:r>
      <w:r>
        <w:rPr>
          <w:rFonts w:hint="eastAsia" w:ascii="宋体" w:hAnsi="宋体" w:eastAsia="宋体" w:cs="宋体"/>
          <w:b/>
          <w:color w:val="auto"/>
          <w:sz w:val="32"/>
          <w:szCs w:val="18"/>
          <w:highlight w:val="none"/>
          <w:lang w:val="en-US" w:eastAsia="zh-CN"/>
        </w:rPr>
        <w:t xml:space="preserve">泵站</w:t>
      </w:r>
      <w:r>
        <w:rPr>
          <w:rFonts w:hint="eastAsia" w:ascii="宋体" w:hAnsi="宋体" w:eastAsia="宋体" w:cs="宋体"/>
          <w:b/>
          <w:color w:val="auto"/>
          <w:sz w:val="32"/>
          <w:szCs w:val="18"/>
          <w:highlight w:val="none"/>
          <w:lang w:eastAsia="zh-CN"/>
        </w:rPr>
        <w:t xml:space="preserve">等</w:t>
      </w:r>
      <w:r>
        <w:rPr>
          <w:rFonts w:hint="eastAsia" w:ascii="宋体" w:hAnsi="宋体" w:eastAsia="宋体" w:cs="宋体"/>
          <w:b/>
          <w:color w:val="auto"/>
          <w:sz w:val="32"/>
          <w:szCs w:val="18"/>
          <w:highlight w:val="none"/>
          <w:lang w:val="en-US" w:eastAsia="zh-CN"/>
        </w:rPr>
        <w:t xml:space="preserve">七</w:t>
      </w:r>
      <w:r>
        <w:rPr>
          <w:rFonts w:hint="eastAsia" w:ascii="宋体" w:hAnsi="宋体" w:eastAsia="宋体" w:cs="宋体"/>
          <w:b/>
          <w:color w:val="auto"/>
          <w:sz w:val="32"/>
          <w:szCs w:val="18"/>
          <w:highlight w:val="none"/>
          <w:lang w:eastAsia="zh-CN"/>
        </w:rPr>
        <w:t xml:space="preserve">座</w:t>
      </w:r>
      <w:r>
        <w:rPr>
          <w:rFonts w:hint="eastAsia" w:ascii="宋体" w:hAnsi="宋体" w:eastAsia="宋体" w:cs="宋体"/>
          <w:b/>
          <w:color w:val="auto"/>
          <w:sz w:val="32"/>
          <w:szCs w:val="18"/>
          <w:highlight w:val="none"/>
          <w:lang w:val="en-US" w:eastAsia="zh-CN"/>
        </w:rPr>
        <w:t xml:space="preserve">雨水</w:t>
      </w:r>
      <w:r>
        <w:rPr>
          <w:rFonts w:hint="eastAsia" w:ascii="宋体" w:hAnsi="宋体" w:eastAsia="宋体" w:cs="宋体"/>
          <w:b/>
          <w:color w:val="auto"/>
          <w:sz w:val="32"/>
          <w:szCs w:val="18"/>
          <w:highlight w:val="none"/>
          <w:lang w:eastAsia="zh-CN"/>
        </w:rPr>
        <w:t xml:space="preserve">泵站维保</w:t>
      </w:r>
      <w:r>
        <w:rPr>
          <w:rFonts w:hint="eastAsia" w:ascii="宋体" w:hAnsi="宋体" w:eastAsia="宋体" w:cs="宋体"/>
          <w:b/>
          <w:color w:val="auto"/>
          <w:sz w:val="32"/>
          <w:szCs w:val="18"/>
          <w:highlight w:val="none"/>
          <w:lang w:eastAsia="zh-CN"/>
        </w:rPr>
      </w:r>
      <w:r>
        <w:rPr>
          <w:color w:val="auto"/>
        </w:rPr>
      </w:r>
    </w:p>
    <w:p>
      <w:pPr>
        <w:pStyle w:val="899"/>
        <w:ind w:firstLine="964"/>
        <w:jc w:val="left"/>
        <w:keepLines w:val="0"/>
        <w:keepNext w:val="0"/>
        <w:pageBreakBefore w:val="0"/>
        <w:spacing w:line="360" w:lineRule="auto"/>
        <w:widowControl w:val="off"/>
        <w:rPr>
          <w:rFonts w:hint="eastAsia" w:ascii="宋体" w:hAnsi="宋体" w:eastAsia="宋体" w:cs="宋体"/>
          <w:b/>
          <w:color w:val="auto"/>
          <w:sz w:val="32"/>
          <w:szCs w:val="18"/>
          <w:highlight w:val="none"/>
        </w:rPr>
      </w:pPr>
      <w:r>
        <w:rPr>
          <w:rFonts w:hint="eastAsia" w:ascii="宋体" w:hAnsi="宋体" w:eastAsia="宋体" w:cs="宋体"/>
          <w:b/>
          <w:color w:val="auto"/>
          <w:sz w:val="32"/>
          <w:szCs w:val="18"/>
          <w:highlight w:val="none"/>
        </w:rPr>
        <w:t xml:space="preserve">采购单位：</w:t>
      </w:r>
      <w:r>
        <w:rPr>
          <w:rFonts w:hint="eastAsia" w:ascii="宋体" w:hAnsi="宋体" w:eastAsia="宋体" w:cs="宋体"/>
          <w:b/>
          <w:color w:val="auto"/>
          <w:sz w:val="32"/>
          <w:szCs w:val="18"/>
          <w:highlight w:val="none"/>
          <w:lang w:eastAsia="zh-CN"/>
        </w:rPr>
        <w:t xml:space="preserve">南京市江宁区人民政府东山街道办事处</w:t>
      </w:r>
      <w:r>
        <w:rPr>
          <w:rFonts w:hint="eastAsia" w:ascii="宋体" w:hAnsi="宋体" w:eastAsia="宋体" w:cs="宋体"/>
          <w:b/>
          <w:color w:val="auto"/>
          <w:sz w:val="32"/>
          <w:szCs w:val="18"/>
          <w:highlight w:val="none"/>
          <w:lang w:val="en-US" w:eastAsia="zh-CN"/>
        </w:rPr>
        <w:t xml:space="preserve">      </w:t>
      </w:r>
      <w:r>
        <w:rPr>
          <w:rFonts w:hint="eastAsia" w:ascii="宋体" w:hAnsi="宋体" w:eastAsia="宋体" w:cs="宋体"/>
          <w:b/>
          <w:color w:val="auto"/>
          <w:sz w:val="32"/>
          <w:szCs w:val="18"/>
          <w:highlight w:val="none"/>
          <w:lang w:val="en-US" w:eastAsia="zh-CN"/>
        </w:rPr>
      </w:r>
      <w:r>
        <w:rPr>
          <w:color w:val="auto"/>
        </w:rPr>
      </w:r>
    </w:p>
    <w:p>
      <w:pPr>
        <w:pStyle w:val="899"/>
        <w:ind w:firstLine="964"/>
        <w:jc w:val="left"/>
        <w:keepLines w:val="0"/>
        <w:keepNext w:val="0"/>
        <w:pageBreakBefore w:val="0"/>
        <w:spacing w:line="360" w:lineRule="auto"/>
        <w:widowControl w:val="off"/>
        <w:rPr>
          <w:rFonts w:hint="eastAsia" w:ascii="宋体" w:hAnsi="宋体" w:eastAsia="宋体" w:cs="宋体"/>
          <w:b/>
          <w:color w:val="auto"/>
          <w:sz w:val="32"/>
          <w:szCs w:val="18"/>
          <w:highlight w:val="none"/>
        </w:rPr>
      </w:pPr>
      <w:r>
        <w:rPr>
          <w:rFonts w:hint="eastAsia" w:ascii="宋体" w:hAnsi="宋体" w:eastAsia="宋体" w:cs="宋体"/>
          <w:b/>
          <w:color w:val="auto"/>
          <w:sz w:val="32"/>
          <w:szCs w:val="18"/>
          <w:highlight w:val="none"/>
          <w:lang w:eastAsia="zh-CN"/>
        </w:rPr>
        <w:t xml:space="preserve">成交单位：</w:t>
      </w:r>
      <w:r>
        <w:rPr>
          <w:rFonts w:hint="eastAsia" w:ascii="宋体" w:hAnsi="宋体" w:eastAsia="宋体" w:cs="宋体"/>
          <w:b/>
          <w:color w:val="auto"/>
          <w:sz w:val="32"/>
          <w:szCs w:val="18"/>
          <w:highlight w:val="none"/>
          <w:lang w:val="en-US" w:eastAsia="zh-CN"/>
        </w:rPr>
        <w:t xml:space="preserve">               </w:t>
      </w:r>
      <w:r>
        <w:rPr>
          <w:rFonts w:hint="eastAsia" w:ascii="宋体" w:hAnsi="宋体" w:eastAsia="宋体" w:cs="宋体"/>
          <w:b/>
          <w:color w:val="auto"/>
          <w:sz w:val="32"/>
          <w:szCs w:val="18"/>
          <w:highlight w:val="none"/>
          <w:lang w:val="en-US" w:eastAsia="zh-CN"/>
        </w:rPr>
      </w:r>
      <w:r>
        <w:rPr>
          <w:color w:val="auto"/>
        </w:rPr>
      </w:r>
    </w:p>
    <w:p>
      <w:pPr>
        <w:pStyle w:val="899"/>
        <w:ind w:firstLine="964"/>
        <w:jc w:val="left"/>
        <w:keepLines w:val="0"/>
        <w:keepNext w:val="0"/>
        <w:pageBreakBefore w:val="0"/>
        <w:spacing w:line="360" w:lineRule="auto"/>
        <w:widowControl w:val="off"/>
        <w:rPr>
          <w:rFonts w:hint="eastAsia" w:ascii="宋体" w:hAnsi="宋体" w:eastAsia="宋体" w:cs="宋体"/>
          <w:b/>
          <w:color w:val="auto"/>
          <w:sz w:val="32"/>
          <w:szCs w:val="18"/>
          <w:highlight w:val="none"/>
          <w:u w:val="single"/>
        </w:rPr>
      </w:pPr>
      <w:r>
        <w:rPr>
          <w:rFonts w:hint="eastAsia" w:ascii="宋体" w:hAnsi="宋体" w:eastAsia="宋体" w:cs="宋体"/>
          <w:b/>
          <w:color w:val="auto"/>
          <w:sz w:val="32"/>
          <w:szCs w:val="18"/>
          <w:highlight w:val="none"/>
          <w:lang w:eastAsia="zh-CN"/>
        </w:rPr>
        <w:t xml:space="preserve">签订日期：</w:t>
      </w:r>
      <w:r>
        <w:rPr>
          <w:rFonts w:hint="eastAsia" w:ascii="宋体" w:hAnsi="宋体" w:eastAsia="宋体" w:cs="宋体"/>
          <w:b/>
          <w:color w:val="auto"/>
          <w:sz w:val="32"/>
          <w:szCs w:val="18"/>
          <w:highlight w:val="none"/>
          <w:lang w:val="en-US" w:eastAsia="zh-CN"/>
        </w:rPr>
        <w:t xml:space="preserve">  </w:t>
      </w:r>
      <w:r>
        <w:rPr>
          <w:rFonts w:hint="eastAsia" w:ascii="宋体" w:hAnsi="宋体" w:eastAsia="宋体" w:cs="宋体"/>
          <w:b/>
          <w:color w:val="auto"/>
          <w:sz w:val="28"/>
          <w:szCs w:val="28"/>
          <w:highlight w:val="none"/>
          <w:u w:val="none"/>
          <w:lang w:val="en-US" w:eastAsia="zh-CN"/>
        </w:rPr>
        <w:t xml:space="preserve">年   月   日</w:t>
      </w:r>
      <w:r>
        <w:rPr>
          <w:rFonts w:hint="eastAsia" w:ascii="宋体" w:hAnsi="宋体" w:eastAsia="宋体" w:cs="宋体"/>
          <w:b/>
          <w:color w:val="auto"/>
          <w:sz w:val="32"/>
          <w:szCs w:val="18"/>
          <w:highlight w:val="none"/>
          <w:u w:val="single"/>
          <w:lang w:val="en-US" w:eastAsia="zh-CN"/>
        </w:rPr>
        <w:t xml:space="preserve">                   </w:t>
      </w:r>
      <w:r>
        <w:rPr>
          <w:rFonts w:hint="eastAsia" w:ascii="宋体" w:hAnsi="宋体" w:eastAsia="宋体" w:cs="宋体"/>
          <w:b/>
          <w:color w:val="auto"/>
          <w:sz w:val="32"/>
          <w:szCs w:val="18"/>
          <w:highlight w:val="none"/>
          <w:u w:val="single"/>
          <w:lang w:val="en-US" w:eastAsia="zh-CN"/>
        </w:rPr>
      </w:r>
      <w:r>
        <w:rPr>
          <w:color w:val="auto"/>
        </w:rPr>
      </w:r>
    </w:p>
    <w:p>
      <w:pPr>
        <w:pStyle w:val="899"/>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rPr>
          <w:color w:val="auto"/>
        </w:rPr>
      </w:r>
    </w:p>
    <w:p>
      <w:pPr>
        <w:pStyle w:val="899"/>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rPr>
        <w:br w:type="page" w:clear="all"/>
      </w:r>
      <w:r>
        <w:rPr>
          <w:rFonts w:hint="eastAsia" w:ascii="宋体" w:hAnsi="宋体" w:eastAsia="宋体" w:cs="宋体"/>
          <w:color w:val="auto"/>
          <w:sz w:val="24"/>
          <w:szCs w:val="24"/>
          <w:highlight w:val="none"/>
        </w:rPr>
      </w:r>
      <w:r>
        <w:rPr>
          <w:color w:val="auto"/>
        </w:rPr>
      </w:r>
    </w:p>
    <w:tbl>
      <w:tblPr>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5529"/>
        <w:gridCol w:w="3649"/>
      </w:tblGrid>
      <w:tr>
        <w:trPr/>
        <w:tc>
          <w:tcPr>
            <w:tcBorders>
              <w:top w:val="none" w:color="000000" w:sz="4" w:space="0"/>
              <w:left w:val="none" w:color="000000" w:sz="4" w:space="0"/>
              <w:bottom w:val="none" w:color="000000" w:sz="4" w:space="0"/>
              <w:right w:val="none" w:color="000000" w:sz="4" w:space="0"/>
            </w:tcBorders>
            <w:tcW w:w="5529" w:type="dxa"/>
            <w:vAlign w:val="top"/>
            <w:textDirection w:val="lrTb"/>
            <w:noWrap w:val="false"/>
          </w:tcPr>
          <w:p>
            <w:pPr>
              <w:pStyle w:val="8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采购人：（以下称甲方）</w:t>
            </w:r>
            <w:r>
              <w:rPr>
                <w:rFonts w:hint="eastAsia" w:ascii="宋体" w:hAnsi="宋体" w:eastAsia="宋体" w:cs="宋体"/>
                <w:color w:val="auto"/>
                <w:sz w:val="24"/>
                <w:highlight w:val="none"/>
                <w:lang w:val="en-US" w:eastAsia="zh-CN"/>
              </w:rPr>
              <w:t xml:space="preserve">南京市江宁区人民政府东山街道办事处</w:t>
            </w:r>
            <w:r>
              <w:rPr>
                <w:rFonts w:hint="eastAsia" w:ascii="宋体" w:hAnsi="宋体" w:eastAsia="宋体" w:cs="宋体"/>
                <w:color w:val="auto"/>
                <w:sz w:val="24"/>
                <w:highlight w:val="none"/>
                <w:lang w:val="zh-CN" w:eastAsia="zh-CN"/>
              </w:rPr>
            </w:r>
            <w:r>
              <w:rPr>
                <w:color w:val="auto"/>
              </w:rPr>
            </w:r>
          </w:p>
          <w:p>
            <w:pPr>
              <w:pStyle w:val="8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r>
            <w:r>
              <w:rPr>
                <w:color w:val="auto"/>
              </w:rPr>
            </w:r>
          </w:p>
        </w:tc>
        <w:tc>
          <w:tcPr>
            <w:tcBorders>
              <w:top w:val="none" w:color="000000" w:sz="4" w:space="0"/>
              <w:left w:val="none" w:color="000000" w:sz="4" w:space="0"/>
              <w:bottom w:val="none" w:color="000000" w:sz="4" w:space="0"/>
              <w:right w:val="none" w:color="000000" w:sz="4" w:space="0"/>
            </w:tcBorders>
            <w:tcW w:w="3649" w:type="dxa"/>
            <w:vAlign w:val="top"/>
            <w:textDirection w:val="lrTb"/>
            <w:noWrap w:val="false"/>
          </w:tcPr>
          <w:p>
            <w:pPr>
              <w:pStyle w:val="8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供应商：（以下称乙方）</w:t>
            </w:r>
            <w:r>
              <w:rPr>
                <w:rFonts w:hint="eastAsia" w:ascii="宋体" w:hAnsi="宋体" w:eastAsia="宋体" w:cs="宋体"/>
                <w:color w:val="auto"/>
                <w:sz w:val="24"/>
                <w:highlight w:val="none"/>
                <w:lang w:val="en-US" w:eastAsia="zh-CN"/>
              </w:rPr>
            </w:r>
            <w:r>
              <w:rPr>
                <w:color w:val="auto"/>
              </w:rPr>
            </w:r>
          </w:p>
          <w:p>
            <w:pPr>
              <w:pStyle w:val="899"/>
              <w:keepLines/>
              <w:keepNext/>
              <w:spacing w:line="360" w:lineRule="auto"/>
              <w:shd w:val="clear" w:color="auto" w:fill="ffff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lang w:val="zh-CN"/>
              </w:rPr>
            </w:r>
            <w:r>
              <w:rPr>
                <w:color w:val="auto"/>
              </w:rPr>
            </w:r>
          </w:p>
        </w:tc>
      </w:tr>
      <w:tr>
        <w:trPr/>
        <w:tc>
          <w:tcPr>
            <w:tcBorders>
              <w:top w:val="none" w:color="000000" w:sz="4" w:space="0"/>
              <w:left w:val="none" w:color="000000" w:sz="4" w:space="0"/>
              <w:bottom w:val="none" w:color="000000" w:sz="4" w:space="0"/>
              <w:right w:val="none" w:color="000000" w:sz="4" w:space="0"/>
            </w:tcBorders>
            <w:tcW w:w="5529" w:type="dxa"/>
            <w:vAlign w:val="top"/>
            <w:textDirection w:val="lrTb"/>
            <w:noWrap w:val="false"/>
          </w:tcPr>
          <w:p>
            <w:pPr>
              <w:pStyle w:val="8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住所地：南京市江宁区上元大街229号</w:t>
            </w:r>
            <w:r>
              <w:rPr>
                <w:rFonts w:hint="eastAsia" w:ascii="宋体" w:hAnsi="宋体" w:eastAsia="宋体" w:cs="宋体"/>
                <w:color w:val="auto"/>
                <w:sz w:val="24"/>
                <w:highlight w:val="none"/>
                <w:lang w:val="zh-CN"/>
              </w:rPr>
            </w:r>
            <w:r>
              <w:rPr>
                <w:color w:val="auto"/>
              </w:rPr>
            </w:r>
          </w:p>
          <w:p>
            <w:pPr>
              <w:pStyle w:val="899"/>
              <w:keepLines/>
              <w:keepNext/>
              <w:spacing w:line="360" w:lineRule="auto"/>
              <w:shd w:val="clear" w:color="auto" w:fill="ffff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r>
            <w:r>
              <w:rPr>
                <w:color w:val="auto"/>
              </w:rPr>
            </w:r>
          </w:p>
        </w:tc>
        <w:tc>
          <w:tcPr>
            <w:tcBorders>
              <w:top w:val="none" w:color="000000" w:sz="4" w:space="0"/>
              <w:left w:val="none" w:color="000000" w:sz="4" w:space="0"/>
              <w:bottom w:val="none" w:color="000000" w:sz="4" w:space="0"/>
              <w:right w:val="none" w:color="000000" w:sz="4" w:space="0"/>
            </w:tcBorders>
            <w:tcW w:w="3649" w:type="dxa"/>
            <w:vAlign w:val="top"/>
            <w:textDirection w:val="lrTb"/>
            <w:noWrap w:val="false"/>
          </w:tcPr>
          <w:p>
            <w:pPr>
              <w:pStyle w:val="8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住所地：</w:t>
            </w:r>
            <w:r>
              <w:rPr>
                <w:rFonts w:hint="eastAsia" w:ascii="宋体" w:hAnsi="宋体" w:eastAsia="宋体" w:cs="宋体"/>
                <w:color w:val="auto"/>
                <w:sz w:val="24"/>
                <w:highlight w:val="none"/>
                <w:lang w:val="en-US" w:eastAsia="zh-CN"/>
              </w:rPr>
            </w:r>
            <w:r>
              <w:rPr>
                <w:color w:val="auto"/>
              </w:rPr>
            </w:r>
          </w:p>
        </w:tc>
      </w:tr>
    </w:tbl>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根据《中华人民共和国政府采购法》《中华人民共和国民法典》等法律法规的规定，甲乙双方按照</w:t>
      </w:r>
      <w:r>
        <w:rPr>
          <w:rFonts w:hint="eastAsia" w:ascii="宋体" w:hAnsi="宋体" w:eastAsia="宋体" w:cs="宋体"/>
          <w:color w:val="auto"/>
          <w:sz w:val="24"/>
          <w:highlight w:val="none"/>
          <w:u w:val="single"/>
          <w:lang w:val="zh-CN" w:eastAsia="zh-CN"/>
        </w:rPr>
        <w:t xml:space="preserve">东山街道大马涵</w:t>
      </w:r>
      <w:r>
        <w:rPr>
          <w:rFonts w:hint="eastAsia" w:ascii="宋体" w:hAnsi="宋体" w:eastAsia="宋体" w:cs="宋体"/>
          <w:color w:val="auto"/>
          <w:sz w:val="24"/>
          <w:highlight w:val="none"/>
          <w:u w:val="single"/>
          <w:lang w:val="en-US" w:eastAsia="zh-CN"/>
        </w:rPr>
        <w:t xml:space="preserve">泵站</w:t>
      </w:r>
      <w:r>
        <w:rPr>
          <w:rFonts w:hint="eastAsia" w:ascii="宋体" w:hAnsi="宋体" w:eastAsia="宋体" w:cs="宋体"/>
          <w:color w:val="auto"/>
          <w:sz w:val="24"/>
          <w:highlight w:val="none"/>
          <w:u w:val="single"/>
          <w:lang w:val="zh-CN" w:eastAsia="zh-CN"/>
        </w:rPr>
        <w:t xml:space="preserve">等</w:t>
      </w:r>
      <w:r>
        <w:rPr>
          <w:rFonts w:hint="eastAsia" w:ascii="宋体" w:hAnsi="宋体" w:eastAsia="宋体" w:cs="宋体"/>
          <w:color w:val="auto"/>
          <w:sz w:val="24"/>
          <w:highlight w:val="none"/>
          <w:u w:val="single"/>
          <w:lang w:val="en-US" w:eastAsia="zh-CN"/>
        </w:rPr>
        <w:t xml:space="preserve">七</w:t>
      </w:r>
      <w:r>
        <w:rPr>
          <w:rFonts w:hint="eastAsia" w:ascii="宋体" w:hAnsi="宋体" w:eastAsia="宋体" w:cs="宋体"/>
          <w:color w:val="auto"/>
          <w:sz w:val="24"/>
          <w:highlight w:val="none"/>
          <w:u w:val="single"/>
          <w:lang w:val="zh-CN" w:eastAsia="zh-CN"/>
        </w:rPr>
        <w:t xml:space="preserve">座</w:t>
      </w:r>
      <w:r>
        <w:rPr>
          <w:rFonts w:hint="eastAsia" w:ascii="宋体" w:hAnsi="宋体" w:eastAsia="宋体" w:cs="宋体"/>
          <w:color w:val="auto"/>
          <w:sz w:val="24"/>
          <w:highlight w:val="none"/>
          <w:u w:val="single"/>
          <w:lang w:val="en-US" w:eastAsia="zh-CN"/>
        </w:rPr>
        <w:t xml:space="preserve">雨水</w:t>
      </w:r>
      <w:r>
        <w:rPr>
          <w:rFonts w:hint="eastAsia" w:ascii="宋体" w:hAnsi="宋体" w:eastAsia="宋体" w:cs="宋体"/>
          <w:color w:val="auto"/>
          <w:sz w:val="24"/>
          <w:highlight w:val="none"/>
          <w:u w:val="single"/>
          <w:lang w:val="zh-CN" w:eastAsia="zh-CN"/>
        </w:rPr>
        <w:t xml:space="preserve">泵站维保</w:t>
      </w:r>
      <w:r>
        <w:rPr>
          <w:rFonts w:hint="eastAsia" w:ascii="宋体" w:hAnsi="宋体" w:eastAsia="宋体" w:cs="宋体"/>
          <w:color w:val="auto"/>
          <w:sz w:val="24"/>
          <w:highlight w:val="none"/>
          <w:lang w:val="zh-CN"/>
        </w:rPr>
        <w:t xml:space="preserve">的采购结果签订本合同。</w:t>
      </w:r>
      <w:r>
        <w:rPr>
          <w:rFonts w:hint="eastAsia" w:ascii="宋体" w:hAnsi="宋体" w:eastAsia="宋体" w:cs="宋体"/>
          <w:color w:val="auto"/>
          <w:sz w:val="24"/>
          <w:highlight w:val="none"/>
          <w:lang w:val="zh-CN"/>
        </w:rPr>
      </w:r>
      <w:r>
        <w:rPr>
          <w:color w:val="auto"/>
        </w:rPr>
      </w:r>
    </w:p>
    <w:p>
      <w:pPr>
        <w:pStyle w:val="89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第一条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合同标的</w:t>
      </w:r>
      <w:r>
        <w:rPr>
          <w:rFonts w:hint="eastAsia" w:ascii="宋体" w:hAnsi="宋体" w:eastAsia="宋体" w:cs="宋体"/>
          <w:b/>
          <w:bCs/>
          <w:color w:val="auto"/>
          <w:sz w:val="24"/>
          <w:highlight w:val="none"/>
          <w:lang w:val="zh-CN"/>
        </w:rPr>
      </w:r>
      <w:r>
        <w:rPr>
          <w:color w:val="auto"/>
        </w:rPr>
      </w:r>
    </w:p>
    <w:p>
      <w:pPr>
        <w:pStyle w:val="899"/>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rPr>
        <w:t xml:space="preserve">乙方根据甲方需求提供下列服务：</w:t>
      </w:r>
      <w:r>
        <w:rPr>
          <w:rFonts w:hint="eastAsia" w:ascii="宋体" w:hAnsi="宋体" w:eastAsia="宋体" w:cs="宋体"/>
          <w:color w:val="auto"/>
          <w:sz w:val="24"/>
          <w:highlight w:val="none"/>
          <w:u w:val="single"/>
          <w:lang w:val="zh-CN" w:eastAsia="zh-CN"/>
        </w:rPr>
        <w:t xml:space="preserve">东山街道大马涵</w:t>
      </w:r>
      <w:r>
        <w:rPr>
          <w:rFonts w:hint="eastAsia" w:ascii="宋体" w:hAnsi="宋体" w:eastAsia="宋体" w:cs="宋体"/>
          <w:color w:val="auto"/>
          <w:sz w:val="24"/>
          <w:highlight w:val="none"/>
          <w:u w:val="single"/>
          <w:lang w:val="en-US" w:eastAsia="zh-CN"/>
        </w:rPr>
        <w:t xml:space="preserve">泵站</w:t>
      </w:r>
      <w:r>
        <w:rPr>
          <w:rFonts w:hint="eastAsia" w:ascii="宋体" w:hAnsi="宋体" w:eastAsia="宋体" w:cs="宋体"/>
          <w:color w:val="auto"/>
          <w:sz w:val="24"/>
          <w:highlight w:val="none"/>
          <w:u w:val="single"/>
          <w:lang w:val="zh-CN" w:eastAsia="zh-CN"/>
        </w:rPr>
        <w:t xml:space="preserve">等</w:t>
      </w:r>
      <w:r>
        <w:rPr>
          <w:rFonts w:hint="eastAsia" w:ascii="宋体" w:hAnsi="宋体" w:eastAsia="宋体" w:cs="宋体"/>
          <w:color w:val="auto"/>
          <w:sz w:val="24"/>
          <w:highlight w:val="none"/>
          <w:u w:val="single"/>
          <w:lang w:val="en-US" w:eastAsia="zh-CN"/>
        </w:rPr>
        <w:t xml:space="preserve">七</w:t>
      </w:r>
      <w:r>
        <w:rPr>
          <w:rFonts w:hint="eastAsia" w:ascii="宋体" w:hAnsi="宋体" w:eastAsia="宋体" w:cs="宋体"/>
          <w:color w:val="auto"/>
          <w:sz w:val="24"/>
          <w:highlight w:val="none"/>
          <w:u w:val="single"/>
          <w:lang w:val="zh-CN" w:eastAsia="zh-CN"/>
        </w:rPr>
        <w:t xml:space="preserve">座</w:t>
      </w:r>
      <w:r>
        <w:rPr>
          <w:rFonts w:hint="eastAsia" w:ascii="宋体" w:hAnsi="宋体" w:eastAsia="宋体" w:cs="宋体"/>
          <w:color w:val="auto"/>
          <w:sz w:val="24"/>
          <w:highlight w:val="none"/>
          <w:u w:val="single"/>
          <w:lang w:val="en-US" w:eastAsia="zh-CN"/>
        </w:rPr>
        <w:t xml:space="preserve">雨水</w:t>
      </w:r>
      <w:r>
        <w:rPr>
          <w:rFonts w:hint="eastAsia" w:ascii="宋体" w:hAnsi="宋体" w:eastAsia="宋体" w:cs="宋体"/>
          <w:color w:val="auto"/>
          <w:sz w:val="24"/>
          <w:highlight w:val="none"/>
          <w:u w:val="single"/>
          <w:lang w:val="zh-CN" w:eastAsia="zh-CN"/>
        </w:rPr>
        <w:t xml:space="preserve">泵站维保</w:t>
      </w:r>
      <w:r>
        <w:rPr>
          <w:rFonts w:hint="eastAsia" w:ascii="宋体" w:hAnsi="宋体" w:eastAsia="宋体" w:cs="宋体"/>
          <w:color w:val="auto"/>
          <w:sz w:val="24"/>
          <w:highlight w:val="none"/>
          <w:lang w:val="zh-CN"/>
        </w:rPr>
        <w:t xml:space="preserve">，详见乙方响应文件。</w:t>
      </w:r>
      <w:r>
        <w:rPr>
          <w:rFonts w:hint="eastAsia" w:ascii="宋体" w:hAnsi="宋体" w:eastAsia="宋体" w:cs="宋体"/>
          <w:b/>
          <w:bCs/>
          <w:color w:val="auto"/>
          <w:sz w:val="24"/>
          <w:highlight w:val="none"/>
          <w:lang w:val="zh-CN"/>
        </w:rPr>
      </w:r>
      <w:r>
        <w:rPr>
          <w:color w:val="auto"/>
        </w:rPr>
      </w:r>
    </w:p>
    <w:p>
      <w:pPr>
        <w:pStyle w:val="89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第二条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合同总价款</w:t>
      </w:r>
      <w:r>
        <w:rPr>
          <w:rFonts w:hint="eastAsia" w:ascii="宋体" w:hAnsi="宋体" w:eastAsia="宋体" w:cs="宋体"/>
          <w:b/>
          <w:bCs/>
          <w:color w:val="auto"/>
          <w:sz w:val="24"/>
          <w:highlight w:val="none"/>
          <w:lang w:val="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本合同项下服务总价款为（大写）人民币：</w:t>
      </w:r>
      <w:r>
        <w:rPr>
          <w:rFonts w:hint="eastAsia" w:ascii="宋体" w:hAnsi="宋体" w:eastAsia="宋体" w:cs="宋体"/>
          <w:color w:val="auto"/>
          <w:sz w:val="24"/>
          <w:highlight w:val="none"/>
          <w:u w:val="single"/>
          <w:lang w:val="en-US" w:eastAsia="zh-CN"/>
        </w:rPr>
        <w:t xml:space="preserve">       万</w:t>
      </w:r>
      <w:r>
        <w:rPr>
          <w:rFonts w:hint="eastAsia" w:ascii="宋体" w:hAnsi="宋体" w:eastAsia="宋体" w:cs="宋体"/>
          <w:color w:val="auto"/>
          <w:sz w:val="24"/>
          <w:highlight w:val="none"/>
        </w:rPr>
        <w:t xml:space="preserve">元/年</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元/年，</w:t>
      </w:r>
      <w:r>
        <w:rPr>
          <w:rFonts w:hint="eastAsia" w:ascii="宋体" w:hAnsi="宋体" w:eastAsia="宋体" w:cs="宋体"/>
          <w:color w:val="auto"/>
          <w:sz w:val="24"/>
          <w:highlight w:val="none"/>
          <w:lang w:val="zh-CN"/>
        </w:rPr>
        <w:t xml:space="preserve">本合同执行期间合同总价款不变。</w:t>
      </w: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含乙方工作人员</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在履行合同过程中造成甲方</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乙方或其他第三方人身财产损害的</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由乙方承担赔偿责任</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与甲方无关</w:t>
      </w:r>
      <w:r>
        <w:rPr>
          <w:rFonts w:hint="eastAsia" w:ascii="宋体" w:hAnsi="宋体" w:eastAsia="宋体" w:cs="宋体"/>
          <w:color w:val="auto"/>
          <w:sz w:val="24"/>
          <w:highlight w:val="none"/>
          <w:lang w:val="zh-CN"/>
        </w:rPr>
        <w:t xml:space="preserve">。分项价款在乙方“响应文件价格部分”中有明确规定。</w:t>
      </w:r>
      <w:r>
        <w:rPr>
          <w:rFonts w:hint="eastAsia" w:ascii="宋体" w:hAnsi="宋体" w:eastAsia="宋体" w:cs="宋体"/>
          <w:color w:val="auto"/>
          <w:sz w:val="24"/>
          <w:highlight w:val="none"/>
          <w:lang w:val="en-US" w:eastAsia="zh-CN"/>
        </w:rPr>
        <w:t xml:space="preserve">乙方应提供的服务内容、服务期限及服务具体要求，详见招投标文件中的约定。</w:t>
      </w:r>
      <w:r>
        <w:rPr>
          <w:rFonts w:hint="eastAsia" w:ascii="宋体" w:hAnsi="宋体" w:eastAsia="宋体" w:cs="宋体"/>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本合同总价款是完成本项目所发生的所有含税费用、支付给员工的工资和国家强制缴纳的各种社会保障资金，以及乙方认为需要的其他费用等。</w:t>
      </w:r>
      <w:r>
        <w:rPr>
          <w:rFonts w:hint="eastAsia" w:ascii="宋体" w:hAnsi="宋体" w:eastAsia="宋体" w:cs="宋体"/>
          <w:color w:val="auto"/>
          <w:sz w:val="24"/>
          <w:highlight w:val="none"/>
          <w:lang w:val="en-US" w:eastAsia="zh-CN"/>
        </w:rPr>
        <w:t xml:space="preserve">乙方应依法为其项目服务人员签订书面劳动合同、缴纳社保，并承担人员的工资、奖金、各种福利待遇等用工责任和费用，乙方与其项目服务的人员产生的劳资、工伤、经济补偿等全部用工争议，均由乙方负责处理并承担全部费用，与甲方无关。</w:t>
      </w:r>
      <w:r>
        <w:rPr>
          <w:rFonts w:hint="eastAsia" w:ascii="宋体" w:hAnsi="宋体" w:eastAsia="宋体" w:cs="宋体"/>
          <w:color w:val="auto"/>
          <w:sz w:val="24"/>
          <w:highlight w:val="none"/>
          <w:lang w:val="en-US" w:eastAsia="zh-CN"/>
        </w:rPr>
      </w:r>
      <w:r>
        <w:rPr>
          <w:color w:val="auto"/>
        </w:rPr>
      </w:r>
    </w:p>
    <w:p>
      <w:pPr>
        <w:pStyle w:val="89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第三条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组成本合同的有关文件</w:t>
      </w:r>
      <w:r>
        <w:rPr>
          <w:rFonts w:hint="eastAsia" w:ascii="宋体" w:hAnsi="宋体" w:eastAsia="宋体" w:cs="宋体"/>
          <w:b/>
          <w:bCs/>
          <w:color w:val="auto"/>
          <w:sz w:val="24"/>
          <w:highlight w:val="none"/>
          <w:lang w:val="zh-CN"/>
        </w:rPr>
      </w:r>
      <w:r>
        <w:rPr>
          <w:color w:val="auto"/>
        </w:rPr>
      </w:r>
    </w:p>
    <w:p>
      <w:pPr>
        <w:pStyle w:val="899"/>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下列关于本项目的招标响应文件或与本次采购活动方式相适应的文件及有关附件是本合同不可分割的组成部分，与本合同具有同等法律效力，这些文件包括但不限于：</w:t>
      </w:r>
      <w:r>
        <w:rPr>
          <w:rFonts w:hint="eastAsia" w:ascii="宋体" w:hAnsi="宋体" w:eastAsia="宋体" w:cs="宋体"/>
          <w:color w:val="auto"/>
          <w:sz w:val="24"/>
          <w:highlight w:val="none"/>
          <w:lang w:val="zh-CN"/>
        </w:rPr>
      </w:r>
      <w:r>
        <w:rPr>
          <w:color w:val="auto"/>
        </w:rPr>
      </w:r>
    </w:p>
    <w:p>
      <w:pPr>
        <w:pStyle w:val="899"/>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（1）中标通知书；</w:t>
      </w:r>
      <w:r>
        <w:rPr>
          <w:rFonts w:hint="eastAsia" w:ascii="宋体" w:hAnsi="宋体" w:eastAsia="宋体" w:cs="宋体"/>
          <w:color w:val="auto"/>
          <w:sz w:val="24"/>
          <w:highlight w:val="none"/>
          <w:lang w:val="zh-CN"/>
        </w:rPr>
      </w:r>
      <w:r>
        <w:rPr>
          <w:color w:val="auto"/>
        </w:rPr>
      </w:r>
    </w:p>
    <w:p>
      <w:pPr>
        <w:pStyle w:val="899"/>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（2）乙方提供的响应文件和报价表；</w:t>
      </w:r>
      <w:r>
        <w:rPr>
          <w:rFonts w:hint="eastAsia" w:ascii="宋体" w:hAnsi="宋体" w:eastAsia="宋体" w:cs="宋体"/>
          <w:color w:val="auto"/>
          <w:sz w:val="24"/>
          <w:highlight w:val="none"/>
          <w:lang w:val="zh-CN"/>
        </w:rPr>
      </w:r>
      <w:r>
        <w:rPr>
          <w:color w:val="auto"/>
        </w:rPr>
      </w:r>
    </w:p>
    <w:p>
      <w:pPr>
        <w:pStyle w:val="899"/>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（3）甲乙双方商定的其他文件等。</w:t>
      </w:r>
      <w:r>
        <w:rPr>
          <w:rFonts w:hint="eastAsia" w:ascii="宋体" w:hAnsi="宋体" w:eastAsia="宋体" w:cs="宋体"/>
          <w:color w:val="auto"/>
          <w:sz w:val="24"/>
          <w:highlight w:val="none"/>
          <w:lang w:val="zh-CN"/>
        </w:rPr>
      </w:r>
      <w:r>
        <w:rPr>
          <w:color w:val="auto"/>
        </w:rPr>
      </w:r>
    </w:p>
    <w:p>
      <w:pPr>
        <w:pStyle w:val="91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SA"/>
        </w:rPr>
        <w:t xml:space="preserve">以上各项文件内容发生冲突时适用的先后顺序为（1）、（2）、（3）。</w:t>
      </w:r>
      <w:r>
        <w:rPr>
          <w:rFonts w:hint="eastAsia" w:ascii="宋体" w:hAnsi="宋体" w:eastAsia="宋体" w:cs="宋体"/>
          <w:color w:val="auto"/>
          <w:sz w:val="24"/>
          <w:highlight w:val="none"/>
          <w:lang w:val="en-US" w:eastAsia="zh-CN" w:bidi="ar-SA"/>
        </w:rPr>
      </w:r>
      <w:r>
        <w:rPr>
          <w:color w:val="auto"/>
        </w:rPr>
      </w:r>
    </w:p>
    <w:p>
      <w:pPr>
        <w:pStyle w:val="899"/>
        <w:keepLines w:val="0"/>
        <w:keepNext w:val="0"/>
        <w:pageBreakBefore w:val="0"/>
        <w:spacing w:before="146"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第四条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维保期限</w:t>
      </w:r>
      <w:r>
        <w:rPr>
          <w:rFonts w:hint="eastAsia" w:ascii="宋体" w:hAnsi="宋体" w:eastAsia="宋体" w:cs="宋体"/>
          <w:b/>
          <w:bCs/>
          <w:color w:val="auto"/>
          <w:sz w:val="24"/>
          <w:highlight w:val="none"/>
          <w:lang w:val="zh-CN"/>
        </w:rPr>
      </w:r>
      <w:r>
        <w:rPr>
          <w:color w:val="auto"/>
        </w:rPr>
      </w:r>
    </w:p>
    <w:p>
      <w:pPr>
        <w:pStyle w:val="89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本项目一招</w:t>
      </w:r>
      <w:r>
        <w:rPr>
          <w:rFonts w:hint="eastAsia" w:ascii="宋体" w:hAnsi="宋体" w:eastAsia="宋体" w:cs="宋体"/>
          <w:bCs/>
          <w:color w:val="auto"/>
          <w:sz w:val="24"/>
          <w:highlight w:val="none"/>
          <w:lang w:val="en-US" w:eastAsia="zh-CN"/>
        </w:rPr>
        <w:t xml:space="preserve">两年</w:t>
      </w:r>
      <w:r>
        <w:rPr>
          <w:rFonts w:hint="eastAsia" w:ascii="宋体" w:hAnsi="宋体" w:eastAsia="宋体" w:cs="宋体"/>
          <w:bCs/>
          <w:color w:val="auto"/>
          <w:sz w:val="24"/>
          <w:highlight w:val="none"/>
          <w:lang w:val="zh-CN"/>
        </w:rPr>
        <w:t xml:space="preserve">，服务期一年，合同一年一签。本次合同期限</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lang w:val="zh-CN"/>
        </w:rPr>
        <w:t xml:space="preserve">年</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lang w:val="zh-CN"/>
        </w:rPr>
        <w:t xml:space="preserve">月</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lang w:val="zh-CN"/>
        </w:rPr>
        <w:t xml:space="preserve">日起至</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lang w:val="zh-CN"/>
        </w:rPr>
        <w:t xml:space="preserve">年</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lang w:val="zh-CN"/>
        </w:rPr>
        <w:t xml:space="preserve">月</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日止</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zh-CN"/>
        </w:rPr>
      </w:r>
      <w:r>
        <w:rPr>
          <w:color w:val="auto"/>
        </w:rPr>
      </w:r>
    </w:p>
    <w:p>
      <w:pPr>
        <w:pStyle w:val="899"/>
        <w:keepLines w:val="0"/>
        <w:keepNext w:val="0"/>
        <w:pageBreakBefore w:val="0"/>
        <w:spacing w:before="146"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eastAsia="zh-CN"/>
        </w:rPr>
        <w:t xml:space="preserve">第五条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服务内容</w:t>
      </w:r>
      <w:r>
        <w:rPr>
          <w:rFonts w:hint="eastAsia" w:ascii="宋体" w:hAnsi="宋体" w:eastAsia="宋体" w:cs="宋体"/>
          <w:b/>
          <w:bCs/>
          <w:color w:val="auto"/>
          <w:sz w:val="24"/>
          <w:highlight w:val="none"/>
          <w:lang w:val="zh-CN"/>
        </w:rPr>
      </w:r>
      <w:r>
        <w:rPr>
          <w:color w:val="auto"/>
        </w:rPr>
      </w:r>
    </w:p>
    <w:p>
      <w:pPr>
        <w:pStyle w:val="899"/>
        <w:ind w:firstLine="35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在每年汛期来之前对所有泵站的设备进行检修，</w:t>
      </w:r>
      <w:r>
        <w:rPr>
          <w:rFonts w:hint="eastAsia" w:ascii="宋体" w:hAnsi="宋体" w:eastAsia="宋体" w:cs="宋体"/>
          <w:color w:val="auto"/>
          <w:sz w:val="24"/>
          <w:szCs w:val="24"/>
          <w:highlight w:val="none"/>
          <w:lang w:val="en-US" w:eastAsia="zh-CN"/>
        </w:rPr>
        <w:t xml:space="preserve">汛期为每年的5月1日至8月30日，</w:t>
      </w:r>
      <w:r>
        <w:rPr>
          <w:rFonts w:hint="eastAsia" w:ascii="宋体" w:hAnsi="宋体" w:eastAsia="宋体" w:cs="宋体"/>
          <w:color w:val="auto"/>
          <w:sz w:val="24"/>
          <w:szCs w:val="24"/>
          <w:highlight w:val="none"/>
        </w:rPr>
        <w:t xml:space="preserve">确保所有设备100%无故障，保证汛期的正常排水。具体设备的维保方案如下：</w:t>
      </w:r>
      <w:r>
        <w:rPr>
          <w:rFonts w:hint="eastAsia" w:ascii="宋体" w:hAnsi="宋体" w:eastAsia="宋体" w:cs="宋体"/>
          <w:color w:val="auto"/>
          <w:sz w:val="24"/>
          <w:szCs w:val="24"/>
          <w:highlight w:val="none"/>
        </w:rPr>
      </w:r>
      <w:r>
        <w:rPr>
          <w:color w:val="auto"/>
        </w:rPr>
      </w:r>
    </w:p>
    <w:p>
      <w:pPr>
        <w:pStyle w:val="899"/>
        <w:ind w:firstLine="472"/>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（一）泵站基本信息：</w:t>
      </w:r>
      <w:r>
        <w:rPr>
          <w:rFonts w:hint="eastAsia" w:ascii="宋体" w:hAnsi="宋体" w:eastAsia="宋体" w:cs="宋体"/>
          <w:b/>
          <w:bCs/>
          <w:color w:val="auto"/>
          <w:sz w:val="24"/>
          <w:szCs w:val="24"/>
          <w:highlight w:val="none"/>
          <w:lang w:eastAsia="zh-CN"/>
        </w:rPr>
      </w:r>
      <w:r>
        <w:rPr>
          <w:color w:val="auto"/>
        </w:rPr>
      </w:r>
    </w:p>
    <w:p>
      <w:pPr>
        <w:pStyle w:val="908"/>
        <w:ind w:left="0"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1、滨河路泵站：</w:t>
      </w:r>
      <w:r>
        <w:rPr>
          <w:rFonts w:hint="eastAsia" w:ascii="宋体" w:hAnsi="宋体" w:eastAsia="宋体" w:cs="宋体"/>
          <w:b/>
          <w:bCs/>
          <w:color w:val="auto"/>
          <w:sz w:val="24"/>
          <w:szCs w:val="24"/>
          <w:highlight w:val="none"/>
          <w:lang w:val="en-US" w:eastAsia="zh-CN"/>
        </w:rPr>
      </w:r>
      <w:r>
        <w:rPr>
          <w:color w:val="auto"/>
        </w:rPr>
      </w:r>
    </w:p>
    <w:p>
      <w:pPr>
        <w:pStyle w:val="908"/>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位于东山街道龙西社区滨河路，内有4台套900ZQB—220南深牌水泵及相关附属设施，功率880KW，合计11个流量。</w:t>
      </w:r>
      <w:r>
        <w:rPr>
          <w:rFonts w:hint="eastAsia" w:ascii="宋体" w:hAnsi="宋体" w:eastAsia="宋体" w:cs="宋体"/>
          <w:color w:val="auto"/>
          <w:sz w:val="24"/>
          <w:szCs w:val="24"/>
          <w:highlight w:val="none"/>
          <w:lang w:val="en-US" w:eastAsia="zh-CN" w:bidi="ar-SA"/>
        </w:rPr>
      </w:r>
      <w:r>
        <w:rPr>
          <w:color w:val="auto"/>
        </w:rPr>
      </w:r>
    </w:p>
    <w:p>
      <w:pPr>
        <w:pStyle w:val="899"/>
        <w:numPr>
          <w:ilvl w:val="0"/>
          <w:numId w:val="0"/>
        </w:numPr>
        <w:ind w:left="0" w:firstLine="482"/>
        <w:jc w:val="left"/>
        <w:keepLines w:val="0"/>
        <w:keepNext w:val="0"/>
        <w:pageBreakBefore w:val="0"/>
        <w:spacing w:line="240" w:lineRule="auto"/>
        <w:widowControl w:val="off"/>
        <w:tabs>
          <w:tab w:val="left" w:pos="8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2、大马涵泵站：</w:t>
      </w:r>
      <w:r>
        <w:rPr>
          <w:rFonts w:hint="eastAsia" w:ascii="宋体" w:hAnsi="宋体" w:eastAsia="宋体" w:cs="宋体"/>
          <w:b/>
          <w:bCs/>
          <w:color w:val="auto"/>
          <w:sz w:val="24"/>
          <w:szCs w:val="24"/>
          <w:highlight w:val="none"/>
          <w:lang w:val="en-US" w:eastAsia="zh-CN"/>
        </w:rPr>
      </w:r>
      <w:r>
        <w:rPr>
          <w:color w:val="auto"/>
        </w:rPr>
      </w:r>
    </w:p>
    <w:p>
      <w:pPr>
        <w:pStyle w:val="908"/>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位于东山街道邵圣社区明月港湾与秦淮河之间，内有5台套型号为900ZQB—220凯旋牌水泵</w:t>
      </w:r>
      <w:r>
        <w:rPr>
          <w:rFonts w:hint="eastAsia" w:ascii="宋体" w:hAnsi="宋体" w:eastAsia="宋体" w:cs="宋体"/>
          <w:color w:val="auto"/>
          <w:sz w:val="24"/>
          <w:szCs w:val="24"/>
          <w:highlight w:val="none"/>
          <w:lang w:eastAsia="zh-CN"/>
        </w:rPr>
        <w:t xml:space="preserve">及相关附属设施，</w:t>
      </w:r>
      <w:r>
        <w:rPr>
          <w:rFonts w:hint="eastAsia" w:ascii="宋体" w:hAnsi="宋体" w:eastAsia="宋体" w:cs="宋体"/>
          <w:color w:val="auto"/>
          <w:sz w:val="24"/>
          <w:szCs w:val="24"/>
          <w:highlight w:val="none"/>
          <w:lang w:val="en-US" w:eastAsia="zh-CN" w:bidi="ar-SA"/>
        </w:rPr>
        <w:t xml:space="preserve">功率1100KW，合计10个流量。</w:t>
      </w:r>
      <w:r>
        <w:rPr>
          <w:rFonts w:hint="eastAsia" w:ascii="宋体" w:hAnsi="宋体" w:eastAsia="宋体" w:cs="宋体"/>
          <w:color w:val="auto"/>
          <w:sz w:val="24"/>
          <w:szCs w:val="24"/>
          <w:highlight w:val="none"/>
          <w:lang w:val="en-US" w:eastAsia="zh-CN" w:bidi="ar-SA"/>
        </w:rPr>
      </w:r>
      <w:r>
        <w:rPr>
          <w:color w:val="auto"/>
        </w:rPr>
      </w:r>
    </w:p>
    <w:p>
      <w:pPr>
        <w:pStyle w:val="899"/>
        <w:numPr>
          <w:ilvl w:val="0"/>
          <w:numId w:val="0"/>
        </w:numPr>
        <w:ind w:left="0" w:firstLine="482"/>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3、双麒泵站：</w:t>
      </w:r>
      <w:r>
        <w:rPr>
          <w:rFonts w:hint="eastAsia" w:ascii="宋体" w:hAnsi="宋体" w:eastAsia="宋体" w:cs="宋体"/>
          <w:b/>
          <w:bCs/>
          <w:color w:val="auto"/>
          <w:sz w:val="24"/>
          <w:szCs w:val="24"/>
          <w:highlight w:val="none"/>
          <w:lang w:val="en-US" w:eastAsia="zh-CN"/>
        </w:rPr>
      </w:r>
      <w:r>
        <w:rPr>
          <w:color w:val="auto"/>
        </w:rPr>
      </w:r>
    </w:p>
    <w:p>
      <w:pPr>
        <w:pStyle w:val="908"/>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位于中前社区上坊门大桥旁，内有3台套型号为700ZQB--132亚太牌水泵</w:t>
      </w:r>
      <w:r>
        <w:rPr>
          <w:rFonts w:hint="eastAsia" w:ascii="宋体" w:hAnsi="宋体" w:eastAsia="宋体" w:cs="宋体"/>
          <w:color w:val="auto"/>
          <w:sz w:val="24"/>
          <w:szCs w:val="24"/>
          <w:highlight w:val="none"/>
          <w:lang w:eastAsia="zh-CN"/>
        </w:rPr>
        <w:t xml:space="preserve">及相关附属设施，</w:t>
      </w:r>
      <w:r>
        <w:rPr>
          <w:rFonts w:hint="eastAsia" w:ascii="宋体" w:hAnsi="宋体" w:eastAsia="宋体" w:cs="宋体"/>
          <w:color w:val="auto"/>
          <w:sz w:val="24"/>
          <w:szCs w:val="24"/>
          <w:highlight w:val="none"/>
          <w:lang w:val="en-US" w:eastAsia="zh-CN" w:bidi="ar-SA"/>
        </w:rPr>
        <w:t xml:space="preserve">功率396KW，合计4个流量。</w:t>
      </w:r>
      <w:r>
        <w:rPr>
          <w:rFonts w:hint="eastAsia" w:ascii="宋体" w:hAnsi="宋体" w:eastAsia="宋体" w:cs="宋体"/>
          <w:color w:val="auto"/>
          <w:sz w:val="24"/>
          <w:szCs w:val="24"/>
          <w:highlight w:val="none"/>
          <w:lang w:val="en-US" w:eastAsia="zh-CN" w:bidi="ar-SA"/>
        </w:rPr>
      </w:r>
      <w:r>
        <w:rPr>
          <w:color w:val="auto"/>
        </w:rPr>
      </w:r>
    </w:p>
    <w:p>
      <w:pPr>
        <w:pStyle w:val="899"/>
        <w:numPr>
          <w:ilvl w:val="0"/>
          <w:numId w:val="0"/>
        </w:num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4、北涵泵站：</w:t>
      </w:r>
      <w:r>
        <w:rPr>
          <w:rFonts w:hint="eastAsia" w:ascii="宋体" w:hAnsi="宋体" w:eastAsia="宋体" w:cs="宋体"/>
          <w:b/>
          <w:bCs/>
          <w:color w:val="auto"/>
          <w:sz w:val="24"/>
          <w:szCs w:val="24"/>
          <w:highlight w:val="none"/>
          <w:lang w:val="en-US" w:eastAsia="zh-CN"/>
        </w:rPr>
      </w:r>
      <w:r>
        <w:rPr>
          <w:color w:val="auto"/>
        </w:rPr>
      </w:r>
    </w:p>
    <w:p>
      <w:pPr>
        <w:pStyle w:val="908"/>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位于高桥社区运粮河旁，内有5台套型号为900QZ100--160亚太牌水泵</w:t>
      </w:r>
      <w:r>
        <w:rPr>
          <w:rFonts w:hint="eastAsia" w:ascii="宋体" w:hAnsi="宋体" w:eastAsia="宋体" w:cs="宋体"/>
          <w:color w:val="auto"/>
          <w:sz w:val="24"/>
          <w:szCs w:val="24"/>
          <w:highlight w:val="none"/>
          <w:lang w:eastAsia="zh-CN"/>
        </w:rPr>
        <w:t xml:space="preserve">及相关附属设施，</w:t>
      </w:r>
      <w:r>
        <w:rPr>
          <w:rFonts w:hint="eastAsia" w:ascii="宋体" w:hAnsi="宋体" w:eastAsia="宋体" w:cs="宋体"/>
          <w:color w:val="auto"/>
          <w:sz w:val="24"/>
          <w:szCs w:val="24"/>
          <w:highlight w:val="none"/>
          <w:lang w:val="en-US" w:eastAsia="zh-CN" w:bidi="ar-SA"/>
        </w:rPr>
        <w:t xml:space="preserve">功率800KW，合计12个流量。</w:t>
      </w:r>
      <w:r>
        <w:rPr>
          <w:rFonts w:hint="eastAsia" w:ascii="宋体" w:hAnsi="宋体" w:eastAsia="宋体" w:cs="宋体"/>
          <w:color w:val="auto"/>
          <w:sz w:val="24"/>
          <w:szCs w:val="24"/>
          <w:highlight w:val="none"/>
          <w:lang w:val="en-US" w:eastAsia="zh-CN" w:bidi="ar-SA"/>
        </w:rPr>
      </w:r>
      <w:r>
        <w:rPr>
          <w:color w:val="auto"/>
        </w:rPr>
      </w:r>
    </w:p>
    <w:p>
      <w:pPr>
        <w:pStyle w:val="899"/>
        <w:numPr>
          <w:ilvl w:val="0"/>
          <w:numId w:val="0"/>
        </w:num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5、下坝河泵站：</w:t>
      </w:r>
      <w:r>
        <w:rPr>
          <w:rFonts w:hint="eastAsia" w:ascii="宋体" w:hAnsi="宋体" w:eastAsia="宋体" w:cs="宋体"/>
          <w:b/>
          <w:bCs/>
          <w:color w:val="auto"/>
          <w:sz w:val="24"/>
          <w:szCs w:val="24"/>
          <w:highlight w:val="none"/>
          <w:lang w:val="en-US" w:eastAsia="zh-CN"/>
        </w:rPr>
      </w:r>
      <w:r>
        <w:rPr>
          <w:color w:val="auto"/>
        </w:rPr>
      </w:r>
    </w:p>
    <w:p>
      <w:pPr>
        <w:pStyle w:val="908"/>
        <w:ind w:left="0"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位于龙西社区红光河旁，内有2台套型号为600QZ--100--75亚太牌水泵</w:t>
      </w:r>
      <w:r>
        <w:rPr>
          <w:rFonts w:hint="eastAsia" w:ascii="宋体" w:hAnsi="宋体" w:eastAsia="宋体" w:cs="宋体"/>
          <w:color w:val="auto"/>
          <w:sz w:val="24"/>
          <w:szCs w:val="24"/>
          <w:highlight w:val="none"/>
          <w:lang w:eastAsia="zh-CN"/>
        </w:rPr>
        <w:t xml:space="preserve">及相关附属设施</w:t>
      </w:r>
      <w:r>
        <w:rPr>
          <w:rFonts w:hint="eastAsia" w:ascii="宋体" w:hAnsi="宋体" w:eastAsia="宋体" w:cs="宋体"/>
          <w:color w:val="auto"/>
          <w:sz w:val="24"/>
          <w:szCs w:val="24"/>
          <w:highlight w:val="none"/>
          <w:lang w:val="en-US" w:eastAsia="zh-CN"/>
        </w:rPr>
        <w:t xml:space="preserve">、3台套800QZ--100--132亚太牌水泵</w:t>
      </w:r>
      <w:r>
        <w:rPr>
          <w:rFonts w:hint="eastAsia" w:ascii="宋体" w:hAnsi="宋体" w:eastAsia="宋体" w:cs="宋体"/>
          <w:color w:val="auto"/>
          <w:sz w:val="24"/>
          <w:szCs w:val="24"/>
          <w:highlight w:val="none"/>
          <w:lang w:eastAsia="zh-CN"/>
        </w:rPr>
        <w:t xml:space="preserve">及相关附属设施，</w:t>
      </w:r>
      <w:r>
        <w:rPr>
          <w:rFonts w:hint="eastAsia" w:ascii="宋体" w:hAnsi="宋体" w:eastAsia="宋体" w:cs="宋体"/>
          <w:color w:val="auto"/>
          <w:sz w:val="24"/>
          <w:szCs w:val="24"/>
          <w:highlight w:val="none"/>
          <w:lang w:val="en-US" w:eastAsia="zh-CN" w:bidi="ar-SA"/>
        </w:rPr>
        <w:t xml:space="preserve">功率546KW，合计8个流量。</w:t>
      </w:r>
      <w:r>
        <w:rPr>
          <w:rFonts w:hint="eastAsia" w:ascii="宋体" w:hAnsi="宋体" w:eastAsia="宋体" w:cs="宋体"/>
          <w:b/>
          <w:bCs/>
          <w:color w:val="auto"/>
          <w:sz w:val="24"/>
          <w:szCs w:val="24"/>
          <w:highlight w:val="none"/>
          <w:lang w:val="en-US" w:eastAsia="zh-CN"/>
        </w:rPr>
        <w:t xml:space="preserve">（该泵站计划将于2023年8月份左右拆迁，维保费用投标单位综合考虑自行报价。）</w:t>
      </w:r>
      <w:r>
        <w:rPr>
          <w:rFonts w:hint="eastAsia" w:ascii="宋体" w:hAnsi="宋体" w:eastAsia="宋体" w:cs="宋体"/>
          <w:color w:val="auto"/>
          <w:sz w:val="24"/>
          <w:szCs w:val="24"/>
          <w:highlight w:val="none"/>
          <w:lang w:val="en-US" w:eastAsia="zh-CN"/>
        </w:rPr>
      </w:r>
      <w:r>
        <w:rPr>
          <w:color w:val="auto"/>
        </w:rPr>
      </w:r>
    </w:p>
    <w:p>
      <w:pPr>
        <w:pStyle w:val="899"/>
        <w:numPr>
          <w:ilvl w:val="0"/>
          <w:numId w:val="0"/>
        </w:numPr>
        <w:ind w:left="0" w:firstLine="482"/>
        <w:jc w:val="both"/>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6、新桥泵站：</w:t>
      </w:r>
      <w:r>
        <w:rPr>
          <w:rFonts w:hint="eastAsia" w:ascii="宋体" w:hAnsi="宋体" w:eastAsia="宋体" w:cs="宋体"/>
          <w:b/>
          <w:bCs/>
          <w:color w:val="auto"/>
          <w:sz w:val="24"/>
          <w:szCs w:val="24"/>
          <w:highlight w:val="none"/>
          <w:lang w:val="en-US" w:eastAsia="zh-CN"/>
        </w:rPr>
      </w:r>
      <w:r>
        <w:rPr>
          <w:color w:val="auto"/>
        </w:rPr>
      </w:r>
    </w:p>
    <w:p>
      <w:pPr>
        <w:pStyle w:val="899"/>
        <w:ind w:left="0" w:firstLine="480"/>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位于高桥社区运粮河旁，内6台套型号为20HB--90水泵、3台套16HB--30水泵，功率630KW，合计8个流量。</w:t>
      </w:r>
      <w:r>
        <w:rPr>
          <w:rFonts w:hint="eastAsia" w:ascii="宋体" w:hAnsi="宋体" w:eastAsia="宋体" w:cs="宋体"/>
          <w:b/>
          <w:bCs/>
          <w:color w:val="auto"/>
          <w:sz w:val="24"/>
          <w:szCs w:val="24"/>
          <w:highlight w:val="none"/>
          <w:lang w:val="en-US" w:eastAsia="zh-CN"/>
        </w:rPr>
      </w:r>
      <w:r>
        <w:rPr>
          <w:color w:val="auto"/>
        </w:rPr>
      </w:r>
    </w:p>
    <w:p>
      <w:pPr>
        <w:pStyle w:val="899"/>
        <w:numPr>
          <w:ilvl w:val="0"/>
          <w:numId w:val="0"/>
        </w:numPr>
        <w:ind w:left="0" w:firstLine="482"/>
        <w:jc w:val="both"/>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7、上坊门泵站：</w:t>
      </w:r>
      <w:r>
        <w:rPr>
          <w:rFonts w:hint="eastAsia" w:ascii="宋体" w:hAnsi="宋体" w:eastAsia="宋体" w:cs="宋体"/>
          <w:b/>
          <w:bCs/>
          <w:color w:val="auto"/>
          <w:sz w:val="24"/>
          <w:szCs w:val="24"/>
          <w:highlight w:val="none"/>
          <w:lang w:val="en-US" w:eastAsia="zh-CN"/>
        </w:rPr>
      </w:r>
      <w:r>
        <w:rPr>
          <w:color w:val="auto"/>
        </w:rPr>
      </w:r>
    </w:p>
    <w:p>
      <w:pPr>
        <w:pStyle w:val="899"/>
        <w:ind w:left="0" w:firstLine="480"/>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位于中前社区上坊门大桥旁，内有4台套型号为500HB--45水泵，功率180KW，合计2个流量。</w:t>
      </w:r>
      <w:r>
        <w:rPr>
          <w:rFonts w:hint="eastAsia" w:ascii="宋体" w:hAnsi="宋体" w:eastAsia="宋体" w:cs="宋体"/>
          <w:color w:val="auto"/>
          <w:highlight w:val="none"/>
          <w:lang w:val="en-US" w:eastAsia="zh-CN"/>
        </w:rPr>
      </w:r>
      <w:r>
        <w:rPr>
          <w:color w:val="auto"/>
        </w:rPr>
      </w:r>
    </w:p>
    <w:p>
      <w:pPr>
        <w:pStyle w:val="899"/>
        <w:ind w:firstLine="482"/>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（二）具体服务要求：2小时服务响应。</w:t>
      </w:r>
      <w:r>
        <w:rPr>
          <w:rFonts w:hint="eastAsia" w:ascii="宋体" w:hAnsi="宋体" w:eastAsia="宋体" w:cs="宋体"/>
          <w:color w:val="auto"/>
          <w:sz w:val="24"/>
          <w:szCs w:val="24"/>
          <w:highlight w:val="none"/>
          <w:lang w:val="en-US" w:eastAsia="zh-CN"/>
        </w:rPr>
      </w:r>
      <w:r>
        <w:rPr>
          <w:color w:val="auto"/>
        </w:rPr>
      </w:r>
    </w:p>
    <w:p>
      <w:pPr>
        <w:pStyle w:val="899"/>
        <w:ind w:firstLine="482"/>
        <w:jc w:val="left"/>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（三）维保内容要求：  </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在每年汛期来之前对所有泵站的设备进行检修，确保所有设备100%无故障，保证汛期的正常排水。具体设备的维保方案如下：</w:t>
      </w:r>
      <w:r>
        <w:rPr>
          <w:rFonts w:hint="eastAsia" w:ascii="宋体" w:hAnsi="宋体" w:eastAsia="宋体" w:cs="宋体"/>
          <w:color w:val="auto"/>
          <w:sz w:val="24"/>
          <w:szCs w:val="24"/>
          <w:highlight w:val="none"/>
        </w:rPr>
      </w:r>
      <w:r>
        <w:rPr>
          <w:color w:val="auto"/>
        </w:rPr>
      </w:r>
    </w:p>
    <w:p>
      <w:pPr>
        <w:pStyle w:val="899"/>
        <w:ind w:firstLine="354"/>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1、滨河路泵站：</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（1）4台套9</w:t>
      </w:r>
      <w:r>
        <w:rPr>
          <w:rFonts w:hint="eastAsia" w:ascii="宋体" w:hAnsi="宋体" w:eastAsia="宋体" w:cs="宋体"/>
          <w:color w:val="auto"/>
          <w:sz w:val="24"/>
          <w:szCs w:val="24"/>
          <w:highlight w:val="none"/>
          <w:lang w:eastAsia="zh-CN"/>
        </w:rPr>
        <w:t xml:space="preserve">00ZQB—</w:t>
      </w:r>
      <w:r>
        <w:rPr>
          <w:rFonts w:hint="eastAsia" w:ascii="宋体" w:hAnsi="宋体" w:eastAsia="宋体" w:cs="宋体"/>
          <w:color w:val="auto"/>
          <w:sz w:val="24"/>
          <w:szCs w:val="24"/>
          <w:highlight w:val="none"/>
          <w:lang w:val="en-US" w:eastAsia="zh-CN"/>
        </w:rPr>
        <w:t xml:space="preserve">220</w:t>
      </w:r>
      <w:r>
        <w:rPr>
          <w:rFonts w:hint="eastAsia" w:ascii="宋体" w:hAnsi="宋体" w:eastAsia="宋体" w:cs="宋体"/>
          <w:color w:val="auto"/>
          <w:sz w:val="24"/>
          <w:szCs w:val="24"/>
          <w:highlight w:val="none"/>
          <w:lang w:eastAsia="zh-CN"/>
        </w:rPr>
        <w:t xml:space="preserve">南深牌</w:t>
      </w:r>
      <w:r>
        <w:rPr>
          <w:rFonts w:hint="eastAsia" w:ascii="宋体" w:hAnsi="宋体" w:eastAsia="宋体" w:cs="宋体"/>
          <w:color w:val="auto"/>
          <w:sz w:val="24"/>
          <w:szCs w:val="24"/>
          <w:highlight w:val="none"/>
          <w:lang w:val="en-US" w:eastAsia="zh-CN"/>
        </w:rPr>
        <w:t xml:space="preserve">水泵检查清扫、检测、保养、清理水泵底部杂物；</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（2）附属设施保养（含蝶阀、止回阀、输送带、捞脏机、拦污阀、格栅、行车等，在使用过程中出现故障及时修复）；</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（3）出水管道内部除锈刷漆。</w:t>
      </w:r>
      <w:r>
        <w:rPr>
          <w:rFonts w:hint="eastAsia" w:ascii="宋体" w:hAnsi="宋体" w:eastAsia="宋体" w:cs="宋体"/>
          <w:color w:val="auto"/>
          <w:sz w:val="24"/>
          <w:szCs w:val="24"/>
          <w:highlight w:val="none"/>
          <w:lang w:val="en-US" w:eastAsia="zh-CN"/>
        </w:rPr>
      </w:r>
      <w:r>
        <w:rPr>
          <w:color w:val="auto"/>
        </w:rPr>
      </w:r>
    </w:p>
    <w:p>
      <w:pPr>
        <w:pStyle w:val="899"/>
        <w:ind w:firstLine="354"/>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2、大马涵泵站：</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（1）5台套型号为900ZQB—220凯旋牌水泵检查清扫、检测、保养、清理水泵底部杂物；</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（2）附属设施保养（含蝶阀、止回阀、输送带、捞脏机、拦污阀、格栅、行车等，在使用过程中出现故障及时修复）；</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（3）出水管道内部除锈刷漆。</w:t>
      </w:r>
      <w:r>
        <w:rPr>
          <w:rFonts w:hint="eastAsia" w:ascii="宋体" w:hAnsi="宋体" w:eastAsia="宋体" w:cs="宋体"/>
          <w:color w:val="auto"/>
          <w:sz w:val="24"/>
          <w:szCs w:val="24"/>
          <w:highlight w:val="none"/>
          <w:lang w:val="en-US" w:eastAsia="zh-CN"/>
        </w:rPr>
      </w:r>
      <w:r>
        <w:rPr>
          <w:color w:val="auto"/>
        </w:rPr>
      </w:r>
    </w:p>
    <w:p>
      <w:pPr>
        <w:pStyle w:val="899"/>
        <w:ind w:firstLine="241"/>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3、双麒泵站：</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（1）3台套型号为700ZQB--132亚太牌水泵检查清扫、检测、保养、清理水泵底部杂物；</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（2）附属设施保养（含蝶阀、止回阀、输送带、捞脏机、拦污阀、格栅、行车等，在使用过程中出现故障及时修复）；</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（3）出水管道内部除锈刷漆。</w:t>
      </w:r>
      <w:r>
        <w:rPr>
          <w:rFonts w:hint="eastAsia" w:ascii="宋体" w:hAnsi="宋体" w:eastAsia="宋体" w:cs="宋体"/>
          <w:color w:val="auto"/>
          <w:sz w:val="24"/>
          <w:szCs w:val="24"/>
          <w:highlight w:val="none"/>
          <w:lang w:val="en-US" w:eastAsia="zh-CN"/>
        </w:rPr>
      </w:r>
      <w:r>
        <w:rPr>
          <w:color w:val="auto"/>
        </w:rPr>
      </w:r>
    </w:p>
    <w:p>
      <w:pPr>
        <w:pStyle w:val="899"/>
        <w:ind w:firstLine="354"/>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4、北涵泵站：</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（1）5台套型号为900QZ100--160亚太牌水泵检查清扫、检测、保养、清理水泵底部杂物；</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（2）附属设施保养（含蝶阀、止回阀、输送带、捞脏机、拦污阀、格栅、行车等，在使用过程中出现故障及时修复）；</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（3）出水管道内部除锈刷漆。</w:t>
      </w:r>
      <w:r>
        <w:rPr>
          <w:rFonts w:hint="eastAsia" w:ascii="宋体" w:hAnsi="宋体" w:eastAsia="宋体" w:cs="宋体"/>
          <w:color w:val="auto"/>
          <w:sz w:val="24"/>
          <w:szCs w:val="24"/>
          <w:highlight w:val="none"/>
          <w:lang w:val="en-US" w:eastAsia="zh-CN"/>
        </w:rPr>
      </w:r>
      <w:r>
        <w:rPr>
          <w:color w:val="auto"/>
        </w:rPr>
      </w:r>
    </w:p>
    <w:p>
      <w:pPr>
        <w:pStyle w:val="899"/>
        <w:ind w:firstLine="354"/>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5、下坝河泵站：</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（1）2台套型号为600QZ--100--75亚太牌、3台套800QZ--100--132亚太牌水泵检查清扫、检测、保养、清理水泵底部杂物；</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（2）附属设施保养（含蝶阀、止回阀、输送带、捞脏机、拦污阀、格栅、行车等，在使用过程中出现故障及时修复）；</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（3）出水管道内部除锈刷漆。</w:t>
      </w:r>
      <w:r>
        <w:rPr>
          <w:rFonts w:hint="eastAsia" w:ascii="宋体" w:hAnsi="宋体" w:eastAsia="宋体" w:cs="宋体"/>
          <w:color w:val="auto"/>
          <w:sz w:val="24"/>
          <w:szCs w:val="24"/>
          <w:highlight w:val="none"/>
          <w:lang w:val="en-US" w:eastAsia="zh-CN"/>
        </w:rPr>
      </w:r>
      <w:r>
        <w:rPr>
          <w:color w:val="auto"/>
        </w:rPr>
      </w:r>
    </w:p>
    <w:p>
      <w:pPr>
        <w:pStyle w:val="899"/>
        <w:ind w:firstLine="241"/>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6、新桥泵站：</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（1）6台套型号为20HB--90水泵、3台套16HB--30水泵检查清扫、检测、保养；</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（2）附属设施保养（含蝶阀、止回阀、启动柜在使用过程中出现故障及时修复）；</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（3）出水管道内部除锈刷漆。</w:t>
      </w:r>
      <w:r>
        <w:rPr>
          <w:rFonts w:hint="eastAsia" w:ascii="宋体" w:hAnsi="宋体" w:eastAsia="宋体" w:cs="宋体"/>
          <w:color w:val="auto"/>
          <w:sz w:val="24"/>
          <w:szCs w:val="24"/>
          <w:highlight w:val="none"/>
          <w:lang w:val="en-US" w:eastAsia="zh-CN"/>
        </w:rPr>
      </w:r>
      <w:r>
        <w:rPr>
          <w:color w:val="auto"/>
        </w:rPr>
      </w:r>
    </w:p>
    <w:p>
      <w:pPr>
        <w:pStyle w:val="899"/>
        <w:ind w:firstLine="241"/>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7、上坊门泵站：</w:t>
      </w:r>
      <w:r>
        <w:rPr>
          <w:rFonts w:hint="eastAsia" w:ascii="宋体" w:hAnsi="宋体" w:eastAsia="宋体" w:cs="宋体"/>
          <w:b/>
          <w:bCs/>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（1）4台套型号为500HB--45水泵检查清扫、检测、保养；</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（2）附属设施保养（含蝶阀、止回阀、启动柜在使用过程中出现故障及时修复）；</w:t>
      </w:r>
      <w:r>
        <w:rPr>
          <w:rFonts w:hint="eastAsia" w:ascii="宋体" w:hAnsi="宋体" w:eastAsia="宋体" w:cs="宋体"/>
          <w:color w:val="auto"/>
          <w:sz w:val="24"/>
          <w:szCs w:val="24"/>
          <w:highlight w:val="none"/>
          <w:lang w:val="en-US" w:eastAsia="zh-CN"/>
        </w:rPr>
      </w:r>
      <w:r>
        <w:rPr>
          <w:color w:val="auto"/>
        </w:rPr>
      </w:r>
    </w:p>
    <w:p>
      <w:pPr>
        <w:pStyle w:val="899"/>
        <w:ind w:firstLine="35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（3）出水管道内部除锈刷漆。</w:t>
      </w:r>
      <w:r>
        <w:rPr>
          <w:rFonts w:hint="eastAsia" w:ascii="宋体" w:hAnsi="宋体" w:eastAsia="宋体" w:cs="宋体"/>
          <w:color w:val="auto"/>
          <w:sz w:val="24"/>
          <w:szCs w:val="24"/>
          <w:highlight w:val="none"/>
          <w:lang w:val="en-US" w:eastAsia="zh-CN"/>
        </w:rPr>
      </w:r>
      <w:r>
        <w:rPr>
          <w:color w:val="auto"/>
        </w:rPr>
      </w:r>
    </w:p>
    <w:p>
      <w:pPr>
        <w:pStyle w:val="899"/>
        <w:ind w:firstLine="354"/>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8、其他维保内容</w:t>
      </w:r>
      <w:r>
        <w:rPr>
          <w:rFonts w:hint="eastAsia" w:ascii="宋体" w:hAnsi="宋体" w:eastAsia="宋体" w:cs="宋体"/>
          <w:b/>
          <w:bCs/>
          <w:color w:val="auto"/>
          <w:sz w:val="24"/>
          <w:szCs w:val="24"/>
          <w:highlight w:val="none"/>
          <w:lang w:val="en-US" w:eastAsia="zh-CN"/>
        </w:rPr>
      </w:r>
      <w:r>
        <w:rPr>
          <w:color w:val="auto"/>
        </w:rPr>
      </w:r>
    </w:p>
    <w:p>
      <w:pPr>
        <w:pStyle w:val="899"/>
        <w:ind w:firstLine="35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水泵设备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包括水泵</w:t>
      </w:r>
      <w:r>
        <w:rPr>
          <w:rFonts w:hint="eastAsia" w:ascii="宋体" w:hAnsi="宋体" w:eastAsia="宋体" w:cs="宋体"/>
          <w:color w:val="auto"/>
          <w:sz w:val="24"/>
          <w:szCs w:val="24"/>
          <w:highlight w:val="none"/>
          <w:lang w:eastAsia="zh-CN"/>
        </w:rPr>
        <w:t xml:space="preserve">（包括电机烘干、轴承保养、机械密封保养、更换电缆线组件、转子轴校正、叶轮动平衡、更换密封圈等）</w:t>
      </w:r>
      <w:r>
        <w:rPr>
          <w:rFonts w:hint="eastAsia" w:ascii="宋体" w:hAnsi="宋体" w:eastAsia="宋体" w:cs="宋体"/>
          <w:color w:val="auto"/>
          <w:sz w:val="24"/>
          <w:szCs w:val="24"/>
          <w:highlight w:val="none"/>
        </w:rPr>
        <w:t xml:space="preserve">、控制柜内各种设备、线缆1年2次（汛前、汛后）常规性的定期检测、检查、保养工作</w:t>
      </w:r>
      <w:r>
        <w:rPr>
          <w:rFonts w:hint="eastAsia" w:ascii="宋体" w:hAnsi="宋体" w:eastAsia="宋体" w:cs="宋体"/>
          <w:color w:val="auto"/>
          <w:sz w:val="24"/>
          <w:szCs w:val="24"/>
          <w:highlight w:val="none"/>
          <w:lang w:eastAsia="zh-CN"/>
        </w:rPr>
        <w:t xml:space="preserve">，每年返厂保养</w:t>
      </w:r>
      <w:r>
        <w:rPr>
          <w:rFonts w:hint="eastAsia" w:ascii="宋体" w:hAnsi="宋体" w:eastAsia="宋体" w:cs="宋体"/>
          <w:color w:val="auto"/>
          <w:sz w:val="24"/>
          <w:szCs w:val="24"/>
          <w:highlight w:val="none"/>
          <w:lang w:val="en-US" w:eastAsia="zh-CN"/>
        </w:rPr>
        <w:t xml:space="preserve">1次，每次返厂保养不得超过15天。清理水泵底部杂物</w:t>
      </w:r>
      <w:r>
        <w:rPr>
          <w:rFonts w:hint="eastAsia" w:ascii="宋体" w:hAnsi="宋体" w:eastAsia="宋体" w:cs="宋体"/>
          <w:color w:val="auto"/>
          <w:sz w:val="24"/>
          <w:szCs w:val="24"/>
          <w:highlight w:val="none"/>
        </w:rPr>
        <w:t xml:space="preserve">1年2次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确保设备100%完</w:t>
      </w:r>
      <w:r>
        <w:rPr>
          <w:rFonts w:hint="eastAsia" w:ascii="宋体" w:hAnsi="宋体" w:eastAsia="宋体" w:cs="宋体"/>
          <w:color w:val="auto"/>
          <w:sz w:val="24"/>
          <w:szCs w:val="24"/>
          <w:highlight w:val="none"/>
          <w:lang w:val="en-US" w:eastAsia="zh-CN"/>
        </w:rPr>
        <w:t xml:space="preserve">好。</w:t>
      </w:r>
      <w:r>
        <w:rPr>
          <w:rFonts w:hint="eastAsia" w:ascii="宋体" w:hAnsi="宋体" w:eastAsia="宋体" w:cs="宋体"/>
          <w:color w:val="auto"/>
          <w:sz w:val="24"/>
          <w:szCs w:val="24"/>
          <w:highlight w:val="none"/>
        </w:rPr>
        <w:t xml:space="preserve">对设备在运行过程中出现的故障应判断准确、排除及时、处理不留后患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rPr>
          <w:color w:val="auto"/>
        </w:rPr>
      </w:r>
    </w:p>
    <w:p>
      <w:pPr>
        <w:pStyle w:val="899"/>
        <w:numPr>
          <w:ilvl w:val="0"/>
          <w:numId w:val="0"/>
        </w:numPr>
        <w:ind w:firstLine="42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（2）附属设施：</w:t>
      </w:r>
      <w:r>
        <w:rPr>
          <w:rFonts w:hint="eastAsia" w:ascii="宋体" w:hAnsi="宋体" w:eastAsia="宋体" w:cs="宋体"/>
          <w:color w:val="auto"/>
          <w:sz w:val="24"/>
          <w:szCs w:val="24"/>
          <w:highlight w:val="none"/>
          <w:lang w:val="en-US" w:eastAsia="zh-CN"/>
        </w:rPr>
        <w:t xml:space="preserve">蝶阀、止回阀、输送带、捞脏机、栏污栅、格栅、行车等，在使用过程中出现故障及时修复，每年不少于1次保养工作。</w:t>
      </w:r>
      <w:r>
        <w:rPr>
          <w:rFonts w:hint="eastAsia" w:ascii="宋体" w:hAnsi="宋体" w:eastAsia="宋体" w:cs="宋体"/>
          <w:b/>
          <w:bCs/>
          <w:color w:val="auto"/>
          <w:sz w:val="24"/>
          <w:szCs w:val="24"/>
          <w:highlight w:val="none"/>
          <w:lang w:val="en-US" w:eastAsia="zh-CN"/>
        </w:rPr>
      </w:r>
      <w:r>
        <w:rPr>
          <w:color w:val="auto"/>
        </w:rPr>
      </w:r>
    </w:p>
    <w:p>
      <w:pPr>
        <w:pStyle w:val="899"/>
        <w:numPr>
          <w:ilvl w:val="0"/>
          <w:numId w:val="0"/>
        </w:numPr>
        <w:ind w:left="66" w:firstLine="354"/>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（四）</w:t>
      </w:r>
      <w:r>
        <w:rPr>
          <w:rFonts w:hint="eastAsia" w:ascii="宋体" w:hAnsi="宋体" w:eastAsia="宋体" w:cs="宋体"/>
          <w:b/>
          <w:bCs/>
          <w:color w:val="auto"/>
          <w:sz w:val="24"/>
          <w:szCs w:val="24"/>
          <w:highlight w:val="none"/>
          <w:lang w:val="en-US" w:eastAsia="zh-CN"/>
        </w:rPr>
        <w:t xml:space="preserve">人员要求：</w:t>
      </w:r>
      <w:r>
        <w:rPr>
          <w:rFonts w:hint="eastAsia" w:ascii="宋体" w:hAnsi="宋体" w:eastAsia="宋体" w:cs="宋体"/>
          <w:b/>
          <w:bCs/>
          <w:color w:val="auto"/>
          <w:sz w:val="24"/>
          <w:szCs w:val="24"/>
          <w:highlight w:val="none"/>
          <w:lang w:val="en-US" w:eastAsia="zh-CN"/>
        </w:rPr>
      </w:r>
      <w:r>
        <w:rPr>
          <w:color w:val="auto"/>
        </w:rP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非汛期时（每年10月1日至下一年4月30日）每天2名工作人员，1名电工，1名机工。（</w:t>
      </w:r>
      <w:r>
        <w:rPr>
          <w:rFonts w:hint="eastAsia" w:ascii="宋体" w:hAnsi="宋体" w:eastAsia="宋体" w:cs="宋体"/>
          <w:b/>
          <w:bCs/>
          <w:color w:val="auto"/>
          <w:sz w:val="24"/>
          <w:szCs w:val="24"/>
          <w:highlight w:val="none"/>
          <w:lang w:val="en-US" w:eastAsia="zh-CN"/>
        </w:rPr>
        <w:t xml:space="preserve">电工须有电工证</w:t>
      </w:r>
      <w:r>
        <w:rPr>
          <w:rFonts w:hint="eastAsia" w:ascii="宋体" w:hAnsi="宋体" w:eastAsia="宋体" w:cs="宋体"/>
          <w:color w:val="auto"/>
          <w:sz w:val="24"/>
          <w:szCs w:val="24"/>
          <w:highlight w:val="none"/>
          <w:lang w:val="en-US" w:eastAsia="zh-CN"/>
        </w:rPr>
        <w:t xml:space="preserve">），如遇故障及时增派人员及时消除故障；</w:t>
      </w:r>
      <w:r>
        <w:rPr>
          <w:rFonts w:hint="eastAsia" w:ascii="宋体" w:hAnsi="宋体" w:eastAsia="宋体" w:cs="宋体"/>
          <w:color w:val="auto"/>
          <w:sz w:val="24"/>
          <w:szCs w:val="24"/>
          <w:highlight w:val="none"/>
          <w:lang w:val="en-US" w:eastAsia="zh-CN"/>
        </w:rPr>
      </w:r>
      <w:r>
        <w:rPr>
          <w:color w:val="auto"/>
        </w:rP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汛期时（每年5月1日至9月30日）每天工作人员数量至少保证4名，2名电工，2名机工。统一驻守指定地点由采购人统一调度。（</w:t>
      </w:r>
      <w:r>
        <w:rPr>
          <w:rFonts w:hint="eastAsia" w:ascii="宋体" w:hAnsi="宋体" w:eastAsia="宋体" w:cs="宋体"/>
          <w:b/>
          <w:bCs/>
          <w:color w:val="auto"/>
          <w:sz w:val="24"/>
          <w:szCs w:val="24"/>
          <w:highlight w:val="none"/>
          <w:lang w:val="en-US" w:eastAsia="zh-CN"/>
        </w:rPr>
        <w:t xml:space="preserve">电工须有电工证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highlight w:val="none"/>
          <w:lang w:val="zh-CN"/>
        </w:rPr>
      </w:r>
      <w:r>
        <w:rPr>
          <w:color w:val="auto"/>
        </w:rPr>
      </w:r>
    </w:p>
    <w:p>
      <w:pPr>
        <w:pStyle w:val="899"/>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zh-CN"/>
        </w:rPr>
        <w:t xml:space="preserve">第六条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权利保证</w:t>
      </w:r>
      <w:r>
        <w:rPr>
          <w:rFonts w:hint="eastAsia" w:ascii="宋体" w:hAnsi="宋体" w:eastAsia="宋体" w:cs="宋体"/>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乙方应保证甲方在使用该服务或其任何一部分时不受第三方提出侵犯其专利权、版权、商标权或其他权利的起诉。一旦出现侵权，乙方应承担全部责任，并赔偿因此给甲方造成的全部损失，本合同中，甲方的损失均指甲方的全部损失，包括但不限于甲方的直接、间接损失，以及因依法维权产生的律师费，保全费，公证费，差旅费等。甲方有权在应付乙方费用中直接扣除前述违约金或赔偿金等。</w:t>
      </w:r>
      <w:r>
        <w:rPr>
          <w:rFonts w:hint="eastAsia" w:ascii="宋体" w:hAnsi="宋体" w:eastAsia="宋体" w:cs="宋体"/>
          <w:color w:val="auto"/>
          <w:sz w:val="24"/>
          <w:highlight w:val="none"/>
          <w:lang w:val="zh-CN"/>
        </w:rPr>
      </w:r>
      <w:r>
        <w:rPr>
          <w:color w:val="auto"/>
        </w:rPr>
      </w:r>
    </w:p>
    <w:p>
      <w:pPr>
        <w:pStyle w:val="899"/>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zh-CN"/>
        </w:rPr>
        <w:t xml:space="preserve">第七条 质量保证</w:t>
      </w:r>
      <w:r>
        <w:rPr>
          <w:rFonts w:hint="eastAsia" w:ascii="宋体" w:hAnsi="宋体" w:eastAsia="宋体" w:cs="宋体"/>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乙方提供的服务必须全部达到采购文件各项要求，国家或行业有规定的，还要符合相应规定。 </w:t>
      </w:r>
      <w:r>
        <w:rPr>
          <w:rFonts w:hint="eastAsia" w:ascii="宋体" w:hAnsi="宋体" w:eastAsia="宋体" w:cs="宋体"/>
          <w:color w:val="auto"/>
          <w:sz w:val="24"/>
          <w:highlight w:val="none"/>
          <w:lang w:val="zh-CN"/>
        </w:rPr>
      </w:r>
      <w:r>
        <w:rPr>
          <w:color w:val="auto"/>
        </w:rPr>
      </w:r>
    </w:p>
    <w:p>
      <w:pPr>
        <w:pStyle w:val="899"/>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zh-CN"/>
        </w:rPr>
        <w:t xml:space="preserve">第八条 交付使用和验收</w:t>
      </w:r>
      <w:r>
        <w:rPr>
          <w:rFonts w:hint="eastAsia" w:ascii="宋体" w:hAnsi="宋体" w:eastAsia="宋体" w:cs="宋体"/>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1、乙方应当在合同签订后天内完成采购文件规定的项目并交付甲方使用。采购文件有约定的，从其约定。 </w:t>
      </w:r>
      <w:r>
        <w:rPr>
          <w:rFonts w:hint="eastAsia" w:ascii="宋体" w:hAnsi="宋体" w:eastAsia="宋体" w:cs="宋体"/>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2、甲方自行组织或视情邀请相关专家或国家认可的质量检测机构参加验收，乙方提供的服务不符合采购文件和合同规定的，甲方有权拒收，并承担验收费用等。</w:t>
      </w:r>
      <w:r>
        <w:rPr>
          <w:rFonts w:hint="eastAsia" w:ascii="宋体" w:hAnsi="宋体" w:eastAsia="宋体" w:cs="宋体"/>
          <w:color w:val="auto"/>
          <w:sz w:val="24"/>
          <w:highlight w:val="none"/>
          <w:lang w:val="zh-CN"/>
        </w:rPr>
      </w:r>
      <w:r>
        <w:rPr>
          <w:color w:val="auto"/>
        </w:rPr>
      </w:r>
    </w:p>
    <w:p>
      <w:pPr>
        <w:pStyle w:val="899"/>
        <w:spacing w:line="360" w:lineRule="auto"/>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lang w:val="zh-CN"/>
        </w:rPr>
        <w:t xml:space="preserve">第九条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合同款支付</w:t>
      </w:r>
      <w:r>
        <w:rPr>
          <w:rFonts w:hint="eastAsia" w:ascii="宋体" w:hAnsi="宋体" w:eastAsia="宋体" w:cs="宋体"/>
          <w:bCs/>
          <w:color w:val="auto"/>
          <w:sz w:val="24"/>
          <w:highlight w:val="none"/>
          <w:lang w:val="zh-CN"/>
        </w:rPr>
      </w:r>
      <w:r>
        <w:rPr>
          <w:color w:val="auto"/>
        </w:rPr>
      </w:r>
    </w:p>
    <w:p>
      <w:pPr>
        <w:pStyle w:val="899"/>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1、本合同项下所有款项均以人民币支付。</w:t>
      </w:r>
      <w:r>
        <w:rPr>
          <w:rFonts w:hint="eastAsia" w:ascii="宋体" w:hAnsi="宋体" w:eastAsia="宋体" w:cs="宋体"/>
          <w:color w:val="auto"/>
          <w:sz w:val="24"/>
          <w:highlight w:val="none"/>
          <w:lang w:val="zh-CN"/>
        </w:rPr>
      </w:r>
      <w:r>
        <w:rPr>
          <w:color w:val="auto"/>
        </w:rPr>
      </w:r>
    </w:p>
    <w:p>
      <w:pPr>
        <w:pStyle w:val="899"/>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2、本合同项下的采购资金由甲方自行支付，乙方向甲方开具发票。</w:t>
      </w:r>
      <w:r>
        <w:rPr>
          <w:rFonts w:hint="eastAsia" w:ascii="宋体" w:hAnsi="宋体" w:eastAsia="宋体" w:cs="宋体"/>
          <w:color w:val="auto"/>
          <w:sz w:val="24"/>
          <w:highlight w:val="none"/>
          <w:lang w:val="en-US" w:eastAsia="zh-CN"/>
        </w:rPr>
        <w:t xml:space="preserve">甲方每次向乙方付款前，乙方应提供合法有效的发票，如乙方未提供或提供的发票不符合甲方要求的，甲方有权不予付款且不视甲方违约，乙方仍应继续履行本合同项下相关义务。</w:t>
      </w:r>
      <w:r>
        <w:rPr>
          <w:rFonts w:hint="eastAsia" w:ascii="宋体" w:hAnsi="宋体" w:eastAsia="宋体" w:cs="宋体"/>
          <w:color w:val="auto"/>
          <w:sz w:val="24"/>
          <w:highlight w:val="none"/>
          <w:lang w:val="zh-CN"/>
        </w:rPr>
      </w:r>
      <w:r>
        <w:rPr>
          <w:color w:val="auto"/>
        </w:rPr>
      </w:r>
    </w:p>
    <w:p>
      <w:pPr>
        <w:pStyle w:val="899"/>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、供应商开户银行信息：</w:t>
      </w:r>
      <w:r>
        <w:rPr>
          <w:rFonts w:hint="eastAsia" w:ascii="宋体" w:hAnsi="宋体" w:eastAsia="宋体" w:cs="宋体"/>
          <w:color w:val="auto"/>
          <w:sz w:val="24"/>
          <w:highlight w:val="none"/>
        </w:rPr>
      </w:r>
      <w:r>
        <w:rPr>
          <w:color w:val="auto"/>
        </w:rPr>
      </w:r>
    </w:p>
    <w:p>
      <w:pPr>
        <w:pStyle w:val="899"/>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 </w:t>
      </w:r>
      <w:r>
        <w:rPr>
          <w:rFonts w:hint="eastAsia" w:ascii="宋体" w:hAnsi="宋体" w:eastAsia="宋体" w:cs="宋体"/>
          <w:color w:val="auto"/>
          <w:sz w:val="24"/>
          <w:highlight w:val="none"/>
        </w:rPr>
      </w:r>
      <w:r>
        <w:rPr>
          <w:color w:val="auto"/>
        </w:rPr>
      </w:r>
    </w:p>
    <w:p>
      <w:pPr>
        <w:pStyle w:val="899"/>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w:t>
      </w:r>
      <w:r>
        <w:rPr>
          <w:rFonts w:hint="eastAsia" w:ascii="宋体" w:hAnsi="宋体" w:eastAsia="宋体" w:cs="宋体"/>
          <w:color w:val="auto"/>
          <w:sz w:val="24"/>
          <w:highlight w:val="none"/>
          <w:lang w:val="zh-CN"/>
        </w:rPr>
      </w:r>
      <w:r>
        <w:rPr>
          <w:color w:val="auto"/>
        </w:rPr>
      </w:r>
    </w:p>
    <w:p>
      <w:pPr>
        <w:pStyle w:val="89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、付款条件：</w:t>
      </w:r>
      <w:r>
        <w:rPr>
          <w:rFonts w:hint="eastAsia" w:ascii="宋体" w:hAnsi="宋体" w:eastAsia="宋体" w:cs="宋体"/>
          <w:bCs/>
          <w:color w:val="auto"/>
          <w:sz w:val="24"/>
          <w:szCs w:val="24"/>
          <w:highlight w:val="none"/>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）中标</w:t>
      </w:r>
      <w:r>
        <w:rPr>
          <w:rFonts w:hint="eastAsia" w:ascii="宋体" w:hAnsi="宋体" w:eastAsia="宋体" w:cs="宋体"/>
          <w:color w:val="auto"/>
          <w:sz w:val="24"/>
          <w:highlight w:val="none"/>
          <w:lang w:val="zh-CN" w:eastAsia="zh-CN"/>
        </w:rPr>
        <w:t xml:space="preserve">人</w:t>
      </w:r>
      <w:r>
        <w:rPr>
          <w:rFonts w:hint="eastAsia" w:ascii="宋体" w:hAnsi="宋体" w:eastAsia="宋体" w:cs="宋体"/>
          <w:color w:val="auto"/>
          <w:sz w:val="24"/>
          <w:highlight w:val="none"/>
          <w:lang w:val="zh-CN"/>
        </w:rPr>
        <w:t xml:space="preserve">应定期将泵站检查（巡查）记录、运行记录、维护记录等台账汇总后报采购</w:t>
      </w:r>
      <w:r>
        <w:rPr>
          <w:rFonts w:hint="eastAsia" w:ascii="宋体" w:hAnsi="宋体" w:eastAsia="宋体" w:cs="宋体"/>
          <w:color w:val="auto"/>
          <w:sz w:val="24"/>
          <w:highlight w:val="none"/>
          <w:lang w:val="zh-CN"/>
        </w:rPr>
        <w:t xml:space="preserve">人，作为采购人考核中标</w:t>
      </w:r>
      <w:r>
        <w:rPr>
          <w:rFonts w:hint="eastAsia" w:ascii="宋体" w:hAnsi="宋体" w:eastAsia="宋体" w:cs="宋体"/>
          <w:color w:val="auto"/>
          <w:sz w:val="24"/>
          <w:highlight w:val="none"/>
          <w:lang w:val="zh-CN" w:eastAsia="zh-CN"/>
        </w:rPr>
        <w:t xml:space="preserve">人</w:t>
      </w:r>
      <w:r>
        <w:rPr>
          <w:rFonts w:hint="eastAsia" w:ascii="宋体" w:hAnsi="宋体" w:eastAsia="宋体" w:cs="宋体"/>
          <w:color w:val="auto"/>
          <w:sz w:val="24"/>
          <w:highlight w:val="none"/>
          <w:lang w:val="zh-CN"/>
        </w:rPr>
        <w:t xml:space="preserve">管理的指标之一。对采购人提出的问题，采取措施进行整改，将整改的结果在三天内向采购人汇报。特殊情况下应根据采购人的要求及时进行。</w:t>
      </w:r>
      <w:r>
        <w:rPr>
          <w:rFonts w:hint="eastAsia" w:ascii="宋体" w:hAnsi="宋体" w:eastAsia="宋体" w:cs="宋体"/>
          <w:color w:val="auto"/>
          <w:sz w:val="24"/>
          <w:highlight w:val="none"/>
          <w:lang w:val="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（2）采购人将对中标人履约情况进行考核</w:t>
      </w:r>
      <w:r>
        <w:rPr>
          <w:rFonts w:hint="eastAsia" w:ascii="宋体" w:hAnsi="宋体" w:eastAsia="宋体" w:cs="宋体"/>
          <w:color w:val="auto"/>
          <w:sz w:val="24"/>
          <w:highlight w:val="none"/>
          <w:lang w:val="en-US" w:eastAsia="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采购人按月对供应商进行考核，根据考核结果计算应付服务费，具体如下：</w:t>
      </w:r>
      <w:r>
        <w:rPr>
          <w:rFonts w:hint="eastAsia" w:ascii="宋体" w:hAnsi="宋体" w:eastAsia="宋体" w:cs="宋体"/>
          <w:color w:val="auto"/>
          <w:sz w:val="24"/>
          <w:highlight w:val="none"/>
          <w:lang w:val="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月考核得分大于等于90 分核定为优，按100%计取当月维保服务费；</w:t>
      </w:r>
      <w:r>
        <w:rPr>
          <w:rFonts w:hint="eastAsia" w:ascii="宋体" w:hAnsi="宋体" w:eastAsia="宋体" w:cs="宋体"/>
          <w:color w:val="auto"/>
          <w:sz w:val="24"/>
          <w:highlight w:val="none"/>
          <w:lang w:val="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月考核得分大于等于 80 分小于 90 分核定为良，按90%计取当月维保服务费；</w:t>
      </w:r>
      <w:r>
        <w:rPr>
          <w:rFonts w:hint="eastAsia" w:ascii="宋体" w:hAnsi="宋体" w:eastAsia="宋体" w:cs="宋体"/>
          <w:color w:val="auto"/>
          <w:sz w:val="24"/>
          <w:highlight w:val="none"/>
          <w:lang w:val="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月考核得分大于等于 70 分小于 80 分核定为合格，按80%计取当月维保服务费；</w:t>
      </w:r>
      <w:r>
        <w:rPr>
          <w:rFonts w:hint="eastAsia" w:ascii="宋体" w:hAnsi="宋体" w:eastAsia="宋体" w:cs="宋体"/>
          <w:color w:val="auto"/>
          <w:sz w:val="24"/>
          <w:highlight w:val="none"/>
          <w:lang w:val="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月考核得分小于 70 分当月考核不合格，不支付当月维保服务费并给予警告一次。累计两个月考核为不合格，甲方有权立即解除服务合同并不再续签下一年度服务合同。</w:t>
      </w:r>
      <w:r>
        <w:rPr>
          <w:rFonts w:hint="eastAsia" w:ascii="宋体" w:hAnsi="宋体" w:eastAsia="宋体" w:cs="宋体"/>
          <w:color w:val="auto"/>
          <w:sz w:val="24"/>
          <w:highlight w:val="none"/>
          <w:lang w:val="en-US" w:eastAsia="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（二）支付方法：</w:t>
      </w:r>
      <w:r>
        <w:rPr>
          <w:rFonts w:hint="eastAsia" w:ascii="宋体" w:hAnsi="宋体" w:eastAsia="宋体" w:cs="宋体"/>
          <w:color w:val="auto"/>
          <w:sz w:val="24"/>
          <w:highlight w:val="none"/>
          <w:lang w:val="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（1）每半年度支付。每半年度维保服务结束后，甲方根据考核结果向乙方支付该半年度应付维保费的80%。</w:t>
      </w:r>
      <w:r>
        <w:rPr>
          <w:rFonts w:hint="eastAsia" w:ascii="宋体" w:hAnsi="宋体" w:eastAsia="宋体" w:cs="宋体"/>
          <w:color w:val="auto"/>
          <w:sz w:val="24"/>
          <w:highlight w:val="none"/>
          <w:lang w:val="en-US" w:eastAsia="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（2）余款待审计结束后，付清至审定价款。</w:t>
      </w:r>
      <w:r>
        <w:rPr>
          <w:rFonts w:hint="eastAsia" w:ascii="宋体" w:hAnsi="宋体" w:eastAsia="宋体" w:cs="宋体"/>
          <w:color w:val="auto"/>
          <w:sz w:val="24"/>
          <w:highlight w:val="none"/>
          <w:lang w:val="zh-CN"/>
        </w:rPr>
      </w:r>
      <w:r>
        <w:rPr>
          <w:color w:val="auto"/>
        </w:rPr>
      </w:r>
    </w:p>
    <w:p>
      <w:pPr>
        <w:pStyle w:val="89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w:t>
      </w:r>
      <w:r>
        <w:rPr>
          <w:rFonts w:hint="eastAsia" w:ascii="宋体" w:hAnsi="宋体" w:eastAsia="宋体" w:cs="宋体"/>
          <w:b/>
          <w:bCs/>
          <w:color w:val="auto"/>
          <w:sz w:val="24"/>
          <w:highlight w:val="none"/>
          <w:lang w:eastAsia="zh-CN"/>
        </w:rPr>
        <w:t xml:space="preserve">十</w:t>
      </w:r>
      <w:r>
        <w:rPr>
          <w:rFonts w:hint="eastAsia" w:ascii="宋体" w:hAnsi="宋体" w:eastAsia="宋体" w:cs="宋体"/>
          <w:b/>
          <w:bCs/>
          <w:color w:val="auto"/>
          <w:sz w:val="24"/>
          <w:highlight w:val="none"/>
        </w:rPr>
        <w:t xml:space="preserve">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履约保证金</w:t>
      </w:r>
      <w:r>
        <w:rPr>
          <w:rFonts w:hint="eastAsia" w:ascii="宋体" w:hAnsi="宋体" w:eastAsia="宋体" w:cs="宋体"/>
          <w:b/>
          <w:bCs/>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w:t>
      </w:r>
      <w:r>
        <w:rPr>
          <w:rFonts w:hint="eastAsia" w:ascii="宋体" w:hAnsi="宋体" w:eastAsia="宋体" w:cs="宋体"/>
          <w:color w:val="auto"/>
          <w:sz w:val="24"/>
          <w:highlight w:val="none"/>
        </w:rPr>
      </w:r>
      <w:r>
        <w:rPr>
          <w:color w:val="auto"/>
        </w:rPr>
      </w:r>
    </w:p>
    <w:p>
      <w:pPr>
        <w:pStyle w:val="89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第</w:t>
      </w: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eastAsia="zh-CN"/>
        </w:rPr>
        <w:t xml:space="preserve">一</w:t>
      </w:r>
      <w:r>
        <w:rPr>
          <w:rFonts w:hint="eastAsia" w:ascii="宋体" w:hAnsi="宋体" w:eastAsia="宋体" w:cs="宋体"/>
          <w:b/>
          <w:bCs/>
          <w:color w:val="auto"/>
          <w:sz w:val="24"/>
          <w:highlight w:val="none"/>
          <w:lang w:val="zh-CN"/>
        </w:rPr>
        <w:t xml:space="preserve">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违约责任</w:t>
      </w:r>
      <w:r>
        <w:rPr>
          <w:rFonts w:hint="eastAsia" w:ascii="宋体" w:hAnsi="宋体" w:eastAsia="宋体" w:cs="宋体"/>
          <w:b/>
          <w:bCs/>
          <w:color w:val="auto"/>
          <w:sz w:val="24"/>
          <w:highlight w:val="none"/>
          <w:lang w:val="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1、甲方无正当理由拒收服务、拒付款的，由甲方向乙方偿付合同总价的5%违约金。</w:t>
      </w:r>
      <w:r>
        <w:rPr>
          <w:rFonts w:hint="eastAsia" w:ascii="宋体" w:hAnsi="宋体" w:eastAsia="宋体" w:cs="宋体"/>
          <w:color w:val="auto"/>
          <w:sz w:val="24"/>
          <w:highlight w:val="none"/>
          <w:lang w:val="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2、甲方未按合同规定的期限向乙方支付总价款的，每逾期1天甲方向乙方偿付欠款总额的5‰逾期违约金，但累计逾期违约金总额不超过欠款总额的5%。</w:t>
      </w:r>
      <w:r>
        <w:rPr>
          <w:rFonts w:hint="eastAsia" w:ascii="宋体" w:hAnsi="宋体" w:eastAsia="宋体" w:cs="宋体"/>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highlight w:val="none"/>
          <w:lang w:val="zh-CN"/>
        </w:rPr>
        <w:t xml:space="preserve">3、如乙方不能按期交付服务的，乙方应向甲方支付合同总价5%的违约金，违约金不足以弥补甲方损失，由乙方全额赔偿。</w:t>
      </w:r>
      <w:r>
        <w:rPr>
          <w:rFonts w:hint="eastAsia" w:ascii="宋体" w:hAnsi="宋体" w:eastAsia="宋体" w:cs="宋体"/>
          <w:color w:val="auto"/>
          <w:sz w:val="24"/>
          <w:szCs w:val="32"/>
          <w:highlight w:val="none"/>
          <w:lang w:val="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4、乙方逾期交付的，每逾期1天，乙方向甲方偿付合同总额的5‰的逾期违约金。如乙方逾期交付达10天，甲方有权解除合同，解除合同的通知自到达乙方时生效。</w:t>
      </w:r>
      <w:r>
        <w:rPr>
          <w:rFonts w:hint="eastAsia" w:ascii="宋体" w:hAnsi="宋体" w:eastAsia="宋体" w:cs="宋体"/>
          <w:color w:val="auto"/>
          <w:sz w:val="24"/>
          <w:highlight w:val="none"/>
          <w:lang w:val="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w:t>
      </w:r>
      <w:r>
        <w:rPr>
          <w:rFonts w:hint="eastAsia" w:ascii="宋体" w:hAnsi="宋体" w:eastAsia="宋体" w:cs="宋体"/>
          <w:color w:val="auto"/>
          <w:sz w:val="24"/>
          <w:highlight w:val="none"/>
        </w:rPr>
        <w:t xml:space="preserve">乙方提供的服务不符合要求的</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甲方有权要求乙方进行整改，乙方经整改后仍然不合要求的，除须继续履行本合同约定的义务外，还应按照合同款的1%/次向甲方支付违约金；</w:t>
      </w:r>
      <w:r>
        <w:rPr>
          <w:rFonts w:hint="eastAsia" w:ascii="宋体" w:hAnsi="宋体" w:eastAsia="宋体" w:cs="宋体"/>
          <w:color w:val="auto"/>
          <w:sz w:val="24"/>
          <w:highlight w:val="none"/>
          <w:lang w:val="zh-CN"/>
        </w:rPr>
        <w:t xml:space="preserve">如经乙方两次整改仍不能达到合同约定的质量标准，乙方应退回全部合同价款，并按第3款处理，同时，乙方还须赔偿甲方因此遭受的损失。</w:t>
      </w:r>
      <w:r>
        <w:rPr>
          <w:rFonts w:hint="eastAsia" w:ascii="宋体" w:hAnsi="宋体" w:eastAsia="宋体" w:cs="宋体"/>
          <w:color w:val="auto"/>
          <w:sz w:val="24"/>
          <w:highlight w:val="none"/>
          <w:lang w:val="zh-CN"/>
        </w:rPr>
      </w:r>
      <w:r>
        <w:rPr>
          <w:color w:val="auto"/>
        </w:rPr>
      </w:r>
    </w:p>
    <w:p>
      <w:pPr>
        <w:pStyle w:val="899"/>
        <w:ind w:firstLine="4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6、乙方在承担上述4-5款一项或多项违约责任后，仍应继续履行合同规定的义务（甲方解除合同的除外）。甲方未能及时追究乙方的任何一项违约责任并不表明甲方放弃追究乙方该项或其他违约责任。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auto"/>
          <w:sz w:val="24"/>
          <w:highlight w:val="none"/>
          <w:lang w:val="zh-CN"/>
        </w:rPr>
      </w:r>
      <w:r>
        <w:rPr>
          <w:color w:val="auto"/>
        </w:rPr>
      </w:r>
    </w:p>
    <w:p>
      <w:pPr>
        <w:pStyle w:val="89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第十二条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合同的变更和终止</w:t>
      </w:r>
      <w:r>
        <w:rPr>
          <w:rFonts w:hint="eastAsia" w:ascii="宋体" w:hAnsi="宋体" w:eastAsia="宋体" w:cs="宋体"/>
          <w:b/>
          <w:bCs/>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遇到《政府采购法》第50条规定的情形，双方当事人应当变更、中止或者终止合同。有过错的一方应当承担赔偿责任，双方都有过错的，各自承担相应的责任。</w:t>
      </w:r>
      <w:r>
        <w:rPr>
          <w:rFonts w:hint="eastAsia" w:ascii="宋体" w:hAnsi="宋体" w:eastAsia="宋体" w:cs="宋体"/>
          <w:color w:val="auto"/>
          <w:sz w:val="24"/>
          <w:highlight w:val="none"/>
          <w:lang w:val="zh-CN"/>
        </w:rPr>
      </w:r>
      <w:r>
        <w:rPr>
          <w:color w:val="auto"/>
        </w:rPr>
      </w:r>
    </w:p>
    <w:p>
      <w:pPr>
        <w:pStyle w:val="89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第十三条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合同的转让</w:t>
      </w:r>
      <w:r>
        <w:rPr>
          <w:rFonts w:hint="eastAsia" w:ascii="宋体" w:hAnsi="宋体" w:eastAsia="宋体" w:cs="宋体"/>
          <w:b/>
          <w:bCs/>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乙方不得擅自部分或全部转让其应履行的合同义务。如乙方违约，甲方有权向乙方要求支付合同价</w:t>
      </w:r>
      <w:r>
        <w:rPr>
          <w:rFonts w:hint="eastAsia" w:ascii="宋体" w:hAnsi="宋体" w:eastAsia="宋体" w:cs="宋体"/>
          <w:color w:val="auto"/>
          <w:sz w:val="24"/>
          <w:highlight w:val="none"/>
        </w:rPr>
        <w:t xml:space="preserve">5%的违约金</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zh-CN"/>
        </w:rPr>
      </w:r>
      <w:r>
        <w:rPr>
          <w:color w:val="auto"/>
        </w:rPr>
      </w:r>
    </w:p>
    <w:p>
      <w:pPr>
        <w:pStyle w:val="89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第十</w:t>
      </w:r>
      <w:r>
        <w:rPr>
          <w:rFonts w:hint="eastAsia" w:ascii="宋体" w:hAnsi="宋体" w:eastAsia="宋体" w:cs="宋体"/>
          <w:b/>
          <w:bCs/>
          <w:color w:val="auto"/>
          <w:sz w:val="24"/>
          <w:highlight w:val="none"/>
          <w:lang w:eastAsia="zh-CN"/>
        </w:rPr>
        <w:t xml:space="preserve">四</w:t>
      </w:r>
      <w:r>
        <w:rPr>
          <w:rFonts w:hint="eastAsia" w:ascii="宋体" w:hAnsi="宋体" w:eastAsia="宋体" w:cs="宋体"/>
          <w:b/>
          <w:bCs/>
          <w:color w:val="auto"/>
          <w:sz w:val="24"/>
          <w:highlight w:val="none"/>
          <w:lang w:val="zh-CN"/>
        </w:rPr>
        <w:t xml:space="preserve">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争议的解决</w:t>
      </w:r>
      <w:r>
        <w:rPr>
          <w:rFonts w:hint="eastAsia" w:ascii="宋体" w:hAnsi="宋体" w:eastAsia="宋体" w:cs="宋体"/>
          <w:b/>
          <w:bCs/>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（1）向甲方所在地有管辖权的人民法院提起诉讼；</w:t>
      </w:r>
      <w:r>
        <w:rPr>
          <w:rFonts w:hint="eastAsia" w:ascii="宋体" w:hAnsi="宋体" w:eastAsia="宋体" w:cs="宋体"/>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（2）向南京仲裁委员会按其仲裁规则申请仲裁。</w:t>
      </w:r>
      <w:r>
        <w:rPr>
          <w:rFonts w:hint="eastAsia" w:ascii="宋体" w:hAnsi="宋体" w:eastAsia="宋体" w:cs="宋体"/>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如没有约定，默认采取第2种方式解决争议。</w:t>
      </w:r>
      <w:r>
        <w:rPr>
          <w:rFonts w:hint="eastAsia" w:ascii="宋体" w:hAnsi="宋体" w:eastAsia="宋体" w:cs="宋体"/>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2、在诉讼期间，本合同应继续履行。</w:t>
      </w:r>
      <w:r>
        <w:rPr>
          <w:rFonts w:hint="eastAsia" w:ascii="宋体" w:hAnsi="宋体" w:eastAsia="宋体" w:cs="宋体"/>
          <w:color w:val="auto"/>
          <w:sz w:val="24"/>
          <w:highlight w:val="none"/>
          <w:lang w:val="zh-CN"/>
        </w:rPr>
      </w:r>
      <w:r>
        <w:rPr>
          <w:color w:val="auto"/>
        </w:rPr>
      </w:r>
    </w:p>
    <w:p>
      <w:pPr>
        <w:pStyle w:val="89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第十五条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诚实信用</w:t>
      </w:r>
      <w:r>
        <w:rPr>
          <w:rFonts w:hint="eastAsia" w:ascii="宋体" w:hAnsi="宋体" w:eastAsia="宋体" w:cs="宋体"/>
          <w:b/>
          <w:bCs/>
          <w:color w:val="auto"/>
          <w:sz w:val="24"/>
          <w:highlight w:val="none"/>
          <w:lang w:val="zh-CN"/>
        </w:rPr>
      </w:r>
      <w:r>
        <w:rPr>
          <w:color w:val="auto"/>
        </w:rPr>
      </w:r>
    </w:p>
    <w:p>
      <w:pPr>
        <w:pStyle w:val="899"/>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乙方应诚实信用，严格按照招标文件要求和投标承诺履行合同，不向甲方进行商业贿赂或者提供不正当利益。如乙方违约，甲方有权向乙方要求支付合同价</w:t>
      </w:r>
      <w:r>
        <w:rPr>
          <w:rFonts w:hint="eastAsia" w:ascii="宋体" w:hAnsi="宋体" w:eastAsia="宋体" w:cs="宋体"/>
          <w:color w:val="auto"/>
          <w:sz w:val="24"/>
          <w:highlight w:val="none"/>
        </w:rPr>
        <w:t xml:space="preserve">5%的违约金</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zh-CN"/>
        </w:rPr>
      </w:r>
      <w:r>
        <w:rPr>
          <w:color w:val="auto"/>
        </w:rPr>
      </w:r>
    </w:p>
    <w:p>
      <w:pPr>
        <w:pStyle w:val="89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第十六条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lang w:val="zh-CN"/>
        </w:rPr>
        <w:t xml:space="preserve">合同生效及其他</w:t>
      </w:r>
      <w:r>
        <w:rPr>
          <w:rFonts w:hint="eastAsia" w:ascii="宋体" w:hAnsi="宋体" w:eastAsia="宋体" w:cs="宋体"/>
          <w:b/>
          <w:bCs/>
          <w:color w:val="auto"/>
          <w:sz w:val="24"/>
          <w:highlight w:val="none"/>
          <w:lang w:val="zh-CN"/>
        </w:rPr>
      </w:r>
      <w:r>
        <w:rPr>
          <w:color w:val="auto"/>
        </w:rPr>
      </w:r>
    </w:p>
    <w:p>
      <w:pPr>
        <w:pStyle w:val="899"/>
        <w:ind w:firstLine="55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1、本合同自双方</w:t>
      </w:r>
      <w:r>
        <w:rPr>
          <w:rFonts w:hint="eastAsia" w:ascii="宋体" w:hAnsi="宋体" w:eastAsia="宋体" w:cs="宋体"/>
          <w:color w:val="auto"/>
          <w:sz w:val="24"/>
          <w:highlight w:val="none"/>
          <w:lang w:val="en-US" w:eastAsia="zh-CN"/>
        </w:rPr>
        <w:t xml:space="preserve">代表签字并加盖公章</w:t>
      </w:r>
      <w:r>
        <w:rPr>
          <w:rFonts w:hint="eastAsia" w:ascii="宋体" w:hAnsi="宋体" w:eastAsia="宋体" w:cs="宋体"/>
          <w:color w:val="auto"/>
          <w:sz w:val="24"/>
          <w:highlight w:val="none"/>
          <w:lang w:val="zh-CN"/>
        </w:rPr>
        <w:t xml:space="preserve">之日起签字并</w:t>
      </w:r>
      <w:r>
        <w:rPr>
          <w:rFonts w:hint="eastAsia" w:ascii="宋体" w:hAnsi="宋体" w:eastAsia="宋体" w:cs="宋体"/>
          <w:color w:val="auto"/>
          <w:sz w:val="24"/>
          <w:highlight w:val="none"/>
        </w:rPr>
        <w:t xml:space="preserve">盖章</w:t>
      </w:r>
      <w:r>
        <w:rPr>
          <w:rFonts w:hint="eastAsia" w:ascii="宋体" w:hAnsi="宋体" w:eastAsia="宋体" w:cs="宋体"/>
          <w:color w:val="auto"/>
          <w:sz w:val="24"/>
          <w:highlight w:val="none"/>
          <w:lang w:val="zh-CN"/>
        </w:rPr>
        <w:t xml:space="preserve">生效。</w:t>
      </w:r>
      <w:r>
        <w:rPr>
          <w:rFonts w:hint="eastAsia" w:ascii="宋体" w:hAnsi="宋体" w:eastAsia="宋体" w:cs="宋体"/>
          <w:color w:val="auto"/>
          <w:sz w:val="24"/>
          <w:highlight w:val="none"/>
          <w:lang w:val="zh-CN"/>
        </w:rPr>
      </w:r>
      <w:r>
        <w:rPr>
          <w:color w:val="auto"/>
        </w:rPr>
      </w:r>
    </w:p>
    <w:p>
      <w:pPr>
        <w:pStyle w:val="899"/>
        <w:ind w:firstLine="55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2、本合同一式肆份，甲乙双方各执贰份。</w:t>
      </w:r>
      <w:r>
        <w:rPr>
          <w:rFonts w:hint="eastAsia" w:ascii="宋体" w:hAnsi="宋体" w:eastAsia="宋体" w:cs="宋体"/>
          <w:color w:val="auto"/>
          <w:sz w:val="24"/>
          <w:highlight w:val="none"/>
          <w:lang w:val="zh-CN"/>
        </w:rPr>
      </w:r>
      <w:r>
        <w:rPr>
          <w:color w:val="auto"/>
        </w:rPr>
      </w:r>
    </w:p>
    <w:p>
      <w:pPr>
        <w:pStyle w:val="899"/>
        <w:ind w:firstLine="55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3、本合同应按照中华人民共和国的现行法律进行解释。</w:t>
      </w:r>
      <w:r>
        <w:rPr>
          <w:rFonts w:hint="eastAsia" w:ascii="宋体" w:hAnsi="宋体" w:eastAsia="宋体" w:cs="宋体"/>
          <w:color w:val="auto"/>
          <w:sz w:val="24"/>
          <w:highlight w:val="none"/>
          <w:lang w:val="zh-CN"/>
        </w:rPr>
      </w:r>
      <w:r>
        <w:rPr>
          <w:color w:val="auto"/>
        </w:rPr>
      </w:r>
    </w:p>
    <w:tbl>
      <w:tblPr>
        <w:tblW w:w="960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802"/>
        <w:gridCol w:w="4802"/>
      </w:tblGrid>
      <w:tr>
        <w:trPr>
          <w:trHeight w:val="483"/>
        </w:trPr>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899"/>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甲方（采购人）：（盖章） </w:t>
            </w:r>
            <w:r>
              <w:rPr>
                <w:rFonts w:hint="eastAsia" w:ascii="宋体" w:hAnsi="宋体" w:eastAsia="宋体" w:cs="宋体"/>
                <w:color w:val="auto"/>
                <w:sz w:val="24"/>
                <w:highlight w:val="none"/>
                <w:lang w:val="zh-CN"/>
              </w:rPr>
            </w:r>
            <w:r>
              <w:rPr>
                <w:color w:val="auto"/>
              </w:rPr>
            </w:r>
          </w:p>
        </w:tc>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899"/>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乙方（供应商）：（盖章）</w:t>
            </w:r>
            <w:r>
              <w:rPr>
                <w:rFonts w:hint="eastAsia" w:ascii="宋体" w:hAnsi="宋体" w:eastAsia="宋体" w:cs="宋体"/>
                <w:color w:val="auto"/>
                <w:sz w:val="24"/>
                <w:highlight w:val="none"/>
                <w:lang w:val="zh-CN"/>
              </w:rPr>
            </w:r>
            <w:r>
              <w:rPr>
                <w:color w:val="auto"/>
              </w:rPr>
            </w:r>
          </w:p>
        </w:tc>
      </w:tr>
      <w:tr>
        <w:trPr>
          <w:trHeight w:val="483"/>
        </w:trPr>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899"/>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代表人：</w:t>
            </w:r>
            <w:r>
              <w:rPr>
                <w:rFonts w:hint="eastAsia" w:ascii="宋体" w:hAnsi="宋体" w:eastAsia="宋体" w:cs="宋体"/>
                <w:color w:val="auto"/>
                <w:sz w:val="24"/>
                <w:highlight w:val="none"/>
              </w:rPr>
            </w:r>
            <w:r>
              <w:rPr>
                <w:color w:val="auto"/>
              </w:rPr>
            </w:r>
          </w:p>
        </w:tc>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899"/>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代表人</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rPr>
                <w:color w:val="auto"/>
              </w:rPr>
            </w:r>
          </w:p>
        </w:tc>
      </w:tr>
      <w:tr>
        <w:trPr>
          <w:trHeight w:val="472"/>
        </w:trPr>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899"/>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电话：</w:t>
            </w:r>
            <w:r>
              <w:rPr>
                <w:rFonts w:hint="eastAsia" w:ascii="宋体" w:hAnsi="宋体" w:eastAsia="宋体" w:cs="宋体"/>
                <w:color w:val="auto"/>
                <w:sz w:val="24"/>
                <w:highlight w:val="none"/>
              </w:rPr>
            </w:r>
            <w:r>
              <w:rPr>
                <w:color w:val="auto"/>
              </w:rPr>
            </w:r>
          </w:p>
        </w:tc>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899"/>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电话：</w:t>
            </w:r>
            <w:r>
              <w:rPr>
                <w:rFonts w:hint="eastAsia" w:ascii="宋体" w:hAnsi="宋体" w:eastAsia="宋体" w:cs="宋体"/>
                <w:color w:val="auto"/>
                <w:sz w:val="24"/>
                <w:highlight w:val="none"/>
                <w:lang w:val="en-US" w:eastAsia="zh-CN"/>
              </w:rPr>
            </w:r>
            <w:r>
              <w:rPr>
                <w:color w:val="auto"/>
              </w:rPr>
            </w:r>
          </w:p>
        </w:tc>
      </w:tr>
      <w:tr>
        <w:trPr>
          <w:trHeight w:val="483"/>
        </w:trPr>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899"/>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开户银行：</w:t>
            </w:r>
            <w:r>
              <w:rPr>
                <w:rFonts w:hint="eastAsia" w:ascii="宋体" w:hAnsi="宋体" w:eastAsia="宋体" w:cs="宋体"/>
                <w:color w:val="auto"/>
                <w:sz w:val="24"/>
                <w:highlight w:val="none"/>
              </w:rPr>
            </w:r>
            <w:r>
              <w:rPr>
                <w:color w:val="auto"/>
              </w:rPr>
            </w:r>
          </w:p>
        </w:tc>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899"/>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开户银行：</w:t>
            </w:r>
            <w:r>
              <w:rPr>
                <w:rFonts w:hint="eastAsia" w:ascii="宋体" w:hAnsi="宋体" w:eastAsia="宋体" w:cs="宋体"/>
                <w:color w:val="auto"/>
                <w:sz w:val="24"/>
                <w:highlight w:val="none"/>
                <w:lang w:val="en-US" w:eastAsia="zh-CN"/>
              </w:rPr>
            </w:r>
            <w:r>
              <w:rPr>
                <w:color w:val="auto"/>
              </w:rPr>
            </w:r>
          </w:p>
        </w:tc>
      </w:tr>
      <w:tr>
        <w:trPr>
          <w:trHeight w:val="472"/>
        </w:trPr>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899"/>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帐号：</w:t>
            </w:r>
            <w:r>
              <w:rPr>
                <w:rFonts w:hint="eastAsia" w:ascii="宋体" w:hAnsi="宋体" w:eastAsia="宋体" w:cs="宋体"/>
                <w:color w:val="auto"/>
                <w:sz w:val="24"/>
                <w:highlight w:val="none"/>
              </w:rPr>
            </w:r>
            <w:r>
              <w:rPr>
                <w:color w:val="auto"/>
              </w:rPr>
            </w:r>
          </w:p>
        </w:tc>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899"/>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帐号：</w:t>
            </w:r>
            <w:r>
              <w:rPr>
                <w:rFonts w:hint="eastAsia" w:ascii="宋体" w:hAnsi="宋体" w:eastAsia="宋体" w:cs="宋体"/>
                <w:color w:val="auto"/>
                <w:sz w:val="24"/>
                <w:highlight w:val="none"/>
                <w:lang w:val="en-US" w:eastAsia="zh-CN"/>
              </w:rPr>
            </w:r>
            <w:r>
              <w:rPr>
                <w:color w:val="auto"/>
              </w:rPr>
            </w:r>
          </w:p>
        </w:tc>
      </w:tr>
      <w:tr>
        <w:trPr>
          <w:trHeight w:val="537"/>
        </w:trPr>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899"/>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日期：</w:t>
            </w:r>
            <w:r>
              <w:rPr>
                <w:rFonts w:hint="eastAsia" w:ascii="宋体" w:hAnsi="宋体" w:eastAsia="宋体" w:cs="宋体"/>
                <w:color w:val="auto"/>
                <w:sz w:val="24"/>
                <w:highlight w:val="none"/>
                <w:lang w:val="zh-CN"/>
              </w:rPr>
            </w:r>
            <w:r>
              <w:rPr>
                <w:color w:val="auto"/>
              </w:rPr>
            </w:r>
          </w:p>
        </w:tc>
        <w:tc>
          <w:tcPr>
            <w:tcBorders>
              <w:top w:val="none" w:color="000000" w:sz="4" w:space="0"/>
              <w:left w:val="none" w:color="000000" w:sz="4" w:space="0"/>
              <w:bottom w:val="none" w:color="000000" w:sz="4" w:space="0"/>
              <w:right w:val="none" w:color="000000" w:sz="4" w:space="0"/>
            </w:tcBorders>
            <w:tcW w:w="4802" w:type="dxa"/>
            <w:vAlign w:val="top"/>
            <w:textDirection w:val="lrTb"/>
            <w:noWrap w:val="false"/>
          </w:tcPr>
          <w:p>
            <w:pPr>
              <w:pStyle w:val="899"/>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日期：</w:t>
            </w:r>
            <w:r>
              <w:rPr>
                <w:rFonts w:hint="eastAsia" w:ascii="宋体" w:hAnsi="宋体" w:eastAsia="宋体" w:cs="宋体"/>
                <w:color w:val="auto"/>
                <w:sz w:val="24"/>
                <w:highlight w:val="none"/>
                <w:lang w:val="zh-CN"/>
              </w:rPr>
            </w:r>
            <w:r>
              <w:rPr>
                <w:color w:val="auto"/>
              </w:rPr>
            </w:r>
          </w:p>
        </w:tc>
      </w:tr>
    </w:tbl>
    <w:p>
      <w:pPr>
        <w:pStyle w:val="899"/>
        <w:ind w:firstLine="420"/>
        <w:jc w:val="left"/>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r>
      <w:r>
        <w:rPr>
          <w:color w:val="auto"/>
        </w:rPr>
      </w:r>
    </w:p>
    <w:p>
      <w:pPr>
        <w:pStyle w:val="899"/>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23"/>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899"/>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23"/>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899"/>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23"/>
        <w:ind w:left="0" w:firstLine="0"/>
        <w:rPr>
          <w:rFonts w:hint="eastAsia" w:ascii="宋体" w:hAnsi="宋体" w:eastAsia="宋体" w:cs="宋体"/>
          <w:color w:val="auto"/>
          <w:highlight w:val="none"/>
        </w:rPr>
      </w:pPr>
      <w:r>
        <w:rPr>
          <w:rFonts w:hint="eastAsia" w:ascii="宋体" w:hAnsi="宋体" w:eastAsia="宋体" w:cs="宋体"/>
          <w:color w:val="auto"/>
          <w:szCs w:val="21"/>
          <w:highlight w:val="none"/>
          <w:lang w:eastAsia="zh-CN"/>
        </w:rPr>
        <w:t xml:space="preserve">附件：考核表</w:t>
      </w:r>
      <w:r>
        <w:rPr>
          <w:rFonts w:hint="eastAsia" w:ascii="宋体" w:hAnsi="宋体" w:eastAsia="宋体" w:cs="宋体"/>
          <w:color w:val="auto"/>
          <w:highlight w:val="none"/>
          <w:lang w:eastAsia="zh-CN"/>
        </w:rPr>
      </w:r>
      <w:r>
        <w:rPr>
          <w:color w:val="auto"/>
        </w:rPr>
      </w:r>
    </w:p>
    <w:tbl>
      <w:tblPr>
        <w:tblW w:w="1052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52"/>
        <w:gridCol w:w="3595"/>
        <w:gridCol w:w="4183"/>
        <w:gridCol w:w="990"/>
      </w:tblGrid>
      <w:tr>
        <w:trPr>
          <w:trHeight w:val="529"/>
        </w:trPr>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pStyle w:val="899"/>
              <w:ind w:firstLine="352"/>
              <w:jc w:val="center"/>
              <w:rPr>
                <w:rFonts w:hint="eastAsia" w:ascii="宋体" w:hAnsi="宋体" w:eastAsia="宋体" w:cs="宋体"/>
                <w:color w:val="auto"/>
                <w:sz w:val="24"/>
                <w:szCs w:val="24"/>
                <w:highlight w:val="none"/>
              </w:rPr>
            </w:pPr>
            <w:r>
              <w:rPr>
                <w:color w:val="auto"/>
              </w:rPr>
            </w:r>
            <w:bookmarkStart w:id="376" w:name="_Toc21749"/>
            <w:r>
              <w:rPr>
                <w:color w:val="auto"/>
              </w:rPr>
            </w:r>
            <w:bookmarkStart w:id="377" w:name="_Toc21866"/>
            <w:r>
              <w:rPr>
                <w:color w:val="auto"/>
              </w:rPr>
            </w:r>
            <w:bookmarkStart w:id="378" w:name="_Toc2899"/>
            <w:r>
              <w:rPr>
                <w:color w:val="auto"/>
              </w:rPr>
            </w:r>
            <w:bookmarkStart w:id="379" w:name="_Toc15655"/>
            <w:r>
              <w:rPr>
                <w:color w:val="auto"/>
              </w:rPr>
            </w:r>
            <w:bookmarkStart w:id="380" w:name="_Toc12018"/>
            <w:r>
              <w:rPr>
                <w:color w:val="auto"/>
              </w:rPr>
            </w:r>
            <w:bookmarkStart w:id="381" w:name="_Toc19188"/>
            <w:r>
              <w:rPr>
                <w:color w:val="auto"/>
              </w:rPr>
            </w:r>
            <w:bookmarkStart w:id="382" w:name="_Toc21543"/>
            <w:r>
              <w:rPr>
                <w:rFonts w:hint="eastAsia" w:ascii="宋体" w:hAnsi="宋体" w:eastAsia="宋体" w:cs="宋体"/>
                <w:color w:val="auto"/>
                <w:sz w:val="24"/>
                <w:szCs w:val="24"/>
                <w:highlight w:val="none"/>
                <w:lang w:val="en-US" w:eastAsia="zh-CN"/>
              </w:rPr>
              <w:t xml:space="preserve">考核项目</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考核内容</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考核要求</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得分</w:t>
            </w:r>
            <w:r>
              <w:rPr>
                <w:rFonts w:hint="eastAsia" w:ascii="宋体" w:hAnsi="宋体" w:eastAsia="宋体" w:cs="宋体"/>
                <w:color w:val="auto"/>
                <w:sz w:val="24"/>
                <w:szCs w:val="24"/>
                <w:highlight w:val="none"/>
              </w:rPr>
            </w:r>
            <w:r>
              <w:rPr>
                <w:color w:val="auto"/>
              </w:rPr>
            </w:r>
          </w:p>
        </w:tc>
      </w:tr>
      <w:tr>
        <w:trPr>
          <w:trHeight w:val="1350"/>
        </w:trPr>
        <w:tc>
          <w:tcPr>
            <w:tcBorders>
              <w:top w:val="single" w:color="000000" w:sz="4" w:space="0"/>
              <w:left w:val="single" w:color="000000" w:sz="4" w:space="0"/>
              <w:bottom w:val="single" w:color="000000" w:sz="4" w:space="0"/>
              <w:right w:val="single" w:color="000000" w:sz="4" w:space="0"/>
            </w:tcBorders>
            <w:tcW w:w="1752" w:type="dxa"/>
            <w:vAlign w:val="center"/>
            <w:vMerge w:val="restart"/>
            <w:textDirection w:val="lrTb"/>
            <w:noWrap w:val="false"/>
          </w:tcPr>
          <w:p>
            <w:pPr>
              <w:pStyle w:val="899"/>
              <w:ind w:left="239" w:firstLine="11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台账资料</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（15分）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泵站每日巡查记录表、设备运行记录、维护记录、工作人员工作签到表都有相应记录 （8分）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一个表格记录不全扣1分、3个以上记录不全扣8分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480"/>
        </w:trPr>
        <w:tc>
          <w:tcPr>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pStyle w:val="899"/>
              <w:ind w:firstLine="3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设备保养记录齐全 （4分）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记录不齐全的扣4分。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810"/>
        </w:trPr>
        <w:tc>
          <w:tcPr>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pStyle w:val="899"/>
              <w:ind w:firstLine="35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泵站每月运维台账送至采购方检查收录 （3分）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未及时送往采购方的扣2分，内容不完整扣3分。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tc>
      </w:tr>
      <w:tr>
        <w:trPr>
          <w:trHeight w:val="810"/>
        </w:trPr>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pStyle w:val="899"/>
              <w:ind w:firstLine="35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人员配备</w:t>
            </w:r>
            <w:r>
              <w:rPr>
                <w:rFonts w:hint="eastAsia" w:ascii="宋体" w:hAnsi="宋体" w:eastAsia="宋体" w:cs="宋体"/>
                <w:color w:val="auto"/>
                <w:sz w:val="24"/>
                <w:szCs w:val="24"/>
                <w:highlight w:val="none"/>
                <w:lang w:val="en-US" w:eastAsia="zh-CN"/>
              </w:rPr>
              <w:t xml:space="preserve">（5分）</w:t>
            </w:r>
            <w:r>
              <w:rPr>
                <w:rFonts w:hint="eastAsia" w:ascii="宋体" w:hAnsi="宋体" w:eastAsia="宋体" w:cs="宋体"/>
                <w:color w:val="auto"/>
                <w:sz w:val="24"/>
                <w:szCs w:val="24"/>
                <w:highlight w:val="none"/>
                <w:lang w:eastAsia="zh-CN"/>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汛期和非汛期要求按规定时间和人数到岗（5分）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未按规定时间和人数到岗，没发现一次扣1分。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tc>
      </w:tr>
      <w:tr>
        <w:trPr>
          <w:trHeight w:val="2580"/>
        </w:trPr>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pStyle w:val="89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日常设备检查</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rPr>
            </w:r>
            <w:r>
              <w:rPr>
                <w:color w:val="auto"/>
              </w:rPr>
            </w:r>
          </w:p>
        </w:tc>
        <w:tc>
          <w:tcPr>
            <w:tcBorders>
              <w:top w:val="single" w:color="000000" w:sz="4" w:space="0"/>
              <w:left w:val="none" w:color="000000" w:sz="4" w:space="0"/>
              <w:bottom w:val="single" w:color="000000" w:sz="4" w:space="0"/>
              <w:right w:val="single" w:color="000000" w:sz="4" w:space="0"/>
            </w:tcBorders>
            <w:tcW w:w="3595" w:type="dxa"/>
            <w:vAlign w:val="center"/>
            <w:textDirection w:val="lrTb"/>
            <w:noWrap w:val="false"/>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水泵、蝶阀、止回阀、格栅、输送带、捞脏机、拦污阀、行车等设备完好，无损坏无运行隐患。（26分）</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设备检查表必须填写完整，要求字迹工整，内容全面。（4分）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pStyle w:val="8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水泵完好，无运行隐患8分；</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蝶阀、止回阀、拦污阀、捞脏机设备完好，无运行隐患8分；</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格栅设备完好4分；</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行车、输送带完好，无运行隐患6分；</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设备检查表内容不完整的或未填写的扣4分。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980"/>
        </w:trPr>
        <w:tc>
          <w:tcPr>
            <w:tcBorders>
              <w:top w:val="single" w:color="000000" w:sz="4" w:space="0"/>
              <w:left w:val="single" w:color="000000" w:sz="4" w:space="0"/>
              <w:bottom w:val="single" w:color="000000" w:sz="4" w:space="0"/>
              <w:right w:val="single" w:color="000000" w:sz="4" w:space="0"/>
            </w:tcBorders>
            <w:tcW w:w="1752" w:type="dxa"/>
            <w:vAlign w:val="center"/>
            <w:vMerge w:val="restart"/>
            <w:textDirection w:val="lrTb"/>
            <w:noWrap w:val="false"/>
          </w:tcPr>
          <w:p>
            <w:pPr>
              <w:pStyle w:val="8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故障处理</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（32分）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故障检查到位，不留隐患 （8分）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未查出故障被采购人查出，如发现隐患较大（泵机运行异常、控制柜损坏等）扣8分；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1238"/>
        </w:trPr>
        <w:tc>
          <w:tcPr>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pStyle w:val="899"/>
              <w:ind w:firstLine="35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故障应急时间（8分）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应急时间超过原定时间15分钟的扣3分；超过30分钟的扣5分；超过45的扣8分。（汛期和雨天时间减半）</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1097"/>
        </w:trPr>
        <w:tc>
          <w:tcPr>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pStyle w:val="899"/>
              <w:ind w:firstLine="35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故障处理时间 （8分）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故障处理超过原定时间1天的扣3分；超过3天的扣5分；超过一周的扣8分。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c>
      </w:tr>
      <w:tr>
        <w:trPr>
          <w:trHeight w:val="1350"/>
        </w:trPr>
        <w:tc>
          <w:tcPr>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pStyle w:val="899"/>
              <w:ind w:firstLine="35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故障处理完成后，须完好可用，无隐患 （8分）</w:t>
            </w:r>
            <w:r>
              <w:rPr>
                <w:rFonts w:hint="eastAsia" w:ascii="宋体" w:hAnsi="宋体" w:eastAsia="宋体" w:cs="宋体"/>
                <w:color w:val="auto"/>
                <w:sz w:val="24"/>
                <w:szCs w:val="24"/>
                <w:highlight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故障处理留有隐患，使用替换设备，原件与原先的不对应或者质量不过关的扣5分，故障处理完全不能正常使用的扣8分。</w:t>
            </w:r>
            <w:r>
              <w:rPr>
                <w:rFonts w:hint="eastAsia" w:ascii="宋体" w:hAnsi="宋体" w:eastAsia="宋体" w:cs="宋体"/>
                <w:color w:val="auto"/>
                <w:sz w:val="24"/>
                <w:szCs w:val="24"/>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tc>
      </w:tr>
      <w:tr>
        <w:trPr>
          <w:trHeight w:val="1080"/>
        </w:trPr>
        <w:tc>
          <w:tcPr>
            <w:tcBorders>
              <w:top w:val="single" w:color="000000" w:sz="4" w:space="0"/>
              <w:left w:val="single" w:color="000000" w:sz="4" w:space="0"/>
              <w:bottom w:val="single" w:color="000000" w:sz="4" w:space="0"/>
              <w:right w:val="single" w:color="000000" w:sz="4" w:space="0"/>
            </w:tcBorders>
            <w:tcW w:w="1752" w:type="dxa"/>
            <w:vAlign w:val="center"/>
            <w:vMerge w:val="restart"/>
            <w:textDirection w:val="lrTb"/>
            <w:noWrap w:val="false"/>
          </w:tcPr>
          <w:p>
            <w:pPr>
              <w:pStyle w:val="8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日常工作</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（18分）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val="false"/>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泵站维保人员必须穿戴工作服，持工作证上岗，电工必须持有电工证。 （8分）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未穿工作服的扣1分</w:t>
            </w:r>
            <w:r>
              <w:rPr>
                <w:rFonts w:hint="eastAsia" w:ascii="宋体" w:hAnsi="宋体" w:eastAsia="宋体" w:cs="宋体"/>
                <w:color w:val="auto"/>
                <w:sz w:val="24"/>
                <w:szCs w:val="24"/>
                <w:highlight w:val="none"/>
                <w:lang w:val="en-US" w:eastAsia="zh-CN"/>
              </w:rPr>
              <w:br w:type="textWrapping" w:clear="all"/>
            </w:r>
            <w:r>
              <w:rPr>
                <w:rFonts w:hint="eastAsia" w:ascii="宋体" w:hAnsi="宋体" w:eastAsia="宋体" w:cs="宋体"/>
                <w:color w:val="auto"/>
                <w:sz w:val="24"/>
                <w:szCs w:val="24"/>
                <w:highlight w:val="none"/>
                <w:lang w:val="en-US" w:eastAsia="zh-CN"/>
              </w:rPr>
              <w:t xml:space="preserve">未持有电工证的操作低高压电气设备发现一次扣2分，发现两次此项不得分。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jc w:val="right"/>
              <w:keepLines w:val="0"/>
              <w:keepNext w:val="0"/>
              <w:widowControl/>
              <w:rPr>
                <w:rFonts w:hint="eastAsia" w:ascii="宋体" w:hAnsi="宋体" w:eastAsia="宋体" w:cs="宋体"/>
                <w:i w:val="0"/>
                <w:iCs w:val="0"/>
                <w:color w:val="auto"/>
                <w:sz w:val="21"/>
                <w:szCs w:val="21"/>
                <w:highlight w:val="none"/>
                <w:u w:val="single"/>
              </w:rPr>
              <w:suppressLineNumbers w:val="0"/>
            </w:pPr>
            <w:r>
              <w:rPr>
                <w:rFonts w:hint="eastAsia" w:ascii="宋体" w:hAnsi="宋体" w:eastAsia="宋体" w:cs="宋体"/>
                <w:i w:val="0"/>
                <w:iCs w:val="0"/>
                <w:color w:val="auto"/>
                <w:sz w:val="21"/>
                <w:szCs w:val="21"/>
                <w:highlight w:val="none"/>
                <w:u w:val="single"/>
              </w:rPr>
            </w:r>
            <w:r>
              <w:rPr>
                <w:color w:val="auto"/>
              </w:rPr>
            </w:r>
          </w:p>
        </w:tc>
      </w:tr>
      <w:tr>
        <w:trPr>
          <w:trHeight w:val="810"/>
        </w:trPr>
        <w:tc>
          <w:tcPr>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pStyle w:val="899"/>
              <w:ind w:firstLine="35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泵站值班人员必须保持24小时通讯畅通，对采购人要求要第一时间完成。（6分）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20分钟内联系不到值班人员扣2分，（汛期和雨天时间减半）不听从采购人调派的扣6分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jc w:val="right"/>
              <w:keepLines w:val="0"/>
              <w:keepNext w:val="0"/>
              <w:widowControl/>
              <w:rPr>
                <w:rFonts w:hint="eastAsia" w:ascii="宋体" w:hAnsi="宋体" w:eastAsia="宋体" w:cs="宋体"/>
                <w:i w:val="0"/>
                <w:iCs w:val="0"/>
                <w:color w:val="auto"/>
                <w:sz w:val="21"/>
                <w:szCs w:val="21"/>
                <w:highlight w:val="none"/>
                <w:u w:val="single"/>
              </w:rPr>
              <w:suppressLineNumbers w:val="0"/>
            </w:pPr>
            <w:r>
              <w:rPr>
                <w:rFonts w:hint="eastAsia" w:ascii="宋体" w:hAnsi="宋体" w:eastAsia="宋体" w:cs="宋体"/>
                <w:i w:val="0"/>
                <w:iCs w:val="0"/>
                <w:color w:val="auto"/>
                <w:sz w:val="21"/>
                <w:szCs w:val="21"/>
                <w:highlight w:val="none"/>
                <w:u w:val="single"/>
                <w:lang w:val="en-US" w:eastAsia="zh-CN"/>
              </w:rPr>
            </w:r>
            <w:r>
              <w:rPr>
                <w:color w:val="auto"/>
              </w:rPr>
            </w:r>
          </w:p>
        </w:tc>
      </w:tr>
      <w:tr>
        <w:trPr>
          <w:trHeight w:val="810"/>
        </w:trPr>
        <w:tc>
          <w:tcPr>
            <w:tcBorders>
              <w:top w:val="single" w:color="000000" w:sz="4" w:space="0"/>
              <w:left w:val="single" w:color="000000" w:sz="4" w:space="0"/>
              <w:bottom w:val="single" w:color="000000" w:sz="4" w:space="0"/>
              <w:right w:val="single" w:color="000000" w:sz="4" w:space="0"/>
            </w:tcBorders>
            <w:tcW w:w="1752" w:type="dxa"/>
            <w:vAlign w:val="center"/>
            <w:vMerge w:val="continue"/>
            <w:textDirection w:val="lrTb"/>
            <w:noWrap w:val="false"/>
          </w:tcPr>
          <w:p>
            <w:pPr>
              <w:pStyle w:val="899"/>
              <w:ind w:firstLine="35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泵站维保人员当天工作迟到、早退 （4分）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一次未签到扣1分，代签发现一次扣2分。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jc w:val="right"/>
              <w:keepLines w:val="0"/>
              <w:keepNext w:val="0"/>
              <w:widowControl/>
              <w:rPr>
                <w:rFonts w:hint="eastAsia" w:ascii="宋体" w:hAnsi="宋体" w:eastAsia="宋体" w:cs="宋体"/>
                <w:i w:val="0"/>
                <w:iCs w:val="0"/>
                <w:color w:val="auto"/>
                <w:sz w:val="21"/>
                <w:szCs w:val="21"/>
                <w:highlight w:val="none"/>
                <w:u w:val="single"/>
              </w:rPr>
              <w:suppressLineNumbers w:val="0"/>
            </w:pPr>
            <w:r>
              <w:rPr>
                <w:rFonts w:hint="eastAsia" w:ascii="宋体" w:hAnsi="宋体" w:eastAsia="宋体" w:cs="宋体"/>
                <w:i w:val="0"/>
                <w:iCs w:val="0"/>
                <w:color w:val="auto"/>
                <w:sz w:val="21"/>
                <w:szCs w:val="21"/>
                <w:highlight w:val="none"/>
                <w:u w:val="single"/>
                <w:lang w:val="en-US" w:eastAsia="zh-CN"/>
              </w:rPr>
            </w:r>
            <w:r>
              <w:rPr>
                <w:color w:val="auto"/>
              </w:rPr>
            </w:r>
          </w:p>
        </w:tc>
      </w:tr>
      <w:tr>
        <w:trPr>
          <w:trHeight w:val="623"/>
        </w:trPr>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总分：</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r>
            <w:r>
              <w:rPr>
                <w:color w:val="auto"/>
              </w:rPr>
            </w:r>
          </w:p>
        </w:tc>
      </w:tr>
      <w:tr>
        <w:trPr>
          <w:trHeight w:val="575"/>
        </w:trPr>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考核人员：</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r>
            <w:r>
              <w:rPr>
                <w:color w:val="auto"/>
              </w:rPr>
            </w:r>
          </w:p>
        </w:tc>
      </w:tr>
      <w:tr>
        <w:trPr>
          <w:trHeight w:val="586"/>
        </w:trPr>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维保单位：</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3595"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4183" w:type="dxa"/>
            <w:vAlign w:val="center"/>
            <w:textDirection w:val="lrTb"/>
            <w:noWrap/>
          </w:tcPr>
          <w:p>
            <w:pPr>
              <w:pStyle w:val="899"/>
              <w:ind w:firstLine="3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日期：</w:t>
            </w:r>
            <w:r>
              <w:rPr>
                <w:rFonts w:hint="eastAsia" w:ascii="宋体" w:hAnsi="宋体" w:eastAsia="宋体" w:cs="宋体"/>
                <w:color w:val="auto"/>
                <w:sz w:val="24"/>
                <w:szCs w:val="24"/>
                <w:highlight w:val="none"/>
                <w:lang w:val="en-US" w:eastAsia="zh-CN"/>
              </w:rPr>
            </w:r>
            <w:r>
              <w:rPr>
                <w:color w:val="auto"/>
              </w:rP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pStyle w:val="89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r>
            <w:r>
              <w:rPr>
                <w:color w:val="auto"/>
              </w:rPr>
            </w:r>
          </w:p>
        </w:tc>
      </w:tr>
    </w:tbl>
    <w:p>
      <w:pPr>
        <w:pStyle w:val="899"/>
        <w:jc w:val="center"/>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br w:type="page" w:clear="all"/>
      </w:r>
      <w:bookmarkStart w:id="383" w:name="_Toc435"/>
      <w:r>
        <w:rPr>
          <w:color w:val="auto"/>
        </w:rPr>
      </w:r>
      <w:bookmarkStart w:id="384" w:name="_Toc23875"/>
      <w:r>
        <w:rPr>
          <w:color w:val="auto"/>
        </w:rPr>
      </w:r>
      <w:bookmarkStart w:id="385" w:name="_Toc29271"/>
      <w:r>
        <w:rPr>
          <w:color w:val="auto"/>
        </w:rPr>
      </w:r>
      <w:bookmarkStart w:id="386" w:name="_Toc703"/>
      <w:r>
        <w:rPr>
          <w:color w:val="auto"/>
        </w:rPr>
      </w:r>
      <w:bookmarkStart w:id="387" w:name="_Toc29009"/>
      <w:r>
        <w:rPr>
          <w:color w:val="auto"/>
        </w:rPr>
      </w:r>
      <w:bookmarkStart w:id="388" w:name="_Toc15695"/>
      <w:r>
        <w:rPr>
          <w:color w:val="auto"/>
        </w:rPr>
      </w:r>
      <w:bookmarkStart w:id="389" w:name="_Toc14279"/>
      <w:r>
        <w:rPr>
          <w:color w:val="auto"/>
        </w:rPr>
      </w:r>
      <w:bookmarkStart w:id="390" w:name="_Toc31789"/>
      <w:r>
        <w:rPr>
          <w:color w:val="auto"/>
        </w:rPr>
      </w:r>
      <w:bookmarkStart w:id="391" w:name="_Toc20737"/>
      <w:r>
        <w:rPr>
          <w:color w:val="auto"/>
        </w:rPr>
      </w:r>
      <w:bookmarkStart w:id="392" w:name="_Toc19726"/>
      <w:r>
        <w:rPr>
          <w:color w:val="auto"/>
        </w:rPr>
      </w:r>
      <w:bookmarkStart w:id="393" w:name="_Toc12288"/>
      <w:r>
        <w:rPr>
          <w:color w:val="auto"/>
        </w:rPr>
      </w:r>
      <w:bookmarkStart w:id="394" w:name="_Toc16350"/>
      <w:r>
        <w:rPr>
          <w:color w:val="auto"/>
        </w:rPr>
      </w:r>
      <w:bookmarkStart w:id="395" w:name="_Toc23619"/>
      <w:r>
        <w:rPr>
          <w:color w:val="auto"/>
        </w:rPr>
      </w:r>
      <w:bookmarkStart w:id="396" w:name="_Toc31286"/>
      <w:r>
        <w:rPr>
          <w:color w:val="auto"/>
        </w:rPr>
      </w:r>
      <w:bookmarkStart w:id="397" w:name="_Toc4250"/>
      <w:r>
        <w:rPr>
          <w:rFonts w:hint="eastAsia" w:ascii="宋体" w:hAnsi="宋体" w:eastAsia="宋体" w:cs="宋体"/>
          <w:b/>
          <w:color w:val="auto"/>
          <w:sz w:val="30"/>
          <w:szCs w:val="30"/>
          <w:highlight w:val="none"/>
        </w:rPr>
        <w:t xml:space="preserve">第六章  竞争性磋商文件格式及附件</w:t>
      </w:r>
      <w:bookmarkEnd w:id="376"/>
      <w:r>
        <w:rPr>
          <w:color w:val="auto"/>
        </w:rPr>
      </w:r>
      <w:bookmarkEnd w:id="377"/>
      <w:r>
        <w:rPr>
          <w:color w:val="auto"/>
        </w:rPr>
      </w:r>
      <w:bookmarkEnd w:id="378"/>
      <w:r>
        <w:rPr>
          <w:color w:val="auto"/>
        </w:rPr>
      </w:r>
      <w:bookmarkEnd w:id="383"/>
      <w:r>
        <w:rPr>
          <w:color w:val="auto"/>
        </w:rPr>
      </w:r>
      <w:bookmarkEnd w:id="384"/>
      <w:r>
        <w:rPr>
          <w:color w:val="auto"/>
        </w:rPr>
      </w:r>
      <w:bookmarkEnd w:id="385"/>
      <w:r>
        <w:rPr>
          <w:color w:val="auto"/>
        </w:rPr>
      </w:r>
      <w:bookmarkEnd w:id="386"/>
      <w:r>
        <w:rPr>
          <w:color w:val="auto"/>
        </w:rPr>
      </w:r>
      <w:bookmarkEnd w:id="387"/>
      <w:r>
        <w:rPr>
          <w:color w:val="auto"/>
        </w:rPr>
      </w:r>
      <w:bookmarkEnd w:id="388"/>
      <w:r>
        <w:rPr>
          <w:color w:val="auto"/>
        </w:rPr>
      </w:r>
      <w:bookmarkEnd w:id="389"/>
      <w:r>
        <w:rPr>
          <w:color w:val="auto"/>
        </w:rPr>
      </w:r>
      <w:bookmarkEnd w:id="390"/>
      <w:r>
        <w:rPr>
          <w:color w:val="auto"/>
        </w:rPr>
      </w:r>
      <w:bookmarkEnd w:id="391"/>
      <w:r>
        <w:rPr>
          <w:color w:val="auto"/>
        </w:rPr>
      </w:r>
      <w:bookmarkEnd w:id="392"/>
      <w:r>
        <w:rPr>
          <w:color w:val="auto"/>
        </w:rPr>
      </w:r>
      <w:bookmarkEnd w:id="393"/>
      <w:r>
        <w:rPr>
          <w:color w:val="auto"/>
        </w:rPr>
      </w:r>
      <w:bookmarkEnd w:id="394"/>
      <w:r>
        <w:rPr>
          <w:color w:val="auto"/>
        </w:rPr>
      </w:r>
      <w:bookmarkEnd w:id="395"/>
      <w:r>
        <w:rPr>
          <w:color w:val="auto"/>
        </w:rPr>
      </w:r>
      <w:bookmarkEnd w:id="396"/>
      <w:r>
        <w:rPr>
          <w:color w:val="auto"/>
        </w:rPr>
      </w:r>
      <w:bookmarkEnd w:id="397"/>
      <w:r>
        <w:rPr>
          <w:rFonts w:hint="eastAsia" w:ascii="宋体" w:hAnsi="宋体" w:eastAsia="宋体" w:cs="宋体"/>
          <w:b/>
          <w:color w:val="auto"/>
          <w:sz w:val="30"/>
          <w:szCs w:val="30"/>
          <w:highlight w:val="none"/>
        </w:rPr>
      </w:r>
      <w:r>
        <w:rPr>
          <w:color w:val="auto"/>
        </w:rPr>
      </w:r>
    </w:p>
    <w:p>
      <w:pPr>
        <w:pStyle w:val="899"/>
        <w:jc w:val="center"/>
        <w:spacing w:line="360" w:lineRule="auto"/>
        <w:rPr>
          <w:rFonts w:hint="eastAsia" w:ascii="宋体" w:hAnsi="宋体" w:eastAsia="宋体" w:cs="宋体"/>
          <w:b/>
          <w:color w:val="auto"/>
          <w:sz w:val="72"/>
          <w:highlight w:val="none"/>
        </w:rPr>
      </w:pPr>
      <w:r>
        <w:rPr>
          <w:color w:val="auto"/>
        </w:rPr>
      </w:r>
      <w:bookmarkStart w:id="398" w:name="_Toc23839"/>
      <w:r>
        <w:rPr>
          <w:rFonts w:hint="eastAsia" w:ascii="宋体" w:hAnsi="宋体" w:eastAsia="宋体" w:cs="宋体"/>
          <w:b/>
          <w:color w:val="auto"/>
          <w:sz w:val="72"/>
          <w:highlight w:val="none"/>
        </w:rPr>
      </w:r>
      <w:r>
        <w:rPr>
          <w:color w:val="auto"/>
        </w:rPr>
      </w:r>
    </w:p>
    <w:p>
      <w:pPr>
        <w:pStyle w:val="899"/>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rPr>
          <w:color w:val="auto"/>
        </w:rPr>
      </w:r>
    </w:p>
    <w:p>
      <w:pPr>
        <w:pStyle w:val="899"/>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竞争性磋商响应文件</w:t>
      </w:r>
      <w:r>
        <w:rPr>
          <w:rFonts w:hint="eastAsia" w:ascii="宋体" w:hAnsi="宋体" w:eastAsia="宋体" w:cs="宋体"/>
          <w:b/>
          <w:color w:val="auto"/>
          <w:sz w:val="72"/>
          <w:highlight w:val="none"/>
        </w:rPr>
      </w:r>
      <w:r>
        <w:rPr>
          <w:color w:val="auto"/>
        </w:rPr>
      </w:r>
    </w:p>
    <w:p>
      <w:pPr>
        <w:pStyle w:val="899"/>
        <w:ind w:firstLine="3708"/>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color w:val="auto"/>
        </w:rPr>
      </w:r>
    </w:p>
    <w:p>
      <w:pPr>
        <w:pStyle w:val="899"/>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color w:val="auto"/>
        </w:rPr>
      </w:r>
    </w:p>
    <w:p>
      <w:pPr>
        <w:pStyle w:val="899"/>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color w:val="auto"/>
        </w:rPr>
      </w:r>
    </w:p>
    <w:p>
      <w:pPr>
        <w:pStyle w:val="899"/>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rPr>
          <w:color w:val="auto"/>
        </w:rPr>
      </w:r>
    </w:p>
    <w:p>
      <w:pPr>
        <w:pStyle w:val="899"/>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编 号： </w:t>
      </w:r>
      <w:r>
        <w:rPr>
          <w:rFonts w:hint="eastAsia" w:ascii="宋体" w:hAnsi="宋体" w:eastAsia="宋体" w:cs="宋体"/>
          <w:b/>
          <w:color w:val="auto"/>
          <w:sz w:val="36"/>
          <w:highlight w:val="none"/>
        </w:rPr>
      </w:r>
      <w:r>
        <w:rPr>
          <w:color w:val="auto"/>
        </w:rPr>
      </w:r>
    </w:p>
    <w:p>
      <w:pPr>
        <w:pStyle w:val="899"/>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 </w:t>
      </w:r>
      <w:r>
        <w:rPr>
          <w:rFonts w:hint="eastAsia" w:ascii="宋体" w:hAnsi="宋体" w:eastAsia="宋体" w:cs="宋体"/>
          <w:b/>
          <w:color w:val="auto"/>
          <w:sz w:val="36"/>
          <w:highlight w:val="none"/>
        </w:rPr>
      </w:r>
      <w:r>
        <w:rPr>
          <w:color w:val="auto"/>
        </w:rPr>
      </w:r>
    </w:p>
    <w:p>
      <w:pPr>
        <w:pStyle w:val="899"/>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w:t>
      </w:r>
      <w:r>
        <w:rPr>
          <w:rFonts w:hint="eastAsia" w:ascii="宋体" w:hAnsi="宋体" w:eastAsia="宋体" w:cs="宋体"/>
          <w:b/>
          <w:color w:val="auto"/>
          <w:sz w:val="36"/>
          <w:highlight w:val="none"/>
          <w:lang w:val="en-US" w:eastAsia="zh-CN"/>
        </w:rPr>
        <w:t xml:space="preserve">磋商</w:t>
      </w:r>
      <w:r>
        <w:rPr>
          <w:rFonts w:hint="eastAsia" w:ascii="宋体" w:hAnsi="宋体" w:eastAsia="宋体" w:cs="宋体"/>
          <w:b/>
          <w:color w:val="auto"/>
          <w:sz w:val="36"/>
          <w:highlight w:val="none"/>
        </w:rPr>
        <w:t xml:space="preserve">供应商</w:t>
      </w:r>
      <w:r>
        <w:rPr>
          <w:rFonts w:hint="eastAsia" w:ascii="宋体" w:hAnsi="宋体" w:eastAsia="宋体" w:cs="宋体"/>
          <w:b/>
          <w:color w:val="auto"/>
          <w:sz w:val="36"/>
          <w:highlight w:val="none"/>
          <w:lang w:val="en-US" w:eastAsia="zh-CN"/>
        </w:rPr>
        <w:t xml:space="preserve">名称（CA电子公章）</w:t>
      </w:r>
      <w:r>
        <w:rPr>
          <w:rFonts w:hint="eastAsia" w:ascii="宋体" w:hAnsi="宋体" w:eastAsia="宋体" w:cs="宋体"/>
          <w:b/>
          <w:color w:val="auto"/>
          <w:sz w:val="36"/>
          <w:highlight w:val="none"/>
        </w:rPr>
        <w:t xml:space="preserve">：</w:t>
      </w:r>
      <w:r>
        <w:rPr>
          <w:rFonts w:hint="eastAsia" w:ascii="宋体" w:hAnsi="宋体" w:eastAsia="宋体" w:cs="宋体"/>
          <w:b/>
          <w:color w:val="auto"/>
          <w:sz w:val="36"/>
          <w:highlight w:val="none"/>
          <w:u w:val="single"/>
        </w:rPr>
      </w:r>
      <w:r>
        <w:rPr>
          <w:color w:val="auto"/>
        </w:rPr>
      </w:r>
    </w:p>
    <w:p>
      <w:pPr>
        <w:pStyle w:val="899"/>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rPr>
      </w:r>
      <w:r>
        <w:rPr>
          <w:color w:val="auto"/>
        </w:rPr>
      </w:r>
    </w:p>
    <w:p>
      <w:pPr>
        <w:pStyle w:val="899"/>
        <w:rPr>
          <w:rFonts w:hint="eastAsia" w:ascii="宋体" w:hAnsi="宋体" w:eastAsia="宋体" w:cs="宋体"/>
          <w:b/>
          <w:color w:val="auto"/>
          <w:szCs w:val="21"/>
          <w:highlight w:val="none"/>
        </w:rPr>
        <w:outlineLvl w:val="1"/>
      </w:pPr>
      <w:r>
        <w:rPr>
          <w:rFonts w:hint="eastAsia" w:ascii="宋体" w:hAnsi="宋体" w:eastAsia="宋体" w:cs="宋体"/>
          <w:b/>
          <w:color w:val="auto"/>
          <w:sz w:val="36"/>
          <w:highlight w:val="none"/>
        </w:rPr>
        <w:br w:type="page" w:clear="all"/>
      </w:r>
      <w:bookmarkStart w:id="399" w:name="_Toc30769"/>
      <w:r>
        <w:rPr>
          <w:color w:val="auto"/>
        </w:rPr>
      </w:r>
      <w:bookmarkStart w:id="400" w:name="_Toc3217"/>
      <w:r>
        <w:rPr>
          <w:color w:val="auto"/>
        </w:rPr>
      </w:r>
      <w:bookmarkStart w:id="401" w:name="_Toc11327"/>
      <w:r>
        <w:rPr>
          <w:color w:val="auto"/>
        </w:rPr>
      </w:r>
      <w:bookmarkStart w:id="402" w:name="_Toc25732"/>
      <w:r>
        <w:rPr>
          <w:color w:val="auto"/>
        </w:rPr>
      </w:r>
      <w:bookmarkStart w:id="403" w:name="_Toc4572"/>
      <w:r>
        <w:rPr>
          <w:color w:val="auto"/>
        </w:rPr>
      </w:r>
      <w:bookmarkStart w:id="404" w:name="_Toc9682"/>
      <w:r>
        <w:rPr>
          <w:rFonts w:hint="eastAsia" w:ascii="宋体" w:hAnsi="宋体" w:eastAsia="宋体" w:cs="宋体"/>
          <w:b/>
          <w:color w:val="auto"/>
          <w:szCs w:val="21"/>
          <w:highlight w:val="none"/>
          <w:lang w:val="en-US" w:eastAsia="zh-CN"/>
        </w:rPr>
      </w:r>
      <w:r>
        <w:rPr>
          <w:color w:val="auto"/>
        </w:rPr>
      </w:r>
    </w:p>
    <w:p>
      <w:pPr>
        <w:pStyle w:val="899"/>
        <w:rPr>
          <w:rFonts w:hint="eastAsia" w:ascii="宋体" w:hAnsi="宋体" w:eastAsia="宋体" w:cs="宋体"/>
          <w:b/>
          <w:color w:val="auto"/>
          <w:szCs w:val="21"/>
          <w:highlight w:val="none"/>
        </w:rPr>
        <w:outlineLvl w:val="2"/>
      </w:pPr>
      <w:r>
        <w:rPr>
          <w:color w:val="auto"/>
        </w:rPr>
      </w:r>
      <w:bookmarkStart w:id="405" w:name="_Toc26103"/>
      <w:r>
        <w:rPr>
          <w:color w:val="auto"/>
        </w:rPr>
      </w:r>
      <w:bookmarkStart w:id="406" w:name="_Toc14006"/>
      <w:r>
        <w:rPr>
          <w:color w:val="auto"/>
        </w:rPr>
      </w:r>
      <w:bookmarkStart w:id="407" w:name="_Toc29504"/>
      <w:r>
        <w:rPr>
          <w:color w:val="auto"/>
        </w:rPr>
      </w:r>
      <w:bookmarkStart w:id="408" w:name="_Toc7165"/>
      <w:r>
        <w:rPr>
          <w:color w:val="auto"/>
        </w:rPr>
      </w:r>
      <w:bookmarkStart w:id="409" w:name="_Toc3862"/>
      <w:r>
        <w:rPr>
          <w:color w:val="auto"/>
        </w:rPr>
      </w:r>
      <w:bookmarkStart w:id="410" w:name="_Toc3947"/>
      <w:r>
        <w:rPr>
          <w:color w:val="auto"/>
        </w:rPr>
      </w:r>
      <w:bookmarkStart w:id="411" w:name="_Toc9973"/>
      <w:r>
        <w:rPr>
          <w:color w:val="auto"/>
        </w:rPr>
      </w:r>
      <w:bookmarkStart w:id="412" w:name="_Toc28552"/>
      <w:r>
        <w:rPr>
          <w:color w:val="auto"/>
        </w:rPr>
      </w:r>
      <w:bookmarkStart w:id="413" w:name="_Toc2905"/>
      <w:r>
        <w:rPr>
          <w:color w:val="auto"/>
        </w:rPr>
      </w:r>
      <w:bookmarkStart w:id="414" w:name="_Toc8995"/>
      <w:r>
        <w:rPr>
          <w:color w:val="auto"/>
        </w:rPr>
      </w:r>
      <w:bookmarkStart w:id="415" w:name="_Toc30209"/>
      <w:r>
        <w:rPr>
          <w:color w:val="auto"/>
        </w:rPr>
      </w:r>
      <w:bookmarkStart w:id="416" w:name="_Toc7408"/>
      <w:r>
        <w:rPr>
          <w:color w:val="auto"/>
        </w:rPr>
      </w:r>
      <w:bookmarkStart w:id="417" w:name="_Toc17385"/>
      <w:r>
        <w:rPr>
          <w:color w:val="auto"/>
        </w:rPr>
      </w:r>
      <w:bookmarkStart w:id="418" w:name="_Toc7952"/>
      <w:r>
        <w:rPr>
          <w:color w:val="auto"/>
        </w:rPr>
      </w:r>
      <w:bookmarkStart w:id="419" w:name="_Toc10982"/>
      <w:r>
        <w:rPr>
          <w:rFonts w:hint="eastAsia" w:ascii="宋体" w:hAnsi="宋体" w:eastAsia="宋体" w:cs="宋体"/>
          <w:b/>
          <w:color w:val="auto"/>
          <w:szCs w:val="21"/>
          <w:highlight w:val="none"/>
        </w:rPr>
        <w:t xml:space="preserve">一、磋商申请及声明</w:t>
      </w:r>
      <w:bookmarkEnd w:id="398"/>
      <w:r>
        <w:rPr>
          <w:color w:val="auto"/>
        </w:rPr>
      </w:r>
      <w:bookmarkEnd w:id="399"/>
      <w:r>
        <w:rPr>
          <w:color w:val="auto"/>
        </w:rPr>
      </w:r>
      <w:bookmarkEnd w:id="400"/>
      <w:r>
        <w:rPr>
          <w:color w:val="auto"/>
        </w:rPr>
      </w:r>
      <w:bookmarkEnd w:id="401"/>
      <w:r>
        <w:rPr>
          <w:color w:val="auto"/>
        </w:rPr>
      </w:r>
      <w:bookmarkEnd w:id="402"/>
      <w:r>
        <w:rPr>
          <w:color w:val="auto"/>
        </w:rPr>
      </w:r>
      <w:bookmarkEnd w:id="403"/>
      <w:r>
        <w:rPr>
          <w:color w:val="auto"/>
        </w:rPr>
      </w:r>
      <w:bookmarkEnd w:id="404"/>
      <w:r>
        <w:rPr>
          <w:color w:val="auto"/>
        </w:rPr>
      </w:r>
      <w:bookmarkEnd w:id="405"/>
      <w:r>
        <w:rPr>
          <w:color w:val="auto"/>
        </w:rPr>
      </w:r>
      <w:bookmarkEnd w:id="406"/>
      <w:r>
        <w:rPr>
          <w:color w:val="auto"/>
        </w:rPr>
      </w:r>
      <w:bookmarkEnd w:id="407"/>
      <w:r>
        <w:rPr>
          <w:color w:val="auto"/>
        </w:rPr>
      </w:r>
      <w:bookmarkEnd w:id="408"/>
      <w:r>
        <w:rPr>
          <w:color w:val="auto"/>
        </w:rPr>
      </w:r>
      <w:bookmarkEnd w:id="409"/>
      <w:r>
        <w:rPr>
          <w:color w:val="auto"/>
        </w:rPr>
      </w:r>
      <w:bookmarkEnd w:id="410"/>
      <w:r>
        <w:rPr>
          <w:color w:val="auto"/>
        </w:rPr>
      </w:r>
      <w:bookmarkEnd w:id="411"/>
      <w:r>
        <w:rPr>
          <w:color w:val="auto"/>
        </w:rPr>
      </w:r>
      <w:bookmarkEnd w:id="412"/>
      <w:r>
        <w:rPr>
          <w:color w:val="auto"/>
        </w:rPr>
      </w:r>
      <w:bookmarkEnd w:id="413"/>
      <w:r>
        <w:rPr>
          <w:color w:val="auto"/>
        </w:rPr>
      </w:r>
      <w:bookmarkEnd w:id="414"/>
      <w:r>
        <w:rPr>
          <w:color w:val="auto"/>
        </w:rPr>
      </w:r>
      <w:bookmarkEnd w:id="415"/>
      <w:r>
        <w:rPr>
          <w:color w:val="auto"/>
        </w:rPr>
      </w:r>
      <w:bookmarkEnd w:id="416"/>
      <w:r>
        <w:rPr>
          <w:color w:val="auto"/>
        </w:rPr>
      </w:r>
      <w:bookmarkEnd w:id="417"/>
      <w:r>
        <w:rPr>
          <w:color w:val="auto"/>
        </w:rPr>
      </w:r>
      <w:bookmarkEnd w:id="418"/>
      <w:r>
        <w:rPr>
          <w:color w:val="auto"/>
        </w:rPr>
      </w:r>
      <w:bookmarkEnd w:id="419"/>
      <w:r>
        <w:rPr>
          <w:rFonts w:hint="eastAsia" w:ascii="宋体" w:hAnsi="宋体" w:eastAsia="宋体" w:cs="宋体"/>
          <w:b/>
          <w:color w:val="auto"/>
          <w:szCs w:val="21"/>
          <w:highlight w:val="none"/>
        </w:rPr>
      </w:r>
      <w:r>
        <w:rPr>
          <w:color w:val="auto"/>
        </w:rPr>
      </w:r>
    </w:p>
    <w:p>
      <w:pPr>
        <w:pStyle w:val="899"/>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val="zh-CN"/>
        </w:rPr>
        <w:t xml:space="preserve">磋商申请及声明</w:t>
      </w:r>
      <w:r>
        <w:rPr>
          <w:rFonts w:hint="eastAsia" w:ascii="宋体" w:hAnsi="宋体" w:eastAsia="宋体" w:cs="宋体"/>
          <w:b/>
          <w:color w:val="auto"/>
          <w:sz w:val="44"/>
          <w:szCs w:val="44"/>
          <w:highlight w:val="none"/>
          <w:lang w:val="zh-CN"/>
        </w:rPr>
      </w:r>
      <w:r>
        <w:rPr>
          <w:color w:val="auto"/>
        </w:rPr>
      </w:r>
    </w:p>
    <w:p>
      <w:pPr>
        <w:pStyle w:val="89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致：南京市江宁区人民政府东山街道办事处</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根据贵方</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zh-CN"/>
        </w:rPr>
        <w:t xml:space="preserve">号采购文件，正式授权下述签字人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(姓名和职务)代表</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（供应商名称），提交响应文件并参加磋商。</w:t>
      </w:r>
      <w:r>
        <w:rPr>
          <w:rFonts w:hint="eastAsia" w:ascii="宋体" w:hAnsi="宋体" w:eastAsia="宋体" w:cs="宋体"/>
          <w:color w:val="auto"/>
          <w:szCs w:val="21"/>
          <w:highlight w:val="none"/>
          <w:lang w:val="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据此函，签字人兹宣布同意如下：</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1.根据已收到的《</w:t>
      </w:r>
      <w:r>
        <w:rPr>
          <w:rFonts w:hint="eastAsia" w:ascii="宋体" w:hAnsi="宋体" w:eastAsia="宋体" w:cs="宋体"/>
          <w:color w:val="auto"/>
          <w:szCs w:val="21"/>
          <w:highlight w:val="none"/>
          <w:u w:val="single"/>
          <w:lang w:val="zh-CN" w:eastAsia="zh-CN"/>
        </w:rPr>
        <w:t xml:space="preserve">东山街道大马涵</w:t>
      </w:r>
      <w:r>
        <w:rPr>
          <w:rFonts w:hint="eastAsia" w:ascii="宋体" w:hAnsi="宋体" w:eastAsia="宋体" w:cs="宋体"/>
          <w:color w:val="auto"/>
          <w:szCs w:val="21"/>
          <w:highlight w:val="none"/>
          <w:u w:val="single"/>
          <w:lang w:val="en-US" w:eastAsia="zh-CN"/>
        </w:rPr>
        <w:t xml:space="preserve">泵站</w:t>
      </w:r>
      <w:r>
        <w:rPr>
          <w:rFonts w:hint="eastAsia" w:ascii="宋体" w:hAnsi="宋体" w:eastAsia="宋体" w:cs="宋体"/>
          <w:color w:val="auto"/>
          <w:szCs w:val="21"/>
          <w:highlight w:val="none"/>
          <w:u w:val="single"/>
          <w:lang w:val="zh-CN" w:eastAsia="zh-CN"/>
        </w:rPr>
        <w:t xml:space="preserve">等</w:t>
      </w:r>
      <w:r>
        <w:rPr>
          <w:rFonts w:hint="eastAsia" w:ascii="宋体" w:hAnsi="宋体" w:eastAsia="宋体" w:cs="宋体"/>
          <w:color w:val="auto"/>
          <w:szCs w:val="21"/>
          <w:highlight w:val="none"/>
          <w:u w:val="single"/>
          <w:lang w:val="en-US" w:eastAsia="zh-CN"/>
        </w:rPr>
        <w:t xml:space="preserve">七</w:t>
      </w:r>
      <w:r>
        <w:rPr>
          <w:rFonts w:hint="eastAsia" w:ascii="宋体" w:hAnsi="宋体" w:eastAsia="宋体" w:cs="宋体"/>
          <w:color w:val="auto"/>
          <w:szCs w:val="21"/>
          <w:highlight w:val="none"/>
          <w:u w:val="single"/>
          <w:lang w:val="zh-CN" w:eastAsia="zh-CN"/>
        </w:rPr>
        <w:t xml:space="preserve">座</w:t>
      </w:r>
      <w:r>
        <w:rPr>
          <w:rFonts w:hint="eastAsia" w:ascii="宋体" w:hAnsi="宋体" w:eastAsia="宋体" w:cs="宋体"/>
          <w:color w:val="auto"/>
          <w:szCs w:val="21"/>
          <w:highlight w:val="none"/>
          <w:u w:val="single"/>
          <w:lang w:val="en-US" w:eastAsia="zh-CN"/>
        </w:rPr>
        <w:t xml:space="preserve">雨水</w:t>
      </w:r>
      <w:r>
        <w:rPr>
          <w:rFonts w:hint="eastAsia" w:ascii="宋体" w:hAnsi="宋体" w:eastAsia="宋体" w:cs="宋体"/>
          <w:color w:val="auto"/>
          <w:szCs w:val="21"/>
          <w:highlight w:val="none"/>
          <w:u w:val="single"/>
          <w:lang w:val="zh-CN" w:eastAsia="zh-CN"/>
        </w:rPr>
        <w:t xml:space="preserve">泵站维保</w:t>
      </w:r>
      <w:r>
        <w:rPr>
          <w:rFonts w:hint="eastAsia" w:ascii="宋体" w:hAnsi="宋体" w:eastAsia="宋体" w:cs="宋体"/>
          <w:color w:val="auto"/>
          <w:szCs w:val="21"/>
          <w:highlight w:val="none"/>
        </w:rPr>
        <w:t xml:space="preserve">》磋商文件，遵照规定，我单位经现场考察和认真研究上述磋商文件后，愿以</w:t>
      </w:r>
      <w:r>
        <w:rPr>
          <w:rFonts w:hint="eastAsia" w:ascii="宋体" w:hAnsi="宋体" w:eastAsia="宋体" w:cs="宋体"/>
          <w:color w:val="auto"/>
          <w:szCs w:val="21"/>
          <w:highlight w:val="none"/>
          <w:lang w:val="en-US" w:eastAsia="zh-CN"/>
        </w:rPr>
        <w:t xml:space="preserve">总价</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元</w:t>
      </w:r>
      <w:r>
        <w:rPr>
          <w:rFonts w:hint="eastAsia" w:ascii="宋体" w:hAnsi="宋体" w:eastAsia="宋体" w:cs="宋体"/>
          <w:color w:val="auto"/>
          <w:szCs w:val="21"/>
          <w:highlight w:val="none"/>
        </w:rPr>
        <w:t xml:space="preserve">人民币（￥</w:t>
      </w:r>
      <w:r>
        <w:rPr>
          <w:rFonts w:hint="eastAsia" w:ascii="宋体" w:hAnsi="宋体" w:eastAsia="宋体" w:cs="宋体"/>
          <w:color w:val="auto"/>
          <w:szCs w:val="21"/>
          <w:highlight w:val="none"/>
          <w:u w:val="single"/>
        </w:rPr>
        <w:t xml:space="preserve">         元</w:t>
      </w:r>
      <w:r>
        <w:rPr>
          <w:rFonts w:hint="eastAsia" w:ascii="宋体" w:hAnsi="宋体" w:eastAsia="宋体" w:cs="宋体"/>
          <w:color w:val="auto"/>
          <w:szCs w:val="21"/>
          <w:highlight w:val="none"/>
        </w:rPr>
        <w:t xml:space="preserve">）作为磋商报价。</w:t>
      </w:r>
      <w:r>
        <w:rPr>
          <w:rFonts w:hint="eastAsia" w:ascii="宋体" w:hAnsi="宋体" w:eastAsia="宋体" w:cs="宋体"/>
          <w:color w:val="auto"/>
          <w:szCs w:val="21"/>
          <w:highlight w:val="none"/>
          <w:lang w:eastAsia="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2.我们完全理解贵方不一定要接受最低报价的磋商或收到的任何磋商。</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4.我们同意从规定的磋商日期起遵循本磋商文件，并在规定的磋商有效期期满之前均具有约束力。</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5.同意向贵方提供贵方可能要求的与磋商有关的任何证据或资料。</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.一旦我方成交，我方将根据磋商文件的规定，严格履行合同，并保证于承诺的时间完成货物的启动、调试等服务，交付采购人验收、使用。</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（1）提供虚假材料谋取中标、成交的；</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（2）采取不正当手段诋毁、排挤其他供应商的；</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（3）与采购人、其它供应商或者采购代理机构恶意串通的；</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（4）向采购人、采购代理机构行贿或者提供其他不正当利益的；</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（5）在采购过程中与采购人进行协商磋商的；</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（6）拒绝有关部门监督检查或提供虚假情况的。</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.本项目拟投入项目</w:t>
      </w:r>
      <w:r>
        <w:rPr>
          <w:rFonts w:hint="eastAsia" w:ascii="宋体" w:hAnsi="宋体" w:eastAsia="宋体" w:cs="宋体"/>
          <w:color w:val="auto"/>
          <w:szCs w:val="21"/>
          <w:highlight w:val="none"/>
          <w:u w:val="single"/>
        </w:rPr>
        <w:t xml:space="preserve">负责人：                      。</w:t>
      </w:r>
      <w:r>
        <w:rPr>
          <w:rFonts w:hint="eastAsia" w:ascii="宋体" w:hAnsi="宋体" w:eastAsia="宋体" w:cs="宋体"/>
          <w:color w:val="auto"/>
          <w:szCs w:val="21"/>
          <w:highlight w:val="none"/>
        </w:rPr>
      </w:r>
      <w:r>
        <w:rPr>
          <w:color w:val="auto"/>
        </w:rPr>
      </w:r>
    </w:p>
    <w:p>
      <w:pPr>
        <w:pStyle w:val="899"/>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rPr>
          <w:rFonts w:hint="eastAsia" w:ascii="宋体" w:hAnsi="宋体" w:eastAsia="宋体" w:cs="宋体"/>
          <w:color w:val="auto"/>
          <w:szCs w:val="21"/>
          <w:highlight w:val="none"/>
          <w:lang w:val="en-US" w:eastAsia="zh-CN"/>
        </w:rPr>
        <w:t xml:space="preserve">加盖CA电子公章</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rPr>
      </w:r>
      <w:r>
        <w:rPr>
          <w:color w:val="auto"/>
        </w:rPr>
      </w:r>
    </w:p>
    <w:p>
      <w:pPr>
        <w:pStyle w:val="899"/>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rPr>
      </w:r>
      <w:r>
        <w:rPr>
          <w:color w:val="auto"/>
        </w:rPr>
      </w:r>
    </w:p>
    <w:p>
      <w:pPr>
        <w:pStyle w:val="899"/>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rPr>
      </w:r>
      <w:r>
        <w:rPr>
          <w:color w:val="auto"/>
        </w:rPr>
      </w:r>
    </w:p>
    <w:p>
      <w:pPr>
        <w:pStyle w:val="899"/>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w:t>
      </w:r>
      <w:r>
        <w:rPr>
          <w:rFonts w:hint="eastAsia" w:ascii="宋体" w:hAnsi="宋体" w:eastAsia="宋体" w:cs="宋体"/>
          <w:color w:val="auto"/>
          <w:szCs w:val="21"/>
          <w:highlight w:val="none"/>
        </w:rPr>
      </w:r>
      <w:r>
        <w:rPr>
          <w:color w:val="auto"/>
        </w:rPr>
      </w:r>
    </w:p>
    <w:p>
      <w:pPr>
        <w:pStyle w:val="899"/>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rPr>
      </w:r>
      <w:r>
        <w:rPr>
          <w:color w:val="auto"/>
        </w:rPr>
      </w:r>
    </w:p>
    <w:p>
      <w:pPr>
        <w:pStyle w:val="899"/>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帐    号：</w:t>
      </w:r>
      <w:r>
        <w:rPr>
          <w:rFonts w:hint="eastAsia" w:ascii="宋体" w:hAnsi="宋体" w:eastAsia="宋体" w:cs="宋体"/>
          <w:color w:val="auto"/>
          <w:szCs w:val="21"/>
          <w:highlight w:val="none"/>
        </w:rPr>
      </w:r>
      <w:r>
        <w:rPr>
          <w:color w:val="auto"/>
        </w:rPr>
      </w:r>
    </w:p>
    <w:p>
      <w:pPr>
        <w:pStyle w:val="899"/>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供应商授权代表姓名（签字）：  </w:t>
      </w:r>
      <w:r>
        <w:rPr>
          <w:rFonts w:hint="eastAsia" w:ascii="宋体" w:hAnsi="宋体" w:eastAsia="宋体" w:cs="宋体"/>
          <w:color w:val="auto"/>
          <w:szCs w:val="21"/>
          <w:highlight w:val="none"/>
        </w:rPr>
      </w:r>
      <w:r>
        <w:rPr>
          <w:color w:val="auto"/>
        </w:rPr>
      </w:r>
    </w:p>
    <w:p>
      <w:pPr>
        <w:pStyle w:val="899"/>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 </w:t>
      </w:r>
      <w:r>
        <w:rPr>
          <w:rFonts w:hint="eastAsia" w:ascii="宋体" w:hAnsi="宋体" w:eastAsia="宋体" w:cs="宋体"/>
          <w:color w:val="auto"/>
          <w:szCs w:val="21"/>
          <w:highlight w:val="none"/>
        </w:rPr>
      </w:r>
      <w:r>
        <w:rPr>
          <w:color w:val="auto"/>
        </w:rPr>
      </w:r>
    </w:p>
    <w:p>
      <w:pPr>
        <w:pStyle w:val="899"/>
        <w:ind w:firstLine="52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 </w:t>
      </w:r>
      <w:r>
        <w:rPr>
          <w:rFonts w:hint="eastAsia" w:ascii="宋体" w:hAnsi="宋体" w:eastAsia="宋体" w:cs="宋体"/>
          <w:color w:val="auto"/>
          <w:szCs w:val="21"/>
          <w:highlight w:val="none"/>
        </w:rPr>
      </w:r>
      <w:r>
        <w:rPr>
          <w:color w:val="auto"/>
        </w:rPr>
      </w:r>
    </w:p>
    <w:p>
      <w:pPr>
        <w:pStyle w:val="899"/>
        <w:ind w:firstLine="525"/>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r>
      <w:r>
        <w:rPr>
          <w:color w:val="auto"/>
        </w:rPr>
      </w:r>
    </w:p>
    <w:p>
      <w:pPr>
        <w:pStyle w:val="899"/>
        <w:ind w:firstLine="840"/>
        <w:rPr>
          <w:rFonts w:hint="eastAsia" w:ascii="宋体" w:hAnsi="宋体" w:eastAsia="宋体" w:cs="宋体"/>
          <w:color w:val="auto"/>
          <w:highlight w:val="none"/>
        </w:rPr>
        <w:outlineLvl w:val="9"/>
      </w:pPr>
      <w:r>
        <w:rPr>
          <w:rFonts w:hint="eastAsia" w:ascii="宋体" w:hAnsi="宋体" w:eastAsia="宋体" w:cs="宋体"/>
          <w:color w:val="auto"/>
          <w:highlight w:val="none"/>
        </w:rPr>
      </w:r>
      <w:r>
        <w:rPr>
          <w:color w:val="auto"/>
        </w:rP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rPr>
          <w:rFonts w:hint="eastAsia" w:ascii="宋体" w:hAnsi="宋体" w:eastAsia="宋体" w:cs="宋体"/>
          <w:b/>
          <w:color w:val="auto"/>
          <w:szCs w:val="21"/>
          <w:highlight w:val="none"/>
        </w:rPr>
        <w:outlineLvl w:val="2"/>
      </w:pPr>
      <w:r>
        <w:rPr>
          <w:color w:val="auto"/>
        </w:rPr>
      </w:r>
      <w:bookmarkStart w:id="420" w:name="_Toc11261"/>
      <w:r>
        <w:rPr>
          <w:rFonts w:hint="eastAsia" w:ascii="宋体" w:hAnsi="宋体" w:eastAsia="宋体" w:cs="宋体"/>
          <w:b/>
          <w:color w:val="auto"/>
          <w:szCs w:val="21"/>
          <w:highlight w:val="none"/>
        </w:rPr>
        <w:br w:type="page" w:clear="all"/>
      </w:r>
      <w:bookmarkStart w:id="421" w:name="_Toc8544"/>
      <w:r>
        <w:rPr>
          <w:color w:val="auto"/>
        </w:rPr>
      </w:r>
      <w:bookmarkStart w:id="422" w:name="_Toc32598"/>
      <w:r>
        <w:rPr>
          <w:color w:val="auto"/>
        </w:rPr>
      </w:r>
      <w:bookmarkStart w:id="423" w:name="_Toc4834"/>
      <w:r>
        <w:rPr>
          <w:color w:val="auto"/>
        </w:rPr>
      </w:r>
      <w:bookmarkStart w:id="424" w:name="_Toc24605"/>
      <w:r>
        <w:rPr>
          <w:color w:val="auto"/>
        </w:rPr>
      </w:r>
      <w:bookmarkStart w:id="425" w:name="_Toc31281"/>
      <w:r>
        <w:rPr>
          <w:color w:val="auto"/>
        </w:rPr>
      </w:r>
      <w:bookmarkStart w:id="426" w:name="_Toc31459"/>
      <w:r>
        <w:rPr>
          <w:color w:val="auto"/>
        </w:rPr>
      </w:r>
      <w:bookmarkStart w:id="427" w:name="_Toc5538"/>
      <w:r>
        <w:rPr>
          <w:color w:val="auto"/>
        </w:rPr>
      </w:r>
      <w:bookmarkStart w:id="428" w:name="_Toc8071"/>
      <w:r>
        <w:rPr>
          <w:color w:val="auto"/>
        </w:rPr>
      </w:r>
      <w:bookmarkStart w:id="429" w:name="_Toc29001"/>
      <w:r>
        <w:rPr>
          <w:color w:val="auto"/>
        </w:rPr>
      </w:r>
      <w:bookmarkStart w:id="430" w:name="_Toc32089"/>
      <w:r>
        <w:rPr>
          <w:color w:val="auto"/>
        </w:rPr>
      </w:r>
      <w:bookmarkStart w:id="431" w:name="_Toc1085"/>
      <w:r>
        <w:rPr>
          <w:color w:val="auto"/>
        </w:rPr>
      </w:r>
      <w:bookmarkStart w:id="432" w:name="_Toc18941"/>
      <w:r>
        <w:rPr>
          <w:color w:val="auto"/>
        </w:rPr>
      </w:r>
      <w:bookmarkStart w:id="433" w:name="_Toc4949"/>
      <w:r>
        <w:rPr>
          <w:color w:val="auto"/>
        </w:rPr>
      </w:r>
      <w:bookmarkStart w:id="434" w:name="_Toc26531"/>
      <w:r>
        <w:rPr>
          <w:color w:val="auto"/>
        </w:rPr>
      </w:r>
      <w:bookmarkStart w:id="435" w:name="_Toc23829"/>
      <w:r>
        <w:rPr>
          <w:color w:val="auto"/>
        </w:rPr>
      </w:r>
      <w:bookmarkStart w:id="436" w:name="_Toc2115"/>
      <w:r>
        <w:rPr>
          <w:color w:val="auto"/>
        </w:rPr>
      </w:r>
      <w:bookmarkStart w:id="437" w:name="_Toc16661"/>
      <w:r>
        <w:rPr>
          <w:color w:val="auto"/>
        </w:rPr>
      </w:r>
      <w:bookmarkStart w:id="438" w:name="_Toc883"/>
      <w:r>
        <w:rPr>
          <w:color w:val="auto"/>
        </w:rPr>
      </w:r>
      <w:bookmarkStart w:id="439" w:name="_Toc23050"/>
      <w:r>
        <w:rPr>
          <w:color w:val="auto"/>
        </w:rPr>
      </w:r>
      <w:bookmarkStart w:id="440" w:name="_Toc9896"/>
      <w:r>
        <w:rPr>
          <w:rFonts w:hint="eastAsia" w:ascii="宋体" w:hAnsi="宋体" w:eastAsia="宋体" w:cs="宋体"/>
          <w:b/>
          <w:color w:val="auto"/>
          <w:szCs w:val="21"/>
          <w:highlight w:val="none"/>
        </w:rPr>
      </w:r>
      <w:r>
        <w:rPr>
          <w:color w:val="auto"/>
        </w:rPr>
      </w:r>
    </w:p>
    <w:p>
      <w:pPr>
        <w:pStyle w:val="899"/>
        <w:rPr>
          <w:rFonts w:hint="eastAsia" w:ascii="宋体" w:hAnsi="宋体" w:eastAsia="宋体" w:cs="宋体"/>
          <w:b/>
          <w:color w:val="auto"/>
          <w:szCs w:val="21"/>
          <w:highlight w:val="none"/>
        </w:rPr>
        <w:outlineLvl w:val="2"/>
      </w:pPr>
      <w:r>
        <w:rPr>
          <w:color w:val="auto"/>
        </w:rPr>
      </w:r>
      <w:bookmarkStart w:id="441" w:name="_Toc9634"/>
      <w:r>
        <w:rPr>
          <w:rFonts w:hint="eastAsia" w:ascii="宋体" w:hAnsi="宋体" w:eastAsia="宋体" w:cs="宋体"/>
          <w:b/>
          <w:color w:val="auto"/>
          <w:szCs w:val="21"/>
          <w:highlight w:val="none"/>
        </w:rPr>
        <w:t xml:space="preserve">二、法定代表人授权委托书</w:t>
      </w:r>
      <w:bookmarkEnd w:id="420"/>
      <w:r>
        <w:rPr>
          <w:color w:val="auto"/>
        </w:rPr>
      </w:r>
      <w:bookmarkEnd w:id="421"/>
      <w:r>
        <w:rPr>
          <w:color w:val="auto"/>
        </w:rPr>
      </w:r>
      <w:bookmarkEnd w:id="422"/>
      <w:r>
        <w:rPr>
          <w:color w:val="auto"/>
        </w:rPr>
      </w:r>
      <w:bookmarkEnd w:id="423"/>
      <w:r>
        <w:rPr>
          <w:color w:val="auto"/>
        </w:rPr>
      </w:r>
      <w:bookmarkEnd w:id="424"/>
      <w:r>
        <w:rPr>
          <w:color w:val="auto"/>
        </w:rPr>
      </w:r>
      <w:bookmarkEnd w:id="425"/>
      <w:r>
        <w:rPr>
          <w:color w:val="auto"/>
        </w:rPr>
      </w:r>
      <w:bookmarkEnd w:id="426"/>
      <w:r>
        <w:rPr>
          <w:color w:val="auto"/>
        </w:rPr>
      </w:r>
      <w:bookmarkEnd w:id="427"/>
      <w:r>
        <w:rPr>
          <w:color w:val="auto"/>
        </w:rPr>
      </w:r>
      <w:bookmarkEnd w:id="428"/>
      <w:r>
        <w:rPr>
          <w:color w:val="auto"/>
        </w:rPr>
      </w:r>
      <w:bookmarkEnd w:id="429"/>
      <w:r>
        <w:rPr>
          <w:color w:val="auto"/>
        </w:rPr>
      </w:r>
      <w:bookmarkEnd w:id="430"/>
      <w:r>
        <w:rPr>
          <w:color w:val="auto"/>
        </w:rPr>
      </w:r>
      <w:bookmarkEnd w:id="431"/>
      <w:r>
        <w:rPr>
          <w:color w:val="auto"/>
        </w:rPr>
      </w:r>
      <w:bookmarkEnd w:id="432"/>
      <w:r>
        <w:rPr>
          <w:color w:val="auto"/>
        </w:rPr>
      </w:r>
      <w:bookmarkEnd w:id="433"/>
      <w:r>
        <w:rPr>
          <w:color w:val="auto"/>
        </w:rPr>
      </w:r>
      <w:bookmarkEnd w:id="434"/>
      <w:r>
        <w:rPr>
          <w:color w:val="auto"/>
        </w:rPr>
      </w:r>
      <w:bookmarkEnd w:id="435"/>
      <w:r>
        <w:rPr>
          <w:color w:val="auto"/>
        </w:rPr>
      </w:r>
      <w:bookmarkEnd w:id="436"/>
      <w:r>
        <w:rPr>
          <w:color w:val="auto"/>
        </w:rPr>
      </w:r>
      <w:bookmarkEnd w:id="437"/>
      <w:r>
        <w:rPr>
          <w:color w:val="auto"/>
        </w:rPr>
      </w:r>
      <w:bookmarkEnd w:id="438"/>
      <w:r>
        <w:rPr>
          <w:color w:val="auto"/>
        </w:rPr>
      </w:r>
      <w:bookmarkEnd w:id="439"/>
      <w:r>
        <w:rPr>
          <w:color w:val="auto"/>
        </w:rPr>
      </w:r>
      <w:bookmarkEnd w:id="440"/>
      <w:r>
        <w:rPr>
          <w:color w:val="auto"/>
        </w:rPr>
      </w:r>
      <w:bookmarkEnd w:id="441"/>
      <w:r>
        <w:rPr>
          <w:rFonts w:hint="eastAsia" w:ascii="宋体" w:hAnsi="宋体" w:eastAsia="宋体" w:cs="宋体"/>
          <w:b/>
          <w:color w:val="auto"/>
          <w:szCs w:val="21"/>
          <w:highlight w:val="none"/>
        </w:rPr>
      </w:r>
      <w:r>
        <w:rPr>
          <w:color w:val="auto"/>
        </w:rPr>
      </w:r>
    </w:p>
    <w:p>
      <w:pPr>
        <w:pStyle w:val="899"/>
        <w:ind w:firstLine="643"/>
        <w:jc w:val="center"/>
        <w:rPr>
          <w:rFonts w:hint="eastAsia" w:ascii="宋体" w:hAnsi="宋体" w:eastAsia="宋体" w:cs="宋体"/>
          <w:b/>
          <w:bCs/>
          <w:color w:val="auto"/>
          <w:sz w:val="32"/>
          <w:szCs w:val="44"/>
          <w:highlight w:val="none"/>
        </w:rPr>
      </w:pPr>
      <w:r>
        <w:rPr>
          <w:rFonts w:hint="eastAsia" w:ascii="宋体" w:hAnsi="宋体" w:eastAsia="宋体" w:cs="宋体"/>
          <w:b/>
          <w:bCs/>
          <w:color w:val="auto"/>
          <w:sz w:val="32"/>
          <w:szCs w:val="44"/>
          <w:highlight w:val="none"/>
        </w:rPr>
        <w:t xml:space="preserve">法定代表人授权委托书</w:t>
      </w:r>
      <w:r>
        <w:rPr>
          <w:rFonts w:hint="eastAsia" w:ascii="宋体" w:hAnsi="宋体" w:eastAsia="宋体" w:cs="宋体"/>
          <w:b/>
          <w:bCs/>
          <w:color w:val="auto"/>
          <w:sz w:val="32"/>
          <w:szCs w:val="44"/>
          <w:highlight w:val="none"/>
        </w:rPr>
      </w:r>
      <w:r>
        <w:rPr>
          <w:color w:val="auto"/>
        </w:rPr>
      </w:r>
    </w:p>
    <w:p>
      <w:pPr>
        <w:pStyle w:val="899"/>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rPr>
          <w:color w:val="auto"/>
        </w:rPr>
      </w:r>
    </w:p>
    <w:p>
      <w:pPr>
        <w:pStyle w:val="89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南京市江宁区人民政府东山街道办事处</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r>
      <w:r>
        <w:rPr>
          <w:color w:val="auto"/>
        </w:rPr>
      </w:r>
    </w:p>
    <w:p>
      <w:pPr>
        <w:pStyle w:val="89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本授权书声明：注册于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（供应商注册地址）的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（供应商名称）法定代表人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（法定代表人姓名、职务）代表本公司授权在下面签字的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（授权代表姓名、职务）为本公司的合法代理人，就贵方组织的项目编号：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号</w:t>
      </w: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，以本公司名义处理一切与之有关的事务。</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日签字生效，特此声明。</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附：法定代表人及授权委托人身份证复印件。</w:t>
      </w:r>
      <w:r>
        <w:rPr>
          <w:rFonts w:hint="eastAsia" w:ascii="宋体" w:hAnsi="宋体" w:eastAsia="宋体" w:cs="宋体"/>
          <w:color w:val="auto"/>
          <w:szCs w:val="21"/>
          <w:highlight w:val="none"/>
          <w:lang w:val="en-US" w:eastAsia="zh-CN"/>
        </w:rPr>
      </w:r>
      <w:r>
        <w:rPr>
          <w:color w:val="auto"/>
        </w:rPr>
      </w:r>
    </w:p>
    <w:p>
      <w:pPr>
        <w:pStyle w:val="899"/>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zh-CN"/>
        </w:rPr>
      </w:r>
      <w:r>
        <w:rPr>
          <w:color w:val="auto"/>
        </w:rPr>
      </w:r>
    </w:p>
    <w:p>
      <w:pPr>
        <w:pStyle w:val="899"/>
        <w:jc w:val="left"/>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1.法定代表人身份证：</w:t>
      </w:r>
      <w:r>
        <w:rPr>
          <w:rFonts w:hint="eastAsia" w:ascii="宋体" w:hAnsi="宋体" w:eastAsia="宋体" w:cs="宋体"/>
          <w:color w:val="auto"/>
          <w:sz w:val="21"/>
          <w:szCs w:val="21"/>
          <w:highlight w:val="none"/>
          <w:lang w:val="en-US" w:eastAsia="zh-CN"/>
        </w:rPr>
      </w:r>
      <w:r>
        <w:rPr>
          <w:color w:val="auto"/>
        </w:rPr>
      </w:r>
    </w:p>
    <w:p>
      <w:pPr>
        <w:pStyle w:val="899"/>
        <w:ind w:firstLine="480"/>
        <w:jc w:val="right"/>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bl>
      <w:tblPr>
        <w:tblStyle w:val="99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770"/>
        </w:trPr>
        <w:tc>
          <w:tcPr>
            <w:tcW w:w="4842" w:type="dxa"/>
            <w:vAlign w:val="top"/>
            <w:textDirection w:val="lrTb"/>
            <w:noWrap w:val="false"/>
          </w:tcPr>
          <w:p>
            <w:pPr>
              <w:pStyle w:val="899"/>
              <w:jc w:val="left"/>
              <w:tabs>
                <w:tab w:val="left" w:pos="1440" w:leader="none"/>
              </w:tabs>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rPr>
                <w:color w:val="auto"/>
              </w:rPr>
            </w:r>
          </w:p>
        </w:tc>
        <w:tc>
          <w:tcPr>
            <w:tcW w:w="4842" w:type="dxa"/>
            <w:vAlign w:val="top"/>
            <w:textDirection w:val="lrTb"/>
            <w:noWrap w:val="false"/>
          </w:tcPr>
          <w:p>
            <w:pPr>
              <w:pStyle w:val="899"/>
              <w:jc w:val="left"/>
              <w:tabs>
                <w:tab w:val="left" w:pos="1440" w:leader="none"/>
              </w:tabs>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rPr>
                <w:color w:val="auto"/>
              </w:rPr>
            </w:r>
          </w:p>
        </w:tc>
      </w:tr>
      <w:tr>
        <w:trPr>
          <w:trHeight w:val="612"/>
        </w:trPr>
        <w:tc>
          <w:tcPr>
            <w:tcW w:w="4842" w:type="dxa"/>
            <w:vAlign w:val="center"/>
            <w:textDirection w:val="lrTb"/>
            <w:noWrap w:val="false"/>
          </w:tcPr>
          <w:p>
            <w:pPr>
              <w:pStyle w:val="899"/>
              <w:jc w:val="center"/>
              <w:tabs>
                <w:tab w:val="left" w:pos="1440" w:leader="none"/>
              </w:tabs>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 xml:space="preserve">身份证正面（国徽面）</w:t>
            </w:r>
            <w:r>
              <w:rPr>
                <w:rFonts w:hint="eastAsia" w:ascii="宋体" w:hAnsi="宋体" w:eastAsia="宋体" w:cs="宋体"/>
                <w:color w:val="auto"/>
                <w:sz w:val="21"/>
                <w:szCs w:val="21"/>
                <w:highlight w:val="none"/>
                <w:vertAlign w:val="baseline"/>
                <w:lang w:val="en-US" w:eastAsia="zh-CN"/>
              </w:rPr>
            </w:r>
            <w:r>
              <w:rPr>
                <w:color w:val="auto"/>
              </w:rPr>
            </w:r>
          </w:p>
        </w:tc>
        <w:tc>
          <w:tcPr>
            <w:tcW w:w="4842" w:type="dxa"/>
            <w:vAlign w:val="center"/>
            <w:textDirection w:val="lrTb"/>
            <w:noWrap w:val="false"/>
          </w:tcPr>
          <w:p>
            <w:pPr>
              <w:pStyle w:val="899"/>
              <w:jc w:val="center"/>
              <w:tabs>
                <w:tab w:val="left" w:pos="1440" w:leader="none"/>
              </w:tabs>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 xml:space="preserve">身份证背面</w:t>
            </w:r>
            <w:r>
              <w:rPr>
                <w:rFonts w:hint="eastAsia" w:ascii="宋体" w:hAnsi="宋体" w:eastAsia="宋体" w:cs="宋体"/>
                <w:color w:val="auto"/>
                <w:sz w:val="21"/>
                <w:szCs w:val="21"/>
                <w:highlight w:val="none"/>
                <w:vertAlign w:val="baseline"/>
              </w:rPr>
            </w:r>
            <w:r>
              <w:rPr>
                <w:color w:val="auto"/>
              </w:rPr>
            </w:r>
          </w:p>
        </w:tc>
      </w:tr>
    </w:tbl>
    <w:p>
      <w:pPr>
        <w:pStyle w:val="899"/>
        <w:jc w:val="left"/>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p>
      <w:pPr>
        <w:pStyle w:val="899"/>
        <w:jc w:val="left"/>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899"/>
        <w:jc w:val="left"/>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899"/>
        <w:jc w:val="left"/>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899"/>
        <w:jc w:val="left"/>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899"/>
        <w:jc w:val="left"/>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9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9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899"/>
        <w:jc w:val="left"/>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9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9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9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9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899"/>
        <w:jc w:val="left"/>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899"/>
        <w:jc w:val="left"/>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899"/>
        <w:jc w:val="left"/>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p>
    <w:p>
      <w:pPr>
        <w:pStyle w:val="899"/>
        <w:jc w:val="left"/>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委托代理人身份证：</w:t>
      </w:r>
      <w:r>
        <w:rPr>
          <w:rFonts w:hint="eastAsia" w:ascii="宋体" w:hAnsi="宋体" w:eastAsia="宋体" w:cs="宋体"/>
          <w:color w:val="auto"/>
          <w:sz w:val="21"/>
          <w:szCs w:val="21"/>
          <w:highlight w:val="none"/>
          <w:lang w:val="en-US" w:eastAsia="zh-CN"/>
        </w:rPr>
      </w:r>
      <w:r>
        <w:rPr>
          <w:color w:val="auto"/>
        </w:rPr>
      </w:r>
    </w:p>
    <w:p>
      <w:pPr>
        <w:pStyle w:val="899"/>
        <w:ind w:firstLine="480"/>
        <w:jc w:val="right"/>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bl>
      <w:tblPr>
        <w:tblStyle w:val="99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857"/>
        </w:trPr>
        <w:tc>
          <w:tcPr>
            <w:tcW w:w="4842" w:type="dxa"/>
            <w:vAlign w:val="top"/>
            <w:textDirection w:val="lrTb"/>
            <w:noWrap w:val="false"/>
          </w:tcPr>
          <w:p>
            <w:pPr>
              <w:pStyle w:val="899"/>
              <w:jc w:val="left"/>
              <w:tabs>
                <w:tab w:val="left" w:pos="1440" w:leader="none"/>
              </w:tabs>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rPr>
                <w:color w:val="auto"/>
              </w:rPr>
            </w:r>
          </w:p>
        </w:tc>
        <w:tc>
          <w:tcPr>
            <w:tcW w:w="4842" w:type="dxa"/>
            <w:vAlign w:val="top"/>
            <w:textDirection w:val="lrTb"/>
            <w:noWrap w:val="false"/>
          </w:tcPr>
          <w:p>
            <w:pPr>
              <w:pStyle w:val="899"/>
              <w:jc w:val="left"/>
              <w:tabs>
                <w:tab w:val="left" w:pos="1440" w:leader="none"/>
              </w:tabs>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rPr>
                <w:color w:val="auto"/>
              </w:rPr>
            </w:r>
          </w:p>
        </w:tc>
      </w:tr>
      <w:tr>
        <w:trPr>
          <w:trHeight w:val="600"/>
        </w:trPr>
        <w:tc>
          <w:tcPr>
            <w:tcW w:w="4842" w:type="dxa"/>
            <w:vAlign w:val="center"/>
            <w:textDirection w:val="lrTb"/>
            <w:noWrap w:val="false"/>
          </w:tcPr>
          <w:p>
            <w:pPr>
              <w:pStyle w:val="899"/>
              <w:jc w:val="center"/>
              <w:tabs>
                <w:tab w:val="left" w:pos="1440" w:leader="none"/>
              </w:tabs>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 xml:space="preserve">身份证正面（国徽面）</w:t>
            </w:r>
            <w:r>
              <w:rPr>
                <w:rFonts w:hint="eastAsia" w:ascii="宋体" w:hAnsi="宋体" w:eastAsia="宋体" w:cs="宋体"/>
                <w:color w:val="auto"/>
                <w:sz w:val="21"/>
                <w:szCs w:val="21"/>
                <w:highlight w:val="none"/>
                <w:vertAlign w:val="baseline"/>
              </w:rPr>
            </w:r>
            <w:r>
              <w:rPr>
                <w:color w:val="auto"/>
              </w:rPr>
            </w:r>
          </w:p>
        </w:tc>
        <w:tc>
          <w:tcPr>
            <w:tcW w:w="4842" w:type="dxa"/>
            <w:vAlign w:val="center"/>
            <w:textDirection w:val="lrTb"/>
            <w:noWrap w:val="false"/>
          </w:tcPr>
          <w:p>
            <w:pPr>
              <w:pStyle w:val="899"/>
              <w:jc w:val="center"/>
              <w:tabs>
                <w:tab w:val="left" w:pos="1440" w:leader="none"/>
              </w:tabs>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 xml:space="preserve">身份证背面</w:t>
            </w:r>
            <w:r>
              <w:rPr>
                <w:rFonts w:hint="eastAsia" w:ascii="宋体" w:hAnsi="宋体" w:eastAsia="宋体" w:cs="宋体"/>
                <w:color w:val="auto"/>
                <w:sz w:val="21"/>
                <w:szCs w:val="21"/>
                <w:highlight w:val="none"/>
                <w:vertAlign w:val="baseline"/>
              </w:rPr>
            </w:r>
            <w:r>
              <w:rPr>
                <w:color w:val="auto"/>
              </w:rPr>
            </w:r>
          </w:p>
        </w:tc>
      </w:tr>
    </w:tbl>
    <w:p>
      <w:pPr>
        <w:pStyle w:val="899"/>
        <w:spacing w:line="36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r>
      <w:r>
        <w:rPr>
          <w:color w:val="auto"/>
        </w:rPr>
      </w:r>
    </w:p>
    <w:p>
      <w:pPr>
        <w:pStyle w:val="899"/>
        <w:spacing w:line="36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r>
      <w:r>
        <w:rPr>
          <w:color w:val="auto"/>
        </w:rPr>
      </w:r>
    </w:p>
    <w:p>
      <w:pPr>
        <w:pStyle w:val="899"/>
        <w:spacing w:line="36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r>
      <w:r>
        <w:rPr>
          <w:color w:val="auto"/>
        </w:rPr>
      </w:r>
    </w:p>
    <w:p>
      <w:pPr>
        <w:pStyle w:val="899"/>
        <w:spacing w:line="36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r>
      <w:r>
        <w:rPr>
          <w:color w:val="auto"/>
        </w:rPr>
      </w:r>
    </w:p>
    <w:p>
      <w:pPr>
        <w:pStyle w:val="899"/>
        <w:spacing w:line="36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r>
      <w:r>
        <w:rPr>
          <w:color w:val="auto"/>
        </w:rPr>
      </w:r>
    </w:p>
    <w:p>
      <w:pPr>
        <w:pStyle w:val="899"/>
        <w:spacing w:line="36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 xml:space="preserve">供应商名称（</w:t>
      </w:r>
      <w:r>
        <w:rPr>
          <w:rFonts w:hint="eastAsia" w:ascii="宋体" w:hAnsi="宋体" w:eastAsia="宋体" w:cs="宋体"/>
          <w:color w:val="auto"/>
          <w:sz w:val="21"/>
          <w:szCs w:val="21"/>
          <w:highlight w:val="none"/>
          <w:lang w:val="zh-CN"/>
        </w:rPr>
        <w:t xml:space="preserve">加盖CA电子公章</w:t>
      </w:r>
      <w:r>
        <w:rPr>
          <w:rFonts w:hint="eastAsia" w:ascii="宋体" w:hAnsi="宋体" w:eastAsia="宋体" w:cs="宋体"/>
          <w:i w:val="0"/>
          <w:iCs w:val="0"/>
          <w:color w:val="auto"/>
          <w:sz w:val="21"/>
          <w:szCs w:val="21"/>
          <w:highlight w:val="none"/>
          <w:lang w:val="zh-CN"/>
        </w:rPr>
        <w:t xml:space="preserve">）:            </w:t>
      </w:r>
      <w:r>
        <w:rPr>
          <w:rFonts w:hint="eastAsia" w:ascii="宋体" w:hAnsi="宋体" w:eastAsia="宋体" w:cs="宋体"/>
          <w:i w:val="0"/>
          <w:iCs w:val="0"/>
          <w:color w:val="auto"/>
          <w:sz w:val="21"/>
          <w:szCs w:val="21"/>
          <w:highlight w:val="none"/>
          <w:lang w:val="zh-CN"/>
        </w:rPr>
      </w:r>
      <w:r>
        <w:rPr>
          <w:color w:val="auto"/>
        </w:rPr>
      </w:r>
    </w:p>
    <w:p>
      <w:pPr>
        <w:pStyle w:val="899"/>
        <w:spacing w:line="360" w:lineRule="auto"/>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lang w:val="zh-CN"/>
        </w:rPr>
        <w:t xml:space="preserve">日    期：       年    月    日</w:t>
      </w:r>
      <w:r>
        <w:rPr>
          <w:rFonts w:hint="eastAsia" w:ascii="宋体" w:hAnsi="宋体" w:eastAsia="宋体" w:cs="宋体"/>
          <w:color w:val="auto"/>
          <w:sz w:val="21"/>
          <w:szCs w:val="21"/>
          <w:highlight w:val="none"/>
        </w:rPr>
      </w:r>
      <w:r>
        <w:rPr>
          <w:color w:val="auto"/>
        </w:rPr>
      </w:r>
    </w:p>
    <w:p>
      <w:pPr>
        <w:pStyle w:val="951"/>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color w:val="auto"/>
        </w:rPr>
      </w:r>
      <w:bookmarkStart w:id="442" w:name="_Toc11801"/>
      <w:r>
        <w:rPr>
          <w:color w:val="auto"/>
        </w:rPr>
      </w:r>
      <w:bookmarkStart w:id="443" w:name="_Toc26026"/>
      <w:r>
        <w:rPr>
          <w:color w:val="auto"/>
        </w:rPr>
      </w:r>
      <w:bookmarkStart w:id="444" w:name="_Toc20006"/>
      <w:r>
        <w:rPr>
          <w:color w:val="auto"/>
        </w:rPr>
      </w:r>
      <w:bookmarkStart w:id="445" w:name="_Toc26131"/>
      <w:r>
        <w:rPr>
          <w:color w:val="auto"/>
        </w:rPr>
      </w:r>
      <w:bookmarkStart w:id="446" w:name="_Toc15012"/>
      <w:r>
        <w:rPr>
          <w:color w:val="auto"/>
        </w:rPr>
      </w:r>
      <w:bookmarkStart w:id="447" w:name="_Toc13685"/>
      <w:r>
        <w:rPr>
          <w:color w:val="auto"/>
        </w:rPr>
      </w:r>
      <w:bookmarkStart w:id="448" w:name="_Toc7067"/>
      <w:r>
        <w:rPr>
          <w:color w:val="auto"/>
        </w:rPr>
      </w:r>
      <w:bookmarkStart w:id="449" w:name="_Toc27875"/>
      <w:r>
        <w:rPr>
          <w:color w:val="auto"/>
        </w:rPr>
      </w:r>
      <w:bookmarkStart w:id="450" w:name="_Toc32062"/>
      <w:r>
        <w:rPr>
          <w:color w:val="auto"/>
        </w:rPr>
      </w:r>
      <w:bookmarkStart w:id="451" w:name="_Toc9677"/>
      <w:r>
        <w:rPr>
          <w:color w:val="auto"/>
        </w:rPr>
      </w:r>
      <w:bookmarkStart w:id="452" w:name="_Toc31511"/>
      <w:r>
        <w:rPr>
          <w:color w:val="auto"/>
        </w:rPr>
      </w:r>
      <w:bookmarkStart w:id="453" w:name="_Toc20735"/>
      <w:r>
        <w:rPr>
          <w:color w:val="auto"/>
        </w:rPr>
      </w:r>
      <w:bookmarkStart w:id="454" w:name="_Toc10688"/>
      <w:r>
        <w:rPr>
          <w:color w:val="auto"/>
        </w:rPr>
      </w:r>
      <w:bookmarkStart w:id="455" w:name="_Toc674"/>
      <w:r>
        <w:rPr>
          <w:color w:val="auto"/>
        </w:rPr>
      </w:r>
      <w:bookmarkStart w:id="456" w:name="_Toc32333"/>
      <w:r>
        <w:rPr>
          <w:color w:val="auto"/>
        </w:rPr>
      </w:r>
      <w:bookmarkStart w:id="457" w:name="_Toc21135"/>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95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rPr>
          <w:rFonts w:hint="eastAsia" w:ascii="宋体" w:hAnsi="宋体" w:eastAsia="宋体" w:cs="宋体"/>
          <w:b/>
          <w:color w:val="auto"/>
          <w:szCs w:val="21"/>
          <w:highlight w:val="none"/>
        </w:rPr>
        <w:outlineLvl w:val="2"/>
      </w:pPr>
      <w:r>
        <w:rPr>
          <w:color w:val="auto"/>
        </w:rPr>
      </w:r>
      <w:bookmarkStart w:id="458" w:name="_Toc12058"/>
      <w:r>
        <w:rPr>
          <w:color w:val="auto"/>
        </w:rPr>
      </w:r>
      <w:bookmarkStart w:id="459" w:name="_Toc31289"/>
      <w:r>
        <w:rPr>
          <w:color w:val="auto"/>
        </w:rPr>
      </w:r>
      <w:bookmarkStart w:id="460" w:name="_Toc29425"/>
      <w:r>
        <w:rPr>
          <w:color w:val="auto"/>
        </w:rPr>
      </w:r>
      <w:bookmarkStart w:id="461" w:name="_Toc3860"/>
      <w:r>
        <w:rPr>
          <w:color w:val="auto"/>
        </w:rPr>
      </w:r>
      <w:bookmarkStart w:id="462" w:name="_Toc17248"/>
      <w:r>
        <w:rPr>
          <w:color w:val="auto"/>
        </w:rPr>
      </w:r>
      <w:bookmarkStart w:id="463" w:name="_Toc4890"/>
      <w:r>
        <w:rPr>
          <w:color w:val="auto"/>
        </w:rPr>
      </w:r>
      <w:bookmarkStart w:id="464" w:name="_Toc15793"/>
      <w:r>
        <w:rPr>
          <w:color w:val="auto"/>
        </w:rPr>
      </w:r>
      <w:bookmarkStart w:id="465" w:name="_Toc23478"/>
      <w:r>
        <w:rPr>
          <w:color w:val="auto"/>
        </w:rPr>
      </w:r>
      <w:bookmarkStart w:id="466" w:name="_Toc26978"/>
      <w:r>
        <w:rPr>
          <w:color w:val="auto"/>
        </w:rPr>
      </w:r>
      <w:bookmarkStart w:id="467" w:name="_Toc9943"/>
      <w:r>
        <w:rPr>
          <w:color w:val="auto"/>
        </w:rPr>
      </w:r>
      <w:bookmarkStart w:id="468" w:name="_Toc20987"/>
      <w:r>
        <w:rPr>
          <w:color w:val="auto"/>
        </w:rPr>
      </w:r>
      <w:bookmarkStart w:id="469" w:name="_Toc16869"/>
      <w:r>
        <w:rPr>
          <w:color w:val="auto"/>
        </w:rPr>
      </w:r>
      <w:bookmarkStart w:id="470" w:name="_Toc3071"/>
      <w:r>
        <w:rPr>
          <w:color w:val="auto"/>
        </w:rPr>
      </w:r>
      <w:bookmarkStart w:id="471" w:name="_Toc18103"/>
      <w:r>
        <w:rPr>
          <w:color w:val="auto"/>
        </w:rPr>
      </w:r>
      <w:bookmarkStart w:id="472" w:name="_Toc6787"/>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、磋商报价汇总表</w:t>
      </w:r>
      <w:bookmarkEnd w:id="458"/>
      <w:r>
        <w:rPr>
          <w:color w:val="auto"/>
        </w:rPr>
      </w:r>
      <w:bookmarkEnd w:id="459"/>
      <w:r>
        <w:rPr>
          <w:color w:val="auto"/>
        </w:rPr>
      </w:r>
      <w:bookmarkEnd w:id="460"/>
      <w:r>
        <w:rPr>
          <w:color w:val="auto"/>
        </w:rPr>
      </w:r>
      <w:bookmarkEnd w:id="461"/>
      <w:r>
        <w:rPr>
          <w:color w:val="auto"/>
        </w:rPr>
      </w:r>
      <w:bookmarkEnd w:id="462"/>
      <w:r>
        <w:rPr>
          <w:color w:val="auto"/>
        </w:rPr>
      </w:r>
      <w:bookmarkEnd w:id="463"/>
      <w:r>
        <w:rPr>
          <w:color w:val="auto"/>
        </w:rPr>
      </w:r>
      <w:bookmarkEnd w:id="464"/>
      <w:r>
        <w:rPr>
          <w:color w:val="auto"/>
        </w:rPr>
      </w:r>
      <w:bookmarkEnd w:id="465"/>
      <w:r>
        <w:rPr>
          <w:color w:val="auto"/>
        </w:rPr>
      </w:r>
      <w:bookmarkEnd w:id="466"/>
      <w:r>
        <w:rPr>
          <w:color w:val="auto"/>
        </w:rPr>
      </w:r>
      <w:bookmarkEnd w:id="467"/>
      <w:r>
        <w:rPr>
          <w:color w:val="auto"/>
        </w:rPr>
      </w:r>
      <w:bookmarkEnd w:id="468"/>
      <w:r>
        <w:rPr>
          <w:color w:val="auto"/>
        </w:rPr>
      </w:r>
      <w:bookmarkEnd w:id="469"/>
      <w:r>
        <w:rPr>
          <w:color w:val="auto"/>
        </w:rPr>
      </w:r>
      <w:bookmarkEnd w:id="470"/>
      <w:r>
        <w:rPr>
          <w:color w:val="auto"/>
        </w:rPr>
      </w:r>
      <w:bookmarkEnd w:id="471"/>
      <w:r>
        <w:rPr>
          <w:color w:val="auto"/>
        </w:rPr>
      </w:r>
      <w:bookmarkEnd w:id="472"/>
      <w:r>
        <w:rPr>
          <w:rFonts w:hint="eastAsia" w:ascii="宋体" w:hAnsi="宋体" w:eastAsia="宋体" w:cs="宋体"/>
          <w:b/>
          <w:color w:val="auto"/>
          <w:szCs w:val="21"/>
          <w:highlight w:val="none"/>
        </w:rPr>
      </w:r>
      <w:r>
        <w:rPr>
          <w:color w:val="auto"/>
        </w:rPr>
      </w:r>
    </w:p>
    <w:p>
      <w:pPr>
        <w:pStyle w:val="899"/>
        <w:ind w:firstLine="281"/>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磋商报价</w:t>
      </w:r>
      <w:r>
        <w:rPr>
          <w:rFonts w:hint="eastAsia" w:ascii="宋体" w:hAnsi="宋体" w:eastAsia="宋体" w:cs="宋体"/>
          <w:b/>
          <w:color w:val="auto"/>
          <w:sz w:val="28"/>
          <w:szCs w:val="28"/>
          <w:highlight w:val="none"/>
          <w:lang w:val="en-US" w:eastAsia="zh-CN"/>
        </w:rPr>
        <w:t xml:space="preserve">表（第一轮）</w:t>
      </w:r>
      <w:r>
        <w:rPr>
          <w:rFonts w:hint="eastAsia" w:ascii="宋体" w:hAnsi="宋体" w:eastAsia="宋体" w:cs="宋体"/>
          <w:b/>
          <w:color w:val="auto"/>
          <w:sz w:val="28"/>
          <w:szCs w:val="28"/>
          <w:highlight w:val="none"/>
          <w:lang w:eastAsia="zh-CN"/>
        </w:rPr>
      </w:r>
      <w:r>
        <w:rPr>
          <w:color w:val="auto"/>
        </w:rPr>
      </w:r>
    </w:p>
    <w:p>
      <w:pPr>
        <w:pStyle w:val="89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rPr>
          <w:rFonts w:hint="eastAsia" w:ascii="宋体" w:hAnsi="宋体" w:eastAsia="宋体" w:cs="宋体"/>
          <w:color w:val="auto"/>
          <w:szCs w:val="21"/>
          <w:highlight w:val="none"/>
          <w:lang w:eastAsia="zh-CN"/>
        </w:rPr>
      </w:r>
      <w:r>
        <w:rPr>
          <w:color w:val="auto"/>
        </w:rPr>
      </w:r>
    </w:p>
    <w:p>
      <w:pPr>
        <w:pStyle w:val="89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lang w:val="zh-CN" w:eastAsia="zh-CN"/>
        </w:rPr>
      </w:r>
      <w:r>
        <w:rPr>
          <w:color w:val="auto"/>
        </w:rP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8"/>
        <w:gridCol w:w="5717"/>
        <w:gridCol w:w="1680"/>
      </w:tblGrid>
      <w:tr>
        <w:trPr>
          <w:cantSplit/>
          <w:trHeight w:val="1075"/>
        </w:trPr>
        <w:tc>
          <w:tcPr>
            <w:tcW w:w="1738" w:type="dxa"/>
            <w:vAlign w:val="center"/>
            <w:textDirection w:val="lrTb"/>
            <w:noWrap w:val="false"/>
          </w:tcPr>
          <w:p>
            <w:pPr>
              <w:pStyle w:val="915"/>
              <w:jc w:val="center"/>
              <w:spacing w:after="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磋商报价</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含税</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eastAsia="zh-CN"/>
              </w:rPr>
            </w:r>
            <w:r>
              <w:rPr>
                <w:color w:val="auto"/>
              </w:rPr>
            </w:r>
          </w:p>
        </w:tc>
        <w:tc>
          <w:tcPr>
            <w:tcW w:w="5717" w:type="dxa"/>
            <w:vAlign w:val="center"/>
            <w:textDirection w:val="lrTb"/>
            <w:noWrap w:val="false"/>
          </w:tcPr>
          <w:p>
            <w:pPr>
              <w:pStyle w:val="915"/>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大写：人民币</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元</w:t>
            </w:r>
            <w:r>
              <w:rPr>
                <w:rFonts w:hint="eastAsia" w:ascii="宋体" w:hAnsi="宋体" w:eastAsia="宋体" w:cs="宋体"/>
                <w:bCs/>
                <w:color w:val="auto"/>
                <w:szCs w:val="21"/>
                <w:highlight w:val="none"/>
                <w:lang w:val="en-US" w:eastAsia="zh-CN"/>
              </w:rPr>
              <w:t xml:space="preserve">/年</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rPr>
            </w:r>
            <w:r>
              <w:rPr>
                <w:color w:val="auto"/>
              </w:rPr>
            </w:r>
          </w:p>
          <w:p>
            <w:pPr>
              <w:pStyle w:val="91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小写：￥</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元</w:t>
            </w:r>
            <w:r>
              <w:rPr>
                <w:rFonts w:hint="eastAsia" w:ascii="宋体" w:hAnsi="宋体" w:eastAsia="宋体" w:cs="宋体"/>
                <w:bCs/>
                <w:color w:val="auto"/>
                <w:szCs w:val="21"/>
                <w:highlight w:val="none"/>
                <w:lang w:val="en-US" w:eastAsia="zh-CN"/>
              </w:rPr>
              <w:t xml:space="preserve">/年</w:t>
            </w:r>
            <w:r>
              <w:rPr>
                <w:rFonts w:hint="eastAsia" w:ascii="宋体" w:hAnsi="宋体" w:eastAsia="宋体" w:cs="宋体"/>
                <w:bCs/>
                <w:color w:val="auto"/>
                <w:szCs w:val="21"/>
                <w:highlight w:val="none"/>
                <w:lang w:val="en-US" w:eastAsia="zh-CN"/>
              </w:rPr>
            </w:r>
            <w:r>
              <w:rPr>
                <w:color w:val="auto"/>
              </w:rPr>
            </w:r>
          </w:p>
        </w:tc>
        <w:tc>
          <w:tcPr>
            <w:tcW w:w="1680" w:type="dxa"/>
            <w:vAlign w:val="center"/>
            <w:textDirection w:val="lrTb"/>
            <w:noWrap w:val="false"/>
          </w:tcPr>
          <w:p>
            <w:pPr>
              <w:pStyle w:val="915"/>
              <w:jc w:val="center"/>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tc>
      </w:tr>
      <w:tr>
        <w:trPr>
          <w:trHeight w:val="519"/>
        </w:trPr>
        <w:tc>
          <w:tcPr>
            <w:tcW w:w="1738" w:type="dxa"/>
            <w:vAlign w:val="center"/>
            <w:textDirection w:val="lrTb"/>
            <w:noWrap w:val="false"/>
          </w:tcPr>
          <w:p>
            <w:pPr>
              <w:pStyle w:val="915"/>
              <w:jc w:val="center"/>
              <w:spacing w:after="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w:t>
            </w:r>
            <w:r>
              <w:rPr>
                <w:rFonts w:hint="eastAsia" w:ascii="宋体" w:hAnsi="宋体" w:eastAsia="宋体" w:cs="宋体"/>
                <w:bCs/>
                <w:color w:val="auto"/>
                <w:szCs w:val="21"/>
                <w:highlight w:val="none"/>
                <w:lang w:val="en-US" w:eastAsia="zh-CN"/>
              </w:rPr>
              <w:t xml:space="preserve">负责人</w:t>
            </w:r>
            <w:r>
              <w:rPr>
                <w:rFonts w:hint="eastAsia" w:ascii="宋体" w:hAnsi="宋体" w:eastAsia="宋体" w:cs="宋体"/>
                <w:bCs/>
                <w:color w:val="auto"/>
                <w:szCs w:val="21"/>
                <w:highlight w:val="none"/>
                <w:lang w:eastAsia="zh-CN"/>
              </w:rPr>
            </w:r>
            <w:r>
              <w:rPr>
                <w:color w:val="auto"/>
              </w:rPr>
            </w:r>
          </w:p>
        </w:tc>
        <w:tc>
          <w:tcPr>
            <w:tcW w:w="5717" w:type="dxa"/>
            <w:vAlign w:val="center"/>
            <w:textDirection w:val="lrTb"/>
            <w:noWrap w:val="false"/>
          </w:tcPr>
          <w:p>
            <w:pPr>
              <w:pStyle w:val="915"/>
              <w:spacing w:after="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r>
            <w:r>
              <w:rPr>
                <w:color w:val="auto"/>
              </w:rPr>
            </w:r>
          </w:p>
        </w:tc>
        <w:tc>
          <w:tcPr>
            <w:tcW w:w="1680" w:type="dxa"/>
            <w:vAlign w:val="center"/>
            <w:textDirection w:val="lrTb"/>
            <w:noWrap w:val="false"/>
          </w:tcPr>
          <w:p>
            <w:pPr>
              <w:pStyle w:val="915"/>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tc>
      </w:tr>
      <w:tr>
        <w:trPr>
          <w:trHeight w:val="519"/>
        </w:trPr>
        <w:tc>
          <w:tcPr>
            <w:tcW w:w="1738" w:type="dxa"/>
            <w:vAlign w:val="center"/>
            <w:textDirection w:val="lrTb"/>
            <w:noWrap w:val="false"/>
          </w:tcPr>
          <w:p>
            <w:pPr>
              <w:pStyle w:val="994"/>
              <w:jc w:val="center"/>
              <w:spacing w:after="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合同履约期限</w:t>
            </w:r>
            <w:r>
              <w:rPr>
                <w:rFonts w:hint="eastAsia" w:ascii="宋体" w:hAnsi="宋体" w:eastAsia="宋体" w:cs="宋体"/>
                <w:bCs/>
                <w:color w:val="auto"/>
                <w:sz w:val="21"/>
                <w:szCs w:val="21"/>
                <w:highlight w:val="none"/>
                <w:lang w:val="en-US" w:eastAsia="zh-CN" w:bidi="ar-SA"/>
              </w:rPr>
            </w:r>
            <w:r>
              <w:rPr>
                <w:color w:val="auto"/>
              </w:rPr>
            </w:r>
          </w:p>
        </w:tc>
        <w:tc>
          <w:tcPr>
            <w:tcW w:w="5717" w:type="dxa"/>
            <w:vAlign w:val="center"/>
            <w:textDirection w:val="lrTb"/>
            <w:noWrap w:val="false"/>
          </w:tcPr>
          <w:p>
            <w:pPr>
              <w:pStyle w:val="994"/>
              <w:spacing w:after="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两年（</w:t>
            </w:r>
            <w:r>
              <w:rPr>
                <w:rFonts w:hint="eastAsia" w:ascii="宋体" w:hAnsi="宋体" w:eastAsia="宋体" w:cs="宋体"/>
                <w:bCs/>
                <w:color w:val="auto"/>
                <w:sz w:val="21"/>
                <w:szCs w:val="21"/>
                <w:highlight w:val="none"/>
                <w:lang w:val="en-US" w:eastAsia="zh-CN" w:bidi="ar-SA"/>
              </w:rPr>
              <w:t xml:space="preserve">合同一年一签，</w:t>
            </w:r>
            <w:r>
              <w:rPr>
                <w:rFonts w:hint="eastAsia" w:ascii="宋体" w:hAnsi="宋体" w:eastAsia="宋体" w:cs="宋体"/>
                <w:bCs/>
                <w:color w:val="auto"/>
                <w:sz w:val="21"/>
                <w:szCs w:val="21"/>
                <w:highlight w:val="none"/>
                <w:lang w:val="en-US" w:eastAsia="zh-CN" w:bidi="ar-SA"/>
              </w:rPr>
              <w:t xml:space="preserve">逐年考核</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r>
            <w:r>
              <w:rPr>
                <w:color w:val="auto"/>
              </w:rPr>
            </w:r>
          </w:p>
        </w:tc>
        <w:tc>
          <w:tcPr>
            <w:tcW w:w="1680" w:type="dxa"/>
            <w:vAlign w:val="center"/>
            <w:textDirection w:val="lrTb"/>
            <w:noWrap w:val="false"/>
          </w:tcPr>
          <w:p>
            <w:pPr>
              <w:pStyle w:val="915"/>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tc>
      </w:tr>
      <w:tr>
        <w:trPr>
          <w:trHeight w:val="597"/>
        </w:trPr>
        <w:tc>
          <w:tcPr>
            <w:tcW w:w="1738" w:type="dxa"/>
            <w:vAlign w:val="center"/>
            <w:textDirection w:val="lrTb"/>
            <w:noWrap w:val="false"/>
          </w:tcPr>
          <w:p>
            <w:pPr>
              <w:pStyle w:val="915"/>
              <w:jc w:val="center"/>
              <w:spacing w:after="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其它</w:t>
            </w:r>
            <w:r>
              <w:rPr>
                <w:rFonts w:hint="eastAsia" w:ascii="宋体" w:hAnsi="宋体" w:eastAsia="宋体" w:cs="宋体"/>
                <w:bCs/>
                <w:color w:val="auto"/>
                <w:szCs w:val="21"/>
                <w:highlight w:val="none"/>
              </w:rPr>
            </w:r>
            <w:r>
              <w:rPr>
                <w:color w:val="auto"/>
              </w:rPr>
            </w:r>
          </w:p>
        </w:tc>
        <w:tc>
          <w:tcPr>
            <w:tcW w:w="5717" w:type="dxa"/>
            <w:vAlign w:val="center"/>
            <w:textDirection w:val="lrTb"/>
            <w:noWrap w:val="false"/>
          </w:tcPr>
          <w:p>
            <w:pPr>
              <w:pStyle w:val="915"/>
              <w:spacing w:after="0"/>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（如有优惠条件须在此注明）</w:t>
            </w:r>
            <w:r>
              <w:rPr>
                <w:rFonts w:hint="eastAsia" w:ascii="宋体" w:hAnsi="宋体" w:eastAsia="宋体" w:cs="宋体"/>
                <w:bCs/>
                <w:color w:val="auto"/>
                <w:szCs w:val="21"/>
                <w:highlight w:val="none"/>
              </w:rPr>
            </w:r>
            <w:r>
              <w:rPr>
                <w:color w:val="auto"/>
              </w:rPr>
            </w:r>
          </w:p>
        </w:tc>
        <w:tc>
          <w:tcPr>
            <w:tcW w:w="1680" w:type="dxa"/>
            <w:vAlign w:val="center"/>
            <w:textDirection w:val="lrTb"/>
            <w:noWrap w:val="false"/>
          </w:tcPr>
          <w:p>
            <w:pPr>
              <w:pStyle w:val="915"/>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tc>
      </w:tr>
      <w:tr>
        <w:trPr>
          <w:trHeight w:val="597"/>
        </w:trPr>
        <w:tc>
          <w:tcPr>
            <w:tcW w:w="1738" w:type="dxa"/>
            <w:vAlign w:val="center"/>
            <w:textDirection w:val="lrTb"/>
            <w:noWrap w:val="false"/>
          </w:tcPr>
          <w:p>
            <w:pPr>
              <w:pStyle w:val="915"/>
              <w:jc w:val="center"/>
              <w:spacing w:after="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供应商是否属于小、微型企业</w:t>
            </w:r>
            <w:r>
              <w:rPr>
                <w:rFonts w:hint="eastAsia" w:ascii="宋体" w:hAnsi="宋体" w:eastAsia="宋体" w:cs="宋体"/>
                <w:bCs/>
                <w:color w:val="auto"/>
                <w:szCs w:val="21"/>
                <w:highlight w:val="none"/>
              </w:rPr>
            </w:r>
            <w:r>
              <w:rPr>
                <w:color w:val="auto"/>
              </w:rPr>
            </w:r>
          </w:p>
        </w:tc>
        <w:tc>
          <w:tcPr>
            <w:tcW w:w="5717" w:type="dxa"/>
            <w:vAlign w:val="center"/>
            <w:textDirection w:val="lrTb"/>
            <w:noWrap w:val="false"/>
          </w:tcPr>
          <w:p>
            <w:pPr>
              <w:pStyle w:val="915"/>
              <w:spacing w:after="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rPr>
            </w:r>
          </w:p>
        </w:tc>
        <w:tc>
          <w:tcPr>
            <w:tcW w:w="1680" w:type="dxa"/>
            <w:vAlign w:val="center"/>
            <w:textDirection w:val="lrTb"/>
            <w:noWrap w:val="false"/>
          </w:tcPr>
          <w:p>
            <w:pPr>
              <w:pStyle w:val="915"/>
              <w:spacing w:after="0"/>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zh-CN"/>
              </w:rPr>
              <w:t xml:space="preserve">填写“是”或“否</w:t>
            </w:r>
            <w:r>
              <w:rPr>
                <w:rFonts w:hint="eastAsia" w:ascii="宋体" w:hAnsi="宋体" w:eastAsia="宋体" w:cs="宋体"/>
                <w:color w:val="auto"/>
                <w:szCs w:val="21"/>
                <w:highlight w:val="none"/>
              </w:rPr>
            </w:r>
            <w:r>
              <w:rPr>
                <w:color w:val="auto"/>
              </w:rPr>
            </w:r>
          </w:p>
        </w:tc>
      </w:tr>
    </w:tbl>
    <w:p>
      <w:pPr>
        <w:pStyle w:val="899"/>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r>
      <w:r>
        <w:rPr>
          <w:color w:val="auto"/>
        </w:rPr>
      </w:r>
    </w:p>
    <w:p>
      <w:pPr>
        <w:pStyle w:val="899"/>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供应商名称加盖</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CA电子公章）:</w:t>
      </w:r>
      <w:r>
        <w:rPr>
          <w:rFonts w:hint="eastAsia" w:ascii="宋体" w:hAnsi="宋体" w:eastAsia="宋体" w:cs="宋体"/>
          <w:color w:val="auto"/>
          <w:szCs w:val="21"/>
          <w:highlight w:val="none"/>
        </w:rPr>
      </w:r>
      <w:r>
        <w:rPr>
          <w:color w:val="auto"/>
        </w:rPr>
      </w:r>
    </w:p>
    <w:p>
      <w:pPr>
        <w:pStyle w:val="899"/>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日期：       年    月    日</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  </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1、代理机构对每一项货物和服务仅接受一个价格，</w:t>
      </w:r>
      <w:r>
        <w:rPr>
          <w:rFonts w:hint="eastAsia" w:ascii="宋体" w:hAnsi="宋体" w:eastAsia="宋体" w:cs="宋体"/>
          <w:color w:val="auto"/>
          <w:szCs w:val="21"/>
          <w:highlight w:val="none"/>
          <w:shd w:val="pct10" w:color="auto" w:fill="ffffff"/>
        </w:rPr>
        <w:t xml:space="preserve">不得填报有选择性报价方案</w:t>
      </w:r>
      <w:r>
        <w:rPr>
          <w:rFonts w:hint="eastAsia" w:ascii="宋体" w:hAnsi="宋体" w:eastAsia="宋体" w:cs="宋体"/>
          <w:color w:val="auto"/>
          <w:szCs w:val="21"/>
          <w:highlight w:val="none"/>
        </w:rPr>
        <w:t xml:space="preserve">。若有优惠条款须注明，但不得影响报价，影响产品整体功能。</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rPr>
        <w:br w:type="page" w:clear="all"/>
      </w:r>
      <w:bookmarkStart w:id="473" w:name="_Toc5002"/>
      <w:r>
        <w:rPr>
          <w:color w:val="auto"/>
        </w:rPr>
      </w:r>
      <w:bookmarkStart w:id="474" w:name="_Toc24503"/>
      <w:r>
        <w:rPr>
          <w:color w:val="auto"/>
        </w:rPr>
      </w:r>
      <w:bookmarkStart w:id="475" w:name="_Toc6799"/>
      <w:r>
        <w:rPr>
          <w:color w:val="auto"/>
        </w:rPr>
      </w:r>
      <w:bookmarkStart w:id="476" w:name="_Toc15104"/>
      <w:r>
        <w:rPr>
          <w:color w:val="auto"/>
        </w:rPr>
      </w:r>
      <w:bookmarkStart w:id="477" w:name="_Toc5545"/>
      <w:r>
        <w:rPr>
          <w:color w:val="auto"/>
        </w:rPr>
      </w:r>
      <w:bookmarkStart w:id="478" w:name="_Toc20812"/>
      <w:r>
        <w:rPr>
          <w:color w:val="auto"/>
        </w:rPr>
      </w:r>
      <w:bookmarkStart w:id="479" w:name="_Toc25078"/>
      <w:r>
        <w:rPr>
          <w:color w:val="auto"/>
        </w:rPr>
      </w:r>
      <w:bookmarkStart w:id="480" w:name="_Toc3803"/>
      <w:r>
        <w:rPr>
          <w:color w:val="auto"/>
        </w:rPr>
      </w:r>
      <w:bookmarkStart w:id="481" w:name="_Toc25116"/>
      <w:r>
        <w:rPr>
          <w:color w:val="auto"/>
        </w:rPr>
      </w:r>
      <w:bookmarkStart w:id="482" w:name="_Toc15987"/>
      <w:r>
        <w:rPr>
          <w:color w:val="auto"/>
        </w:rPr>
      </w:r>
      <w:bookmarkStart w:id="483" w:name="_Toc11096"/>
      <w:r>
        <w:rPr>
          <w:color w:val="auto"/>
        </w:rPr>
      </w:r>
      <w:bookmarkStart w:id="484" w:name="_Toc26231"/>
      <w:r>
        <w:rPr>
          <w:color w:val="auto"/>
        </w:rPr>
      </w:r>
      <w:bookmarkStart w:id="485" w:name="_Toc569"/>
      <w:r>
        <w:rPr>
          <w:color w:val="auto"/>
        </w:rPr>
      </w:r>
      <w:bookmarkStart w:id="486" w:name="_Toc19909"/>
      <w:r>
        <w:rPr>
          <w:color w:val="auto"/>
        </w:rPr>
      </w:r>
      <w:bookmarkStart w:id="487" w:name="_Toc28240"/>
      <w:r>
        <w:rPr>
          <w:color w:val="auto"/>
        </w:rPr>
      </w:r>
      <w:bookmarkStart w:id="488" w:name="_Toc27465"/>
      <w:r>
        <w:rPr>
          <w:color w:val="auto"/>
        </w:rPr>
      </w:r>
      <w:bookmarkStart w:id="489" w:name="_Toc18346"/>
      <w:r>
        <w:rPr>
          <w:color w:val="auto"/>
        </w:rPr>
      </w:r>
      <w:bookmarkStart w:id="490" w:name="_Toc30100"/>
      <w:r>
        <w:rPr>
          <w:rFonts w:hint="eastAsia" w:ascii="宋体" w:hAnsi="宋体" w:eastAsia="宋体" w:cs="宋体"/>
          <w:b/>
          <w:color w:val="auto"/>
          <w:szCs w:val="21"/>
          <w:highlight w:val="none"/>
          <w:lang w:val="en-US" w:eastAsia="zh-CN"/>
        </w:rPr>
        <w:t xml:space="preserve">四</w:t>
      </w:r>
      <w:r>
        <w:rPr>
          <w:rFonts w:hint="eastAsia" w:ascii="宋体" w:hAnsi="宋体" w:eastAsia="宋体" w:cs="宋体"/>
          <w:b/>
          <w:color w:val="auto"/>
          <w:szCs w:val="21"/>
          <w:highlight w:val="none"/>
        </w:rPr>
        <w:t xml:space="preserve">、磋商分项报价表</w:t>
      </w:r>
      <w:bookmarkEnd w:id="473"/>
      <w:r>
        <w:rPr>
          <w:color w:val="auto"/>
        </w:rPr>
      </w:r>
      <w:bookmarkEnd w:id="474"/>
      <w:r>
        <w:rPr>
          <w:color w:val="auto"/>
        </w:rPr>
      </w:r>
      <w:bookmarkEnd w:id="475"/>
      <w:r>
        <w:rPr>
          <w:color w:val="auto"/>
        </w:rPr>
      </w:r>
      <w:bookmarkEnd w:id="476"/>
      <w:r>
        <w:rPr>
          <w:color w:val="auto"/>
        </w:rPr>
      </w:r>
      <w:bookmarkEnd w:id="477"/>
      <w:r>
        <w:rPr>
          <w:color w:val="auto"/>
        </w:rPr>
      </w:r>
      <w:bookmarkEnd w:id="478"/>
      <w:r>
        <w:rPr>
          <w:color w:val="auto"/>
        </w:rPr>
      </w:r>
      <w:bookmarkEnd w:id="479"/>
      <w:r>
        <w:rPr>
          <w:color w:val="auto"/>
        </w:rPr>
      </w:r>
      <w:bookmarkEnd w:id="480"/>
      <w:r>
        <w:rPr>
          <w:color w:val="auto"/>
        </w:rPr>
      </w:r>
      <w:bookmarkEnd w:id="481"/>
      <w:r>
        <w:rPr>
          <w:color w:val="auto"/>
        </w:rPr>
      </w:r>
      <w:bookmarkEnd w:id="482"/>
      <w:r>
        <w:rPr>
          <w:color w:val="auto"/>
        </w:rPr>
      </w:r>
      <w:bookmarkEnd w:id="483"/>
      <w:r>
        <w:rPr>
          <w:color w:val="auto"/>
        </w:rPr>
      </w:r>
      <w:bookmarkEnd w:id="484"/>
      <w:r>
        <w:rPr>
          <w:color w:val="auto"/>
        </w:rPr>
      </w:r>
      <w:bookmarkEnd w:id="485"/>
      <w:r>
        <w:rPr>
          <w:color w:val="auto"/>
        </w:rPr>
      </w:r>
      <w:bookmarkEnd w:id="486"/>
      <w:r>
        <w:rPr>
          <w:color w:val="auto"/>
        </w:rPr>
      </w:r>
      <w:bookmarkEnd w:id="487"/>
      <w:r>
        <w:rPr>
          <w:color w:val="auto"/>
        </w:rPr>
      </w:r>
      <w:bookmarkEnd w:id="488"/>
      <w:r>
        <w:rPr>
          <w:color w:val="auto"/>
        </w:rPr>
      </w:r>
      <w:bookmarkEnd w:id="489"/>
      <w:r>
        <w:rPr>
          <w:color w:val="auto"/>
        </w:rPr>
      </w:r>
      <w:bookmarkEnd w:id="490"/>
      <w:r>
        <w:rPr>
          <w:rFonts w:hint="eastAsia" w:ascii="宋体" w:hAnsi="宋体" w:eastAsia="宋体" w:cs="宋体"/>
          <w:b/>
          <w:color w:val="auto"/>
          <w:szCs w:val="21"/>
          <w:highlight w:val="none"/>
        </w:rPr>
      </w:r>
      <w:r>
        <w:rPr>
          <w:color w:val="auto"/>
        </w:rPr>
      </w:r>
    </w:p>
    <w:p>
      <w:pPr>
        <w:pStyle w:val="899"/>
        <w:ind w:firstLine="281"/>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磋商分项报价表</w:t>
      </w:r>
      <w:r>
        <w:rPr>
          <w:rFonts w:hint="eastAsia" w:ascii="宋体" w:hAnsi="宋体" w:eastAsia="宋体" w:cs="宋体"/>
          <w:b/>
          <w:color w:val="auto"/>
          <w:sz w:val="28"/>
          <w:szCs w:val="28"/>
          <w:highlight w:val="none"/>
        </w:rPr>
      </w:r>
      <w:r>
        <w:rPr>
          <w:color w:val="auto"/>
        </w:rPr>
      </w:r>
    </w:p>
    <w:p>
      <w:pPr>
        <w:pStyle w:val="899"/>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tbl>
      <w:tblPr>
        <w:tblW w:w="4995"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73"/>
        <w:gridCol w:w="3653"/>
        <w:gridCol w:w="1117"/>
        <w:gridCol w:w="733"/>
        <w:gridCol w:w="1417"/>
        <w:gridCol w:w="1033"/>
        <w:gridCol w:w="1041"/>
      </w:tblGrid>
      <w:tr>
        <w:trPr>
          <w:trHeight w:val="555"/>
        </w:trPr>
        <w:tc>
          <w:tcPr>
            <w:tcBorders>
              <w:top w:val="single" w:color="000000" w:sz="4" w:space="0"/>
              <w:left w:val="single" w:color="000000" w:sz="4" w:space="0"/>
              <w:bottom w:val="none" w:color="000000" w:sz="0" w:space="0"/>
              <w:right w:val="single" w:color="000000" w:sz="4" w:space="0"/>
            </w:tcBorders>
            <w:tcW w:w="442" w:type="dxa"/>
            <w:vAlign w:val="center"/>
            <w:vMerge w:val="restart"/>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vMerge w:val="restart"/>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项目名称</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none" w:color="000000" w:sz="4" w:space="0"/>
              <w:right w:val="single" w:color="000000" w:sz="4" w:space="0"/>
            </w:tcBorders>
            <w:tcW w:w="566" w:type="dxa"/>
            <w:vAlign w:val="center"/>
            <w:vMerge w:val="restart"/>
            <w:textDirection w:val="lrTb"/>
            <w:noWrap w:val="false"/>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计量</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单位</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none" w:color="000000" w:sz="4" w:space="0"/>
              <w:right w:val="single" w:color="000000" w:sz="4" w:space="0"/>
            </w:tcBorders>
            <w:tcW w:w="371" w:type="dxa"/>
            <w:vAlign w:val="center"/>
            <w:vMerge w:val="restart"/>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工程量</w:t>
            </w:r>
            <w:r>
              <w:rPr>
                <w:rFonts w:hint="eastAsia" w:ascii="宋体" w:hAnsi="宋体" w:eastAsia="宋体" w:cs="宋体"/>
                <w:i w:val="0"/>
                <w:iCs w:val="0"/>
                <w:color w:val="auto"/>
                <w:sz w:val="22"/>
                <w:szCs w:val="22"/>
                <w:highlight w:val="none"/>
                <w:u w:val="none"/>
              </w:rPr>
            </w:r>
            <w:r>
              <w:rPr>
                <w:color w:val="auto"/>
              </w:rPr>
            </w:r>
          </w:p>
        </w:tc>
        <w:tc>
          <w:tcPr>
            <w:gridSpan w:val="2"/>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金额（元）</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rPr>
                <w:rFonts w:hint="eastAsia" w:ascii="宋体" w:hAnsi="宋体" w:eastAsia="宋体" w:cs="宋体"/>
                <w:i w:val="0"/>
                <w:iCs w:val="0"/>
                <w:color w:val="auto"/>
                <w:sz w:val="22"/>
                <w:szCs w:val="22"/>
                <w:highlight w:val="none"/>
                <w:u w:val="none"/>
              </w:rPr>
            </w:r>
            <w:r>
              <w:rPr>
                <w:color w:val="auto"/>
              </w:rPr>
            </w:r>
          </w:p>
        </w:tc>
      </w:tr>
      <w:tr>
        <w:trPr>
          <w:trHeight w:val="555"/>
        </w:trPr>
        <w:tc>
          <w:tcPr>
            <w:tcBorders>
              <w:top w:val="none" w:color="000000" w:sz="0" w:space="0"/>
              <w:left w:val="single" w:color="000000" w:sz="4" w:space="0"/>
              <w:bottom w:val="single" w:color="000000" w:sz="4" w:space="0"/>
              <w:right w:val="single" w:color="000000" w:sz="4" w:space="0"/>
            </w:tcBorders>
            <w:tcW w:w="442" w:type="dxa"/>
            <w:vAlign w:val="center"/>
            <w:vMerge w:val="continue"/>
            <w:textDirection w:val="lrTb"/>
            <w:noWrap/>
          </w:tcPr>
          <w:p>
            <w:pPr>
              <w:pStyle w:val="89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851" w:type="dxa"/>
            <w:vAlign w:val="center"/>
            <w:vMerge w:val="continue"/>
            <w:textDirection w:val="lrTb"/>
            <w:noWrap/>
          </w:tcPr>
          <w:p>
            <w:pPr>
              <w:pStyle w:val="899"/>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none" w:color="000000" w:sz="4" w:space="0"/>
              <w:right w:val="single" w:color="000000" w:sz="4" w:space="0"/>
            </w:tcBorders>
            <w:tcW w:w="566" w:type="dxa"/>
            <w:vAlign w:val="center"/>
            <w:vMerge w:val="continue"/>
            <w:textDirection w:val="lrTb"/>
            <w:noWrap w:val="false"/>
          </w:tcPr>
          <w:p>
            <w:pPr>
              <w:pStyle w:val="899"/>
              <w:jc w:val="both"/>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none" w:color="000000" w:sz="4" w:space="0"/>
              <w:right w:val="single" w:color="000000" w:sz="4" w:space="0"/>
            </w:tcBorders>
            <w:tcW w:w="371" w:type="dxa"/>
            <w:vAlign w:val="center"/>
            <w:vMerge w:val="continue"/>
            <w:textDirection w:val="lrTb"/>
            <w:noWrap/>
          </w:tcPr>
          <w:p>
            <w:pPr>
              <w:pStyle w:val="899"/>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综合单价</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合价</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402"/>
        </w:trPr>
        <w:tc>
          <w:tcPr>
            <w:tcBorders>
              <w:top w:val="single" w:color="000000" w:sz="4" w:space="0"/>
              <w:left w:val="single" w:color="000000" w:sz="4" w:space="0"/>
              <w:bottom w:val="single" w:color="000000" w:sz="4" w:space="0"/>
              <w:right w:val="single" w:color="000000" w:sz="4" w:space="0"/>
            </w:tcBorders>
            <w:tcW w:w="442"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1.滨河路泵站</w:t>
            </w:r>
            <w:r>
              <w:rPr>
                <w:rFonts w:hint="eastAsia" w:ascii="宋体" w:hAnsi="宋体" w:eastAsia="宋体" w:cs="宋体"/>
                <w:b/>
                <w:bCs/>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580"/>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4台套900ZQB—220南深牌水泵检</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查清扫、检测、维修、保养、清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理水泵底部杂物</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600"/>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non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附属设施保养(含蝶阀、止回阀、</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输送带、捞脏机、拦污阀、格栅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、行车等，在使用过程中出现故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障及时修复)</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500"/>
        </w:trPr>
        <w:tc>
          <w:tcPr>
            <w:tcBorders>
              <w:top w:val="single" w:color="000000" w:sz="4" w:space="0"/>
              <w:left w:val="single" w:color="000000" w:sz="4" w:space="0"/>
              <w:bottom w:val="single" w:color="000000" w:sz="4" w:space="0"/>
              <w:right w:val="single" w:color="000000" w:sz="4" w:space="0"/>
            </w:tcBorders>
            <w:tcW w:w="442" w:type="dxa"/>
            <w:vAlign w:val="top"/>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出水管道内部除锈刷漆</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top"/>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rPr>
                <w:color w:val="auto"/>
              </w:rPr>
            </w:r>
          </w:p>
        </w:tc>
      </w:tr>
      <w:tr>
        <w:trPr>
          <w:trHeight w:val="402"/>
        </w:trPr>
        <w:tc>
          <w:tcPr>
            <w:tcBorders>
              <w:top w:val="single" w:color="000000" w:sz="4" w:space="0"/>
              <w:left w:val="single" w:color="000000" w:sz="4" w:space="0"/>
              <w:bottom w:val="single" w:color="000000" w:sz="4" w:space="0"/>
              <w:right w:val="single" w:color="000000" w:sz="4" w:space="0"/>
            </w:tcBorders>
            <w:tcW w:w="442"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2.大马涵泵站</w:t>
            </w:r>
            <w:r>
              <w:rPr>
                <w:rFonts w:hint="eastAsia" w:ascii="宋体" w:hAnsi="宋体" w:eastAsia="宋体" w:cs="宋体"/>
                <w:b/>
                <w:bCs/>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640"/>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5台套型号为900ZQB—220凯旋牌</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水泵检查清扫、检测、维修、保</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养、清理水泵底部杂物</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460"/>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non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附属设施保养(含蝶阀、止回阀、</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输送带、捞脏机、拦污阀、格栅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、行车等，在使用过程中出现故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障及时修复)</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540"/>
        </w:trPr>
        <w:tc>
          <w:tcPr>
            <w:tcBorders>
              <w:top w:val="single" w:color="000000" w:sz="4" w:space="0"/>
              <w:left w:val="single" w:color="000000" w:sz="4" w:space="0"/>
              <w:bottom w:val="single" w:color="000000" w:sz="4" w:space="0"/>
              <w:right w:val="single" w:color="000000" w:sz="4" w:space="0"/>
            </w:tcBorders>
            <w:tcW w:w="442" w:type="dxa"/>
            <w:vAlign w:val="top"/>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出水管道内部除锈刷漆</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top"/>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rPr>
                <w:color w:val="auto"/>
              </w:rPr>
            </w:r>
          </w:p>
        </w:tc>
      </w:tr>
      <w:tr>
        <w:trPr>
          <w:trHeight w:val="402"/>
        </w:trPr>
        <w:tc>
          <w:tcPr>
            <w:tcBorders>
              <w:top w:val="single" w:color="000000" w:sz="4" w:space="0"/>
              <w:left w:val="single" w:color="000000" w:sz="4" w:space="0"/>
              <w:bottom w:val="single" w:color="000000" w:sz="4" w:space="0"/>
              <w:right w:val="single" w:color="000000" w:sz="4" w:space="0"/>
            </w:tcBorders>
            <w:tcW w:w="442"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3.双麒泵站</w:t>
            </w:r>
            <w:r>
              <w:rPr>
                <w:rFonts w:hint="eastAsia" w:ascii="宋体" w:hAnsi="宋体" w:eastAsia="宋体" w:cs="宋体"/>
                <w:b/>
                <w:bCs/>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540"/>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3台套型号为700ZQB--132亚太牌</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水泵检查清扫、检测、维修、保</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养、清理水泵底部杂物</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480"/>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non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附属设施保养(含蝶阀、止回阀、</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输送带、捞脏机、拦污阀、格栅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、行车等，在使用过程中出现故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障及时修复)</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480"/>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出水管道内部除锈刷漆</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rPr>
                <w:color w:val="auto"/>
              </w:rPr>
            </w:r>
          </w:p>
        </w:tc>
      </w:tr>
      <w:tr>
        <w:trPr>
          <w:trHeight w:val="402"/>
        </w:trPr>
        <w:tc>
          <w:tcPr>
            <w:tcBorders>
              <w:top w:val="single" w:color="000000" w:sz="4" w:space="0"/>
              <w:left w:val="single" w:color="000000" w:sz="4" w:space="0"/>
              <w:bottom w:val="single" w:color="000000" w:sz="4" w:space="0"/>
              <w:right w:val="single" w:color="000000" w:sz="4" w:space="0"/>
            </w:tcBorders>
            <w:tcW w:w="442"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4.北涵泵站</w:t>
            </w:r>
            <w:r>
              <w:rPr>
                <w:rFonts w:hint="eastAsia" w:ascii="宋体" w:hAnsi="宋体" w:eastAsia="宋体" w:cs="宋体"/>
                <w:b/>
                <w:bCs/>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580"/>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rPr>
                <w:rFonts w:hint="eastAsia" w:ascii="宋体" w:hAnsi="宋体" w:eastAsia="宋体" w:cs="宋体"/>
                <w:i w:val="0"/>
                <w:iCs w:val="0"/>
                <w:color w:val="auto"/>
                <w:sz w:val="22"/>
                <w:szCs w:val="22"/>
                <w:highlight w:val="none"/>
                <w:u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5台套型号为900QZ100--160亚太</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牌水泵检查清扫、检测、维修、</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保养、清理水泵底部杂物</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402"/>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 </w:t>
            </w:r>
            <w:r>
              <w:rPr>
                <w:rFonts w:hint="eastAsia" w:ascii="宋体" w:hAnsi="宋体" w:eastAsia="宋体" w:cs="宋体"/>
                <w:i w:val="0"/>
                <w:iCs w:val="0"/>
                <w:color w:val="auto"/>
                <w:sz w:val="22"/>
                <w:szCs w:val="22"/>
                <w:highlight w:val="none"/>
                <w:u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附属设施保养(含蝶阀、止回阀、</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输送带、捞脏机、拦污阀、格栅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、行车等，在使用过程中出现故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障及时修复)</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840"/>
        </w:trPr>
        <w:tc>
          <w:tcPr>
            <w:tcBorders>
              <w:top w:val="single" w:color="000000" w:sz="4" w:space="0"/>
              <w:left w:val="single" w:color="000000" w:sz="4" w:space="0"/>
              <w:bottom w:val="single" w:color="000000" w:sz="4" w:space="0"/>
              <w:right w:val="single" w:color="000000" w:sz="4" w:space="0"/>
            </w:tcBorders>
            <w:tcW w:w="442" w:type="dxa"/>
            <w:vAlign w:val="top"/>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 </w:t>
            </w:r>
            <w:r>
              <w:rPr>
                <w:rFonts w:hint="eastAsia" w:ascii="宋体" w:hAnsi="宋体" w:eastAsia="宋体" w:cs="宋体"/>
                <w:i w:val="0"/>
                <w:iCs w:val="0"/>
                <w:color w:val="auto"/>
                <w:sz w:val="22"/>
                <w:szCs w:val="22"/>
                <w:highlight w:val="none"/>
                <w:u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出水管道内部除锈刷漆</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top"/>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rPr>
                <w:color w:val="auto"/>
              </w:rPr>
            </w:r>
          </w:p>
        </w:tc>
      </w:tr>
      <w:tr>
        <w:trPr>
          <w:trHeight w:val="402"/>
        </w:trPr>
        <w:tc>
          <w:tcPr>
            <w:tcBorders>
              <w:top w:val="single" w:color="000000" w:sz="4" w:space="0"/>
              <w:left w:val="single" w:color="000000" w:sz="4" w:space="0"/>
              <w:bottom w:val="single" w:color="000000" w:sz="4" w:space="0"/>
              <w:right w:val="single" w:color="000000" w:sz="4" w:space="0"/>
            </w:tcBorders>
            <w:tcW w:w="442"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5.下坝河泵站</w:t>
            </w:r>
            <w:r>
              <w:rPr>
                <w:rFonts w:hint="eastAsia" w:ascii="宋体" w:hAnsi="宋体" w:eastAsia="宋体" w:cs="宋体"/>
                <w:b/>
                <w:bCs/>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540"/>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 </w:t>
            </w:r>
            <w:r>
              <w:rPr>
                <w:rFonts w:hint="eastAsia" w:ascii="宋体" w:hAnsi="宋体" w:eastAsia="宋体" w:cs="宋体"/>
                <w:i w:val="0"/>
                <w:iCs w:val="0"/>
                <w:color w:val="auto"/>
                <w:sz w:val="22"/>
                <w:szCs w:val="22"/>
                <w:highlight w:val="none"/>
                <w:u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2台套型号为600QZ--100--75亚</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太牌、3台套800QZ--100--132亚</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太牌水泵检查清扫、检测、维修</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、保养、清理水泵底部杂物</w:t>
            </w:r>
            <w:r>
              <w:rPr>
                <w:rFonts w:hint="eastAsia" w:ascii="宋体" w:hAnsi="宋体" w:eastAsia="宋体" w:cs="宋体"/>
                <w:i w:val="0"/>
                <w:iCs w:val="0"/>
                <w:color w:val="auto"/>
                <w:sz w:val="22"/>
                <w:szCs w:val="22"/>
                <w:highlight w:val="none"/>
                <w:u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402"/>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 </w:t>
            </w:r>
            <w:r>
              <w:rPr>
                <w:rFonts w:hint="eastAsia" w:ascii="宋体" w:hAnsi="宋体" w:eastAsia="宋体" w:cs="宋体"/>
                <w:i w:val="0"/>
                <w:iCs w:val="0"/>
                <w:color w:val="auto"/>
                <w:sz w:val="22"/>
                <w:szCs w:val="22"/>
                <w:highlight w:val="none"/>
                <w:u w:val="none"/>
                <w:lang w:val="en-US"/>
              </w:rPr>
            </w:r>
            <w:r>
              <w:rPr>
                <w:color w:val="auto"/>
              </w:rPr>
            </w:r>
          </w:p>
        </w:tc>
        <w:tc>
          <w:tcPr>
            <w:tcBorders>
              <w:top w:val="single" w:color="000000" w:sz="4" w:space="0"/>
              <w:left w:val="single" w:color="000000" w:sz="4" w:space="0"/>
              <w:bottom w:val="non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附属设施保养(含蝶阀、止回阀、</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输送带、捞脏机、拦污阀、格栅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、行车等，在使用过程中出现故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障及时修复)</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506"/>
        </w:trPr>
        <w:tc>
          <w:tcPr>
            <w:tcBorders>
              <w:top w:val="single" w:color="000000" w:sz="4" w:space="0"/>
              <w:left w:val="single" w:color="000000" w:sz="4" w:space="0"/>
              <w:bottom w:val="single" w:color="000000" w:sz="4" w:space="0"/>
              <w:right w:val="single" w:color="000000" w:sz="4" w:space="0"/>
            </w:tcBorders>
            <w:tcW w:w="442" w:type="dxa"/>
            <w:vAlign w:val="top"/>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 </w:t>
            </w:r>
            <w:r>
              <w:rPr>
                <w:rFonts w:hint="eastAsia" w:ascii="宋体" w:hAnsi="宋体" w:eastAsia="宋体" w:cs="宋体"/>
                <w:i w:val="0"/>
                <w:iCs w:val="0"/>
                <w:color w:val="auto"/>
                <w:sz w:val="22"/>
                <w:szCs w:val="22"/>
                <w:highlight w:val="none"/>
                <w:u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出水管道内部除锈刷漆</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top"/>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rPr>
                <w:color w:val="auto"/>
              </w:rPr>
            </w:r>
          </w:p>
        </w:tc>
      </w:tr>
      <w:tr>
        <w:trPr>
          <w:trHeight w:val="402"/>
        </w:trPr>
        <w:tc>
          <w:tcPr>
            <w:tcBorders>
              <w:top w:val="single" w:color="000000" w:sz="4" w:space="0"/>
              <w:left w:val="single" w:color="000000" w:sz="4" w:space="0"/>
              <w:bottom w:val="single" w:color="000000" w:sz="4" w:space="0"/>
              <w:right w:val="single" w:color="000000" w:sz="4" w:space="0"/>
            </w:tcBorders>
            <w:tcW w:w="442"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6.新桥泵站</w:t>
            </w:r>
            <w:r>
              <w:rPr>
                <w:rFonts w:hint="eastAsia" w:ascii="宋体" w:hAnsi="宋体" w:eastAsia="宋体" w:cs="宋体"/>
                <w:b/>
                <w:bCs/>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540"/>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 </w:t>
            </w:r>
            <w:r>
              <w:rPr>
                <w:rFonts w:hint="eastAsia" w:ascii="宋体" w:hAnsi="宋体" w:eastAsia="宋体" w:cs="宋体"/>
                <w:i w:val="0"/>
                <w:iCs w:val="0"/>
                <w:color w:val="auto"/>
                <w:sz w:val="22"/>
                <w:szCs w:val="22"/>
                <w:highlight w:val="none"/>
                <w:u w:val="none"/>
                <w:lang w:val="en-US"/>
              </w:rPr>
            </w:r>
            <w:r>
              <w:rPr>
                <w:color w:val="auto"/>
              </w:rPr>
            </w:r>
          </w:p>
        </w:tc>
        <w:tc>
          <w:tcPr>
            <w:tcBorders>
              <w:top w:val="single" w:color="000000" w:sz="4" w:space="0"/>
              <w:left w:val="single" w:color="000000" w:sz="4" w:space="0"/>
              <w:bottom w:val="non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6台套型号为20HB--90水泵、3台</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套16HB--30水泵水泵检查清扫、</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检测、维修、保养、清理水泵底</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部杂物</w:t>
            </w:r>
            <w:r>
              <w:rPr>
                <w:rFonts w:hint="eastAsia" w:ascii="宋体" w:hAnsi="宋体" w:eastAsia="宋体" w:cs="宋体"/>
                <w:i w:val="0"/>
                <w:iCs w:val="0"/>
                <w:color w:val="auto"/>
                <w:sz w:val="21"/>
                <w:szCs w:val="21"/>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rPr>
                <w:color w:val="auto"/>
              </w:rPr>
            </w:r>
          </w:p>
        </w:tc>
      </w:tr>
      <w:tr>
        <w:trPr>
          <w:trHeight w:val="540"/>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 </w:t>
            </w: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non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附属设施保养(含蝶阀、止回阀、</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输送带、捞脏机、拦污阀、格栅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、行车等，在使用过程中出现故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障及时修复)</w:t>
            </w:r>
            <w:r>
              <w:rPr>
                <w:rFonts w:hint="eastAsia" w:ascii="宋体" w:hAnsi="宋体" w:eastAsia="宋体" w:cs="宋体"/>
                <w:i w:val="0"/>
                <w:iCs w:val="0"/>
                <w:color w:val="auto"/>
                <w:sz w:val="22"/>
                <w:szCs w:val="22"/>
                <w:highlight w:val="none"/>
                <w:u w:val="none"/>
                <w:lang w:val="en-US" w:eastAsia="zh-CN" w:bidi="ar-SA"/>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r>
            <w:r>
              <w:rPr>
                <w:color w:val="auto"/>
              </w:rPr>
            </w:r>
          </w:p>
        </w:tc>
      </w:tr>
      <w:tr>
        <w:trPr>
          <w:trHeight w:val="540"/>
        </w:trPr>
        <w:tc>
          <w:tcPr>
            <w:tcBorders>
              <w:top w:val="single" w:color="000000" w:sz="4" w:space="0"/>
              <w:left w:val="single" w:color="000000" w:sz="4" w:space="0"/>
              <w:bottom w:val="single" w:color="000000" w:sz="4" w:space="0"/>
              <w:right w:val="single" w:color="000000" w:sz="4" w:space="0"/>
            </w:tcBorders>
            <w:tcW w:w="442" w:type="dxa"/>
            <w:vAlign w:val="top"/>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 </w:t>
            </w: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non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出水管道内部除锈刷漆</w:t>
            </w:r>
            <w:r>
              <w:rPr>
                <w:rFonts w:hint="eastAsia" w:ascii="宋体" w:hAnsi="宋体" w:eastAsia="宋体" w:cs="宋体"/>
                <w:i w:val="0"/>
                <w:iCs w:val="0"/>
                <w:color w:val="auto"/>
                <w:sz w:val="22"/>
                <w:szCs w:val="22"/>
                <w:highlight w:val="none"/>
                <w:u w:val="none"/>
                <w:lang w:val="en-US" w:eastAsia="zh-CN" w:bidi="ar-SA"/>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top"/>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r>
            <w:r>
              <w:rPr>
                <w:color w:val="auto"/>
              </w:rPr>
            </w:r>
          </w:p>
        </w:tc>
      </w:tr>
      <w:tr>
        <w:trPr>
          <w:trHeight w:val="402"/>
        </w:trPr>
        <w:tc>
          <w:tcPr>
            <w:tcBorders>
              <w:top w:val="single" w:color="000000" w:sz="4" w:space="0"/>
              <w:left w:val="single" w:color="000000" w:sz="4" w:space="0"/>
              <w:bottom w:val="single" w:color="000000" w:sz="4" w:space="0"/>
              <w:right w:val="single" w:color="000000" w:sz="4" w:space="0"/>
            </w:tcBorders>
            <w:tcW w:w="442"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tcPr>
          <w:p>
            <w:pPr>
              <w:pStyle w:val="899"/>
              <w:jc w:val="left"/>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7.上坊门泵站</w:t>
            </w:r>
            <w:r>
              <w:rPr>
                <w:rFonts w:hint="eastAsia" w:ascii="宋体" w:hAnsi="宋体" w:eastAsia="宋体" w:cs="宋体"/>
                <w:b/>
                <w:bCs/>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top"/>
            <w:textDirection w:val="lrTb"/>
            <w:noWrap/>
          </w:tcPr>
          <w:p>
            <w:pPr>
              <w:pStyle w:val="899"/>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r>
      <w:tr>
        <w:trPr>
          <w:trHeight w:val="900"/>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 </w:t>
            </w:r>
            <w:r>
              <w:rPr>
                <w:rFonts w:hint="eastAsia" w:ascii="宋体" w:hAnsi="宋体" w:eastAsia="宋体" w:cs="宋体"/>
                <w:i w:val="0"/>
                <w:iCs w:val="0"/>
                <w:color w:val="auto"/>
                <w:sz w:val="22"/>
                <w:szCs w:val="22"/>
                <w:highlight w:val="none"/>
                <w:u w:val="none"/>
                <w:lang w:val="en-US"/>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4台套型号为500HB--45水泵检查</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清扫、检测、维修、保养、清理</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水泵底部杂物</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rPr>
                <w:color w:val="auto"/>
              </w:rPr>
            </w:r>
          </w:p>
        </w:tc>
      </w:tr>
      <w:tr>
        <w:trPr>
          <w:trHeight w:val="900"/>
        </w:trPr>
        <w:tc>
          <w:tcPr>
            <w:tcBorders>
              <w:top w:val="single" w:color="000000" w:sz="4" w:space="0"/>
              <w:left w:val="single" w:color="000000" w:sz="4" w:space="0"/>
              <w:bottom w:val="single" w:color="000000" w:sz="4" w:space="0"/>
              <w:right w:val="single" w:color="000000" w:sz="4" w:space="0"/>
            </w:tcBorders>
            <w:tcW w:w="442"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 </w:t>
            </w: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附属设施保养(含蝶阀、止回阀、</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输送带、捞脏机、拦污阀、格栅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、行车等，在使用过程中出现故</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障及时修复)</w:t>
            </w:r>
            <w:r>
              <w:rPr>
                <w:rFonts w:hint="eastAsia" w:ascii="宋体" w:hAnsi="宋体" w:eastAsia="宋体" w:cs="宋体"/>
                <w:i w:val="0"/>
                <w:iCs w:val="0"/>
                <w:color w:val="auto"/>
                <w:sz w:val="22"/>
                <w:szCs w:val="22"/>
                <w:highlight w:val="none"/>
                <w:u w:val="none"/>
                <w:lang w:val="en-US" w:eastAsia="zh-CN" w:bidi="ar-SA"/>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r>
            <w:r>
              <w:rPr>
                <w:color w:val="auto"/>
              </w:rPr>
            </w:r>
          </w:p>
        </w:tc>
      </w:tr>
      <w:tr>
        <w:trPr>
          <w:trHeight w:val="900"/>
        </w:trPr>
        <w:tc>
          <w:tcPr>
            <w:tcBorders>
              <w:top w:val="single" w:color="000000" w:sz="4" w:space="0"/>
              <w:left w:val="single" w:color="000000" w:sz="4" w:space="0"/>
              <w:bottom w:val="single" w:color="000000" w:sz="4" w:space="0"/>
              <w:right w:val="single" w:color="000000" w:sz="4" w:space="0"/>
            </w:tcBorders>
            <w:tcW w:w="442" w:type="dxa"/>
            <w:vAlign w:val="top"/>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 </w:t>
            </w: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pStyle w:val="899"/>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出水管道内部除锈刷漆</w:t>
            </w:r>
            <w:r>
              <w:rPr>
                <w:rFonts w:hint="eastAsia" w:ascii="宋体" w:hAnsi="宋体" w:eastAsia="宋体" w:cs="宋体"/>
                <w:i w:val="0"/>
                <w:iCs w:val="0"/>
                <w:color w:val="auto"/>
                <w:sz w:val="22"/>
                <w:szCs w:val="22"/>
                <w:highlight w:val="none"/>
                <w:u w:val="none"/>
                <w:lang w:val="en-US" w:eastAsia="zh-CN" w:bidi="ar-SA"/>
              </w:rPr>
            </w:r>
            <w:r>
              <w:rPr>
                <w:color w:val="auto"/>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次/年</w:t>
            </w: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single" w:color="000000" w:sz="4" w:space="0"/>
              <w:right w:val="single" w:color="000000" w:sz="4" w:space="0"/>
            </w:tcBorders>
            <w:tcW w:w="371" w:type="dxa"/>
            <w:vAlign w:val="top"/>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r>
            <w:r>
              <w:rPr>
                <w:color w:val="auto"/>
              </w:rPr>
            </w:r>
          </w:p>
        </w:tc>
      </w:tr>
      <w:tr>
        <w:trPr>
          <w:trHeight w:val="760"/>
        </w:trPr>
        <w:tc>
          <w:tcPr>
            <w:gridSpan w:val="4"/>
            <w:tcBorders>
              <w:top w:val="single" w:color="000000" w:sz="4" w:space="0"/>
              <w:left w:val="single" w:color="000000" w:sz="4" w:space="0"/>
              <w:bottom w:val="single" w:color="000000" w:sz="4" w:space="0"/>
              <w:right w:val="single" w:color="000000" w:sz="4" w:space="0"/>
            </w:tcBorders>
            <w:tcW w:w="6376" w:type="dxa"/>
            <w:vAlign w:val="center"/>
            <w:textDirection w:val="lrTb"/>
            <w:noWrap/>
          </w:tcPr>
          <w:p>
            <w:pPr>
              <w:pStyle w:val="899"/>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    计</w:t>
            </w:r>
            <w:r>
              <w:rPr>
                <w:rFonts w:hint="eastAsia" w:ascii="宋体" w:hAnsi="宋体" w:eastAsia="宋体" w:cs="宋体"/>
                <w:i w:val="0"/>
                <w:iCs w:val="0"/>
                <w:color w:val="auto"/>
                <w:sz w:val="22"/>
                <w:szCs w:val="22"/>
                <w:highlight w:val="none"/>
                <w:u w:val="none"/>
              </w:rPr>
            </w:r>
            <w:r>
              <w:rPr>
                <w:color w:val="auto"/>
              </w:rPr>
            </w:r>
          </w:p>
        </w:tc>
        <w:tc>
          <w:tcPr>
            <w:gridSpan w:val="2"/>
            <w:tcBorders>
              <w:top w:val="single" w:color="000000" w:sz="4" w:space="0"/>
              <w:left w:val="none" w:color="000000" w:sz="4" w:space="0"/>
              <w:bottom w:val="single" w:color="000000" w:sz="4" w:space="0"/>
              <w:right w:val="single" w:color="000000" w:sz="4" w:space="0"/>
            </w:tcBorders>
            <w:tcW w:w="2450" w:type="dxa"/>
            <w:vAlign w:val="center"/>
            <w:textDirection w:val="lrTb"/>
            <w:noWrap/>
          </w:tcPr>
          <w:p>
            <w:pPr>
              <w:pStyle w:val="899"/>
              <w:jc w:val="both"/>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rP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899"/>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元</w:t>
            </w:r>
            <w:r>
              <w:rPr>
                <w:rFonts w:hint="eastAsia" w:ascii="宋体" w:hAnsi="宋体" w:eastAsia="宋体" w:cs="宋体"/>
                <w:i w:val="0"/>
                <w:iCs w:val="0"/>
                <w:color w:val="auto"/>
                <w:sz w:val="22"/>
                <w:szCs w:val="22"/>
                <w:highlight w:val="none"/>
                <w:u w:val="none"/>
              </w:rPr>
            </w:r>
            <w:r>
              <w:rPr>
                <w:color w:val="auto"/>
              </w:rPr>
            </w:r>
          </w:p>
        </w:tc>
      </w:tr>
    </w:tbl>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95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  </w:t>
      </w:r>
      <w:r>
        <w:rPr>
          <w:rFonts w:hint="eastAsia" w:ascii="宋体" w:hAnsi="宋体" w:eastAsia="宋体" w:cs="宋体"/>
          <w:color w:val="auto"/>
          <w:szCs w:val="21"/>
          <w:highlight w:val="none"/>
        </w:rPr>
      </w:r>
      <w:r>
        <w:rPr>
          <w:color w:val="auto"/>
        </w:rPr>
      </w:r>
    </w:p>
    <w:p>
      <w:pPr>
        <w:pStyle w:val="899"/>
        <w:numPr>
          <w:ilvl w:val="0"/>
          <w:numId w:val="9"/>
        </w:numPr>
        <w:ind w:firstLine="420"/>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代理机构对每一项货物和服务仅接受一个价格，</w:t>
      </w:r>
      <w:r>
        <w:rPr>
          <w:rFonts w:hint="eastAsia" w:ascii="宋体" w:hAnsi="宋体" w:eastAsia="宋体" w:cs="宋体"/>
          <w:b/>
          <w:bCs/>
          <w:color w:val="auto"/>
          <w:szCs w:val="21"/>
          <w:highlight w:val="none"/>
          <w:shd w:val="pct10" w:color="auto" w:fill="ffffff"/>
        </w:rPr>
        <w:t xml:space="preserve">不得填报有选择性报价方案</w:t>
      </w:r>
      <w:r>
        <w:rPr>
          <w:rFonts w:hint="eastAsia" w:ascii="宋体" w:hAnsi="宋体" w:eastAsia="宋体" w:cs="宋体"/>
          <w:b/>
          <w:bCs/>
          <w:color w:val="auto"/>
          <w:szCs w:val="21"/>
          <w:highlight w:val="none"/>
        </w:rPr>
        <w:t xml:space="preserve">。若有优惠条款须注明，但不得影响报价，影响产品整体功能。</w:t>
      </w:r>
      <w:r>
        <w:rPr>
          <w:rFonts w:hint="eastAsia" w:ascii="宋体" w:hAnsi="宋体" w:eastAsia="宋体" w:cs="宋体"/>
          <w:b/>
          <w:bCs/>
          <w:color w:val="auto"/>
          <w:szCs w:val="21"/>
          <w:highlight w:val="none"/>
        </w:rPr>
      </w:r>
      <w:r>
        <w:rPr>
          <w:color w:val="auto"/>
        </w:rPr>
      </w:r>
    </w:p>
    <w:p>
      <w:pPr>
        <w:pStyle w:val="899"/>
        <w:numPr>
          <w:ilvl w:val="0"/>
          <w:numId w:val="9"/>
        </w:numPr>
        <w:ind w:left="0" w:firstLine="42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经磋商后，如果成交价高于或低于供应商在磋商响应文件报价的话，分项报价同比例调整。</w:t>
      </w:r>
      <w:r>
        <w:rPr>
          <w:rFonts w:hint="eastAsia" w:ascii="宋体" w:hAnsi="宋体" w:eastAsia="宋体" w:cs="宋体"/>
          <w:b/>
          <w:color w:val="auto"/>
          <w:szCs w:val="21"/>
          <w:highlight w:val="none"/>
          <w:lang w:val="zh-CN"/>
        </w:rPr>
      </w:r>
      <w:r>
        <w:rPr>
          <w:color w:val="auto"/>
        </w:rPr>
      </w:r>
    </w:p>
    <w:p>
      <w:pPr>
        <w:pStyle w:val="908"/>
        <w:numPr>
          <w:ilvl w:val="0"/>
          <w:numId w:val="9"/>
        </w:numPr>
        <w:ind w:left="0"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eastAsia="zh-CN" w:bidi="ar-SA"/>
        </w:rPr>
        <w:t xml:space="preserve">投标单位报价应包含泵站维保所有费用，包含更换损坏配件费用，请投标单位综合考虑自行报价，后期不作调整。</w:t>
      </w:r>
      <w:r>
        <w:rPr>
          <w:rFonts w:hint="eastAsia" w:ascii="宋体" w:hAnsi="宋体" w:eastAsia="宋体" w:cs="宋体"/>
          <w:b/>
          <w:bCs/>
          <w:color w:val="auto"/>
          <w:sz w:val="21"/>
          <w:szCs w:val="21"/>
          <w:highlight w:val="none"/>
          <w:lang w:val="zh-CN" w:eastAsia="zh-CN" w:bidi="ar-SA"/>
        </w:rPr>
      </w:r>
      <w:r>
        <w:rPr>
          <w:color w:val="auto"/>
        </w:rPr>
      </w:r>
    </w:p>
    <w:p>
      <w:pPr>
        <w:pStyle w:val="899"/>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rPr>
      </w:r>
    </w:p>
    <w:p>
      <w:pPr>
        <w:pStyle w:val="899"/>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供应商名称加盖</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CA电子公章）:</w:t>
      </w:r>
      <w:r>
        <w:rPr>
          <w:rFonts w:hint="eastAsia" w:ascii="宋体" w:hAnsi="宋体" w:eastAsia="宋体" w:cs="宋体"/>
          <w:color w:val="auto"/>
          <w:szCs w:val="21"/>
          <w:highlight w:val="none"/>
        </w:rPr>
      </w:r>
      <w:r>
        <w:rPr>
          <w:color w:val="auto"/>
        </w:rPr>
      </w:r>
    </w:p>
    <w:p>
      <w:pPr>
        <w:pStyle w:val="899"/>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日期：       年    月    日</w:t>
      </w:r>
      <w:r>
        <w:rPr>
          <w:rFonts w:hint="eastAsia" w:ascii="宋体" w:hAnsi="宋体" w:eastAsia="宋体" w:cs="宋体"/>
          <w:color w:val="auto"/>
          <w:szCs w:val="21"/>
          <w:highlight w:val="none"/>
        </w:rPr>
      </w:r>
      <w:r>
        <w:rPr>
          <w:color w:val="auto"/>
        </w:rPr>
      </w:r>
    </w:p>
    <w:p>
      <w:pPr>
        <w:pStyle w:val="899"/>
        <w:ind w:firstLine="420"/>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95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center"/>
        <w:rPr>
          <w:rFonts w:hint="eastAsia" w:ascii="宋体" w:hAnsi="宋体" w:eastAsia="宋体" w:cs="宋体"/>
          <w:b/>
          <w:color w:val="auto"/>
          <w:sz w:val="24"/>
          <w:szCs w:val="21"/>
          <w:highlight w:val="none"/>
        </w:rPr>
        <w:outlineLvl w:val="1"/>
      </w:pPr>
      <w:r>
        <w:rPr>
          <w:color w:val="auto"/>
        </w:rPr>
      </w:r>
      <w:bookmarkStart w:id="491" w:name="_Toc15241"/>
      <w:r>
        <w:rPr>
          <w:rFonts w:hint="eastAsia" w:ascii="宋体" w:hAnsi="宋体" w:eastAsia="宋体" w:cs="宋体"/>
          <w:b/>
          <w:color w:val="auto"/>
          <w:sz w:val="24"/>
          <w:szCs w:val="21"/>
          <w:highlight w:val="none"/>
          <w:lang w:eastAsia="zh-CN"/>
        </w:rPr>
        <w:t xml:space="preserve">五</w:t>
      </w:r>
      <w:r>
        <w:rPr>
          <w:rFonts w:hint="eastAsia" w:ascii="宋体" w:hAnsi="宋体" w:eastAsia="宋体" w:cs="宋体"/>
          <w:b/>
          <w:color w:val="auto"/>
          <w:sz w:val="24"/>
          <w:szCs w:val="21"/>
          <w:highlight w:val="none"/>
        </w:rPr>
        <w:t xml:space="preserve">、服务人员一览表</w:t>
      </w:r>
      <w:bookmarkEnd w:id="491"/>
      <w:r>
        <w:rPr>
          <w:rFonts w:hint="eastAsia" w:ascii="宋体" w:hAnsi="宋体" w:eastAsia="宋体" w:cs="宋体"/>
          <w:b/>
          <w:color w:val="auto"/>
          <w:sz w:val="24"/>
          <w:szCs w:val="21"/>
          <w:highlight w:val="none"/>
        </w:rPr>
      </w:r>
      <w:r>
        <w:rPr>
          <w:color w:val="auto"/>
        </w:rPr>
      </w:r>
    </w:p>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89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w:t>
      </w:r>
      <w:r>
        <w:rPr>
          <w:rFonts w:hint="eastAsia" w:ascii="宋体" w:hAnsi="宋体" w:eastAsia="宋体" w:cs="宋体"/>
          <w:color w:val="auto"/>
          <w:sz w:val="24"/>
          <w:szCs w:val="24"/>
          <w:highlight w:val="none"/>
        </w:rPr>
      </w:r>
      <w:r>
        <w:rPr>
          <w:color w:val="auto"/>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833"/>
        <w:gridCol w:w="847"/>
        <w:gridCol w:w="1006"/>
        <w:gridCol w:w="2131"/>
        <w:gridCol w:w="1899"/>
        <w:gridCol w:w="1017"/>
      </w:tblGrid>
      <w:tr>
        <w:trPr>
          <w:trHeight w:val="1143"/>
        </w:trPr>
        <w:tc>
          <w:tcPr>
            <w:tcW w:w="701" w:type="dxa"/>
            <w:vAlign w:val="center"/>
            <w:textDirection w:val="lrTb"/>
            <w:noWrap w:val="false"/>
          </w:tcPr>
          <w:p>
            <w:pPr>
              <w:pStyle w:val="89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序号</w:t>
            </w:r>
            <w:r>
              <w:rPr>
                <w:rFonts w:hint="eastAsia" w:ascii="宋体" w:hAnsi="宋体" w:eastAsia="宋体" w:cs="宋体"/>
                <w:b/>
                <w:color w:val="auto"/>
                <w:sz w:val="24"/>
                <w:szCs w:val="24"/>
                <w:highlight w:val="none"/>
                <w:lang w:val="zh-CN"/>
              </w:rPr>
            </w:r>
            <w:r>
              <w:rPr>
                <w:color w:val="auto"/>
              </w:rPr>
            </w:r>
          </w:p>
        </w:tc>
        <w:tc>
          <w:tcPr>
            <w:tcW w:w="1833" w:type="dxa"/>
            <w:vAlign w:val="center"/>
            <w:textDirection w:val="lrTb"/>
            <w:noWrap w:val="false"/>
          </w:tcPr>
          <w:p>
            <w:pPr>
              <w:pStyle w:val="89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姓名</w:t>
            </w:r>
            <w:r>
              <w:rPr>
                <w:rFonts w:hint="eastAsia" w:ascii="宋体" w:hAnsi="宋体" w:eastAsia="宋体" w:cs="宋体"/>
                <w:b/>
                <w:color w:val="auto"/>
                <w:sz w:val="24"/>
                <w:szCs w:val="24"/>
                <w:highlight w:val="none"/>
                <w:lang w:val="zh-CN"/>
              </w:rPr>
            </w:r>
            <w:r>
              <w:rPr>
                <w:color w:val="auto"/>
              </w:rPr>
            </w:r>
          </w:p>
        </w:tc>
        <w:tc>
          <w:tcPr>
            <w:tcW w:w="847" w:type="dxa"/>
            <w:vAlign w:val="center"/>
            <w:textDirection w:val="lrTb"/>
            <w:noWrap w:val="false"/>
          </w:tcPr>
          <w:p>
            <w:pPr>
              <w:pStyle w:val="89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学历</w:t>
            </w:r>
            <w:r>
              <w:rPr>
                <w:rFonts w:hint="eastAsia" w:ascii="宋体" w:hAnsi="宋体" w:eastAsia="宋体" w:cs="宋体"/>
                <w:b/>
                <w:color w:val="auto"/>
                <w:sz w:val="24"/>
                <w:szCs w:val="24"/>
                <w:highlight w:val="none"/>
                <w:lang w:val="zh-CN"/>
              </w:rPr>
            </w:r>
            <w:r>
              <w:rPr>
                <w:color w:val="auto"/>
              </w:rPr>
            </w:r>
          </w:p>
        </w:tc>
        <w:tc>
          <w:tcPr>
            <w:tcW w:w="1006" w:type="dxa"/>
            <w:vAlign w:val="center"/>
            <w:textDirection w:val="lrTb"/>
            <w:noWrap w:val="false"/>
          </w:tcPr>
          <w:p>
            <w:pPr>
              <w:pStyle w:val="89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专业</w:t>
            </w:r>
            <w:r>
              <w:rPr>
                <w:rFonts w:hint="eastAsia" w:ascii="宋体" w:hAnsi="宋体" w:eastAsia="宋体" w:cs="宋体"/>
                <w:b/>
                <w:color w:val="auto"/>
                <w:sz w:val="24"/>
                <w:szCs w:val="24"/>
                <w:highlight w:val="none"/>
                <w:lang w:val="zh-CN"/>
              </w:rPr>
            </w:r>
            <w:r>
              <w:rPr>
                <w:color w:val="auto"/>
              </w:rPr>
            </w:r>
          </w:p>
        </w:tc>
        <w:tc>
          <w:tcPr>
            <w:tcW w:w="2131" w:type="dxa"/>
            <w:vAlign w:val="center"/>
            <w:textDirection w:val="lrTb"/>
            <w:noWrap w:val="false"/>
          </w:tcPr>
          <w:p>
            <w:pPr>
              <w:pStyle w:val="89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职称（资质）证书</w:t>
            </w:r>
            <w:r>
              <w:rPr>
                <w:rFonts w:hint="eastAsia" w:ascii="宋体" w:hAnsi="宋体" w:eastAsia="宋体" w:cs="宋体"/>
                <w:b/>
                <w:color w:val="auto"/>
                <w:sz w:val="24"/>
                <w:szCs w:val="24"/>
                <w:highlight w:val="none"/>
                <w:lang w:val="zh-CN"/>
              </w:rPr>
            </w:r>
            <w:r>
              <w:rPr>
                <w:color w:val="auto"/>
              </w:rPr>
            </w:r>
          </w:p>
        </w:tc>
        <w:tc>
          <w:tcPr>
            <w:tcW w:w="1899" w:type="dxa"/>
            <w:vAlign w:val="center"/>
            <w:textDirection w:val="lrTb"/>
            <w:noWrap w:val="false"/>
          </w:tcPr>
          <w:p>
            <w:pPr>
              <w:pStyle w:val="89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拟担任本项目何种工作</w:t>
            </w:r>
            <w:r>
              <w:rPr>
                <w:rFonts w:hint="eastAsia" w:ascii="宋体" w:hAnsi="宋体" w:eastAsia="宋体" w:cs="宋体"/>
                <w:b/>
                <w:color w:val="auto"/>
                <w:sz w:val="24"/>
                <w:szCs w:val="24"/>
                <w:highlight w:val="none"/>
                <w:lang w:val="zh-CN"/>
              </w:rPr>
            </w:r>
            <w:r>
              <w:rPr>
                <w:color w:val="auto"/>
              </w:rPr>
            </w:r>
          </w:p>
        </w:tc>
        <w:tc>
          <w:tcPr>
            <w:tcW w:w="1017" w:type="dxa"/>
            <w:vAlign w:val="center"/>
            <w:textDirection w:val="lrTb"/>
            <w:noWrap w:val="false"/>
          </w:tcPr>
          <w:p>
            <w:pPr>
              <w:pStyle w:val="89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备注</w:t>
            </w:r>
            <w:r>
              <w:rPr>
                <w:rFonts w:hint="eastAsia" w:ascii="宋体" w:hAnsi="宋体" w:eastAsia="宋体" w:cs="宋体"/>
                <w:b/>
                <w:color w:val="auto"/>
                <w:sz w:val="24"/>
                <w:szCs w:val="24"/>
                <w:highlight w:val="none"/>
                <w:lang w:val="zh-CN"/>
              </w:rPr>
            </w:r>
            <w:r>
              <w:rPr>
                <w:color w:val="auto"/>
              </w:rPr>
            </w:r>
          </w:p>
        </w:tc>
      </w:tr>
      <w:tr>
        <w:trPr>
          <w:trHeight w:val="595"/>
        </w:trPr>
        <w:tc>
          <w:tcPr>
            <w:tcW w:w="70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33"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84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06"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213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99" w:type="dxa"/>
            <w:vAlign w:val="top"/>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szCs w:val="24"/>
                <w:highlight w:val="none"/>
              </w:rPr>
            </w:r>
            <w:r>
              <w:rPr>
                <w:color w:val="auto"/>
              </w:rPr>
            </w:r>
          </w:p>
        </w:tc>
        <w:tc>
          <w:tcPr>
            <w:tcW w:w="101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582"/>
        </w:trPr>
        <w:tc>
          <w:tcPr>
            <w:tcW w:w="70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33"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84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06"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213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99"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1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595"/>
        </w:trPr>
        <w:tc>
          <w:tcPr>
            <w:tcW w:w="70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33"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84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06"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213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99"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1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582"/>
        </w:trPr>
        <w:tc>
          <w:tcPr>
            <w:tcW w:w="70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33"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84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06"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213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99"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1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595"/>
        </w:trPr>
        <w:tc>
          <w:tcPr>
            <w:tcW w:w="70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33"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84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06"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213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99"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1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582"/>
        </w:trPr>
        <w:tc>
          <w:tcPr>
            <w:tcW w:w="70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33"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84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06"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213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99"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1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595"/>
        </w:trPr>
        <w:tc>
          <w:tcPr>
            <w:tcW w:w="70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33"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84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06"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213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99"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1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582"/>
        </w:trPr>
        <w:tc>
          <w:tcPr>
            <w:tcW w:w="70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33"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84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06"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2131"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899"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W w:w="1017"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bl>
    <w:p>
      <w:pPr>
        <w:pStyle w:val="89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请提供采购文件要求的以上所填人员的学历学位证书，相关专业、专业技术职称、专业工作年限、供应商为其缴纳社保等证明材料，具体可根据评分标准自行适当增减内容，但需满足评分要求。</w:t>
      </w:r>
      <w:r>
        <w:rPr>
          <w:rFonts w:hint="eastAsia" w:ascii="宋体" w:hAnsi="宋体" w:eastAsia="宋体" w:cs="宋体"/>
          <w:color w:val="auto"/>
          <w:sz w:val="24"/>
          <w:szCs w:val="24"/>
          <w:highlight w:val="none"/>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说明：如果行数不够，请自行增加。</w:t>
      </w: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供应商名称：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（加盖CA电子公章）</w:t>
      </w:r>
      <w:r>
        <w:rPr>
          <w:rFonts w:hint="eastAsia" w:ascii="宋体" w:hAnsi="宋体" w:eastAsia="宋体" w:cs="宋体"/>
          <w:color w:val="auto"/>
          <w:sz w:val="24"/>
          <w:szCs w:val="24"/>
          <w:highlight w:val="none"/>
          <w:lang w:val="zh-CN"/>
        </w:rPr>
      </w:r>
      <w:r>
        <w:rPr>
          <w:color w:val="auto"/>
        </w:rPr>
      </w:r>
    </w:p>
    <w:p>
      <w:pPr>
        <w:pStyle w:val="89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9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99"/>
        <w:spacing w:line="360" w:lineRule="auto"/>
        <w:tabs>
          <w:tab w:val="left" w:pos="3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9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99"/>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99"/>
        <w:jc w:val="center"/>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br w:type="page" w:clear="all"/>
      </w:r>
      <w:bookmarkStart w:id="492" w:name="_Toc32192"/>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1"/>
          <w:highlight w:val="none"/>
          <w:lang w:eastAsia="zh-CN"/>
        </w:rPr>
        <w:t xml:space="preserve">、技术及服务条款响应及偏离表</w:t>
      </w:r>
      <w:bookmarkEnd w:id="492"/>
      <w:r>
        <w:rPr>
          <w:rFonts w:hint="eastAsia" w:ascii="宋体" w:hAnsi="宋体" w:eastAsia="宋体" w:cs="宋体"/>
          <w:b/>
          <w:color w:val="auto"/>
          <w:sz w:val="24"/>
          <w:szCs w:val="24"/>
          <w:highlight w:val="none"/>
        </w:rPr>
      </w:r>
      <w:r>
        <w:rPr>
          <w:color w:val="auto"/>
        </w:rPr>
      </w:r>
    </w:p>
    <w:p>
      <w:pPr>
        <w:pStyle w:val="899"/>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tbl>
      <w:tblPr>
        <w:tblW w:w="10450"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781"/>
        <w:gridCol w:w="2634"/>
        <w:gridCol w:w="2508"/>
        <w:gridCol w:w="2862"/>
      </w:tblGrid>
      <w:tr>
        <w:trPr>
          <w:trHeight w:val="284"/>
        </w:trPr>
        <w:tc>
          <w:tcPr>
            <w:gridSpan w:val="5"/>
            <w:tcBorders>
              <w:top w:val="none" w:color="000000" w:sz="4" w:space="0"/>
              <w:left w:val="none" w:color="000000" w:sz="4" w:space="0"/>
              <w:bottom w:val="single" w:color="000000" w:sz="6" w:space="0"/>
              <w:right w:val="none" w:color="000000" w:sz="4" w:space="0"/>
            </w:tcBorders>
            <w:tcW w:w="10450" w:type="dxa"/>
            <w:vAlign w:val="center"/>
            <w:textDirection w:val="lrTb"/>
            <w:noWrap w:val="false"/>
          </w:tcPr>
          <w:p>
            <w:pPr>
              <w:pStyle w:val="89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项目名称：</w:t>
            </w:r>
            <w:r>
              <w:rPr>
                <w:rFonts w:hint="eastAsia" w:ascii="宋体" w:hAnsi="宋体" w:eastAsia="宋体" w:cs="宋体"/>
                <w:color w:val="auto"/>
                <w:sz w:val="24"/>
                <w:szCs w:val="24"/>
                <w:highlight w:val="none"/>
                <w:lang w:val="zh-CN"/>
              </w:rPr>
            </w:r>
            <w:r>
              <w:rPr>
                <w:color w:val="auto"/>
              </w:rPr>
            </w:r>
          </w:p>
          <w:p>
            <w:pPr>
              <w:pStyle w:val="89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项目编号：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r>
            <w:r>
              <w:rPr>
                <w:color w:val="auto"/>
              </w:rP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序号</w:t>
            </w: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采购文件条目号</w:t>
            </w: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采购文件要求的技术、</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条款</w:t>
            </w: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磋商响应内容</w:t>
            </w: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862" w:type="dxa"/>
            <w:vAlign w:val="top"/>
            <w:textDirection w:val="lrTb"/>
            <w:noWrap w:val="false"/>
          </w:tcPr>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偏离说明</w:t>
            </w:r>
            <w:r>
              <w:rPr>
                <w:rFonts w:hint="eastAsia" w:ascii="宋体" w:hAnsi="宋体" w:eastAsia="宋体" w:cs="宋体"/>
                <w:color w:val="auto"/>
                <w:sz w:val="24"/>
                <w:szCs w:val="24"/>
                <w:highlight w:val="none"/>
                <w:lang w:val="zh-CN"/>
              </w:rPr>
            </w:r>
            <w:r>
              <w:rPr>
                <w:color w:val="auto"/>
              </w:rP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862" w:type="dxa"/>
            <w:vAlign w:val="top"/>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862" w:type="dxa"/>
            <w:vAlign w:val="top"/>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862" w:type="dxa"/>
            <w:vAlign w:val="top"/>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862" w:type="dxa"/>
            <w:vAlign w:val="top"/>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862" w:type="dxa"/>
            <w:vAlign w:val="top"/>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bl>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注：请将采购文件项目需求中列举的技术（服务）条款要求逐项作出应答并提供必要的证明材料或实施方案。</w:t>
      </w: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说明：如果行数不够，请自行增加。</w:t>
      </w: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供应商名称：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（加盖CA电子公章）</w:t>
      </w: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jc w:val="center"/>
        <w:rPr>
          <w:rFonts w:hint="eastAsia" w:ascii="宋体" w:hAnsi="宋体" w:eastAsia="宋体" w:cs="宋体"/>
          <w:b/>
          <w:color w:val="auto"/>
          <w:sz w:val="24"/>
          <w:szCs w:val="21"/>
          <w:highlight w:val="none"/>
        </w:rPr>
        <w:outlineLvl w:val="1"/>
      </w:pPr>
      <w:r>
        <w:rPr>
          <w:color w:val="auto"/>
        </w:rPr>
      </w:r>
      <w:bookmarkStart w:id="493" w:name="_Toc9756"/>
      <w:r>
        <w:rPr>
          <w:rFonts w:hint="eastAsia" w:ascii="宋体" w:hAnsi="宋体" w:eastAsia="宋体" w:cs="宋体"/>
          <w:b/>
          <w:color w:val="auto"/>
          <w:sz w:val="24"/>
          <w:szCs w:val="21"/>
          <w:highlight w:val="none"/>
          <w:lang w:val="zh-CN" w:eastAsia="zh-CN"/>
        </w:rPr>
        <w:t xml:space="preserve">七、商务条款</w:t>
      </w:r>
      <w:r>
        <w:rPr>
          <w:rFonts w:hint="eastAsia" w:ascii="宋体" w:hAnsi="宋体" w:eastAsia="宋体" w:cs="宋体"/>
          <w:b/>
          <w:color w:val="auto"/>
          <w:sz w:val="24"/>
          <w:szCs w:val="21"/>
          <w:highlight w:val="none"/>
          <w:lang w:eastAsia="zh-CN"/>
        </w:rPr>
        <w:t xml:space="preserve">响应及</w:t>
      </w:r>
      <w:r>
        <w:rPr>
          <w:rFonts w:hint="eastAsia" w:ascii="宋体" w:hAnsi="宋体" w:eastAsia="宋体" w:cs="宋体"/>
          <w:b/>
          <w:color w:val="auto"/>
          <w:sz w:val="24"/>
          <w:szCs w:val="21"/>
          <w:highlight w:val="none"/>
          <w:lang w:val="zh-CN" w:eastAsia="zh-CN"/>
        </w:rPr>
        <w:t xml:space="preserve">偏离表</w:t>
      </w:r>
      <w:bookmarkEnd w:id="493"/>
      <w:r>
        <w:rPr>
          <w:rFonts w:hint="eastAsia" w:ascii="宋体" w:hAnsi="宋体" w:eastAsia="宋体" w:cs="宋体"/>
          <w:b/>
          <w:color w:val="auto"/>
          <w:sz w:val="24"/>
          <w:szCs w:val="21"/>
          <w:highlight w:val="none"/>
          <w:lang w:val="zh-CN" w:eastAsia="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bl>
      <w:tblPr>
        <w:tblW w:w="10450"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754"/>
        <w:gridCol w:w="2661"/>
        <w:gridCol w:w="3294"/>
        <w:gridCol w:w="2076"/>
      </w:tblGrid>
      <w:tr>
        <w:trPr>
          <w:trHeight w:val="284"/>
        </w:trPr>
        <w:tc>
          <w:tcPr>
            <w:gridSpan w:val="5"/>
            <w:tcBorders>
              <w:top w:val="none" w:color="000000" w:sz="4" w:space="0"/>
              <w:left w:val="none" w:color="000000" w:sz="4" w:space="0"/>
              <w:bottom w:val="single" w:color="000000" w:sz="6" w:space="0"/>
              <w:right w:val="none" w:color="000000" w:sz="4" w:space="0"/>
            </w:tcBorders>
            <w:tcW w:w="10450" w:type="dxa"/>
            <w:vAlign w:val="center"/>
            <w:textDirection w:val="lrTb"/>
            <w:noWrap w:val="false"/>
          </w:tcPr>
          <w:p>
            <w:pPr>
              <w:pStyle w:val="89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项目名称：</w:t>
            </w:r>
            <w:r>
              <w:rPr>
                <w:rFonts w:hint="eastAsia" w:ascii="宋体" w:hAnsi="宋体" w:eastAsia="宋体" w:cs="宋体"/>
                <w:color w:val="auto"/>
                <w:sz w:val="24"/>
                <w:szCs w:val="24"/>
                <w:highlight w:val="none"/>
                <w:lang w:val="zh-CN"/>
              </w:rPr>
            </w:r>
            <w:r>
              <w:rPr>
                <w:color w:val="auto"/>
              </w:rPr>
            </w:r>
          </w:p>
          <w:p>
            <w:pPr>
              <w:pStyle w:val="89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项目编号：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r>
            <w:r>
              <w:rPr>
                <w:color w:val="auto"/>
              </w:rPr>
            </w:r>
          </w:p>
        </w:tc>
      </w:tr>
      <w:tr>
        <w:trPr>
          <w:trHeight w:val="64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序号</w:t>
            </w: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采购文件条目号</w:t>
            </w: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采购文件要求的商务条款</w:t>
            </w: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磋商响应内容</w:t>
            </w: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076" w:type="dxa"/>
            <w:vAlign w:val="top"/>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偏离说明</w:t>
            </w:r>
            <w:r>
              <w:rPr>
                <w:rFonts w:hint="eastAsia" w:ascii="宋体" w:hAnsi="宋体" w:eastAsia="宋体" w:cs="宋体"/>
                <w:color w:val="auto"/>
                <w:sz w:val="24"/>
                <w:szCs w:val="24"/>
                <w:highlight w:val="none"/>
                <w:lang w:val="zh-CN"/>
              </w:rPr>
            </w:r>
            <w:r>
              <w:rPr>
                <w:color w:val="auto"/>
              </w:rP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076" w:type="dxa"/>
            <w:vAlign w:val="top"/>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076" w:type="dxa"/>
            <w:vAlign w:val="top"/>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076" w:type="dxa"/>
            <w:vAlign w:val="top"/>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076" w:type="dxa"/>
            <w:vAlign w:val="top"/>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c>
          <w:tcPr>
            <w:tcBorders>
              <w:top w:val="single" w:color="000000" w:sz="6" w:space="0"/>
              <w:left w:val="single" w:color="000000" w:sz="6" w:space="0"/>
              <w:bottom w:val="single" w:color="000000" w:sz="6" w:space="0"/>
              <w:right w:val="single" w:color="000000" w:sz="6" w:space="0"/>
            </w:tcBorders>
            <w:tcW w:w="2076" w:type="dxa"/>
            <w:vAlign w:val="top"/>
            <w:textDirection w:val="lrTb"/>
            <w:noWrap w:val="false"/>
          </w:tcPr>
          <w:p>
            <w:pPr>
              <w:pStyle w:val="899"/>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tc>
      </w:tr>
    </w:tbl>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注：请将采购文件项目需求中列举的商务条款要求逐项作出应答并提供必要的证明材料或实施方案。</w:t>
      </w: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说明：如果行数不够，请自行增加。</w:t>
      </w: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供应商名称：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（加盖CA电子公章）</w:t>
      </w:r>
      <w:r>
        <w:rPr>
          <w:rFonts w:hint="eastAsia" w:ascii="宋体" w:hAnsi="宋体" w:eastAsia="宋体" w:cs="宋体"/>
          <w:color w:val="auto"/>
          <w:sz w:val="24"/>
          <w:szCs w:val="24"/>
          <w:highlight w:val="none"/>
          <w:lang w:val="zh-CN"/>
        </w:rPr>
      </w:r>
      <w:r>
        <w:rPr>
          <w:color w:val="auto"/>
        </w:rPr>
      </w:r>
    </w:p>
    <w:p>
      <w:pPr>
        <w:pStyle w:val="8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r>
      <w:r>
        <w:rPr>
          <w:color w:val="auto"/>
        </w:rPr>
      </w:r>
    </w:p>
    <w:p>
      <w:pPr>
        <w:pStyle w:val="899"/>
        <w:jc w:val="left"/>
        <w:spacing w:line="460" w:lineRule="exact"/>
        <w:rPr>
          <w:rFonts w:hint="eastAsia" w:ascii="宋体" w:hAnsi="宋体" w:eastAsia="宋体" w:cs="宋体"/>
          <w:b/>
          <w:color w:val="auto"/>
          <w:szCs w:val="21"/>
          <w:highlight w:val="none"/>
        </w:rPr>
        <w:outlineLvl w:val="2"/>
      </w:pPr>
      <w:r>
        <w:rPr>
          <w:rFonts w:hint="eastAsia" w:ascii="宋体" w:hAnsi="宋体" w:eastAsia="宋体" w:cs="宋体"/>
          <w:b/>
          <w:color w:val="auto"/>
          <w:szCs w:val="21"/>
          <w:highlight w:val="none"/>
          <w:lang w:val="en-US" w:eastAsia="zh-CN"/>
        </w:rPr>
      </w:r>
      <w:r>
        <w:rPr>
          <w:color w:val="auto"/>
        </w:rPr>
      </w:r>
    </w:p>
    <w:p>
      <w:pPr>
        <w:pStyle w:val="899"/>
        <w:jc w:val="center"/>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899"/>
        <w:spacing w:line="360" w:lineRule="auto"/>
        <w:rPr>
          <w:rFonts w:hint="eastAsia" w:ascii="宋体" w:hAnsi="宋体" w:eastAsia="宋体" w:cs="宋体"/>
          <w:b/>
          <w:bCs/>
          <w:color w:val="auto"/>
          <w:szCs w:val="21"/>
          <w:highlight w:val="none"/>
        </w:rPr>
        <w:outlineLvl w:val="2"/>
      </w:pPr>
      <w:r>
        <w:rPr>
          <w:color w:val="auto"/>
        </w:rPr>
      </w:r>
      <w:bookmarkStart w:id="494" w:name="_Toc13602"/>
      <w:r>
        <w:rPr>
          <w:color w:val="auto"/>
        </w:rPr>
      </w:r>
      <w:bookmarkStart w:id="495" w:name="_Toc12597"/>
      <w:r>
        <w:rPr>
          <w:color w:val="auto"/>
        </w:rPr>
      </w:r>
      <w:bookmarkStart w:id="496" w:name="_Toc6641"/>
      <w:r>
        <w:rPr>
          <w:color w:val="auto"/>
        </w:rPr>
      </w:r>
      <w:bookmarkStart w:id="497" w:name="_Toc3281"/>
      <w:r>
        <w:rPr>
          <w:color w:val="auto"/>
        </w:rPr>
      </w:r>
      <w:bookmarkStart w:id="498" w:name="_Toc20831"/>
      <w:r>
        <w:rPr>
          <w:color w:val="auto"/>
        </w:rPr>
      </w:r>
      <w:bookmarkStart w:id="499" w:name="_Toc465"/>
      <w:r>
        <w:rPr>
          <w:color w:val="auto"/>
        </w:rPr>
      </w:r>
      <w:bookmarkStart w:id="500" w:name="_Toc13274"/>
      <w:r>
        <w:rPr>
          <w:color w:val="auto"/>
        </w:rPr>
      </w:r>
      <w:bookmarkStart w:id="501" w:name="_Toc12620"/>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南京市政府采购供应商信用记录表暨信用承诺书</w:t>
      </w:r>
      <w:bookmarkEnd w:id="494"/>
      <w:r>
        <w:rPr>
          <w:color w:val="auto"/>
        </w:rPr>
      </w:r>
      <w:bookmarkEnd w:id="495"/>
      <w:r>
        <w:rPr>
          <w:color w:val="auto"/>
        </w:rPr>
      </w:r>
      <w:bookmarkEnd w:id="496"/>
      <w:r>
        <w:rPr>
          <w:color w:val="auto"/>
        </w:rPr>
      </w:r>
      <w:bookmarkEnd w:id="497"/>
      <w:r>
        <w:rPr>
          <w:color w:val="auto"/>
        </w:rPr>
      </w:r>
      <w:bookmarkEnd w:id="498"/>
      <w:r>
        <w:rPr>
          <w:color w:val="auto"/>
        </w:rPr>
      </w:r>
      <w:bookmarkEnd w:id="499"/>
      <w:r>
        <w:rPr>
          <w:color w:val="auto"/>
        </w:rPr>
      </w:r>
      <w:bookmarkEnd w:id="500"/>
      <w:r>
        <w:rPr>
          <w:color w:val="auto"/>
        </w:rPr>
      </w:r>
      <w:bookmarkEnd w:id="501"/>
      <w:r>
        <w:rPr>
          <w:rFonts w:hint="eastAsia" w:ascii="宋体" w:hAnsi="宋体" w:eastAsia="宋体" w:cs="宋体"/>
          <w:b/>
          <w:bCs/>
          <w:color w:val="auto"/>
          <w:szCs w:val="21"/>
          <w:highlight w:val="none"/>
        </w:rPr>
      </w:r>
      <w:r>
        <w:rPr>
          <w:color w:val="auto"/>
        </w:rPr>
      </w:r>
    </w:p>
    <w:tbl>
      <w:tblPr>
        <w:tblW w:w="9566"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602"/>
        <w:gridCol w:w="2760"/>
        <w:gridCol w:w="2040"/>
        <w:gridCol w:w="3164"/>
      </w:tblGrid>
      <w:tr>
        <w:trPr>
          <w:trHeight w:val="600"/>
        </w:trPr>
        <w:tc>
          <w:tcPr>
            <w:gridSpan w:val="4"/>
            <w:tcBorders>
              <w:top w:val="none" w:color="000000" w:sz="0" w:space="0"/>
              <w:left w:val="none" w:color="000000" w:sz="0" w:space="0"/>
              <w:bottom w:val="none" w:color="000000" w:sz="0" w:space="0"/>
              <w:right w:val="none" w:color="000000" w:sz="0" w:space="0"/>
            </w:tcBorders>
            <w:tcW w:w="9566" w:type="dxa"/>
            <w:vAlign w:val="center"/>
            <w:textDirection w:val="lrTb"/>
            <w:noWrap w:val="false"/>
          </w:tcPr>
          <w:p>
            <w:pPr>
              <w:pStyle w:val="899"/>
              <w:jc w:val="center"/>
              <w:widowControl/>
              <w:rPr>
                <w:rFonts w:hint="eastAsia" w:ascii="宋体" w:hAnsi="宋体" w:eastAsia="宋体" w:cs="宋体"/>
                <w:color w:val="auto"/>
                <w:sz w:val="40"/>
                <w:szCs w:val="40"/>
                <w:highlight w:val="none"/>
              </w:rPr>
            </w:pPr>
            <w:r>
              <w:rPr>
                <w:rFonts w:hint="eastAsia" w:ascii="宋体" w:hAnsi="宋体" w:eastAsia="宋体" w:cs="宋体"/>
                <w:b/>
                <w:bCs/>
                <w:color w:val="auto"/>
                <w:sz w:val="32"/>
                <w:szCs w:val="32"/>
                <w:highlight w:val="none"/>
                <w:lang w:bidi="ar"/>
              </w:rPr>
              <w:t xml:space="preserve">南京市政府采购供应商信用记录表</w:t>
            </w:r>
            <w:r>
              <w:rPr>
                <w:rFonts w:hint="eastAsia" w:ascii="宋体" w:hAnsi="宋体" w:eastAsia="宋体" w:cs="宋体"/>
                <w:b/>
                <w:bCs/>
                <w:color w:val="auto"/>
                <w:sz w:val="32"/>
                <w:szCs w:val="32"/>
                <w:highlight w:val="none"/>
                <w:lang w:val="en-US" w:eastAsia="zh-CN" w:bidi="ar"/>
              </w:rPr>
              <w:t xml:space="preserve">暨信用承诺书</w:t>
            </w:r>
            <w:r>
              <w:rPr>
                <w:rFonts w:hint="eastAsia" w:ascii="宋体" w:hAnsi="宋体" w:eastAsia="宋体" w:cs="宋体"/>
                <w:color w:val="auto"/>
                <w:sz w:val="40"/>
                <w:szCs w:val="40"/>
                <w:highlight w:val="none"/>
                <w:lang w:val="en-US" w:eastAsia="zh-CN"/>
              </w:rPr>
            </w:r>
            <w:r>
              <w:rPr>
                <w:color w:val="auto"/>
              </w:rPr>
            </w:r>
          </w:p>
        </w:tc>
      </w:tr>
      <w:tr>
        <w:trPr>
          <w:trHeight w:val="570"/>
        </w:trPr>
        <w:tc>
          <w:tcPr>
            <w:gridSpan w:val="4"/>
            <w:tcBorders>
              <w:top w:val="none" w:color="000000" w:sz="0" w:space="0"/>
              <w:left w:val="none" w:color="000000" w:sz="0" w:space="0"/>
              <w:bottom w:val="none" w:color="000000" w:sz="0" w:space="0"/>
              <w:right w:val="none" w:color="000000" w:sz="0" w:space="0"/>
            </w:tcBorders>
            <w:tcW w:w="9566" w:type="dxa"/>
            <w:vAlign w:val="center"/>
            <w:textDirection w:val="lrTb"/>
            <w:noWrap w:val="false"/>
          </w:tcPr>
          <w:p>
            <w:pPr>
              <w:pStyle w:val="899"/>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（仅为示范格式，直接填写无效，需至“南京政府采购供应商诚信档案管理系统”在线打印）</w:t>
            </w:r>
            <w:r>
              <w:rPr>
                <w:rFonts w:hint="eastAsia" w:ascii="宋体" w:hAnsi="宋体" w:eastAsia="宋体" w:cs="宋体"/>
                <w:color w:val="auto"/>
                <w:sz w:val="22"/>
                <w:szCs w:val="22"/>
                <w:highlight w:val="none"/>
              </w:rPr>
            </w:r>
            <w:r>
              <w:rPr>
                <w:color w:val="auto"/>
              </w:rPr>
            </w:r>
          </w:p>
        </w:tc>
      </w:tr>
      <w:tr>
        <w:trPr>
          <w:trHeight w:val="720"/>
        </w:trPr>
        <w:tc>
          <w:tcPr>
            <w:tcBorders>
              <w:top w:val="single" w:color="000000" w:sz="18" w:space="0"/>
              <w:left w:val="single" w:color="000000" w:sz="18" w:space="0"/>
              <w:bottom w:val="single" w:color="000000" w:sz="4" w:space="0"/>
              <w:right w:val="single" w:color="000000" w:sz="4" w:space="0"/>
            </w:tcBorders>
            <w:tcW w:w="1602" w:type="dxa"/>
            <w:vAlign w:val="center"/>
            <w:textDirection w:val="lrTb"/>
            <w:noWrap w:val="false"/>
          </w:tcPr>
          <w:p>
            <w:pPr>
              <w:pStyle w:val="899"/>
              <w:jc w:val="left"/>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单位名称</w:t>
            </w:r>
            <w:r>
              <w:rPr>
                <w:rFonts w:hint="eastAsia" w:ascii="宋体" w:hAnsi="宋体" w:eastAsia="宋体" w:cs="宋体"/>
                <w:b/>
                <w:color w:val="auto"/>
                <w:sz w:val="22"/>
                <w:szCs w:val="22"/>
                <w:highlight w:val="none"/>
              </w:rPr>
            </w:r>
            <w:r>
              <w:rPr>
                <w:color w:val="auto"/>
              </w:rP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pStyle w:val="89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color w:val="auto"/>
              </w:rPr>
            </w:r>
          </w:p>
        </w:tc>
        <w:tc>
          <w:tcPr>
            <w:tcBorders>
              <w:top w:val="single" w:color="000000" w:sz="18" w:space="0"/>
              <w:left w:val="single" w:color="000000" w:sz="4" w:space="0"/>
              <w:bottom w:val="single" w:color="000000" w:sz="4" w:space="0"/>
              <w:right w:val="single" w:color="000000" w:sz="4" w:space="0"/>
            </w:tcBorders>
            <w:tcW w:w="2040" w:type="dxa"/>
            <w:vAlign w:val="center"/>
            <w:textDirection w:val="lrTb"/>
            <w:noWrap w:val="false"/>
          </w:tcPr>
          <w:p>
            <w:pPr>
              <w:pStyle w:val="899"/>
              <w:jc w:val="left"/>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统一社会信用代码</w:t>
            </w:r>
            <w:r>
              <w:rPr>
                <w:rFonts w:hint="eastAsia" w:ascii="宋体" w:hAnsi="宋体" w:eastAsia="宋体" w:cs="宋体"/>
                <w:b/>
                <w:color w:val="auto"/>
                <w:sz w:val="22"/>
                <w:szCs w:val="22"/>
                <w:highlight w:val="none"/>
              </w:rPr>
            </w:r>
            <w:r>
              <w:rPr>
                <w:color w:val="auto"/>
              </w:rPr>
            </w:r>
          </w:p>
        </w:tc>
        <w:tc>
          <w:tcPr>
            <w:tcBorders>
              <w:top w:val="single" w:color="000000" w:sz="18" w:space="0"/>
              <w:left w:val="single" w:color="000000" w:sz="4" w:space="0"/>
              <w:bottom w:val="single" w:color="000000" w:sz="4" w:space="0"/>
              <w:right w:val="single" w:color="000000" w:sz="18" w:space="0"/>
            </w:tcBorders>
            <w:tcW w:w="3164" w:type="dxa"/>
            <w:vAlign w:val="center"/>
            <w:textDirection w:val="lrTb"/>
            <w:noWrap w:val="false"/>
          </w:tcPr>
          <w:p>
            <w:pPr>
              <w:pStyle w:val="89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color w:val="auto"/>
              </w:rPr>
            </w:r>
          </w:p>
        </w:tc>
      </w:tr>
      <w:tr>
        <w:trPr>
          <w:trHeight w:val="675"/>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pStyle w:val="899"/>
              <w:jc w:val="left"/>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法定代表人</w:t>
            </w:r>
            <w:r>
              <w:rPr>
                <w:rFonts w:hint="eastAsia" w:ascii="宋体" w:hAnsi="宋体" w:eastAsia="宋体" w:cs="宋体"/>
                <w:b/>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89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99"/>
              <w:jc w:val="left"/>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联系人</w:t>
            </w:r>
            <w:r>
              <w:rPr>
                <w:rFonts w:hint="eastAsia" w:ascii="宋体" w:hAnsi="宋体" w:eastAsia="宋体" w:cs="宋体"/>
                <w:b/>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pStyle w:val="89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color w:val="auto"/>
              </w:rPr>
            </w:r>
          </w:p>
        </w:tc>
      </w:tr>
      <w:tr>
        <w:trPr>
          <w:trHeight w:val="720"/>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pStyle w:val="899"/>
              <w:jc w:val="left"/>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联系地址</w:t>
            </w:r>
            <w:r>
              <w:rPr>
                <w:rFonts w:hint="eastAsia" w:ascii="宋体" w:hAnsi="宋体" w:eastAsia="宋体" w:cs="宋体"/>
                <w:b/>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89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99"/>
              <w:jc w:val="left"/>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联系电话</w:t>
            </w:r>
            <w:r>
              <w:rPr>
                <w:rFonts w:hint="eastAsia" w:ascii="宋体" w:hAnsi="宋体" w:eastAsia="宋体" w:cs="宋体"/>
                <w:b/>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pStyle w:val="89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color w:val="auto"/>
              </w:rPr>
            </w:r>
          </w:p>
        </w:tc>
      </w:tr>
      <w:tr>
        <w:trPr>
          <w:trHeight w:val="780"/>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pStyle w:val="899"/>
              <w:jc w:val="left"/>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信用得分</w:t>
            </w:r>
            <w:r>
              <w:rPr>
                <w:rFonts w:hint="eastAsia" w:ascii="宋体" w:hAnsi="宋体" w:eastAsia="宋体" w:cs="宋体"/>
                <w:b/>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89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pStyle w:val="899"/>
              <w:jc w:val="left"/>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星级</w:t>
            </w:r>
            <w:r>
              <w:rPr>
                <w:rFonts w:hint="eastAsia" w:ascii="宋体" w:hAnsi="宋体" w:eastAsia="宋体" w:cs="宋体"/>
                <w:b/>
                <w:color w:val="auto"/>
                <w:sz w:val="22"/>
                <w:szCs w:val="22"/>
                <w:highlight w:val="none"/>
              </w:rPr>
            </w:r>
            <w:r>
              <w:rPr>
                <w:color w:val="auto"/>
              </w:rP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pStyle w:val="89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color w:val="auto"/>
              </w:rPr>
            </w:r>
          </w:p>
        </w:tc>
      </w:tr>
      <w:tr>
        <w:trPr>
          <w:trHeight w:val="2136"/>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pStyle w:val="899"/>
              <w:jc w:val="left"/>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诚信档案记录情况</w:t>
            </w:r>
            <w:r>
              <w:rPr>
                <w:rFonts w:hint="eastAsia" w:ascii="宋体" w:hAnsi="宋体" w:eastAsia="宋体" w:cs="宋体"/>
                <w:b/>
                <w:color w:val="auto"/>
                <w:sz w:val="22"/>
                <w:szCs w:val="22"/>
                <w:highlight w:val="none"/>
              </w:rPr>
            </w:r>
            <w:r>
              <w:rPr>
                <w:color w:val="auto"/>
              </w:rPr>
            </w:r>
          </w:p>
        </w:tc>
        <w:tc>
          <w:tcPr>
            <w:gridSpan w:val="3"/>
            <w:tcBorders>
              <w:top w:val="single" w:color="000000" w:sz="4" w:space="0"/>
              <w:left w:val="single" w:color="000000" w:sz="4" w:space="0"/>
              <w:bottom w:val="single" w:color="000000" w:sz="4" w:space="0"/>
              <w:right w:val="single" w:color="000000" w:sz="18" w:space="0"/>
            </w:tcBorders>
            <w:tcW w:w="7964" w:type="dxa"/>
            <w:vAlign w:val="center"/>
            <w:textDirection w:val="lrTb"/>
            <w:noWrap w:val="false"/>
          </w:tcPr>
          <w:p>
            <w:pPr>
              <w:pStyle w:val="89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color w:val="auto"/>
              </w:rPr>
            </w:r>
          </w:p>
        </w:tc>
      </w:tr>
      <w:tr>
        <w:trPr>
          <w:trHeight w:val="5850"/>
        </w:trPr>
        <w:tc>
          <w:tcPr>
            <w:tcBorders>
              <w:top w:val="single" w:color="000000" w:sz="4" w:space="0"/>
              <w:left w:val="single" w:color="000000" w:sz="18" w:space="0"/>
              <w:bottom w:val="single" w:color="000000" w:sz="18" w:space="0"/>
              <w:right w:val="single" w:color="000000" w:sz="4" w:space="0"/>
            </w:tcBorders>
            <w:tcW w:w="1602" w:type="dxa"/>
            <w:vAlign w:val="center"/>
            <w:textDirection w:val="lrTb"/>
            <w:noWrap w:val="false"/>
          </w:tcPr>
          <w:p>
            <w:pPr>
              <w:pStyle w:val="899"/>
              <w:jc w:val="left"/>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信用承诺</w:t>
            </w:r>
            <w:r>
              <w:rPr>
                <w:rFonts w:hint="eastAsia" w:ascii="宋体" w:hAnsi="宋体" w:eastAsia="宋体" w:cs="宋体"/>
                <w:b/>
                <w:color w:val="auto"/>
                <w:sz w:val="22"/>
                <w:szCs w:val="22"/>
                <w:highlight w:val="none"/>
              </w:rPr>
            </w:r>
            <w:r>
              <w:rPr>
                <w:color w:val="auto"/>
              </w:rPr>
            </w:r>
          </w:p>
        </w:tc>
        <w:tc>
          <w:tcPr>
            <w:gridSpan w:val="3"/>
            <w:tcBorders>
              <w:top w:val="single" w:color="000000" w:sz="4" w:space="0"/>
              <w:left w:val="single" w:color="000000" w:sz="4" w:space="0"/>
              <w:bottom w:val="single" w:color="000000" w:sz="18" w:space="0"/>
              <w:right w:val="single" w:color="000000" w:sz="18" w:space="0"/>
            </w:tcBorders>
            <w:tcW w:w="7964" w:type="dxa"/>
            <w:vAlign w:val="center"/>
            <w:textDirection w:val="lrTb"/>
            <w:noWrap w:val="false"/>
          </w:tcPr>
          <w:p>
            <w:pPr>
              <w:pStyle w:val="899"/>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    </w:t>
            </w:r>
            <w:r>
              <w:rPr>
                <w:rFonts w:hint="eastAsia" w:ascii="宋体" w:hAnsi="宋体" w:eastAsia="宋体" w:cs="宋体"/>
                <w:color w:val="auto"/>
                <w:sz w:val="24"/>
                <w:highlight w:val="none"/>
                <w:lang w:bidi="ar"/>
              </w:rPr>
            </w:r>
            <w:r>
              <w:rPr>
                <w:color w:val="auto"/>
              </w:rPr>
            </w:r>
          </w:p>
          <w:p>
            <w:pPr>
              <w:pStyle w:val="899"/>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r>
            <w:r>
              <w:rPr>
                <w:color w:val="auto"/>
              </w:rPr>
            </w:r>
          </w:p>
          <w:p>
            <w:pPr>
              <w:pStyle w:val="899"/>
              <w:ind w:firstLine="48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w:t>
            </w:r>
            <w:r>
              <w:rPr>
                <w:rFonts w:hint="eastAsia" w:ascii="宋体" w:hAnsi="宋体" w:eastAsia="宋体" w:cs="宋体"/>
                <w:color w:val="auto"/>
                <w:sz w:val="24"/>
                <w:highlight w:val="none"/>
                <w:lang w:val="en-US" w:eastAsia="zh-CN" w:bidi="ar"/>
              </w:rPr>
              <w:t xml:space="preserve">参</w:t>
            </w:r>
            <w:r>
              <w:rPr>
                <w:rFonts w:hint="eastAsia" w:ascii="宋体" w:hAnsi="宋体" w:eastAsia="宋体" w:cs="宋体"/>
                <w:color w:val="auto"/>
                <w:sz w:val="24"/>
                <w:highlight w:val="none"/>
                <w:lang w:bidi="ar"/>
              </w:rPr>
              <w:t xml:space="preserve">加政府采购活动前三年内，在经营活动中没有重大违法记录；以及法律、行政法规规定和采购文件规定的其他条件。如有弄虚作假或其他违法违规行为，原承担一切 法律责任，接受各级政府采购监管部门和有权机关的审查和处罚。</w:t>
            </w:r>
            <w:r>
              <w:rPr>
                <w:rFonts w:hint="eastAsia" w:ascii="宋体" w:hAnsi="宋体" w:eastAsia="宋体" w:cs="宋体"/>
                <w:color w:val="auto"/>
                <w:sz w:val="24"/>
                <w:highlight w:val="none"/>
                <w:lang w:bidi="ar"/>
              </w:rPr>
              <w:br w:type="textWrapping" w:clear="all"/>
            </w:r>
            <w:r>
              <w:rPr>
                <w:rFonts w:hint="eastAsia" w:ascii="宋体" w:hAnsi="宋体" w:eastAsia="宋体" w:cs="宋体"/>
                <w:color w:val="auto"/>
                <w:sz w:val="24"/>
                <w:highlight w:val="none"/>
                <w:lang w:bidi="ar"/>
              </w:rPr>
              <w:br w:type="textWrapping" w:clear="all"/>
            </w:r>
            <w:r>
              <w:rPr>
                <w:rFonts w:hint="eastAsia" w:ascii="宋体" w:hAnsi="宋体" w:eastAsia="宋体" w:cs="宋体"/>
                <w:color w:val="auto"/>
                <w:sz w:val="24"/>
                <w:highlight w:val="none"/>
                <w:lang w:bidi="ar"/>
              </w:rPr>
              <w:t xml:space="preserve">               </w:t>
            </w:r>
            <w:r>
              <w:rPr>
                <w:rFonts w:hint="eastAsia" w:ascii="宋体" w:hAnsi="宋体" w:eastAsia="宋体" w:cs="宋体"/>
                <w:color w:val="auto"/>
                <w:sz w:val="24"/>
                <w:highlight w:val="none"/>
                <w:lang w:bidi="ar"/>
              </w:rPr>
              <w:br w:type="textWrapping" w:clear="all"/>
            </w:r>
            <w:r>
              <w:rPr>
                <w:rFonts w:hint="eastAsia" w:ascii="宋体" w:hAnsi="宋体" w:eastAsia="宋体" w:cs="宋体"/>
                <w:color w:val="auto"/>
                <w:sz w:val="24"/>
                <w:highlight w:val="none"/>
                <w:lang w:bidi="ar"/>
              </w:rPr>
              <w:t xml:space="preserve">                      供应商名称（盖章）：</w:t>
            </w:r>
            <w:r>
              <w:rPr>
                <w:rFonts w:hint="eastAsia" w:ascii="宋体" w:hAnsi="宋体" w:eastAsia="宋体" w:cs="宋体"/>
                <w:color w:val="auto"/>
                <w:sz w:val="24"/>
                <w:highlight w:val="none"/>
                <w:lang w:bidi="ar"/>
              </w:rPr>
              <w:br w:type="textWrapping" w:clear="all"/>
            </w:r>
            <w:r>
              <w:rPr>
                <w:rFonts w:hint="eastAsia" w:ascii="宋体" w:hAnsi="宋体" w:eastAsia="宋体" w:cs="宋体"/>
                <w:color w:val="auto"/>
                <w:sz w:val="24"/>
                <w:highlight w:val="none"/>
                <w:lang w:bidi="ar"/>
              </w:rPr>
              <w:br w:type="textWrapping" w:clear="all"/>
            </w:r>
            <w:r>
              <w:rPr>
                <w:rFonts w:hint="eastAsia" w:ascii="宋体" w:hAnsi="宋体" w:eastAsia="宋体" w:cs="宋体"/>
                <w:color w:val="auto"/>
                <w:sz w:val="24"/>
                <w:highlight w:val="none"/>
                <w:lang w:bidi="ar"/>
              </w:rPr>
              <w:t xml:space="preserve">                      法定代表人（签字）：</w:t>
            </w:r>
            <w:r>
              <w:rPr>
                <w:rFonts w:hint="eastAsia" w:ascii="宋体" w:hAnsi="宋体" w:eastAsia="宋体" w:cs="宋体"/>
                <w:color w:val="auto"/>
                <w:sz w:val="24"/>
                <w:highlight w:val="none"/>
                <w:lang w:bidi="ar"/>
              </w:rPr>
              <w:br w:type="textWrapping" w:clear="all"/>
            </w:r>
            <w:r>
              <w:rPr>
                <w:rFonts w:hint="eastAsia" w:ascii="宋体" w:hAnsi="宋体" w:eastAsia="宋体" w:cs="宋体"/>
                <w:color w:val="auto"/>
                <w:sz w:val="24"/>
                <w:highlight w:val="none"/>
                <w:lang w:bidi="ar"/>
              </w:rPr>
              <w:br w:type="textWrapping" w:clear="all"/>
            </w:r>
            <w:r>
              <w:rPr>
                <w:rFonts w:hint="eastAsia" w:ascii="宋体" w:hAnsi="宋体" w:eastAsia="宋体" w:cs="宋体"/>
                <w:color w:val="auto"/>
                <w:sz w:val="24"/>
                <w:highlight w:val="none"/>
                <w:lang w:bidi="ar"/>
              </w:rPr>
              <w:t xml:space="preserve">                      二〇    年  月    日</w:t>
            </w:r>
            <w:r>
              <w:rPr>
                <w:rFonts w:hint="eastAsia" w:ascii="宋体" w:hAnsi="宋体" w:eastAsia="宋体" w:cs="宋体"/>
                <w:color w:val="auto"/>
                <w:sz w:val="24"/>
                <w:highlight w:val="none"/>
              </w:rPr>
            </w:r>
            <w:r>
              <w:rPr>
                <w:color w:val="auto"/>
              </w:rPr>
            </w:r>
          </w:p>
        </w:tc>
      </w:tr>
    </w:tbl>
    <w:p>
      <w:pPr>
        <w:pStyle w:val="9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r>
      <w:r>
        <w:rPr>
          <w:color w:val="auto"/>
        </w:rPr>
      </w:r>
    </w:p>
    <w:p>
      <w:pPr>
        <w:pStyle w:val="899"/>
        <w:jc w:val="center"/>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r>
      <w:r>
        <w:rPr>
          <w:color w:val="auto"/>
        </w:rPr>
      </w:r>
    </w:p>
    <w:p>
      <w:pPr>
        <w:pStyle w:val="899"/>
        <w:jc w:val="center"/>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r>
      <w:r>
        <w:rPr>
          <w:color w:val="auto"/>
        </w:rPr>
      </w:r>
    </w:p>
    <w:p>
      <w:pPr>
        <w:pStyle w:val="899"/>
        <w:jc w:val="center"/>
        <w:rPr>
          <w:rFonts w:hint="eastAsia" w:ascii="宋体" w:hAnsi="宋体" w:eastAsia="宋体" w:cs="宋体"/>
          <w:b w:val="0"/>
          <w:bCs/>
          <w:color w:val="auto"/>
          <w:sz w:val="24"/>
          <w:szCs w:val="24"/>
          <w:highlight w:val="none"/>
        </w:rPr>
        <w:outlineLvl w:val="1"/>
      </w:pPr>
      <w:r>
        <w:rPr>
          <w:color w:val="auto"/>
        </w:rPr>
      </w:r>
      <w:bookmarkStart w:id="502" w:name="_Toc4047"/>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1"/>
          <w:highlight w:val="none"/>
          <w:lang w:val="zh-CN" w:eastAsia="zh-CN"/>
        </w:rPr>
        <w:t xml:space="preserve">、项目需求响应方案</w:t>
      </w:r>
      <w:bookmarkEnd w:id="502"/>
      <w:r>
        <w:rPr>
          <w:rFonts w:hint="eastAsia" w:ascii="宋体" w:hAnsi="宋体" w:eastAsia="宋体" w:cs="宋体"/>
          <w:b w:val="0"/>
          <w:bCs/>
          <w:color w:val="auto"/>
          <w:sz w:val="24"/>
          <w:szCs w:val="24"/>
          <w:highlight w:val="none"/>
        </w:rPr>
      </w:r>
      <w:r>
        <w:rPr>
          <w:color w:val="auto"/>
        </w:rPr>
      </w:r>
    </w:p>
    <w:p>
      <w:pPr>
        <w:pStyle w:val="89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（格式自拟）</w:t>
      </w:r>
      <w:r>
        <w:rPr>
          <w:rFonts w:hint="eastAsia" w:ascii="宋体" w:hAnsi="宋体" w:eastAsia="宋体" w:cs="宋体"/>
          <w:b w:val="0"/>
          <w:bCs/>
          <w:color w:val="auto"/>
          <w:sz w:val="24"/>
          <w:szCs w:val="24"/>
          <w:highlight w:val="none"/>
        </w:rPr>
      </w:r>
      <w:r>
        <w:rPr>
          <w:color w:val="auto"/>
        </w:rPr>
      </w:r>
    </w:p>
    <w:p>
      <w:pPr>
        <w:pStyle w:val="89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rPr>
      </w:r>
    </w:p>
    <w:p>
      <w:pPr>
        <w:pStyle w:val="89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rPr>
      </w:r>
    </w:p>
    <w:p>
      <w:pPr>
        <w:pStyle w:val="89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rPr>
      </w:r>
    </w:p>
    <w:p>
      <w:pPr>
        <w:pStyle w:val="89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rPr>
      </w:r>
    </w:p>
    <w:p>
      <w:pPr>
        <w:pStyle w:val="899"/>
        <w:numPr>
          <w:ilvl w:val="0"/>
          <w:numId w:val="0"/>
        </w:num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rPr>
      </w:r>
    </w:p>
    <w:p>
      <w:pPr>
        <w:pStyle w:val="899"/>
        <w:jc w:val="center"/>
        <w:rPr>
          <w:rFonts w:hint="eastAsia" w:ascii="宋体" w:hAnsi="宋体" w:eastAsia="宋体" w:cs="宋体"/>
          <w:b/>
          <w:color w:val="auto"/>
          <w:sz w:val="24"/>
          <w:szCs w:val="21"/>
          <w:highlight w:val="none"/>
        </w:rPr>
        <w:outlineLvl w:val="1"/>
      </w:pPr>
      <w:r>
        <w:rPr>
          <w:color w:val="auto"/>
        </w:rPr>
      </w:r>
      <w:bookmarkStart w:id="503" w:name="_Toc8482"/>
      <w:r>
        <w:rPr>
          <w:rFonts w:hint="eastAsia" w:ascii="宋体" w:hAnsi="宋体" w:eastAsia="宋体" w:cs="宋体"/>
          <w:b/>
          <w:color w:val="auto"/>
          <w:sz w:val="24"/>
          <w:szCs w:val="21"/>
          <w:highlight w:val="none"/>
          <w:lang w:val="en-US" w:eastAsia="zh-CN"/>
        </w:rPr>
        <w:t xml:space="preserve">十、供应商认为需提供或采购文件要求的其他证明材料</w:t>
      </w:r>
      <w:bookmarkEnd w:id="503"/>
      <w:r>
        <w:rPr>
          <w:rFonts w:hint="eastAsia" w:ascii="宋体" w:hAnsi="宋体" w:eastAsia="宋体" w:cs="宋体"/>
          <w:b/>
          <w:color w:val="auto"/>
          <w:sz w:val="24"/>
          <w:szCs w:val="21"/>
          <w:highlight w:val="none"/>
          <w:lang w:val="en-US" w:eastAsia="zh-CN"/>
        </w:rPr>
      </w:r>
      <w:r>
        <w:rPr>
          <w:color w:val="auto"/>
        </w:rPr>
      </w:r>
    </w:p>
    <w:p>
      <w:pPr>
        <w:pStyle w:val="899"/>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lang w:val="en-US" w:eastAsia="zh-CN"/>
        </w:rPr>
        <w:br w:type="page" w:clear="all"/>
      </w:r>
      <w:bookmarkEnd w:id="442"/>
      <w:r>
        <w:rPr>
          <w:color w:val="auto"/>
        </w:rPr>
      </w:r>
      <w:bookmarkEnd w:id="443"/>
      <w:r>
        <w:rPr>
          <w:color w:val="auto"/>
        </w:rPr>
      </w:r>
      <w:bookmarkEnd w:id="444"/>
      <w:r>
        <w:rPr>
          <w:color w:val="auto"/>
        </w:rPr>
      </w:r>
      <w:bookmarkEnd w:id="445"/>
      <w:r>
        <w:rPr>
          <w:color w:val="auto"/>
        </w:rPr>
      </w:r>
      <w:bookmarkEnd w:id="446"/>
      <w:r>
        <w:rPr>
          <w:color w:val="auto"/>
        </w:rPr>
      </w:r>
      <w:bookmarkEnd w:id="447"/>
      <w:r>
        <w:rPr>
          <w:color w:val="auto"/>
        </w:rPr>
      </w:r>
      <w:bookmarkEnd w:id="448"/>
      <w:r>
        <w:rPr>
          <w:color w:val="auto"/>
        </w:rPr>
      </w:r>
      <w:bookmarkEnd w:id="449"/>
      <w:r>
        <w:rPr>
          <w:color w:val="auto"/>
        </w:rPr>
      </w:r>
      <w:bookmarkEnd w:id="450"/>
      <w:r>
        <w:rPr>
          <w:color w:val="auto"/>
        </w:rPr>
      </w:r>
      <w:bookmarkEnd w:id="451"/>
      <w:r>
        <w:rPr>
          <w:color w:val="auto"/>
        </w:rPr>
      </w:r>
      <w:bookmarkEnd w:id="452"/>
      <w:r>
        <w:rPr>
          <w:color w:val="auto"/>
        </w:rPr>
      </w:r>
      <w:bookmarkEnd w:id="453"/>
      <w:r>
        <w:rPr>
          <w:color w:val="auto"/>
        </w:rPr>
      </w:r>
      <w:bookmarkEnd w:id="454"/>
      <w:r>
        <w:rPr>
          <w:color w:val="auto"/>
        </w:rPr>
      </w:r>
      <w:bookmarkEnd w:id="455"/>
      <w:r>
        <w:rPr>
          <w:color w:val="auto"/>
        </w:rPr>
      </w:r>
      <w:bookmarkEnd w:id="456"/>
      <w:r>
        <w:rPr>
          <w:color w:val="auto"/>
        </w:rPr>
      </w:r>
      <w:bookmarkEnd w:id="457"/>
      <w:r>
        <w:rPr>
          <w:color w:val="auto"/>
        </w:rPr>
      </w:r>
      <w:bookmarkStart w:id="504" w:name="_Toc20122"/>
      <w:r>
        <w:rPr>
          <w:color w:val="auto"/>
        </w:rPr>
      </w:r>
      <w:bookmarkStart w:id="505" w:name="_Toc17178"/>
      <w:r>
        <w:rPr>
          <w:color w:val="auto"/>
        </w:rPr>
      </w:r>
      <w:bookmarkStart w:id="506" w:name="_Toc5707"/>
      <w:r>
        <w:rPr>
          <w:color w:val="auto"/>
        </w:rPr>
      </w:r>
      <w:bookmarkStart w:id="507" w:name="_Toc20625"/>
      <w:r>
        <w:rPr>
          <w:color w:val="auto"/>
        </w:rPr>
      </w:r>
      <w:bookmarkStart w:id="508" w:name="_Toc31088"/>
      <w:r>
        <w:rPr>
          <w:color w:val="auto"/>
        </w:rPr>
      </w:r>
      <w:bookmarkStart w:id="509" w:name="_Toc19583"/>
      <w:r>
        <w:rPr>
          <w:color w:val="auto"/>
        </w:rPr>
      </w:r>
      <w:bookmarkStart w:id="510" w:name="_Toc6878"/>
      <w:r>
        <w:rPr>
          <w:color w:val="auto"/>
        </w:rPr>
      </w:r>
      <w:bookmarkStart w:id="511" w:name="_Toc25830"/>
      <w:r>
        <w:rPr>
          <w:color w:val="auto"/>
        </w:rPr>
      </w:r>
      <w:bookmarkStart w:id="512" w:name="_Toc31166"/>
      <w:r>
        <w:rPr>
          <w:color w:val="auto"/>
        </w:rPr>
      </w:r>
      <w:bookmarkStart w:id="513" w:name="_Toc1673"/>
      <w:r>
        <w:rPr>
          <w:color w:val="auto"/>
        </w:rPr>
      </w:r>
      <w:bookmarkStart w:id="514" w:name="_Toc4276"/>
      <w:r>
        <w:rPr>
          <w:color w:val="auto"/>
        </w:rPr>
      </w:r>
      <w:bookmarkStart w:id="515" w:name="_Toc30257"/>
      <w:r>
        <w:rPr>
          <w:color w:val="auto"/>
        </w:rPr>
      </w:r>
      <w:bookmarkStart w:id="516" w:name="_Toc6336"/>
      <w:r>
        <w:rPr>
          <w:color w:val="auto"/>
        </w:rPr>
      </w:r>
      <w:bookmarkStart w:id="517" w:name="_Toc31031"/>
      <w:r>
        <w:rPr>
          <w:color w:val="auto"/>
        </w:rPr>
      </w:r>
      <w:bookmarkStart w:id="518" w:name="_Toc30728"/>
      <w:r>
        <w:rPr>
          <w:color w:val="auto"/>
        </w:rPr>
      </w:r>
      <w:bookmarkStart w:id="519" w:name="_Toc13882"/>
      <w:r>
        <w:rPr>
          <w:color w:val="auto"/>
        </w:rPr>
      </w:r>
      <w:bookmarkStart w:id="520" w:name="_Toc27446"/>
      <w:r>
        <w:rPr>
          <w:color w:val="auto"/>
        </w:rPr>
      </w:r>
      <w:bookmarkStart w:id="521" w:name="_Toc4780"/>
      <w:r>
        <w:rPr>
          <w:color w:val="auto"/>
        </w:rPr>
      </w:r>
      <w:bookmarkStart w:id="522" w:name="_Toc12016"/>
      <w:r>
        <w:rPr>
          <w:color w:val="auto"/>
        </w:rPr>
      </w:r>
      <w:bookmarkStart w:id="523" w:name="_Toc17045"/>
      <w:r>
        <w:rPr>
          <w:color w:val="auto"/>
        </w:rPr>
      </w:r>
      <w:bookmarkStart w:id="524" w:name="_Toc10415"/>
      <w:r>
        <w:rPr>
          <w:color w:val="auto"/>
        </w:rPr>
      </w:r>
      <w:bookmarkStart w:id="525" w:name="_Toc30255"/>
      <w:r>
        <w:rPr>
          <w:color w:val="auto"/>
        </w:rPr>
      </w:r>
      <w:bookmarkStart w:id="526" w:name="_Toc20171"/>
      <w:r>
        <w:rPr>
          <w:color w:val="auto"/>
        </w:rPr>
      </w:r>
      <w:bookmarkStart w:id="527" w:name="_Toc1352"/>
      <w:r>
        <w:rPr>
          <w:color w:val="auto"/>
        </w:rPr>
      </w:r>
      <w:bookmarkStart w:id="528" w:name="_Toc22112"/>
      <w:r>
        <w:rPr>
          <w:color w:val="auto"/>
        </w:rPr>
      </w:r>
      <w:bookmarkStart w:id="529" w:name="_Toc11914"/>
      <w:r>
        <w:rPr>
          <w:color w:val="auto"/>
        </w:rPr>
      </w:r>
      <w:bookmarkStart w:id="530" w:name="_Toc16174"/>
      <w:r>
        <w:rPr>
          <w:color w:val="auto"/>
        </w:rPr>
      </w:r>
      <w:bookmarkStart w:id="531" w:name="_Toc5412"/>
      <w:r>
        <w:rPr>
          <w:color w:val="auto"/>
        </w:rPr>
      </w:r>
      <w:bookmarkStart w:id="532" w:name="_Toc26579"/>
      <w:r>
        <w:rPr>
          <w:color w:val="auto"/>
        </w:rPr>
      </w:r>
      <w:bookmarkStart w:id="533" w:name="_Toc7887"/>
      <w:r>
        <w:rPr>
          <w:color w:val="auto"/>
        </w:rPr>
      </w:r>
      <w:bookmarkStart w:id="534" w:name="_Toc15535"/>
      <w:r>
        <w:rPr>
          <w:color w:val="auto"/>
        </w:rPr>
      </w:r>
      <w:bookmarkStart w:id="535" w:name="_Toc17388"/>
      <w:r>
        <w:rPr>
          <w:color w:val="auto"/>
        </w:rPr>
      </w:r>
      <w:bookmarkStart w:id="536" w:name="_Toc27576"/>
      <w:r>
        <w:rPr>
          <w:color w:val="auto"/>
        </w:rPr>
      </w:r>
      <w:bookmarkStart w:id="537" w:name="_Toc6464"/>
      <w:r>
        <w:rPr>
          <w:color w:val="auto"/>
        </w:rPr>
      </w:r>
      <w:bookmarkStart w:id="538" w:name="_Toc31436"/>
      <w:r>
        <w:rPr>
          <w:color w:val="auto"/>
        </w:rPr>
      </w:r>
      <w:bookmarkStart w:id="539" w:name="_Toc6648"/>
      <w:r>
        <w:rPr>
          <w:color w:val="auto"/>
        </w:rPr>
      </w:r>
      <w:bookmarkStart w:id="540" w:name="_Toc12709"/>
      <w:r>
        <w:rPr>
          <w:color w:val="auto"/>
        </w:rPr>
      </w:r>
      <w:bookmarkStart w:id="541" w:name="_Toc21421"/>
      <w:r>
        <w:rPr>
          <w:color w:val="auto"/>
        </w:rPr>
      </w:r>
      <w:bookmarkStart w:id="542" w:name="_Toc8045"/>
      <w:r>
        <w:rPr>
          <w:color w:val="auto"/>
        </w:rPr>
      </w:r>
      <w:bookmarkStart w:id="543" w:name="_Toc23866"/>
      <w:r>
        <w:rPr>
          <w:color w:val="auto"/>
        </w:rPr>
      </w:r>
      <w:bookmarkStart w:id="544" w:name="_Toc14938"/>
      <w:r>
        <w:rPr>
          <w:color w:val="auto"/>
        </w:rPr>
      </w:r>
      <w:bookmarkStart w:id="545" w:name="_Toc9277"/>
      <w:r>
        <w:rPr>
          <w:color w:val="auto"/>
        </w:rPr>
      </w:r>
      <w:bookmarkStart w:id="546" w:name="_Toc20858"/>
      <w:r>
        <w:rPr>
          <w:color w:val="auto"/>
        </w:rPr>
      </w:r>
      <w:bookmarkStart w:id="547" w:name="_Toc8206"/>
      <w:r>
        <w:rPr>
          <w:color w:val="auto"/>
        </w:rPr>
      </w:r>
      <w:bookmarkStart w:id="548" w:name="_Toc3243"/>
      <w:r>
        <w:rPr>
          <w:color w:val="auto"/>
        </w:rPr>
      </w:r>
      <w:bookmarkStart w:id="549" w:name="_Toc18801"/>
      <w:r>
        <w:rPr>
          <w:color w:val="auto"/>
        </w:rPr>
      </w:r>
      <w:bookmarkStart w:id="550" w:name="_Toc6214"/>
      <w:r>
        <w:rPr>
          <w:color w:val="auto"/>
        </w:rPr>
      </w:r>
      <w:bookmarkStart w:id="551" w:name="_Toc26552"/>
      <w:r>
        <w:rPr>
          <w:color w:val="auto"/>
        </w:rPr>
      </w:r>
      <w:bookmarkStart w:id="552" w:name="_Toc30368"/>
      <w:r>
        <w:rPr>
          <w:color w:val="auto"/>
        </w:rPr>
      </w:r>
      <w:bookmarkStart w:id="553" w:name="_Toc3727"/>
      <w:r>
        <w:rPr>
          <w:color w:val="auto"/>
        </w:rPr>
      </w:r>
      <w:bookmarkStart w:id="554" w:name="_Toc4730"/>
      <w:r>
        <w:rPr>
          <w:rFonts w:hint="eastAsia" w:ascii="宋体" w:hAnsi="宋体" w:eastAsia="宋体" w:cs="宋体"/>
          <w:b/>
          <w:bCs/>
          <w:color w:val="auto"/>
          <w:sz w:val="24"/>
          <w:highlight w:val="none"/>
        </w:rPr>
        <w:t xml:space="preserve">附件</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、中小企业声明函</w:t>
      </w:r>
      <w:bookmarkEnd w:id="504"/>
      <w:r>
        <w:rPr>
          <w:color w:val="auto"/>
        </w:rPr>
      </w:r>
      <w:bookmarkEnd w:id="505"/>
      <w:r>
        <w:rPr>
          <w:color w:val="auto"/>
        </w:rPr>
      </w:r>
      <w:bookmarkEnd w:id="506"/>
      <w:r>
        <w:rPr>
          <w:color w:val="auto"/>
        </w:rPr>
      </w:r>
      <w:bookmarkEnd w:id="507"/>
      <w:r>
        <w:rPr>
          <w:color w:val="auto"/>
        </w:rPr>
      </w:r>
      <w:bookmarkEnd w:id="508"/>
      <w:r>
        <w:rPr>
          <w:color w:val="auto"/>
        </w:rPr>
      </w:r>
      <w:bookmarkEnd w:id="509"/>
      <w:r>
        <w:rPr>
          <w:color w:val="auto"/>
        </w:rPr>
      </w:r>
      <w:bookmarkEnd w:id="510"/>
      <w:r>
        <w:rPr>
          <w:color w:val="auto"/>
        </w:rPr>
      </w:r>
      <w:bookmarkEnd w:id="511"/>
      <w:r>
        <w:rPr>
          <w:color w:val="auto"/>
        </w:rPr>
      </w:r>
      <w:bookmarkEnd w:id="512"/>
      <w:r>
        <w:rPr>
          <w:color w:val="auto"/>
        </w:rPr>
      </w:r>
      <w:bookmarkEnd w:id="513"/>
      <w:r>
        <w:rPr>
          <w:color w:val="auto"/>
        </w:rPr>
      </w:r>
      <w:bookmarkEnd w:id="514"/>
      <w:r>
        <w:rPr>
          <w:color w:val="auto"/>
        </w:rPr>
      </w:r>
      <w:bookmarkEnd w:id="515"/>
      <w:r>
        <w:rPr>
          <w:color w:val="auto"/>
        </w:rPr>
      </w:r>
      <w:bookmarkEnd w:id="516"/>
      <w:r>
        <w:rPr>
          <w:color w:val="auto"/>
        </w:rPr>
      </w:r>
      <w:bookmarkEnd w:id="517"/>
      <w:r>
        <w:rPr>
          <w:color w:val="auto"/>
        </w:rPr>
      </w:r>
      <w:bookmarkEnd w:id="518"/>
      <w:r>
        <w:rPr>
          <w:color w:val="auto"/>
        </w:rPr>
      </w:r>
      <w:bookmarkEnd w:id="519"/>
      <w:r>
        <w:rPr>
          <w:color w:val="auto"/>
        </w:rPr>
      </w:r>
      <w:bookmarkEnd w:id="520"/>
      <w:r>
        <w:rPr>
          <w:color w:val="auto"/>
        </w:rPr>
      </w:r>
      <w:bookmarkEnd w:id="521"/>
      <w:r>
        <w:rPr>
          <w:color w:val="auto"/>
        </w:rPr>
      </w:r>
      <w:bookmarkEnd w:id="522"/>
      <w:r>
        <w:rPr>
          <w:color w:val="auto"/>
        </w:rPr>
      </w:r>
      <w:bookmarkEnd w:id="523"/>
      <w:r>
        <w:rPr>
          <w:color w:val="auto"/>
        </w:rPr>
      </w:r>
      <w:bookmarkEnd w:id="524"/>
      <w:r>
        <w:rPr>
          <w:color w:val="auto"/>
        </w:rPr>
      </w:r>
      <w:bookmarkEnd w:id="525"/>
      <w:r>
        <w:rPr>
          <w:color w:val="auto"/>
        </w:rPr>
      </w:r>
      <w:bookmarkEnd w:id="531"/>
      <w:r>
        <w:rPr>
          <w:color w:val="auto"/>
        </w:rPr>
      </w:r>
      <w:bookmarkEnd w:id="532"/>
      <w:r>
        <w:rPr>
          <w:color w:val="auto"/>
        </w:rPr>
      </w:r>
      <w:bookmarkEnd w:id="533"/>
      <w:r>
        <w:rPr>
          <w:color w:val="auto"/>
        </w:rPr>
      </w:r>
      <w:bookmarkEnd w:id="534"/>
      <w:r>
        <w:rPr>
          <w:color w:val="auto"/>
        </w:rPr>
      </w:r>
      <w:bookmarkEnd w:id="535"/>
      <w:r>
        <w:rPr>
          <w:color w:val="auto"/>
        </w:rPr>
      </w:r>
      <w:bookmarkEnd w:id="536"/>
      <w:r>
        <w:rPr>
          <w:color w:val="auto"/>
        </w:rPr>
      </w:r>
      <w:bookmarkEnd w:id="537"/>
      <w:r>
        <w:rPr>
          <w:color w:val="auto"/>
        </w:rPr>
      </w:r>
      <w:bookmarkEnd w:id="538"/>
      <w:r>
        <w:rPr>
          <w:color w:val="auto"/>
        </w:rPr>
      </w:r>
      <w:bookmarkEnd w:id="539"/>
      <w:r>
        <w:rPr>
          <w:color w:val="auto"/>
        </w:rPr>
      </w:r>
      <w:bookmarkEnd w:id="540"/>
      <w:r>
        <w:rPr>
          <w:rFonts w:hint="eastAsia" w:ascii="宋体" w:hAnsi="宋体" w:eastAsia="宋体" w:cs="宋体"/>
          <w:b/>
          <w:color w:val="auto"/>
          <w:szCs w:val="21"/>
          <w:highlight w:val="none"/>
        </w:rPr>
      </w:r>
      <w:r>
        <w:rPr>
          <w:color w:val="auto"/>
        </w:rPr>
      </w:r>
    </w:p>
    <w:p>
      <w:pPr>
        <w:pStyle w:val="89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rPr>
          <w:color w:val="auto"/>
        </w:rPr>
      </w:r>
    </w:p>
    <w:p>
      <w:pPr>
        <w:pStyle w:val="899"/>
        <w:ind w:left="0" w:right="0" w:firstLine="0"/>
        <w:jc w:val="cente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中小企业声明函</w:t>
      </w:r>
      <w:r>
        <w:rPr>
          <w:rFonts w:hint="eastAsia" w:ascii="宋体" w:hAnsi="宋体" w:eastAsia="宋体" w:cs="宋体"/>
          <w:color w:val="auto"/>
          <w:highlight w:val="none"/>
        </w:rPr>
      </w:r>
      <w:r>
        <w:rPr>
          <w:color w:val="auto"/>
        </w:rPr>
      </w:r>
    </w:p>
    <w:p>
      <w:pPr>
        <w:pStyle w:val="899"/>
        <w:ind w:left="0" w:right="0" w:firstLine="48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宋体" w:hAnsi="宋体" w:eastAsia="宋体" w:cs="宋体"/>
          <w:color w:val="auto"/>
          <w:highlight w:val="none"/>
        </w:rPr>
      </w:r>
      <w:r>
        <w:rPr>
          <w:color w:val="auto"/>
        </w:rPr>
      </w:r>
    </w:p>
    <w:p>
      <w:pPr>
        <w:pStyle w:val="899"/>
        <w:ind w:left="0" w:right="0" w:firstLine="48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（选填：中型企业、小型企业、微型企业）</w:t>
      </w:r>
      <w:r>
        <w:rPr>
          <w:rFonts w:hint="eastAsia" w:ascii="宋体" w:hAnsi="宋体" w:eastAsia="宋体" w:cs="宋体"/>
          <w:color w:val="auto"/>
          <w:sz w:val="24"/>
          <w:highlight w:val="none"/>
        </w:rPr>
        <w:t xml:space="preserve">；</w:t>
      </w:r>
      <w:r>
        <w:rPr>
          <w:rFonts w:hint="eastAsia" w:ascii="宋体" w:hAnsi="宋体" w:eastAsia="宋体" w:cs="宋体"/>
          <w:color w:val="auto"/>
          <w:highlight w:val="none"/>
        </w:rPr>
      </w:r>
      <w:r>
        <w:rPr>
          <w:color w:val="auto"/>
        </w:rPr>
      </w:r>
    </w:p>
    <w:p>
      <w:pPr>
        <w:pStyle w:val="899"/>
        <w:ind w:left="0" w:right="0" w:firstLine="96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eastAsia="宋体" w:cs="宋体"/>
          <w:color w:val="auto"/>
          <w:highlight w:val="none"/>
        </w:rPr>
      </w:r>
      <w:r>
        <w:rPr>
          <w:color w:val="auto"/>
        </w:rPr>
      </w:r>
    </w:p>
    <w:p>
      <w:pPr>
        <w:pStyle w:val="899"/>
        <w:ind w:left="0" w:right="0" w:firstLine="48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auto"/>
          <w:highlight w:val="none"/>
        </w:rPr>
      </w:r>
      <w:r>
        <w:rPr>
          <w:color w:val="auto"/>
        </w:rPr>
      </w:r>
    </w:p>
    <w:p>
      <w:pPr>
        <w:pStyle w:val="899"/>
        <w:ind w:left="0" w:right="0" w:firstLine="480"/>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本企业对上述声明内容的真实性负责，如有虚假，将依法承担相应责任。</w:t>
      </w:r>
      <w:r>
        <w:rPr>
          <w:rFonts w:hint="eastAsia" w:ascii="宋体" w:hAnsi="宋体" w:eastAsia="宋体" w:cs="宋体"/>
          <w:color w:val="auto"/>
          <w:highlight w:val="none"/>
        </w:rPr>
      </w:r>
      <w:r>
        <w:rPr>
          <w:color w:val="auto"/>
        </w:rPr>
      </w:r>
    </w:p>
    <w:p>
      <w:pPr>
        <w:pStyle w:val="899"/>
        <w:ind w:left="0" w:right="0" w:firstLine="960"/>
        <w:jc w:val="right"/>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r>
      <w:r>
        <w:rPr>
          <w:color w:val="auto"/>
        </w:rPr>
      </w:r>
    </w:p>
    <w:p>
      <w:pPr>
        <w:pStyle w:val="899"/>
        <w:ind w:left="0" w:right="0" w:firstLine="960"/>
        <w:jc w:val="right"/>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企业名称：</w:t>
      </w:r>
      <w:r>
        <w:rPr>
          <w:rFonts w:hint="eastAsia" w:ascii="宋体" w:hAnsi="宋体" w:eastAsia="宋体" w:cs="宋体"/>
          <w:color w:val="auto"/>
          <w:sz w:val="24"/>
          <w:highlight w:val="none"/>
          <w:u w:val="single"/>
        </w:rPr>
        <w:t xml:space="preserve">（加盖CA电子公章）</w:t>
      </w: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r>
      <w:r>
        <w:rPr>
          <w:color w:val="auto"/>
        </w:rPr>
      </w:r>
    </w:p>
    <w:p>
      <w:pPr>
        <w:pStyle w:val="899"/>
        <w:ind w:left="0" w:right="0" w:firstLine="960"/>
        <w:jc w:val="cente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 期： </w:t>
      </w:r>
      <w:r>
        <w:rPr>
          <w:rFonts w:hint="eastAsia" w:ascii="宋体" w:hAnsi="宋体" w:eastAsia="宋体" w:cs="宋体"/>
          <w:color w:val="auto"/>
          <w:highlight w:val="none"/>
        </w:rPr>
      </w:r>
      <w:r>
        <w:rPr>
          <w:color w:val="auto"/>
        </w:rPr>
      </w:r>
    </w:p>
    <w:p>
      <w:pPr>
        <w:pStyle w:val="899"/>
        <w:ind w:left="0" w:right="0" w:firstLine="48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r>
      <w:r>
        <w:rPr>
          <w:color w:val="auto"/>
        </w:rPr>
      </w:r>
    </w:p>
    <w:p>
      <w:pPr>
        <w:pStyle w:val="899"/>
        <w:ind w:left="0" w:right="0" w:firstLine="48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rPr>
          <w:rFonts w:hint="eastAsia" w:ascii="宋体" w:hAnsi="宋体" w:eastAsia="宋体" w:cs="宋体"/>
          <w:color w:val="auto"/>
          <w:highlight w:val="none"/>
        </w:rPr>
      </w:r>
      <w:r>
        <w:rPr>
          <w:color w:val="auto"/>
        </w:rPr>
      </w:r>
    </w:p>
    <w:p>
      <w:pPr>
        <w:pStyle w:val="899"/>
        <w:ind w:left="0" w:right="0" w:firstLine="48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color w:val="auto"/>
          <w:highlight w:val="none"/>
        </w:rPr>
      </w:r>
      <w:r>
        <w:rPr>
          <w:color w:val="auto"/>
        </w:rPr>
      </w:r>
    </w:p>
    <w:p>
      <w:pPr>
        <w:pStyle w:val="899"/>
        <w:ind w:left="0" w:right="0" w:firstLine="482"/>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3.本项目采购标的对应的中小企业划分标准所属行业为</w:t>
      </w:r>
      <w:r>
        <w:rPr>
          <w:rFonts w:hint="eastAsia" w:ascii="宋体" w:hAnsi="宋体" w:eastAsia="宋体" w:cs="宋体"/>
          <w:b/>
          <w:color w:val="auto"/>
          <w:sz w:val="24"/>
          <w:highlight w:val="none"/>
          <w:u w:val="single"/>
        </w:rPr>
        <w:t xml:space="preserve"> 其他未列明行业 </w:t>
      </w:r>
      <w:r>
        <w:rPr>
          <w:rFonts w:hint="eastAsia" w:ascii="宋体" w:hAnsi="宋体" w:eastAsia="宋体" w:cs="宋体"/>
          <w:b/>
          <w:color w:val="auto"/>
          <w:sz w:val="24"/>
          <w:highlight w:val="none"/>
        </w:rPr>
        <w:t xml:space="preserve">。</w:t>
      </w:r>
      <w:r>
        <w:rPr>
          <w:rFonts w:hint="eastAsia" w:ascii="宋体" w:hAnsi="宋体" w:eastAsia="宋体" w:cs="宋体"/>
          <w:color w:val="auto"/>
          <w:highlight w:val="none"/>
        </w:rPr>
      </w:r>
      <w:r>
        <w:rPr>
          <w:color w:val="auto"/>
        </w:rPr>
      </w:r>
    </w:p>
    <w:p>
      <w:pPr>
        <w:pStyle w:val="899"/>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r>
      <w:r>
        <w:rPr>
          <w:color w:val="auto"/>
        </w:rPr>
      </w:r>
    </w:p>
    <w:p>
      <w:pPr>
        <w:pStyle w:val="899"/>
        <w:ind w:firstLine="6232"/>
        <w:rPr>
          <w:rFonts w:hint="eastAsia" w:ascii="宋体" w:hAnsi="宋体" w:eastAsia="宋体" w:cs="宋体"/>
          <w:color w:val="auto"/>
          <w:sz w:val="28"/>
          <w:szCs w:val="28"/>
          <w:highlight w:val="none"/>
          <w:u w:val="single"/>
        </w:rPr>
      </w:pPr>
      <w:r>
        <w:rPr>
          <w:rFonts w:hint="eastAsia" w:ascii="宋体" w:hAnsi="宋体" w:eastAsia="宋体" w:cs="宋体"/>
          <w:b/>
          <w:color w:val="auto"/>
          <w:spacing w:val="15"/>
          <w:sz w:val="24"/>
          <w:szCs w:val="24"/>
          <w:highlight w:val="none"/>
        </w:rPr>
        <w:br w:type="page" w:clear="all"/>
      </w:r>
      <w:r>
        <w:rPr>
          <w:rFonts w:hint="eastAsia" w:ascii="宋体" w:hAnsi="宋体" w:eastAsia="宋体" w:cs="宋体"/>
          <w:color w:val="auto"/>
          <w:sz w:val="28"/>
          <w:szCs w:val="28"/>
          <w:highlight w:val="none"/>
          <w:u w:val="single"/>
        </w:rPr>
      </w:r>
      <w:r>
        <w:rPr>
          <w:color w:val="auto"/>
        </w:rPr>
      </w:r>
    </w:p>
    <w:p>
      <w:pPr>
        <w:pStyle w:val="899"/>
        <w:rPr>
          <w:rFonts w:hint="eastAsia" w:ascii="宋体" w:hAnsi="宋体" w:eastAsia="宋体" w:cs="宋体"/>
          <w:b/>
          <w:color w:val="auto"/>
          <w:szCs w:val="21"/>
          <w:highlight w:val="none"/>
        </w:rPr>
        <w:outlineLvl w:val="1"/>
      </w:pPr>
      <w:r>
        <w:rPr>
          <w:color w:val="auto"/>
        </w:rPr>
      </w:r>
      <w:bookmarkStart w:id="555" w:name="_Toc3511"/>
      <w:r>
        <w:rPr>
          <w:color w:val="auto"/>
        </w:rPr>
      </w:r>
      <w:bookmarkStart w:id="556" w:name="_Toc29218"/>
      <w:r>
        <w:rPr>
          <w:color w:val="auto"/>
        </w:rPr>
      </w:r>
      <w:bookmarkStart w:id="557" w:name="_Toc12417"/>
      <w:r>
        <w:rPr>
          <w:color w:val="auto"/>
        </w:rPr>
      </w:r>
      <w:bookmarkStart w:id="558" w:name="_Toc31452"/>
      <w:r>
        <w:rPr>
          <w:color w:val="auto"/>
        </w:rPr>
      </w:r>
      <w:bookmarkStart w:id="559" w:name="_Toc25016"/>
      <w:r>
        <w:rPr>
          <w:color w:val="auto"/>
        </w:rPr>
      </w:r>
      <w:bookmarkStart w:id="560" w:name="_Toc27638"/>
      <w:r>
        <w:rPr>
          <w:color w:val="auto"/>
        </w:rPr>
      </w:r>
      <w:bookmarkStart w:id="561" w:name="_Toc6546"/>
      <w:r>
        <w:rPr>
          <w:color w:val="auto"/>
        </w:rPr>
      </w:r>
      <w:bookmarkStart w:id="562" w:name="_Toc26348"/>
      <w:r>
        <w:rPr>
          <w:color w:val="auto"/>
        </w:rPr>
      </w:r>
      <w:bookmarkStart w:id="563" w:name="_Toc32151"/>
      <w:r>
        <w:rPr>
          <w:color w:val="auto"/>
        </w:rPr>
      </w:r>
      <w:bookmarkStart w:id="564" w:name="_Toc13485"/>
      <w:r>
        <w:rPr>
          <w:color w:val="auto"/>
        </w:rPr>
      </w:r>
      <w:bookmarkStart w:id="565" w:name="_Toc28517"/>
      <w:r>
        <w:rPr>
          <w:color w:val="auto"/>
        </w:rPr>
      </w:r>
      <w:bookmarkStart w:id="566" w:name="_Toc24091"/>
      <w:r>
        <w:rPr>
          <w:color w:val="auto"/>
        </w:rPr>
      </w:r>
      <w:bookmarkStart w:id="567" w:name="_Toc28482"/>
      <w:r>
        <w:rPr>
          <w:rFonts w:hint="eastAsia" w:ascii="宋体" w:hAnsi="宋体" w:eastAsia="宋体" w:cs="宋体"/>
          <w:b/>
          <w:bCs/>
          <w:color w:val="auto"/>
          <w:sz w:val="24"/>
          <w:highlight w:val="none"/>
        </w:rPr>
        <w:t xml:space="preserve">附件</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、残疾人福利性单位声明函（如有）</w:t>
      </w:r>
      <w:bookmarkEnd w:id="555"/>
      <w:r>
        <w:rPr>
          <w:color w:val="auto"/>
        </w:rPr>
      </w:r>
      <w:bookmarkEnd w:id="556"/>
      <w:r>
        <w:rPr>
          <w:color w:val="auto"/>
        </w:rPr>
      </w:r>
      <w:bookmarkEnd w:id="557"/>
      <w:r>
        <w:rPr>
          <w:color w:val="auto"/>
        </w:rPr>
      </w:r>
      <w:bookmarkEnd w:id="558"/>
      <w:r>
        <w:rPr>
          <w:color w:val="auto"/>
        </w:rPr>
      </w:r>
      <w:bookmarkEnd w:id="559"/>
      <w:r>
        <w:rPr>
          <w:color w:val="auto"/>
        </w:rPr>
      </w:r>
      <w:bookmarkEnd w:id="560"/>
      <w:r>
        <w:rPr>
          <w:color w:val="auto"/>
        </w:rPr>
      </w:r>
      <w:bookmarkEnd w:id="561"/>
      <w:r>
        <w:rPr>
          <w:color w:val="auto"/>
        </w:rPr>
      </w:r>
      <w:bookmarkEnd w:id="562"/>
      <w:r>
        <w:rPr>
          <w:color w:val="auto"/>
        </w:rPr>
      </w:r>
      <w:bookmarkEnd w:id="563"/>
      <w:r>
        <w:rPr>
          <w:color w:val="auto"/>
        </w:rPr>
      </w:r>
      <w:bookmarkEnd w:id="564"/>
      <w:r>
        <w:rPr>
          <w:color w:val="auto"/>
        </w:rPr>
      </w:r>
      <w:bookmarkEnd w:id="565"/>
      <w:r>
        <w:rPr>
          <w:color w:val="auto"/>
        </w:rPr>
      </w:r>
      <w:bookmarkEnd w:id="566"/>
      <w:r>
        <w:rPr>
          <w:color w:val="auto"/>
        </w:rPr>
      </w:r>
      <w:bookmarkEnd w:id="567"/>
      <w:r>
        <w:rPr>
          <w:rFonts w:hint="eastAsia" w:ascii="宋体" w:hAnsi="宋体" w:eastAsia="宋体" w:cs="宋体"/>
          <w:b/>
          <w:color w:val="auto"/>
          <w:szCs w:val="21"/>
          <w:highlight w:val="none"/>
        </w:rPr>
      </w:r>
      <w:r>
        <w:rPr>
          <w:color w:val="auto"/>
        </w:rPr>
      </w:r>
    </w:p>
    <w:p>
      <w:pPr>
        <w:pStyle w:val="899"/>
        <w:ind w:firstLine="562"/>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color w:val="auto"/>
        </w:rPr>
      </w:r>
    </w:p>
    <w:p>
      <w:pPr>
        <w:pStyle w:val="899"/>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color w:val="auto"/>
        </w:rPr>
      </w:r>
      <w:bookmarkEnd w:id="527"/>
      <w:r>
        <w:rPr>
          <w:color w:val="auto"/>
        </w:rPr>
      </w:r>
      <w:bookmarkEnd w:id="528"/>
      <w:r>
        <w:rPr>
          <w:color w:val="auto"/>
        </w:rPr>
      </w:r>
      <w:bookmarkEnd w:id="529"/>
      <w:r>
        <w:rPr>
          <w:color w:val="auto"/>
        </w:rPr>
      </w:r>
      <w:bookmarkEnd w:id="530"/>
      <w:r>
        <w:rPr>
          <w:color w:val="auto"/>
        </w:rPr>
      </w:r>
      <w:bookmarkStart w:id="568" w:name="_Toc7660"/>
      <w:r>
        <w:rPr>
          <w:color w:val="auto"/>
        </w:rPr>
      </w:r>
      <w:bookmarkStart w:id="569" w:name="_Toc9900"/>
      <w:r>
        <w:rPr>
          <w:color w:val="auto"/>
        </w:rPr>
      </w:r>
      <w:bookmarkStart w:id="570" w:name="_Toc21499"/>
      <w:r>
        <w:rPr>
          <w:color w:val="auto"/>
        </w:rPr>
      </w:r>
      <w:bookmarkStart w:id="571" w:name="_Toc31467"/>
      <w:r>
        <w:rPr>
          <w:color w:val="auto"/>
        </w:rPr>
      </w:r>
      <w:bookmarkStart w:id="572" w:name="_Toc23492"/>
      <w:r>
        <w:rPr>
          <w:color w:val="auto"/>
        </w:rPr>
      </w:r>
      <w:bookmarkStart w:id="573" w:name="_Toc27285"/>
      <w:r>
        <w:rPr>
          <w:color w:val="auto"/>
        </w:rPr>
      </w:r>
      <w:bookmarkStart w:id="574" w:name="_Toc23369"/>
      <w:r>
        <w:rPr>
          <w:color w:val="auto"/>
        </w:rPr>
      </w:r>
      <w:bookmarkStart w:id="575" w:name="_Toc24015"/>
      <w:r>
        <w:rPr>
          <w:color w:val="auto"/>
        </w:rPr>
      </w:r>
      <w:bookmarkStart w:id="576" w:name="_Toc26184"/>
      <w:r>
        <w:rPr>
          <w:color w:val="auto"/>
        </w:rPr>
      </w:r>
      <w:bookmarkStart w:id="577" w:name="_Toc25307"/>
      <w:r>
        <w:rPr>
          <w:color w:val="auto"/>
        </w:rPr>
      </w:r>
      <w:bookmarkStart w:id="578" w:name="_Toc30446"/>
      <w:r>
        <w:rPr>
          <w:color w:val="auto"/>
        </w:rPr>
      </w:r>
      <w:bookmarkStart w:id="579" w:name="_Toc30127"/>
      <w:r>
        <w:rPr>
          <w:rFonts w:hint="eastAsia" w:ascii="宋体" w:hAnsi="宋体" w:eastAsia="宋体" w:cs="宋体"/>
          <w:color w:val="auto"/>
          <w:sz w:val="24"/>
          <w:highlight w:val="none"/>
        </w:rPr>
        <w:t xml:space="preserve">残疾人福利性单位声明函（如有）</w:t>
      </w:r>
      <w:r>
        <w:rPr>
          <w:rFonts w:hint="eastAsia" w:ascii="宋体" w:hAnsi="宋体" w:eastAsia="宋体" w:cs="宋体"/>
          <w:color w:val="auto"/>
          <w:highlight w:val="none"/>
        </w:rPr>
      </w:r>
      <w:r>
        <w:rPr>
          <w:color w:val="auto"/>
        </w:rPr>
      </w:r>
    </w:p>
    <w:p>
      <w:pPr>
        <w:pStyle w:val="899"/>
        <w:ind w:left="0" w:right="0" w:firstLine="504"/>
        <w:jc w:val="both"/>
        <w:spacing w:before="0" w:after="0" w:line="587"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auto"/>
          <w:highlight w:val="none"/>
        </w:rPr>
      </w:r>
      <w:r>
        <w:rPr>
          <w:color w:val="auto"/>
        </w:rPr>
      </w:r>
    </w:p>
    <w:p>
      <w:pPr>
        <w:pStyle w:val="899"/>
        <w:ind w:left="0" w:right="0" w:firstLine="504"/>
        <w:jc w:val="both"/>
        <w:spacing w:before="0" w:after="0" w:line="587"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本单位对上述声明的真实性负责。如有虚假，将依法承担相应责任。</w:t>
      </w:r>
      <w:r>
        <w:rPr>
          <w:rFonts w:hint="eastAsia" w:ascii="宋体" w:hAnsi="宋体" w:eastAsia="宋体" w:cs="宋体"/>
          <w:color w:val="auto"/>
          <w:highlight w:val="none"/>
        </w:rPr>
      </w:r>
      <w:r>
        <w:rPr>
          <w:color w:val="auto"/>
        </w:rPr>
      </w:r>
    </w:p>
    <w:p>
      <w:pPr>
        <w:pStyle w:val="899"/>
        <w:ind w:left="0" w:right="0" w:firstLine="504"/>
        <w:jc w:val="both"/>
        <w:spacing w:before="0" w:after="0" w:line="587"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（备注：1、供应商如不提供此声明函，价格将不做相应扣除。2、成交供应商为残疾人福利单位的，此声明函将随成交结果同时公告，接受社会监督。）</w:t>
      </w:r>
      <w:r>
        <w:rPr>
          <w:rFonts w:hint="eastAsia" w:ascii="宋体" w:hAnsi="宋体" w:eastAsia="宋体" w:cs="宋体"/>
          <w:color w:val="auto"/>
          <w:highlight w:val="none"/>
        </w:rPr>
      </w:r>
      <w:r>
        <w:rPr>
          <w:color w:val="auto"/>
        </w:rPr>
      </w:r>
    </w:p>
    <w:p>
      <w:pPr>
        <w:pStyle w:val="899"/>
        <w:ind w:left="0" w:right="1560" w:firstLine="504"/>
        <w:jc w:val="center"/>
        <w:spacing w:before="0" w:after="0" w:line="587" w:lineRule="atLeast"/>
        <w:tabs>
          <w:tab w:val="left" w:pos="48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               </w:t>
      </w:r>
      <w:r>
        <w:rPr>
          <w:rFonts w:hint="eastAsia" w:ascii="宋体" w:hAnsi="宋体" w:eastAsia="宋体" w:cs="宋体"/>
          <w:color w:val="auto"/>
          <w:highlight w:val="none"/>
        </w:rPr>
      </w:r>
      <w:r>
        <w:rPr>
          <w:color w:val="auto"/>
        </w:rPr>
      </w:r>
    </w:p>
    <w:p>
      <w:pPr>
        <w:pStyle w:val="899"/>
        <w:ind w:left="0" w:right="1560" w:firstLine="504"/>
        <w:jc w:val="center"/>
        <w:spacing w:before="0" w:after="0" w:line="587" w:lineRule="atLeast"/>
        <w:tabs>
          <w:tab w:val="left" w:pos="48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                 </w:t>
      </w:r>
      <w:r>
        <w:rPr>
          <w:rFonts w:hint="eastAsia" w:ascii="宋体" w:hAnsi="宋体" w:eastAsia="宋体" w:cs="宋体"/>
          <w:color w:val="auto"/>
          <w:sz w:val="24"/>
          <w:highlight w:val="none"/>
        </w:rPr>
        <w:t xml:space="preserve">企业</w:t>
      </w:r>
      <w:r>
        <w:rPr>
          <w:rFonts w:hint="eastAsia" w:ascii="宋体" w:hAnsi="宋体" w:eastAsia="宋体" w:cs="宋体"/>
          <w:color w:val="auto"/>
          <w:spacing w:val="6"/>
          <w:sz w:val="24"/>
          <w:highlight w:val="none"/>
        </w:rPr>
        <w:t xml:space="preserve">名称：</w:t>
      </w:r>
      <w:r>
        <w:rPr>
          <w:rFonts w:hint="eastAsia" w:ascii="宋体" w:hAnsi="宋体" w:eastAsia="宋体" w:cs="宋体"/>
          <w:color w:val="auto"/>
          <w:sz w:val="24"/>
          <w:highlight w:val="none"/>
          <w:u w:val="single"/>
        </w:rPr>
        <w:t xml:space="preserve">（加盖CA电子公章）</w:t>
      </w:r>
      <w:r>
        <w:rPr>
          <w:rFonts w:hint="eastAsia" w:ascii="宋体" w:hAnsi="宋体" w:eastAsia="宋体" w:cs="宋体"/>
          <w:color w:val="auto"/>
          <w:highlight w:val="none"/>
        </w:rPr>
      </w:r>
      <w:r>
        <w:rPr>
          <w:color w:val="auto"/>
        </w:rPr>
      </w:r>
    </w:p>
    <w:p>
      <w:pPr>
        <w:pStyle w:val="899"/>
        <w:ind w:left="0" w:right="1560" w:firstLine="504"/>
        <w:jc w:val="center"/>
        <w:spacing w:before="0" w:after="0" w:line="587" w:lineRule="atLeast"/>
        <w:tabs>
          <w:tab w:val="left" w:pos="48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       日期：</w:t>
      </w:r>
      <w:r>
        <w:rPr>
          <w:rFonts w:hint="eastAsia" w:ascii="宋体" w:hAnsi="宋体" w:eastAsia="宋体" w:cs="宋体"/>
          <w:color w:val="auto"/>
          <w:highlight w:val="none"/>
        </w:rPr>
      </w:r>
      <w:r>
        <w:rPr>
          <w:color w:val="auto"/>
        </w:rPr>
      </w:r>
    </w:p>
    <w:p>
      <w:pPr>
        <w:pStyle w:val="899"/>
        <w:spacing w:line="240" w:lineRule="atLeast"/>
        <w:widowControl/>
        <w:rPr>
          <w:rFonts w:hint="eastAsia" w:ascii="宋体" w:hAnsi="宋体" w:eastAsia="宋体" w:cs="宋体"/>
          <w:b/>
          <w:color w:val="auto"/>
          <w:sz w:val="24"/>
          <w:highlight w:val="none"/>
        </w:rPr>
        <w:outlineLvl w:val="9"/>
      </w:pPr>
      <w:r>
        <w:rPr>
          <w:color w:val="auto"/>
        </w:rPr>
      </w:r>
      <w:bookmarkEnd w:id="568"/>
      <w:r>
        <w:rPr>
          <w:color w:val="auto"/>
        </w:rPr>
      </w:r>
      <w:bookmarkEnd w:id="569"/>
      <w:r>
        <w:rPr>
          <w:color w:val="auto"/>
        </w:rPr>
      </w:r>
      <w:bookmarkEnd w:id="570"/>
      <w:r>
        <w:rPr>
          <w:color w:val="auto"/>
        </w:rPr>
      </w:r>
      <w:bookmarkEnd w:id="571"/>
      <w:r>
        <w:rPr>
          <w:color w:val="auto"/>
        </w:rPr>
      </w:r>
      <w:bookmarkEnd w:id="572"/>
      <w:r>
        <w:rPr>
          <w:color w:val="auto"/>
        </w:rPr>
      </w:r>
      <w:bookmarkEnd w:id="573"/>
      <w:r>
        <w:rPr>
          <w:color w:val="auto"/>
        </w:rPr>
      </w:r>
      <w:bookmarkEnd w:id="574"/>
      <w:r>
        <w:rPr>
          <w:color w:val="auto"/>
        </w:rPr>
      </w:r>
      <w:bookmarkEnd w:id="575"/>
      <w:r>
        <w:rPr>
          <w:color w:val="auto"/>
        </w:rPr>
      </w:r>
      <w:bookmarkEnd w:id="576"/>
      <w:r>
        <w:rPr>
          <w:color w:val="auto"/>
        </w:rPr>
      </w:r>
      <w:bookmarkEnd w:id="577"/>
      <w:r>
        <w:rPr>
          <w:color w:val="auto"/>
        </w:rPr>
      </w:r>
      <w:bookmarkEnd w:id="578"/>
      <w:r>
        <w:rPr>
          <w:color w:val="auto"/>
        </w:rPr>
      </w:r>
      <w:bookmarkEnd w:id="579"/>
      <w:r>
        <w:rPr>
          <w:color w:val="auto"/>
        </w:rPr>
      </w:r>
      <w:bookmarkStart w:id="580" w:name="_Toc21760"/>
      <w:r>
        <w:rPr>
          <w:color w:val="auto"/>
        </w:rPr>
      </w:r>
      <w:bookmarkStart w:id="581" w:name="_Toc5885"/>
      <w:r>
        <w:rPr>
          <w:rFonts w:hint="eastAsia" w:ascii="宋体" w:hAnsi="宋体" w:eastAsia="宋体" w:cs="宋体"/>
          <w:b/>
          <w:color w:val="auto"/>
          <w:sz w:val="24"/>
          <w:highlight w:val="none"/>
        </w:rPr>
      </w:r>
      <w:r>
        <w:rPr>
          <w:color w:val="auto"/>
        </w:rPr>
      </w:r>
    </w:p>
    <w:p>
      <w:pPr>
        <w:pStyle w:val="899"/>
        <w:spacing w:line="240" w:lineRule="atLeast"/>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rPr>
          <w:color w:val="auto"/>
        </w:rPr>
      </w:r>
    </w:p>
    <w:p>
      <w:pPr>
        <w:pStyle w:val="899"/>
        <w:spacing w:line="240" w:lineRule="atLeast"/>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rPr>
          <w:color w:val="auto"/>
        </w:rPr>
      </w:r>
    </w:p>
    <w:p>
      <w:pPr>
        <w:pStyle w:val="899"/>
        <w:spacing w:line="240" w:lineRule="atLeast"/>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rPr>
          <w:color w:val="auto"/>
        </w:rPr>
      </w:r>
    </w:p>
    <w:p>
      <w:pPr>
        <w:pStyle w:val="899"/>
        <w:spacing w:line="240" w:lineRule="atLeast"/>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rPr>
          <w:color w:val="auto"/>
        </w:rPr>
      </w:r>
    </w:p>
    <w:p>
      <w:pPr>
        <w:pStyle w:val="899"/>
        <w:jc w:val="right"/>
        <w:rPr>
          <w:rFonts w:hint="eastAsia" w:ascii="宋体" w:hAnsi="宋体" w:eastAsia="宋体" w:cs="宋体"/>
          <w:color w:val="auto"/>
          <w:szCs w:val="21"/>
          <w:highlight w:val="none"/>
        </w:rPr>
      </w:pPr>
      <w:r>
        <w:rPr>
          <w:color w:val="auto"/>
        </w:rPr>
      </w:r>
      <w:bookmarkEnd w:id="368"/>
      <w:r>
        <w:rPr>
          <w:color w:val="auto"/>
        </w:rPr>
      </w:r>
      <w:bookmarkEnd w:id="369"/>
      <w:r>
        <w:rPr>
          <w:color w:val="auto"/>
        </w:rPr>
      </w:r>
      <w:bookmarkEnd w:id="370"/>
      <w:r>
        <w:rPr>
          <w:color w:val="auto"/>
        </w:rPr>
      </w:r>
      <w:bookmarkEnd w:id="371"/>
      <w:r>
        <w:rPr>
          <w:color w:val="auto"/>
        </w:rPr>
      </w:r>
      <w:bookmarkEnd w:id="372"/>
      <w:r>
        <w:rPr>
          <w:color w:val="auto"/>
        </w:rPr>
      </w:r>
      <w:bookmarkEnd w:id="373"/>
      <w:r>
        <w:rPr>
          <w:color w:val="auto"/>
        </w:rPr>
      </w:r>
      <w:bookmarkEnd w:id="374"/>
      <w:r>
        <w:rPr>
          <w:color w:val="auto"/>
        </w:rPr>
      </w:r>
      <w:bookmarkEnd w:id="375"/>
      <w:r>
        <w:rPr>
          <w:color w:val="auto"/>
        </w:rPr>
      </w:r>
      <w:bookmarkEnd w:id="379"/>
      <w:r>
        <w:rPr>
          <w:color w:val="auto"/>
        </w:rPr>
      </w:r>
      <w:bookmarkEnd w:id="380"/>
      <w:r>
        <w:rPr>
          <w:color w:val="auto"/>
        </w:rPr>
      </w:r>
      <w:bookmarkEnd w:id="381"/>
      <w:r>
        <w:rPr>
          <w:color w:val="auto"/>
        </w:rPr>
      </w:r>
      <w:bookmarkEnd w:id="382"/>
      <w:r>
        <w:rPr>
          <w:color w:val="auto"/>
        </w:rPr>
      </w:r>
      <w:bookmarkEnd w:id="526"/>
      <w:r>
        <w:rPr>
          <w:color w:val="auto"/>
        </w:rPr>
      </w:r>
      <w:bookmarkEnd w:id="541"/>
      <w:r>
        <w:rPr>
          <w:color w:val="auto"/>
        </w:rPr>
      </w:r>
      <w:bookmarkEnd w:id="542"/>
      <w:r>
        <w:rPr>
          <w:color w:val="auto"/>
        </w:rPr>
      </w:r>
      <w:bookmarkEnd w:id="543"/>
      <w:r>
        <w:rPr>
          <w:color w:val="auto"/>
        </w:rPr>
      </w:r>
      <w:bookmarkEnd w:id="544"/>
      <w:r>
        <w:rPr>
          <w:color w:val="auto"/>
        </w:rPr>
      </w:r>
      <w:bookmarkEnd w:id="545"/>
      <w:r>
        <w:rPr>
          <w:color w:val="auto"/>
        </w:rPr>
      </w:r>
      <w:bookmarkEnd w:id="546"/>
      <w:r>
        <w:rPr>
          <w:color w:val="auto"/>
        </w:rPr>
      </w:r>
      <w:bookmarkEnd w:id="547"/>
      <w:r>
        <w:rPr>
          <w:color w:val="auto"/>
        </w:rPr>
      </w:r>
      <w:bookmarkEnd w:id="548"/>
      <w:r>
        <w:rPr>
          <w:color w:val="auto"/>
        </w:rPr>
      </w:r>
      <w:bookmarkEnd w:id="549"/>
      <w:r>
        <w:rPr>
          <w:color w:val="auto"/>
        </w:rPr>
      </w:r>
      <w:bookmarkEnd w:id="550"/>
      <w:r>
        <w:rPr>
          <w:color w:val="auto"/>
        </w:rPr>
      </w:r>
      <w:bookmarkEnd w:id="551"/>
      <w:r>
        <w:rPr>
          <w:color w:val="auto"/>
        </w:rPr>
      </w:r>
      <w:bookmarkEnd w:id="552"/>
      <w:r>
        <w:rPr>
          <w:color w:val="auto"/>
        </w:rPr>
      </w:r>
      <w:bookmarkEnd w:id="553"/>
      <w:r>
        <w:rPr>
          <w:color w:val="auto"/>
        </w:rPr>
      </w:r>
      <w:bookmarkEnd w:id="554"/>
      <w:r>
        <w:rPr>
          <w:color w:val="auto"/>
        </w:rPr>
      </w:r>
      <w:bookmarkEnd w:id="580"/>
      <w:r>
        <w:rPr>
          <w:color w:val="auto"/>
        </w:rPr>
      </w:r>
      <w:bookmarkEnd w:id="581"/>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95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p>
    <w:p>
      <w:pPr>
        <w:pStyle w:val="899"/>
        <w:rPr>
          <w:rFonts w:hint="eastAsia" w:ascii="宋体" w:hAnsi="宋体" w:eastAsia="宋体" w:cs="宋体"/>
          <w:b/>
          <w:bCs/>
          <w:color w:val="auto"/>
          <w:sz w:val="24"/>
          <w:highlight w:val="none"/>
        </w:rPr>
        <w:outlineLvl w:val="1"/>
      </w:pPr>
      <w:r>
        <w:rPr>
          <w:color w:val="auto"/>
        </w:rPr>
      </w:r>
      <w:bookmarkStart w:id="582" w:name="_Toc22471"/>
      <w:r>
        <w:rPr>
          <w:rFonts w:hint="eastAsia" w:ascii="宋体" w:hAnsi="宋体" w:eastAsia="宋体" w:cs="宋体"/>
          <w:b/>
          <w:bCs/>
          <w:color w:val="auto"/>
          <w:sz w:val="24"/>
          <w:highlight w:val="none"/>
          <w:lang w:val="zh-CN"/>
        </w:rPr>
        <w:t xml:space="preserve">附件</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lang w:val="zh-CN"/>
        </w:rPr>
        <w:t xml:space="preserve">：具备履行合同所必需的设备和专业技术能力的书面声明</w:t>
      </w:r>
      <w:bookmarkEnd w:id="582"/>
      <w:r>
        <w:rPr>
          <w:rFonts w:hint="eastAsia" w:ascii="宋体" w:hAnsi="宋体" w:eastAsia="宋体" w:cs="宋体"/>
          <w:b/>
          <w:bCs/>
          <w:color w:val="auto"/>
          <w:sz w:val="24"/>
          <w:highlight w:val="none"/>
          <w:lang w:val="zh-CN"/>
        </w:rPr>
      </w:r>
      <w:r>
        <w:rPr>
          <w:color w:val="auto"/>
        </w:rPr>
      </w:r>
    </w:p>
    <w:p>
      <w:pPr>
        <w:pStyle w:val="899"/>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r>
      <w:r>
        <w:rPr>
          <w:color w:val="auto"/>
        </w:rPr>
      </w:r>
    </w:p>
    <w:p>
      <w:pPr>
        <w:pStyle w:val="899"/>
        <w:jc w:val="center"/>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具备履行合同所必需的设备和专业技术能力的书面声明</w:t>
      </w:r>
      <w:r>
        <w:rPr>
          <w:rFonts w:hint="eastAsia" w:ascii="宋体" w:hAnsi="宋体" w:eastAsia="宋体" w:cs="宋体"/>
          <w:b/>
          <w:bCs/>
          <w:color w:val="auto"/>
          <w:sz w:val="24"/>
          <w:highlight w:val="none"/>
          <w:lang w:val="zh-CN"/>
        </w:rPr>
      </w:r>
      <w:r>
        <w:rPr>
          <w:color w:val="auto"/>
        </w:rPr>
      </w:r>
    </w:p>
    <w:p>
      <w:pPr>
        <w:pStyle w:val="899"/>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rPr>
          <w:color w:val="auto"/>
        </w:rPr>
      </w:r>
    </w:p>
    <w:p>
      <w:pPr>
        <w:pStyle w:val="899"/>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auto"/>
          <w:spacing w:val="6"/>
          <w:szCs w:val="21"/>
          <w:highlight w:val="none"/>
        </w:rPr>
      </w:r>
      <w:r>
        <w:rPr>
          <w:color w:val="auto"/>
        </w:rPr>
      </w:r>
    </w:p>
    <w:p>
      <w:pPr>
        <w:pStyle w:val="899"/>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主要设备有：</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pacing w:val="6"/>
          <w:szCs w:val="21"/>
          <w:highlight w:val="none"/>
        </w:rPr>
        <w:t xml:space="preserve">。</w:t>
      </w:r>
      <w:r>
        <w:rPr>
          <w:rFonts w:hint="eastAsia" w:ascii="宋体" w:hAnsi="宋体" w:eastAsia="宋体" w:cs="宋体"/>
          <w:color w:val="auto"/>
          <w:spacing w:val="6"/>
          <w:szCs w:val="21"/>
          <w:highlight w:val="none"/>
        </w:rPr>
      </w:r>
      <w:r>
        <w:rPr>
          <w:color w:val="auto"/>
        </w:rPr>
      </w:r>
    </w:p>
    <w:p>
      <w:pPr>
        <w:pStyle w:val="899"/>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主要专业技术能力有：</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pacing w:val="6"/>
          <w:szCs w:val="21"/>
          <w:highlight w:val="none"/>
        </w:rPr>
        <w:t xml:space="preserve">。</w:t>
      </w:r>
      <w:r>
        <w:rPr>
          <w:rFonts w:hint="eastAsia" w:ascii="宋体" w:hAnsi="宋体" w:eastAsia="宋体" w:cs="宋体"/>
          <w:color w:val="auto"/>
          <w:spacing w:val="6"/>
          <w:szCs w:val="21"/>
          <w:highlight w:val="none"/>
        </w:rPr>
      </w:r>
      <w:r>
        <w:rPr>
          <w:color w:val="auto"/>
        </w:rPr>
      </w:r>
    </w:p>
    <w:p>
      <w:pPr>
        <w:pStyle w:val="899"/>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rPr>
      </w:r>
      <w:r>
        <w:rPr>
          <w:color w:val="auto"/>
        </w:rPr>
      </w:r>
    </w:p>
    <w:p>
      <w:pPr>
        <w:pStyle w:val="899"/>
        <w:ind w:left="0" w:right="1560" w:firstLine="504"/>
        <w:jc w:val="center"/>
        <w:spacing w:before="0" w:after="0" w:line="587" w:lineRule="atLeast"/>
        <w:tabs>
          <w:tab w:val="left" w:pos="48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                 </w:t>
      </w:r>
      <w:r>
        <w:rPr>
          <w:rFonts w:hint="eastAsia" w:ascii="宋体" w:hAnsi="宋体" w:eastAsia="宋体" w:cs="宋体"/>
          <w:color w:val="auto"/>
          <w:sz w:val="24"/>
          <w:highlight w:val="none"/>
        </w:rPr>
        <w:t xml:space="preserve">企业</w:t>
      </w:r>
      <w:r>
        <w:rPr>
          <w:rFonts w:hint="eastAsia" w:ascii="宋体" w:hAnsi="宋体" w:eastAsia="宋体" w:cs="宋体"/>
          <w:color w:val="auto"/>
          <w:spacing w:val="6"/>
          <w:sz w:val="24"/>
          <w:highlight w:val="none"/>
        </w:rPr>
        <w:t xml:space="preserve">名称：</w:t>
      </w:r>
      <w:r>
        <w:rPr>
          <w:rFonts w:hint="eastAsia" w:ascii="宋体" w:hAnsi="宋体" w:eastAsia="宋体" w:cs="宋体"/>
          <w:color w:val="auto"/>
          <w:sz w:val="24"/>
          <w:highlight w:val="none"/>
          <w:u w:val="single"/>
        </w:rPr>
        <w:t xml:space="preserve">（加盖CA电子公章）</w:t>
      </w:r>
      <w:r>
        <w:rPr>
          <w:rFonts w:hint="eastAsia" w:ascii="宋体" w:hAnsi="宋体" w:eastAsia="宋体" w:cs="宋体"/>
          <w:color w:val="auto"/>
          <w:highlight w:val="none"/>
        </w:rPr>
      </w:r>
      <w:r>
        <w:rPr>
          <w:color w:val="auto"/>
        </w:rPr>
      </w:r>
    </w:p>
    <w:p>
      <w:pPr>
        <w:pStyle w:val="899"/>
        <w:ind w:left="0" w:right="1560" w:firstLine="504"/>
        <w:jc w:val="center"/>
        <w:spacing w:before="0" w:after="0" w:line="587" w:lineRule="atLeast"/>
        <w:tabs>
          <w:tab w:val="left" w:pos="48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       日期：</w:t>
      </w:r>
      <w:r>
        <w:rPr>
          <w:rFonts w:hint="eastAsia" w:ascii="宋体" w:hAnsi="宋体" w:eastAsia="宋体" w:cs="宋体"/>
          <w:color w:val="auto"/>
          <w:highlight w:val="none"/>
        </w:rPr>
      </w:r>
      <w:r>
        <w:rPr>
          <w:color w:val="auto"/>
        </w:rPr>
      </w:r>
    </w:p>
    <w:p>
      <w:pPr>
        <w:pStyle w:val="899"/>
        <w:spacing w:line="240" w:lineRule="atLeast"/>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rPr>
          <w:color w:val="auto"/>
        </w:rPr>
      </w:r>
    </w:p>
    <w:p>
      <w:pPr>
        <w:pStyle w:val="899"/>
        <w:spacing w:line="240" w:lineRule="atLeast"/>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rPr>
          <w:color w:val="auto"/>
        </w:rPr>
      </w:r>
    </w:p>
    <w:p>
      <w:pPr>
        <w:pStyle w:val="899"/>
        <w:spacing w:line="240" w:lineRule="atLeast"/>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rPr>
          <w:color w:val="auto"/>
        </w:rPr>
      </w:r>
    </w:p>
    <w:p>
      <w:pPr>
        <w:pStyle w:val="899"/>
        <w:spacing w:line="240" w:lineRule="atLeast"/>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rPr>
          <w:color w:val="auto"/>
        </w:rPr>
      </w:r>
    </w:p>
    <w:p>
      <w:pPr>
        <w:pStyle w:val="899"/>
        <w:spacing w:line="360" w:lineRule="auto"/>
        <w:widowControl/>
        <w:rPr>
          <w:rFonts w:hint="eastAsia" w:ascii="宋体" w:hAnsi="宋体" w:eastAsia="宋体" w:cs="宋体"/>
          <w:b/>
          <w:color w:val="auto"/>
          <w:sz w:val="24"/>
          <w:highlight w:val="none"/>
        </w:rPr>
        <w:outlineLvl w:val="1"/>
      </w:pPr>
      <w:r>
        <w:rPr>
          <w:color w:val="auto"/>
        </w:rPr>
      </w:r>
      <w:bookmarkStart w:id="583" w:name="_Toc13336"/>
      <w:r>
        <w:rPr>
          <w:color w:val="auto"/>
        </w:rPr>
      </w:r>
      <w:bookmarkStart w:id="584" w:name="_Toc2393"/>
      <w:r>
        <w:rPr>
          <w:color w:val="auto"/>
        </w:rPr>
      </w:r>
      <w:bookmarkStart w:id="585" w:name="_Toc14049"/>
      <w:r>
        <w:rPr>
          <w:color w:val="auto"/>
        </w:rPr>
      </w:r>
      <w:bookmarkStart w:id="586" w:name="_Toc529"/>
      <w:r>
        <w:rPr>
          <w:color w:val="auto"/>
        </w:rPr>
      </w:r>
      <w:bookmarkStart w:id="587" w:name="_Toc8398"/>
      <w:r>
        <w:rPr>
          <w:color w:val="auto"/>
        </w:rPr>
      </w:r>
      <w:bookmarkStart w:id="588" w:name="_Toc7914"/>
      <w:r>
        <w:rPr>
          <w:color w:val="auto"/>
        </w:rPr>
      </w:r>
      <w:bookmarkStart w:id="589" w:name="_Toc23399"/>
      <w:r>
        <w:rPr>
          <w:color w:val="auto"/>
        </w:rPr>
      </w:r>
      <w:bookmarkStart w:id="590" w:name="_Toc21243"/>
      <w:r>
        <w:rPr>
          <w:color w:val="auto"/>
        </w:rPr>
      </w:r>
      <w:bookmarkStart w:id="591" w:name="_Toc19793"/>
      <w:r>
        <w:rPr>
          <w:color w:val="auto"/>
        </w:rPr>
      </w:r>
      <w:bookmarkStart w:id="592" w:name="_Toc6749"/>
      <w:r>
        <w:rPr>
          <w:color w:val="auto"/>
        </w:rPr>
      </w:r>
      <w:bookmarkStart w:id="593" w:name="_Toc29439"/>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：无重大违法记录声明格式</w:t>
      </w:r>
      <w:bookmarkEnd w:id="583"/>
      <w:r>
        <w:rPr>
          <w:color w:val="auto"/>
        </w:rPr>
      </w:r>
      <w:bookmarkEnd w:id="584"/>
      <w:r>
        <w:rPr>
          <w:color w:val="auto"/>
        </w:rPr>
      </w:r>
      <w:bookmarkEnd w:id="585"/>
      <w:r>
        <w:rPr>
          <w:color w:val="auto"/>
        </w:rPr>
      </w:r>
      <w:bookmarkEnd w:id="586"/>
      <w:r>
        <w:rPr>
          <w:color w:val="auto"/>
        </w:rPr>
      </w:r>
      <w:bookmarkEnd w:id="587"/>
      <w:r>
        <w:rPr>
          <w:color w:val="auto"/>
        </w:rPr>
      </w:r>
      <w:bookmarkEnd w:id="588"/>
      <w:r>
        <w:rPr>
          <w:color w:val="auto"/>
        </w:rPr>
      </w:r>
      <w:bookmarkEnd w:id="589"/>
      <w:r>
        <w:rPr>
          <w:color w:val="auto"/>
        </w:rPr>
      </w:r>
      <w:bookmarkEnd w:id="590"/>
      <w:r>
        <w:rPr>
          <w:color w:val="auto"/>
        </w:rPr>
      </w:r>
      <w:bookmarkEnd w:id="591"/>
      <w:r>
        <w:rPr>
          <w:color w:val="auto"/>
        </w:rPr>
      </w:r>
      <w:bookmarkEnd w:id="592"/>
      <w:r>
        <w:rPr>
          <w:color w:val="auto"/>
        </w:rPr>
      </w:r>
      <w:bookmarkEnd w:id="593"/>
      <w:r>
        <w:rPr>
          <w:rFonts w:hint="eastAsia" w:ascii="宋体" w:hAnsi="宋体" w:eastAsia="宋体" w:cs="宋体"/>
          <w:b/>
          <w:color w:val="auto"/>
          <w:sz w:val="24"/>
          <w:highlight w:val="none"/>
        </w:rPr>
      </w:r>
      <w:r>
        <w:rPr>
          <w:color w:val="auto"/>
        </w:rPr>
      </w:r>
    </w:p>
    <w:p>
      <w:pPr>
        <w:pStyle w:val="899"/>
        <w:jc w:val="center"/>
        <w:rPr>
          <w:rFonts w:hint="eastAsia" w:ascii="宋体" w:hAnsi="宋体" w:eastAsia="宋体" w:cs="宋体"/>
          <w:color w:val="auto"/>
          <w:sz w:val="36"/>
          <w:szCs w:val="36"/>
          <w:highlight w:val="none"/>
        </w:rPr>
      </w:pPr>
      <w:r>
        <w:rPr>
          <w:rFonts w:hint="eastAsia" w:ascii="宋体" w:hAnsi="宋体" w:eastAsia="宋体" w:cs="宋体"/>
          <w:b/>
          <w:bCs/>
          <w:color w:val="auto"/>
          <w:sz w:val="28"/>
          <w:szCs w:val="28"/>
          <w:highlight w:val="none"/>
          <w:lang w:val="zh-CN"/>
        </w:rPr>
        <w:t xml:space="preserve">无重大违法记录声明</w:t>
      </w:r>
      <w:r>
        <w:rPr>
          <w:rFonts w:hint="eastAsia" w:ascii="宋体" w:hAnsi="宋体" w:eastAsia="宋体" w:cs="宋体"/>
          <w:color w:val="auto"/>
          <w:sz w:val="36"/>
          <w:szCs w:val="36"/>
          <w:highlight w:val="none"/>
        </w:rPr>
      </w:r>
      <w:r>
        <w:rPr>
          <w:color w:val="auto"/>
        </w:rPr>
      </w:r>
    </w:p>
    <w:p>
      <w:pPr>
        <w:pStyle w:val="899"/>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eastAsia="zh-CN"/>
        </w:rPr>
        <w:t xml:space="preserve">南京市江宁区人民政府东山街道办事处 </w:t>
      </w:r>
      <w:r>
        <w:rPr>
          <w:rFonts w:hint="eastAsia" w:ascii="宋体" w:hAnsi="宋体" w:eastAsia="宋体" w:cs="宋体"/>
          <w:color w:val="auto"/>
          <w:spacing w:val="6"/>
          <w:szCs w:val="21"/>
          <w:highlight w:val="none"/>
        </w:rPr>
        <w:t xml:space="preserve">：</w:t>
      </w:r>
      <w:r>
        <w:rPr>
          <w:rFonts w:hint="eastAsia" w:ascii="宋体" w:hAnsi="宋体" w:eastAsia="宋体" w:cs="宋体"/>
          <w:color w:val="auto"/>
          <w:spacing w:val="6"/>
          <w:szCs w:val="21"/>
          <w:highlight w:val="none"/>
        </w:rPr>
      </w:r>
      <w:r>
        <w:rPr>
          <w:color w:val="auto"/>
        </w:rPr>
      </w:r>
    </w:p>
    <w:p>
      <w:pPr>
        <w:pStyle w:val="899"/>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我单位</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pacing w:val="6"/>
          <w:szCs w:val="21"/>
          <w:highlight w:val="none"/>
        </w:rPr>
        <w:t xml:space="preserve">（供应商名称）郑重声明：</w:t>
      </w:r>
      <w:r>
        <w:rPr>
          <w:rFonts w:hint="eastAsia" w:ascii="宋体" w:hAnsi="宋体" w:eastAsia="宋体" w:cs="宋体"/>
          <w:color w:val="auto"/>
          <w:spacing w:val="6"/>
          <w:szCs w:val="21"/>
          <w:highlight w:val="none"/>
        </w:rPr>
      </w:r>
      <w:r>
        <w:rPr>
          <w:color w:val="auto"/>
        </w:rPr>
      </w:r>
    </w:p>
    <w:p>
      <w:pPr>
        <w:pStyle w:val="899"/>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参加政府采购活动前3年内在经营活动中</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pacing w:val="6"/>
          <w:szCs w:val="21"/>
          <w:highlight w:val="none"/>
        </w:rPr>
        <w:t xml:space="preserve">（在下划线上如实填写：有或没有）重大违法记录。</w:t>
      </w:r>
      <w:r>
        <w:rPr>
          <w:rFonts w:hint="eastAsia" w:ascii="宋体" w:hAnsi="宋体" w:eastAsia="宋体" w:cs="宋体"/>
          <w:color w:val="auto"/>
          <w:spacing w:val="6"/>
          <w:szCs w:val="21"/>
          <w:highlight w:val="none"/>
        </w:rPr>
      </w:r>
      <w:r>
        <w:rPr>
          <w:color w:val="auto"/>
        </w:rPr>
      </w:r>
    </w:p>
    <w:p>
      <w:pPr>
        <w:pStyle w:val="899"/>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auto"/>
          <w:spacing w:val="6"/>
          <w:szCs w:val="21"/>
          <w:highlight w:val="none"/>
        </w:rPr>
      </w:r>
      <w:r>
        <w:rPr>
          <w:color w:val="auto"/>
        </w:rPr>
      </w:r>
    </w:p>
    <w:p>
      <w:pPr>
        <w:pStyle w:val="899"/>
        <w:ind w:left="0" w:right="1560" w:firstLine="504"/>
        <w:jc w:val="center"/>
        <w:spacing w:before="0" w:after="0" w:line="587" w:lineRule="atLeast"/>
        <w:tabs>
          <w:tab w:val="left" w:pos="48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                 </w:t>
      </w:r>
      <w:r>
        <w:rPr>
          <w:rFonts w:hint="eastAsia" w:ascii="宋体" w:hAnsi="宋体" w:eastAsia="宋体" w:cs="宋体"/>
          <w:color w:val="auto"/>
          <w:sz w:val="24"/>
          <w:highlight w:val="none"/>
        </w:rPr>
        <w:t xml:space="preserve">企业</w:t>
      </w:r>
      <w:r>
        <w:rPr>
          <w:rFonts w:hint="eastAsia" w:ascii="宋体" w:hAnsi="宋体" w:eastAsia="宋体" w:cs="宋体"/>
          <w:color w:val="auto"/>
          <w:spacing w:val="6"/>
          <w:sz w:val="24"/>
          <w:highlight w:val="none"/>
        </w:rPr>
        <w:t xml:space="preserve">名称：</w:t>
      </w:r>
      <w:r>
        <w:rPr>
          <w:rFonts w:hint="eastAsia" w:ascii="宋体" w:hAnsi="宋体" w:eastAsia="宋体" w:cs="宋体"/>
          <w:color w:val="auto"/>
          <w:sz w:val="24"/>
          <w:highlight w:val="none"/>
          <w:u w:val="single"/>
        </w:rPr>
        <w:t xml:space="preserve">（加盖CA电子公章）</w:t>
      </w:r>
      <w:r>
        <w:rPr>
          <w:rFonts w:hint="eastAsia" w:ascii="宋体" w:hAnsi="宋体" w:eastAsia="宋体" w:cs="宋体"/>
          <w:color w:val="auto"/>
          <w:highlight w:val="none"/>
        </w:rPr>
      </w:r>
      <w:r>
        <w:rPr>
          <w:color w:val="auto"/>
        </w:rPr>
      </w:r>
    </w:p>
    <w:p>
      <w:pPr>
        <w:pStyle w:val="899"/>
        <w:ind w:left="0" w:right="1560" w:firstLine="504"/>
        <w:jc w:val="center"/>
        <w:spacing w:before="0" w:after="0" w:line="587" w:lineRule="atLeast"/>
        <w:tabs>
          <w:tab w:val="left" w:pos="48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       日期：</w:t>
      </w:r>
      <w:r>
        <w:rPr>
          <w:rFonts w:hint="eastAsia" w:ascii="宋体" w:hAnsi="宋体" w:eastAsia="宋体" w:cs="宋体"/>
          <w:color w:val="auto"/>
          <w:highlight w:val="none"/>
        </w:rPr>
      </w:r>
      <w:r>
        <w:rPr>
          <w:color w:val="auto"/>
        </w:rPr>
      </w:r>
    </w:p>
    <w:p>
      <w:pPr>
        <w:pStyle w:val="899"/>
        <w:ind w:right="444"/>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rPr>
          <w:color w:val="auto"/>
        </w:rPr>
      </w:r>
    </w:p>
    <w:p>
      <w:pPr>
        <w:pStyle w:val="899"/>
        <w:jc w:val="right"/>
        <w:rPr>
          <w:rFonts w:hint="eastAsia" w:ascii="宋体" w:hAnsi="宋体" w:cs="宋体"/>
          <w:color w:val="auto"/>
          <w:szCs w:val="21"/>
          <w:highlight w:val="none"/>
        </w:rPr>
      </w:pPr>
      <w:r>
        <w:rPr>
          <w:rFonts w:hint="eastAsia" w:ascii="宋体" w:hAnsi="宋体" w:cs="宋体"/>
          <w:color w:val="auto"/>
          <w:szCs w:val="21"/>
          <w:highlight w:val="none"/>
        </w:rPr>
      </w:r>
      <w:r>
        <w:rPr>
          <w:color w:val="auto"/>
        </w:rPr>
      </w:r>
    </w:p>
    <w:sectPr>
      <w:headerReference w:type="default" r:id="rId10"/>
      <w:footerReference w:type="default" r:id="rId12"/>
      <w:footnotePr/>
      <w:endnotePr/>
      <w:type w:val="nextPage"/>
      <w:pgSz w:w="11906" w:h="16838" w:orient="portrait"/>
      <w:pgMar w:top="1418" w:right="942" w:bottom="1247" w:left="130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Tahoma">
    <w:panose1 w:val="020B0604030504040204"/>
  </w:font>
  <w:font w:name=":ZLe">
    <w:panose1 w:val="020B0503020202020204"/>
  </w:font>
  <w:font w:name="7BKN_gb2312">
    <w:panose1 w:val="020B0503020202020204"/>
  </w:font>
  <w:font w:name="Cambria">
    <w:panose1 w:val="02040503050406030204"/>
  </w:font>
  <w:font w:name="楷体_GB2312">
    <w:panose1 w:val="02010609060101010101"/>
  </w:font>
  <w:font w:name="金山简魏碑">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tabs>
        <w:tab w:val="center" w:pos="4153" w:leader="none"/>
        <w:tab w:val="right" w:pos="8306" w:leader="none"/>
      </w:tabs>
      <w:rPr>
        <w:rFonts w:hint="eastAsia" w:ascii="宋体" w:hAnsi="宋体"/>
      </w:rPr>
    </w:pPr>
    <w:r>
      <w:rPr>
        <w:rFonts w:hint="eastAsia"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tabs>
        <w:tab w:val="center" w:pos="4153" w:leader="none"/>
        <w:tab w:val="right" w:pos="8306" w:leader="none"/>
      </w:tabs>
      <w:rPr>
        <w:rFonts w:hint="eastAsia"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99"/>
                    </w:pPr>
                    <w:r/>
                    <w:r/>
                  </w:p>
                </w:txbxContent>
              </v:textbox>
            </v:shape>
          </w:pict>
        </mc:Fallback>
      </mc:AlternateContent>
    </w:r>
    <w:r>
      <w:rPr>
        <w:rFonts w:hint="eastAsia"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right"/>
      <w:tabs>
        <w:tab w:val="center" w:pos="4153" w:leader="none"/>
        <w:tab w:val="right" w:pos="8306" w:leader="none"/>
      </w:tabs>
      <w:rPr>
        <w:rFonts w:hint="eastAsia"/>
        <w:b/>
        <w:i/>
      </w:rPr>
      <w:pBdr>
        <w:bottom w:val="none" w:color="000000" w:sz="0" w:space="1"/>
      </w:pBdr>
    </w:pPr>
    <w:r>
      <w:rPr>
        <w:rFonts w:hint="eastAsia"/>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right"/>
      <w:tabs>
        <w:tab w:val="center" w:pos="4153" w:leader="none"/>
        <w:tab w:val="right" w:pos="8306" w:leader="none"/>
      </w:tabs>
      <w:rPr>
        <w:rFonts w:hint="eastAsia"/>
        <w:b/>
        <w:i/>
      </w:rPr>
      <w:pBdr>
        <w:bottom w:val="none" w:color="000000" w:sz="0" w:space="1"/>
      </w:pBdr>
    </w:pPr>
    <w:r>
      <w:rPr>
        <w:rFonts w:hint="eastAsia"/>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899"/>
        <w:ind w:left="33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9"/>
        <w:ind w:left="-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章"/>
      <w:legacy w:legacy="1" w:legacyIndent="0" w:legacySpace="0"/>
      <w:lvlJc w:val="center"/>
      <w:pPr>
        <w:pStyle w:val="899"/>
      </w:pPr>
    </w:lvl>
    <w:lvl w:ilvl="1">
      <w:start w:val="1"/>
      <w:numFmt w:val="chineseCountingThousand"/>
      <w:pStyle w:val="993"/>
      <w:isLgl w:val="false"/>
      <w:suff w:val="tab"/>
      <w:lvlText w:val="第%2节"/>
      <w:legacy w:legacy="1" w:legacyIndent="0" w:legacySpace="0"/>
      <w:lvlJc w:val="center"/>
      <w:pPr>
        <w:pStyle w:val="899"/>
      </w:pPr>
    </w:lvl>
    <w:lvl w:ilvl="2">
      <w:start w:val="1"/>
      <w:numFmt w:val="chineseCountingThousand"/>
      <w:isLgl w:val="false"/>
      <w:suff w:val="tab"/>
      <w:lvlText w:val="%3"/>
      <w:legacy w:legacy="1" w:legacyIndent="0" w:legacySpace="0"/>
      <w:lvlJc w:val="left"/>
      <w:pPr>
        <w:pStyle w:val="899"/>
      </w:pPr>
    </w:lvl>
    <w:lvl w:ilvl="3">
      <w:start w:val="1"/>
      <w:numFmt w:val="chineseCountingThousand"/>
      <w:isLgl w:val="false"/>
      <w:suff w:val="tab"/>
      <w:lvlText w:val="(%4)"/>
      <w:legacy w:legacy="1" w:legacyIndent="0" w:legacySpace="0"/>
      <w:lvlJc w:val="left"/>
      <w:pPr>
        <w:pStyle w:val="899"/>
      </w:pPr>
    </w:lvl>
    <w:lvl w:ilvl="4">
      <w:start w:val="1"/>
      <w:numFmt w:val="decimal"/>
      <w:isLgl w:val="false"/>
      <w:suff w:val="tab"/>
      <w:lvlText w:val="%5."/>
      <w:legacy w:legacy="1" w:legacyIndent="0" w:legacySpace="0"/>
      <w:lvlJc w:val="left"/>
      <w:pPr>
        <w:pStyle w:val="899"/>
        <w:ind w:left="0" w:firstLine="0"/>
      </w:pPr>
    </w:lvl>
    <w:lvl w:ilvl="5">
      <w:start w:val="1"/>
      <w:numFmt w:val="decimal"/>
      <w:isLgl w:val="false"/>
      <w:suff w:val="tab"/>
      <w:lvlText w:val="(%6)"/>
      <w:legacy w:legacy="1" w:legacyIndent="0" w:legacySpace="0"/>
      <w:lvlJc w:val="left"/>
      <w:pPr>
        <w:pStyle w:val="899"/>
      </w:pPr>
    </w:lvl>
    <w:lvl w:ilvl="6">
      <w:start w:val="1"/>
      <w:numFmt w:val="lowerRoman"/>
      <w:isLgl w:val="false"/>
      <w:suff w:val="tab"/>
      <w:lvlText w:val="%7"/>
      <w:legacy w:legacy="1" w:legacyIndent="0" w:legacySpace="0"/>
      <w:lvlJc w:val="left"/>
      <w:pPr>
        <w:pStyle w:val="899"/>
        <w:ind w:left="0" w:firstLine="0"/>
      </w:pPr>
    </w:lvl>
    <w:lvl w:ilvl="7">
      <w:start w:val="1"/>
      <w:numFmt w:val="lowerRoman"/>
      <w:isLgl w:val="false"/>
      <w:suff w:val="tab"/>
      <w:lvlText w:val="(%8)"/>
      <w:legacy w:legacy="1" w:legacyIndent="0" w:legacySpace="0"/>
      <w:lvlJc w:val="left"/>
      <w:pPr>
        <w:pStyle w:val="899"/>
        <w:ind w:left="0" w:firstLine="0"/>
      </w:pPr>
    </w:lvl>
    <w:lvl w:ilvl="8">
      <w:start w:val="1"/>
      <w:numFmt w:val="lowerLetter"/>
      <w:isLgl w:val="false"/>
      <w:suff w:val="tab"/>
      <w:lvlText w:val="%9)"/>
      <w:legacy w:legacy="1" w:legacyIndent="0" w:legacySpace="0"/>
      <w:lvlJc w:val="left"/>
      <w:pPr>
        <w:pStyle w:val="899"/>
        <w:ind w:left="0" w:firstLine="0"/>
      </w:pPr>
    </w:lvl>
  </w:abstractNum>
  <w:abstractNum w:abstractNumId="4">
    <w:multiLevelType w:val="hybridMultilevel"/>
    <w:lvl w:ilvl="0">
      <w:start w:val="1"/>
      <w:numFmt w:val="decimal"/>
      <w:pStyle w:val="900"/>
      <w:isLgl w:val="false"/>
      <w:suff w:val="tab"/>
      <w:lvlText w:val="%1"/>
      <w:lvlJc w:val="left"/>
      <w:pPr>
        <w:pStyle w:val="899"/>
        <w:ind w:left="432" w:hanging="432"/>
        <w:tabs>
          <w:tab w:val="num" w:pos="432" w:leader="none"/>
        </w:tabs>
      </w:pPr>
    </w:lvl>
    <w:lvl w:ilvl="1">
      <w:start w:val="1"/>
      <w:numFmt w:val="decimal"/>
      <w:isLgl w:val="false"/>
      <w:suff w:val="tab"/>
      <w:lvlText w:val="%1.%2"/>
      <w:lvlJc w:val="left"/>
      <w:pPr>
        <w:pStyle w:val="899"/>
        <w:ind w:left="576" w:hanging="576"/>
        <w:tabs>
          <w:tab w:val="num" w:pos="576" w:leader="none"/>
        </w:tabs>
      </w:pPr>
    </w:lvl>
    <w:lvl w:ilvl="2">
      <w:start w:val="1"/>
      <w:numFmt w:val="decimal"/>
      <w:pStyle w:val="902"/>
      <w:isLgl w:val="false"/>
      <w:suff w:val="tab"/>
      <w:lvlText w:val="%1.%2.%3"/>
      <w:lvlJc w:val="left"/>
      <w:pPr>
        <w:pStyle w:val="899"/>
        <w:ind w:left="720" w:hanging="720"/>
        <w:tabs>
          <w:tab w:val="num" w:pos="720" w:leader="none"/>
        </w:tabs>
      </w:pPr>
    </w:lvl>
    <w:lvl w:ilvl="3">
      <w:start w:val="1"/>
      <w:numFmt w:val="decimal"/>
      <w:isLgl w:val="false"/>
      <w:suff w:val="tab"/>
      <w:lvlText w:val="%1.%2.%3.%4"/>
      <w:lvlJc w:val="left"/>
      <w:pPr>
        <w:pStyle w:val="899"/>
        <w:ind w:left="864" w:hanging="864"/>
        <w:tabs>
          <w:tab w:val="num" w:pos="864" w:leader="none"/>
        </w:tabs>
      </w:pPr>
    </w:lvl>
    <w:lvl w:ilvl="4">
      <w:start w:val="1"/>
      <w:numFmt w:val="decimal"/>
      <w:isLgl w:val="false"/>
      <w:suff w:val="tab"/>
      <w:lvlText w:val="%1.%2.%3.%4.%5"/>
      <w:lvlJc w:val="left"/>
      <w:pPr>
        <w:pStyle w:val="899"/>
        <w:ind w:left="1008" w:hanging="1008"/>
        <w:tabs>
          <w:tab w:val="num" w:pos="1008" w:leader="none"/>
        </w:tabs>
      </w:pPr>
    </w:lvl>
    <w:lvl w:ilvl="5">
      <w:start w:val="1"/>
      <w:numFmt w:val="decimal"/>
      <w:isLgl w:val="false"/>
      <w:suff w:val="tab"/>
      <w:lvlText w:val="%1.%2.%3.%4.%5.%6"/>
      <w:lvlJc w:val="left"/>
      <w:pPr>
        <w:pStyle w:val="899"/>
        <w:ind w:left="1152" w:hanging="1152"/>
        <w:tabs>
          <w:tab w:val="num" w:pos="1152" w:leader="none"/>
        </w:tabs>
      </w:pPr>
    </w:lvl>
    <w:lvl w:ilvl="6">
      <w:start w:val="1"/>
      <w:numFmt w:val="decimal"/>
      <w:isLgl w:val="false"/>
      <w:suff w:val="tab"/>
      <w:lvlText w:val="%1.%2.%3.%4.%5.%6.%7"/>
      <w:lvlJc w:val="left"/>
      <w:pPr>
        <w:pStyle w:val="899"/>
        <w:ind w:left="1296" w:hanging="1296"/>
        <w:tabs>
          <w:tab w:val="num" w:pos="1296" w:leader="none"/>
        </w:tabs>
      </w:pPr>
    </w:lvl>
    <w:lvl w:ilvl="7">
      <w:start w:val="1"/>
      <w:numFmt w:val="decimal"/>
      <w:isLgl w:val="false"/>
      <w:suff w:val="tab"/>
      <w:lvlText w:val="%1.%2.%3.%4.%5.%6.%7.%8"/>
      <w:lvlJc w:val="left"/>
      <w:pPr>
        <w:pStyle w:val="899"/>
        <w:ind w:left="1440" w:hanging="1440"/>
        <w:tabs>
          <w:tab w:val="num" w:pos="1440" w:leader="none"/>
        </w:tabs>
      </w:pPr>
    </w:lvl>
    <w:lvl w:ilvl="8">
      <w:start w:val="1"/>
      <w:numFmt w:val="decimal"/>
      <w:isLgl w:val="false"/>
      <w:suff w:val="tab"/>
      <w:lvlText w:val="%1.%2.%3.%4.%5.%6.%7.%8.%9"/>
      <w:lvlJc w:val="left"/>
      <w:pPr>
        <w:pStyle w:val="899"/>
        <w:ind w:left="1584" w:hanging="1584"/>
        <w:tabs>
          <w:tab w:val="num" w:pos="1584" w:leader="none"/>
        </w:tabs>
      </w:pPr>
    </w:lvl>
  </w:abstractNum>
  <w:abstractNum w:abstractNumId="5">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99"/>
        <w:ind w:left="432" w:hanging="432"/>
        <w:tabs>
          <w:tab w:val="num" w:pos="432" w:leader="none"/>
        </w:tabs>
      </w:pPr>
    </w:lvl>
    <w:lvl w:ilvl="1">
      <w:start w:val="1"/>
      <w:numFmt w:val="decimal"/>
      <w:isLgl w:val="false"/>
      <w:suff w:val="tab"/>
      <w:lvlText w:val="%1.%2"/>
      <w:lvlJc w:val="left"/>
      <w:pPr>
        <w:pStyle w:val="899"/>
        <w:ind w:left="576" w:hanging="576"/>
        <w:tabs>
          <w:tab w:val="num" w:pos="576" w:leader="none"/>
        </w:tabs>
      </w:pPr>
    </w:lvl>
    <w:lvl w:ilvl="2">
      <w:start w:val="1"/>
      <w:numFmt w:val="decimal"/>
      <w:isLgl w:val="false"/>
      <w:suff w:val="tab"/>
      <w:lvlText w:val="%1.%2.%3"/>
      <w:lvlJc w:val="left"/>
      <w:pPr>
        <w:pStyle w:val="899"/>
        <w:ind w:left="720" w:hanging="720"/>
        <w:tabs>
          <w:tab w:val="num" w:pos="720" w:leader="none"/>
        </w:tabs>
      </w:pPr>
    </w:lvl>
    <w:lvl w:ilvl="3">
      <w:start w:val="1"/>
      <w:numFmt w:val="decimal"/>
      <w:pStyle w:val="903"/>
      <w:isLgl w:val="false"/>
      <w:suff w:val="tab"/>
      <w:lvlText w:val="%1.%2.%3.%4"/>
      <w:lvlJc w:val="left"/>
      <w:pPr>
        <w:pStyle w:val="899"/>
        <w:ind w:left="864" w:hanging="864"/>
        <w:tabs>
          <w:tab w:val="num" w:pos="864" w:leader="none"/>
        </w:tabs>
      </w:pPr>
    </w:lvl>
    <w:lvl w:ilvl="4">
      <w:start w:val="1"/>
      <w:numFmt w:val="decimal"/>
      <w:isLgl w:val="false"/>
      <w:suff w:val="tab"/>
      <w:lvlText w:val="%1.%2.%3.%4.%5"/>
      <w:lvlJc w:val="left"/>
      <w:pPr>
        <w:pStyle w:val="899"/>
        <w:ind w:left="1008" w:hanging="1008"/>
        <w:tabs>
          <w:tab w:val="num" w:pos="1008" w:leader="none"/>
        </w:tabs>
      </w:pPr>
    </w:lvl>
    <w:lvl w:ilvl="5">
      <w:start w:val="1"/>
      <w:numFmt w:val="decimal"/>
      <w:isLgl w:val="false"/>
      <w:suff w:val="tab"/>
      <w:lvlText w:val="%1.%2.%3.%4.%5.%6"/>
      <w:lvlJc w:val="left"/>
      <w:pPr>
        <w:pStyle w:val="899"/>
        <w:ind w:left="1152" w:hanging="1152"/>
        <w:tabs>
          <w:tab w:val="num" w:pos="1152" w:leader="none"/>
        </w:tabs>
      </w:pPr>
    </w:lvl>
    <w:lvl w:ilvl="6">
      <w:start w:val="1"/>
      <w:numFmt w:val="decimal"/>
      <w:isLgl w:val="false"/>
      <w:suff w:val="tab"/>
      <w:lvlText w:val="%1.%2.%3.%4.%5.%6.%7"/>
      <w:lvlJc w:val="left"/>
      <w:pPr>
        <w:pStyle w:val="899"/>
        <w:ind w:left="1296" w:hanging="1296"/>
        <w:tabs>
          <w:tab w:val="num" w:pos="1296" w:leader="none"/>
        </w:tabs>
      </w:pPr>
    </w:lvl>
    <w:lvl w:ilvl="7">
      <w:start w:val="1"/>
      <w:numFmt w:val="decimal"/>
      <w:isLgl w:val="false"/>
      <w:suff w:val="tab"/>
      <w:lvlText w:val="%1.%2.%3.%4.%5.%6.%7.%8"/>
      <w:lvlJc w:val="left"/>
      <w:pPr>
        <w:pStyle w:val="899"/>
        <w:ind w:left="1440" w:hanging="1440"/>
        <w:tabs>
          <w:tab w:val="num" w:pos="1440" w:leader="none"/>
        </w:tabs>
      </w:pPr>
    </w:lvl>
    <w:lvl w:ilvl="8">
      <w:start w:val="1"/>
      <w:numFmt w:val="decimal"/>
      <w:isLgl w:val="false"/>
      <w:suff w:val="tab"/>
      <w:lvlText w:val="%1.%2.%3.%4.%5.%6.%7.%8.%9"/>
      <w:lvlJc w:val="left"/>
      <w:pPr>
        <w:pStyle w:val="899"/>
        <w:ind w:left="1584" w:hanging="1584"/>
        <w:tabs>
          <w:tab w:val="num" w:pos="1584" w:leader="none"/>
        </w:tabs>
      </w:pPr>
    </w:lvl>
  </w:abstractNum>
  <w:abstractNum w:abstractNumId="7">
    <w:multiLevelType w:val="hybridMultilevel"/>
    <w:lvl w:ilvl="0">
      <w:start w:val="1"/>
      <w:numFmt w:val="chineseCountingThousand"/>
      <w:isLgl w:val="false"/>
      <w:suff w:val="tab"/>
      <w:lvlText w:val="%1、"/>
      <w:lvlJc w:val="left"/>
      <w:pPr>
        <w:pStyle w:val="899"/>
        <w:ind w:left="3551" w:hanging="432"/>
        <w:tabs>
          <w:tab w:val="num" w:pos="3551" w:leader="none"/>
        </w:tabs>
      </w:pPr>
      <w:rPr>
        <w:sz w:val="44"/>
        <w:szCs w:val="44"/>
      </w:rPr>
    </w:lvl>
    <w:lvl w:ilvl="1">
      <w:start w:val="1"/>
      <w:numFmt w:val="decimal"/>
      <w:pStyle w:val="901"/>
      <w:isLgl w:val="false"/>
      <w:suff w:val="tab"/>
      <w:lvlText w:val="%1.%2"/>
      <w:lvlJc w:val="left"/>
      <w:pPr>
        <w:pStyle w:val="899"/>
        <w:ind w:left="576" w:hanging="576"/>
        <w:tabs>
          <w:tab w:val="num" w:pos="576" w:leader="none"/>
        </w:tabs>
      </w:pPr>
      <w:rPr>
        <w:rFonts w:hint="eastAsia"/>
        <w:sz w:val="28"/>
        <w:szCs w:val="28"/>
      </w:rPr>
    </w:lvl>
    <w:lvl w:ilvl="2">
      <w:start w:val="1"/>
      <w:numFmt w:val="decimal"/>
      <w:isLgl w:val="false"/>
      <w:suff w:val="tab"/>
      <w:lvlText w:val="%1.%2.%3 "/>
      <w:lvlJc w:val="left"/>
      <w:pPr>
        <w:pStyle w:val="899"/>
        <w:ind w:left="720" w:hanging="720"/>
        <w:tabs>
          <w:tab w:val="num" w:pos="720" w:leader="none"/>
        </w:tabs>
      </w:pPr>
      <w:rPr>
        <w:rFonts w:hint="eastAsia"/>
        <w:sz w:val="24"/>
        <w:szCs w:val="24"/>
      </w:rPr>
    </w:lvl>
    <w:lvl w:ilvl="3">
      <w:start w:val="1"/>
      <w:numFmt w:val="decimal"/>
      <w:isLgl w:val="false"/>
      <w:suff w:val="tab"/>
      <w:lvlText w:val="%1.%2.%3.%4"/>
      <w:lvlJc w:val="left"/>
      <w:pPr>
        <w:pStyle w:val="899"/>
        <w:ind w:left="864" w:hanging="864"/>
        <w:tabs>
          <w:tab w:val="num" w:pos="864" w:leader="none"/>
        </w:tabs>
      </w:pPr>
      <w:rPr>
        <w:rFonts w:hint="eastAsia"/>
      </w:rPr>
    </w:lvl>
    <w:lvl w:ilvl="4">
      <w:start w:val="1"/>
      <w:numFmt w:val="decimal"/>
      <w:isLgl w:val="false"/>
      <w:suff w:val="tab"/>
      <w:lvlText w:val="%1.%2.%3.%4.%5"/>
      <w:lvlJc w:val="left"/>
      <w:pPr>
        <w:pStyle w:val="899"/>
        <w:ind w:left="1908" w:hanging="1008"/>
        <w:tabs>
          <w:tab w:val="num" w:pos="1908" w:leader="none"/>
        </w:tabs>
      </w:pPr>
      <w:rPr>
        <w:rFonts w:hint="eastAsia"/>
      </w:rPr>
    </w:lvl>
    <w:lvl w:ilvl="5">
      <w:start w:val="1"/>
      <w:numFmt w:val="decimal"/>
      <w:isLgl w:val="false"/>
      <w:suff w:val="tab"/>
      <w:lvlText w:val="%1.%2.%3.%4.%5.%6"/>
      <w:lvlJc w:val="left"/>
      <w:pPr>
        <w:pStyle w:val="899"/>
        <w:ind w:left="1152" w:hanging="1152"/>
        <w:tabs>
          <w:tab w:val="num" w:pos="1152" w:leader="none"/>
        </w:tabs>
      </w:pPr>
      <w:rPr>
        <w:rFonts w:hint="eastAsia"/>
      </w:rPr>
    </w:lvl>
    <w:lvl w:ilvl="6">
      <w:start w:val="1"/>
      <w:numFmt w:val="decimal"/>
      <w:isLgl w:val="false"/>
      <w:suff w:val="tab"/>
      <w:lvlText w:val="%1.%2.%3.%4.%5.%6.%7"/>
      <w:lvlJc w:val="left"/>
      <w:pPr>
        <w:pStyle w:val="899"/>
        <w:ind w:left="1296" w:hanging="1296"/>
        <w:tabs>
          <w:tab w:val="num" w:pos="1296" w:leader="none"/>
        </w:tabs>
      </w:pPr>
      <w:rPr>
        <w:rFonts w:hint="eastAsia"/>
      </w:rPr>
    </w:lvl>
    <w:lvl w:ilvl="7">
      <w:start w:val="1"/>
      <w:numFmt w:val="decimal"/>
      <w:isLgl w:val="false"/>
      <w:suff w:val="tab"/>
      <w:lvlText w:val="%1.%2.%3.%4.%5.%6.%7.%8"/>
      <w:lvlJc w:val="left"/>
      <w:pPr>
        <w:pStyle w:val="899"/>
        <w:ind w:left="1440" w:hanging="1440"/>
        <w:tabs>
          <w:tab w:val="num" w:pos="1440" w:leader="none"/>
        </w:tabs>
      </w:pPr>
      <w:rPr>
        <w:rFonts w:hint="eastAsia"/>
      </w:rPr>
    </w:lvl>
    <w:lvl w:ilvl="8">
      <w:start w:val="1"/>
      <w:numFmt w:val="decimal"/>
      <w:isLgl w:val="false"/>
      <w:suff w:val="tab"/>
      <w:lvlText w:val="%1.%2.%3.%4.%5.%6.%7.%8.%9"/>
      <w:lvlJc w:val="left"/>
      <w:pPr>
        <w:pStyle w:val="899"/>
        <w:ind w:left="1584" w:hanging="1584"/>
        <w:tabs>
          <w:tab w:val="num" w:pos="1584" w:leader="none"/>
        </w:tabs>
      </w:pPr>
      <w:rPr>
        <w:rFonts w:hint="eastAsia"/>
      </w:rPr>
    </w:lvl>
  </w:abstractNum>
  <w:abstractNum w:abstractNumId="8">
    <w:multiLevelType w:val="hybridMultilevel"/>
    <w:lvl w:ilvl="0">
      <w:start w:val="3"/>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6"/>
  </w:num>
  <w:num w:numId="4">
    <w:abstractNumId w:val="3"/>
  </w:num>
  <w:num w:numId="5">
    <w:abstractNumId w:val="8"/>
  </w:num>
  <w:num w:numId="6">
    <w:abstractNumId w:val="1"/>
  </w:num>
  <w:num w:numId="7">
    <w:abstractNumId w:val="0"/>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9"/>
    <w:next w:val="899"/>
    <w:link w:val="723"/>
    <w:uiPriority w:val="9"/>
    <w:qFormat/>
    <w:pPr>
      <w:keepLines/>
      <w:keepNext/>
      <w:spacing w:before="480" w:after="200"/>
      <w:outlineLvl w:val="0"/>
    </w:pPr>
    <w:rPr>
      <w:rFonts w:ascii="Arial" w:hAnsi="Arial" w:eastAsia="Arial" w:cs="Arial"/>
      <w:sz w:val="40"/>
      <w:szCs w:val="40"/>
    </w:rPr>
  </w:style>
  <w:style w:type="character" w:styleId="723">
    <w:name w:val="Heading 1 Char"/>
    <w:link w:val="722"/>
    <w:uiPriority w:val="9"/>
    <w:rPr>
      <w:rFonts w:ascii="Arial" w:hAnsi="Arial" w:eastAsia="Arial" w:cs="Arial"/>
      <w:sz w:val="40"/>
      <w:szCs w:val="40"/>
    </w:rPr>
  </w:style>
  <w:style w:type="paragraph" w:styleId="724">
    <w:name w:val="Heading 2"/>
    <w:basedOn w:val="899"/>
    <w:next w:val="899"/>
    <w:link w:val="725"/>
    <w:uiPriority w:val="9"/>
    <w:unhideWhenUsed/>
    <w:qFormat/>
    <w:pPr>
      <w:keepLines/>
      <w:keepNext/>
      <w:spacing w:before="360" w:after="200"/>
      <w:outlineLvl w:val="1"/>
    </w:pPr>
    <w:rPr>
      <w:rFonts w:ascii="Arial" w:hAnsi="Arial" w:eastAsia="Arial" w:cs="Arial"/>
      <w:sz w:val="34"/>
    </w:rPr>
  </w:style>
  <w:style w:type="character" w:styleId="725">
    <w:name w:val="Heading 2 Char"/>
    <w:link w:val="724"/>
    <w:uiPriority w:val="9"/>
    <w:rPr>
      <w:rFonts w:ascii="Arial" w:hAnsi="Arial" w:eastAsia="Arial" w:cs="Arial"/>
      <w:sz w:val="34"/>
    </w:rPr>
  </w:style>
  <w:style w:type="paragraph" w:styleId="726">
    <w:name w:val="Heading 3"/>
    <w:basedOn w:val="899"/>
    <w:next w:val="899"/>
    <w:link w:val="727"/>
    <w:uiPriority w:val="9"/>
    <w:unhideWhenUsed/>
    <w:qFormat/>
    <w:pPr>
      <w:keepLines/>
      <w:keepNext/>
      <w:spacing w:before="320" w:after="200"/>
      <w:outlineLvl w:val="2"/>
    </w:pPr>
    <w:rPr>
      <w:rFonts w:ascii="Arial" w:hAnsi="Arial" w:eastAsia="Arial" w:cs="Arial"/>
      <w:sz w:val="30"/>
      <w:szCs w:val="30"/>
    </w:rPr>
  </w:style>
  <w:style w:type="character" w:styleId="727">
    <w:name w:val="Heading 3 Char"/>
    <w:link w:val="726"/>
    <w:uiPriority w:val="9"/>
    <w:rPr>
      <w:rFonts w:ascii="Arial" w:hAnsi="Arial" w:eastAsia="Arial" w:cs="Arial"/>
      <w:sz w:val="30"/>
      <w:szCs w:val="30"/>
    </w:rPr>
  </w:style>
  <w:style w:type="paragraph" w:styleId="728">
    <w:name w:val="Heading 4"/>
    <w:basedOn w:val="899"/>
    <w:next w:val="899"/>
    <w:link w:val="729"/>
    <w:uiPriority w:val="9"/>
    <w:unhideWhenUsed/>
    <w:qFormat/>
    <w:pPr>
      <w:keepLines/>
      <w:keepNext/>
      <w:spacing w:before="320" w:after="200"/>
      <w:outlineLvl w:val="3"/>
    </w:pPr>
    <w:rPr>
      <w:rFonts w:ascii="Arial" w:hAnsi="Arial" w:eastAsia="Arial" w:cs="Arial"/>
      <w:b/>
      <w:bCs/>
      <w:sz w:val="26"/>
      <w:szCs w:val="26"/>
    </w:rPr>
  </w:style>
  <w:style w:type="character" w:styleId="729">
    <w:name w:val="Heading 4 Char"/>
    <w:link w:val="728"/>
    <w:uiPriority w:val="9"/>
    <w:rPr>
      <w:rFonts w:ascii="Arial" w:hAnsi="Arial" w:eastAsia="Arial" w:cs="Arial"/>
      <w:b/>
      <w:bCs/>
      <w:sz w:val="26"/>
      <w:szCs w:val="26"/>
    </w:rPr>
  </w:style>
  <w:style w:type="paragraph" w:styleId="730">
    <w:name w:val="Heading 5"/>
    <w:basedOn w:val="899"/>
    <w:next w:val="899"/>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link w:val="730"/>
    <w:uiPriority w:val="9"/>
    <w:rPr>
      <w:rFonts w:ascii="Arial" w:hAnsi="Arial" w:eastAsia="Arial" w:cs="Arial"/>
      <w:b/>
      <w:bCs/>
      <w:sz w:val="24"/>
      <w:szCs w:val="24"/>
    </w:rPr>
  </w:style>
  <w:style w:type="paragraph" w:styleId="732">
    <w:name w:val="Heading 6"/>
    <w:basedOn w:val="899"/>
    <w:next w:val="899"/>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link w:val="732"/>
    <w:uiPriority w:val="9"/>
    <w:rPr>
      <w:rFonts w:ascii="Arial" w:hAnsi="Arial" w:eastAsia="Arial" w:cs="Arial"/>
      <w:b/>
      <w:bCs/>
      <w:sz w:val="22"/>
      <w:szCs w:val="22"/>
    </w:rPr>
  </w:style>
  <w:style w:type="paragraph" w:styleId="734">
    <w:name w:val="Heading 7"/>
    <w:basedOn w:val="899"/>
    <w:next w:val="899"/>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link w:val="734"/>
    <w:uiPriority w:val="9"/>
    <w:rPr>
      <w:rFonts w:ascii="Arial" w:hAnsi="Arial" w:eastAsia="Arial" w:cs="Arial"/>
      <w:b/>
      <w:bCs/>
      <w:i/>
      <w:iCs/>
      <w:sz w:val="22"/>
      <w:szCs w:val="22"/>
    </w:rPr>
  </w:style>
  <w:style w:type="paragraph" w:styleId="736">
    <w:name w:val="Heading 8"/>
    <w:basedOn w:val="899"/>
    <w:next w:val="899"/>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link w:val="736"/>
    <w:uiPriority w:val="9"/>
    <w:rPr>
      <w:rFonts w:ascii="Arial" w:hAnsi="Arial" w:eastAsia="Arial" w:cs="Arial"/>
      <w:i/>
      <w:iCs/>
      <w:sz w:val="22"/>
      <w:szCs w:val="22"/>
    </w:rPr>
  </w:style>
  <w:style w:type="paragraph" w:styleId="738">
    <w:name w:val="Heading 9"/>
    <w:basedOn w:val="899"/>
    <w:next w:val="899"/>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link w:val="738"/>
    <w:uiPriority w:val="9"/>
    <w:rPr>
      <w:rFonts w:ascii="Arial" w:hAnsi="Arial" w:eastAsia="Arial" w:cs="Arial"/>
      <w:i/>
      <w:iCs/>
      <w:sz w:val="21"/>
      <w:szCs w:val="21"/>
    </w:r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sz w:val="21"/>
      <w:szCs w:val="24"/>
      <w:lang w:val="en-US" w:eastAsia="zh-CN" w:bidi="ar-SA"/>
    </w:rPr>
  </w:style>
  <w:style w:type="paragraph" w:styleId="900">
    <w:name w:val="标题 1"/>
    <w:basedOn w:val="899"/>
    <w:next w:val="899"/>
    <w:link w:val="906"/>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901">
    <w:name w:val="标题 2"/>
    <w:basedOn w:val="899"/>
    <w:next w:val="899"/>
    <w:link w:val="899"/>
    <w:qFormat/>
    <w:pPr>
      <w:numPr>
        <w:ilvl w:val="1"/>
        <w:numId w:val="2"/>
      </w:numPr>
      <w:keepLines/>
      <w:keepNext/>
      <w:spacing w:before="260" w:after="260" w:line="416" w:lineRule="auto"/>
      <w:tabs>
        <w:tab w:val="left" w:pos="576" w:leader="none"/>
      </w:tabs>
      <w:outlineLvl w:val="1"/>
    </w:pPr>
    <w:rPr>
      <w:rFonts w:ascii="宋体" w:hAnsi="宋体"/>
      <w:b/>
      <w:bCs/>
      <w:sz w:val="32"/>
      <w:szCs w:val="32"/>
      <w:lang w:val="zh-CN"/>
    </w:rPr>
  </w:style>
  <w:style w:type="paragraph" w:styleId="902">
    <w:name w:val="标题 3"/>
    <w:basedOn w:val="899"/>
    <w:next w:val="908"/>
    <w:link w:val="907"/>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903">
    <w:name w:val="标题 4"/>
    <w:basedOn w:val="899"/>
    <w:next w:val="899"/>
    <w:link w:val="909"/>
    <w:qFormat/>
    <w:pPr>
      <w:numPr>
        <w:ilvl w:val="3"/>
        <w:numId w:val="3"/>
      </w:numPr>
      <w:keepLines/>
      <w:keepNext/>
      <w:spacing w:before="280" w:after="290" w:line="376" w:lineRule="auto"/>
      <w:tabs>
        <w:tab w:val="left" w:pos="864" w:leader="none"/>
      </w:tabs>
      <w:outlineLvl w:val="3"/>
    </w:pPr>
    <w:rPr>
      <w:rFonts w:ascii="Arial" w:hAnsi="Arial" w:eastAsia="黑体"/>
      <w:b/>
      <w:bCs/>
      <w:sz w:val="28"/>
      <w:szCs w:val="28"/>
    </w:rPr>
  </w:style>
  <w:style w:type="character" w:styleId="904">
    <w:name w:val="默认段落字体"/>
    <w:next w:val="904"/>
    <w:link w:val="899"/>
    <w:semiHidden/>
  </w:style>
  <w:style w:type="table" w:styleId="905">
    <w:name w:val="普通表格"/>
    <w:next w:val="905"/>
    <w:link w:val="899"/>
    <w:semiHidden/>
    <w:tblPr/>
  </w:style>
  <w:style w:type="character" w:styleId="906">
    <w:name w:val="标题 1 字符"/>
    <w:next w:val="906"/>
    <w:link w:val="900"/>
    <w:rPr>
      <w:rFonts w:ascii="宋体"/>
      <w:b/>
      <w:color w:val="000000"/>
      <w:sz w:val="44"/>
    </w:rPr>
  </w:style>
  <w:style w:type="character" w:styleId="907">
    <w:name w:val="标题 3 字符"/>
    <w:next w:val="907"/>
    <w:link w:val="902"/>
    <w:rPr>
      <w:rFonts w:ascii="宋体"/>
      <w:b/>
      <w:color w:val="000000"/>
      <w:sz w:val="32"/>
    </w:rPr>
  </w:style>
  <w:style w:type="paragraph" w:styleId="908">
    <w:name w:val="正文缩进"/>
    <w:basedOn w:val="899"/>
    <w:next w:val="908"/>
    <w:link w:val="899"/>
    <w:pPr>
      <w:ind w:firstLine="420"/>
    </w:pPr>
    <w:rPr>
      <w:szCs w:val="20"/>
    </w:rPr>
  </w:style>
  <w:style w:type="character" w:styleId="909">
    <w:name w:val="标题 4 字符"/>
    <w:next w:val="909"/>
    <w:link w:val="903"/>
    <w:rPr>
      <w:rFonts w:ascii="Arial" w:hAnsi="Arial" w:eastAsia="黑体"/>
      <w:b/>
      <w:bCs/>
      <w:sz w:val="28"/>
      <w:szCs w:val="28"/>
    </w:rPr>
  </w:style>
  <w:style w:type="paragraph" w:styleId="910">
    <w:name w:val="文档结构图"/>
    <w:basedOn w:val="899"/>
    <w:next w:val="910"/>
    <w:link w:val="911"/>
    <w:pPr>
      <w:shd w:val="clear" w:color="auto" w:fill="000080"/>
    </w:pPr>
  </w:style>
  <w:style w:type="character" w:styleId="911">
    <w:name w:val="文档结构图 字符"/>
    <w:next w:val="911"/>
    <w:link w:val="910"/>
    <w:semiHidden/>
    <w:rPr>
      <w:sz w:val="21"/>
      <w:szCs w:val="24"/>
      <w:shd w:val="clear" w:color="auto" w:fill="000080"/>
    </w:rPr>
  </w:style>
  <w:style w:type="paragraph" w:styleId="912">
    <w:name w:val="批注文字"/>
    <w:basedOn w:val="899"/>
    <w:next w:val="914"/>
    <w:link w:val="913"/>
    <w:semiHidden/>
    <w:pPr>
      <w:jc w:val="left"/>
    </w:pPr>
    <w:rPr>
      <w:szCs w:val="20"/>
    </w:rPr>
  </w:style>
  <w:style w:type="character" w:styleId="913">
    <w:name w:val="批注文字 字符"/>
    <w:next w:val="913"/>
    <w:link w:val="912"/>
    <w:semiHidden/>
    <w:rPr>
      <w:sz w:val="21"/>
    </w:rPr>
  </w:style>
  <w:style w:type="paragraph" w:styleId="914">
    <w:name w:val="正文缩进4"/>
    <w:next w:val="899"/>
    <w:link w:val="899"/>
    <w:qFormat/>
    <w:pPr>
      <w:ind w:left="3400"/>
      <w:jc w:val="both"/>
    </w:pPr>
    <w:rPr>
      <w:rFonts w:ascii="Times New Roman" w:hAnsi="Times New Roman" w:eastAsia="宋体" w:cs="Times New Roman"/>
      <w:sz w:val="21"/>
      <w:lang w:val="en-US" w:eastAsia="zh-CN" w:bidi="ar-SA"/>
    </w:rPr>
  </w:style>
  <w:style w:type="paragraph" w:styleId="915">
    <w:name w:val="正文文本"/>
    <w:basedOn w:val="899"/>
    <w:next w:val="915"/>
    <w:link w:val="916"/>
    <w:pPr>
      <w:spacing w:after="120"/>
    </w:pPr>
  </w:style>
  <w:style w:type="character" w:styleId="916">
    <w:name w:val="正文文本 字符"/>
    <w:next w:val="916"/>
    <w:link w:val="915"/>
    <w:rPr>
      <w:sz w:val="21"/>
      <w:szCs w:val="24"/>
    </w:rPr>
  </w:style>
  <w:style w:type="paragraph" w:styleId="917">
    <w:name w:val="正文文本缩进"/>
    <w:basedOn w:val="899"/>
    <w:next w:val="917"/>
    <w:link w:val="899"/>
    <w:pPr>
      <w:ind w:left="420"/>
      <w:spacing w:after="120"/>
    </w:pPr>
    <w:rPr>
      <w:sz w:val="24"/>
    </w:rPr>
  </w:style>
  <w:style w:type="paragraph" w:styleId="918">
    <w:name w:val="目录 3"/>
    <w:basedOn w:val="899"/>
    <w:next w:val="899"/>
    <w:link w:val="899"/>
    <w:uiPriority w:val="39"/>
    <w:pPr>
      <w:ind w:left="840"/>
    </w:pPr>
  </w:style>
  <w:style w:type="paragraph" w:styleId="919">
    <w:name w:val="纯文本"/>
    <w:basedOn w:val="899"/>
    <w:next w:val="919"/>
    <w:link w:val="920"/>
    <w:unhideWhenUsed/>
    <w:rPr>
      <w:rFonts w:ascii="宋体" w:hAnsi="Courier New"/>
      <w:szCs w:val="21"/>
    </w:rPr>
  </w:style>
  <w:style w:type="character" w:styleId="920">
    <w:name w:val="纯文本 字符"/>
    <w:next w:val="920"/>
    <w:link w:val="919"/>
    <w:rPr>
      <w:rFonts w:ascii="宋体" w:hAnsi="Courier New" w:cs="金山简魏碑"/>
      <w:sz w:val="21"/>
      <w:szCs w:val="21"/>
    </w:rPr>
  </w:style>
  <w:style w:type="paragraph" w:styleId="921">
    <w:name w:val="日期"/>
    <w:basedOn w:val="899"/>
    <w:next w:val="899"/>
    <w:link w:val="922"/>
    <w:pPr>
      <w:ind w:left="100"/>
    </w:pPr>
  </w:style>
  <w:style w:type="character" w:styleId="922">
    <w:name w:val="日期 字符"/>
    <w:next w:val="922"/>
    <w:link w:val="921"/>
    <w:rPr>
      <w:sz w:val="21"/>
      <w:szCs w:val="24"/>
    </w:rPr>
  </w:style>
  <w:style w:type="paragraph" w:styleId="923">
    <w:name w:val="正文文本缩进 2"/>
    <w:basedOn w:val="899"/>
    <w:next w:val="899"/>
    <w:link w:val="924"/>
    <w:pPr>
      <w:ind w:left="630" w:firstLine="645"/>
    </w:pPr>
    <w:rPr>
      <w:rFonts w:ascii="Arial" w:hAnsi="Arial" w:eastAsia="仿宋_GB2312"/>
      <w:sz w:val="32"/>
      <w:szCs w:val="20"/>
    </w:rPr>
  </w:style>
  <w:style w:type="character" w:styleId="924">
    <w:name w:val="正文文本缩进 2 字符"/>
    <w:next w:val="924"/>
    <w:link w:val="923"/>
    <w:rPr>
      <w:rFonts w:ascii="Arial" w:hAnsi="Arial" w:eastAsia="仿宋_GB2312"/>
      <w:sz w:val="32"/>
    </w:rPr>
  </w:style>
  <w:style w:type="paragraph" w:styleId="925">
    <w:name w:val="批注框文本"/>
    <w:basedOn w:val="899"/>
    <w:next w:val="925"/>
    <w:link w:val="926"/>
    <w:semiHidden/>
    <w:rPr>
      <w:sz w:val="18"/>
      <w:szCs w:val="18"/>
    </w:rPr>
  </w:style>
  <w:style w:type="character" w:styleId="926">
    <w:name w:val="批注框文本 字符"/>
    <w:next w:val="926"/>
    <w:link w:val="925"/>
    <w:semiHidden/>
    <w:rPr>
      <w:sz w:val="18"/>
      <w:szCs w:val="18"/>
    </w:rPr>
  </w:style>
  <w:style w:type="paragraph" w:styleId="927">
    <w:name w:val="页脚"/>
    <w:basedOn w:val="899"/>
    <w:next w:val="927"/>
    <w:link w:val="928"/>
    <w:pPr>
      <w:jc w:val="left"/>
      <w:tabs>
        <w:tab w:val="center" w:pos="4153" w:leader="none"/>
        <w:tab w:val="right" w:pos="8306" w:leader="none"/>
      </w:tabs>
    </w:pPr>
    <w:rPr>
      <w:sz w:val="18"/>
      <w:szCs w:val="18"/>
    </w:rPr>
  </w:style>
  <w:style w:type="character" w:styleId="928">
    <w:name w:val="页脚 字符"/>
    <w:next w:val="928"/>
    <w:link w:val="927"/>
    <w:rPr>
      <w:sz w:val="18"/>
      <w:szCs w:val="18"/>
    </w:rPr>
  </w:style>
  <w:style w:type="paragraph" w:styleId="929">
    <w:name w:val="页眉"/>
    <w:basedOn w:val="899"/>
    <w:next w:val="929"/>
    <w:link w:val="930"/>
    <w:pPr>
      <w:jc w:val="center"/>
      <w:tabs>
        <w:tab w:val="center" w:pos="4153" w:leader="none"/>
        <w:tab w:val="right" w:pos="8306" w:leader="none"/>
      </w:tabs>
      <w:pBdr>
        <w:bottom w:val="single" w:color="000000" w:sz="6" w:space="1"/>
      </w:pBdr>
    </w:pPr>
    <w:rPr>
      <w:sz w:val="18"/>
      <w:szCs w:val="18"/>
    </w:rPr>
  </w:style>
  <w:style w:type="character" w:styleId="930">
    <w:name w:val="页眉 字符"/>
    <w:next w:val="930"/>
    <w:link w:val="929"/>
    <w:rPr>
      <w:sz w:val="18"/>
      <w:szCs w:val="18"/>
    </w:rPr>
  </w:style>
  <w:style w:type="paragraph" w:styleId="931">
    <w:name w:val="目录 1"/>
    <w:basedOn w:val="899"/>
    <w:next w:val="899"/>
    <w:link w:val="899"/>
    <w:uiPriority w:val="39"/>
  </w:style>
  <w:style w:type="paragraph" w:styleId="932">
    <w:name w:val="索引标题"/>
    <w:basedOn w:val="899"/>
    <w:next w:val="933"/>
    <w:link w:val="899"/>
    <w:semiHidden/>
    <w:rPr>
      <w:szCs w:val="20"/>
    </w:rPr>
  </w:style>
  <w:style w:type="paragraph" w:styleId="933">
    <w:name w:val="索引 1"/>
    <w:basedOn w:val="899"/>
    <w:next w:val="899"/>
    <w:link w:val="899"/>
    <w:semiHidden/>
    <w:pPr>
      <w:jc w:val="center"/>
    </w:pPr>
    <w:rPr>
      <w:bCs/>
      <w:szCs w:val="20"/>
    </w:rPr>
  </w:style>
  <w:style w:type="paragraph" w:styleId="934">
    <w:name w:val="目录 2"/>
    <w:basedOn w:val="899"/>
    <w:next w:val="899"/>
    <w:link w:val="899"/>
    <w:uiPriority w:val="39"/>
    <w:pPr>
      <w:ind w:left="420"/>
    </w:pPr>
  </w:style>
  <w:style w:type="paragraph" w:styleId="935">
    <w:name w:val="正文文本 2"/>
    <w:basedOn w:val="899"/>
    <w:next w:val="935"/>
    <w:link w:val="899"/>
    <w:qFormat/>
    <w:pPr>
      <w:jc w:val="center"/>
      <w:widowControl/>
    </w:pPr>
    <w:rPr>
      <w:rFonts w:ascii="楷体_GB2312" w:eastAsia="楷体_GB2312"/>
      <w:sz w:val="28"/>
    </w:rPr>
  </w:style>
  <w:style w:type="paragraph" w:styleId="936">
    <w:name w:val="普通(网站)"/>
    <w:basedOn w:val="899"/>
    <w:next w:val="936"/>
    <w:link w:val="899"/>
    <w:pPr>
      <w:jc w:val="left"/>
      <w:spacing w:before="100" w:beforeAutospacing="1" w:after="100" w:afterAutospacing="1"/>
      <w:widowControl/>
    </w:pPr>
    <w:rPr>
      <w:rFonts w:ascii="宋体" w:hAnsi="宋体" w:cs="宋体"/>
      <w:sz w:val="24"/>
    </w:rPr>
  </w:style>
  <w:style w:type="paragraph" w:styleId="937">
    <w:name w:val="标题"/>
    <w:basedOn w:val="899"/>
    <w:next w:val="899"/>
    <w:link w:val="938"/>
    <w:qFormat/>
    <w:pPr>
      <w:jc w:val="center"/>
      <w:spacing w:before="240" w:after="60"/>
      <w:outlineLvl w:val="0"/>
    </w:pPr>
    <w:rPr>
      <w:rFonts w:ascii="Cambria" w:hAnsi="Cambria"/>
      <w:b/>
      <w:bCs/>
      <w:sz w:val="32"/>
      <w:szCs w:val="32"/>
    </w:rPr>
  </w:style>
  <w:style w:type="character" w:styleId="938">
    <w:name w:val="标题 字符"/>
    <w:next w:val="938"/>
    <w:link w:val="937"/>
    <w:rPr>
      <w:rFonts w:ascii="Cambria" w:hAnsi="Cambria" w:cs="Times New Roman"/>
      <w:b/>
      <w:bCs/>
      <w:sz w:val="32"/>
      <w:szCs w:val="32"/>
    </w:rPr>
  </w:style>
  <w:style w:type="paragraph" w:styleId="939">
    <w:name w:val="批注主题"/>
    <w:basedOn w:val="912"/>
    <w:next w:val="912"/>
    <w:link w:val="940"/>
    <w:rPr>
      <w:b/>
      <w:bCs/>
      <w:szCs w:val="24"/>
    </w:rPr>
  </w:style>
  <w:style w:type="character" w:styleId="940">
    <w:name w:val="批注主题 字符"/>
    <w:next w:val="940"/>
    <w:link w:val="939"/>
    <w:rPr>
      <w:b/>
      <w:bCs/>
      <w:sz w:val="21"/>
      <w:szCs w:val="24"/>
    </w:rPr>
  </w:style>
  <w:style w:type="paragraph" w:styleId="941">
    <w:name w:val="正文首行缩进 2"/>
    <w:basedOn w:val="917"/>
    <w:next w:val="941"/>
    <w:link w:val="899"/>
    <w:uiPriority w:val="99"/>
    <w:unhideWhenUsed/>
    <w:qFormat/>
    <w:pPr>
      <w:ind w:firstLine="420"/>
    </w:pPr>
  </w:style>
  <w:style w:type="table" w:styleId="942">
    <w:name w:val="网格型"/>
    <w:basedOn w:val="905"/>
    <w:next w:val="942"/>
    <w:link w:val="899"/>
    <w:pPr>
      <w:jc w:val="both"/>
      <w:widowControl w:val="off"/>
    </w:pPr>
    <w:tblPr/>
  </w:style>
  <w:style w:type="character" w:styleId="943">
    <w:name w:val="要点"/>
    <w:next w:val="943"/>
    <w:link w:val="899"/>
    <w:uiPriority w:val="22"/>
    <w:qFormat/>
    <w:rPr>
      <w:b/>
      <w:bCs/>
    </w:rPr>
  </w:style>
  <w:style w:type="character" w:styleId="944">
    <w:name w:val="页码"/>
    <w:basedOn w:val="904"/>
    <w:next w:val="944"/>
    <w:link w:val="899"/>
  </w:style>
  <w:style w:type="character" w:styleId="945">
    <w:name w:val="已访问的超链接"/>
    <w:next w:val="945"/>
    <w:link w:val="899"/>
    <w:uiPriority w:val="99"/>
    <w:unhideWhenUsed/>
    <w:rPr>
      <w:color w:val="000000"/>
      <w:sz w:val="18"/>
      <w:szCs w:val="18"/>
      <w:u w:val="none"/>
    </w:rPr>
  </w:style>
  <w:style w:type="character" w:styleId="946">
    <w:name w:val="强调"/>
    <w:next w:val="946"/>
    <w:link w:val="899"/>
    <w:qFormat/>
    <w:rPr>
      <w:i w:val="0"/>
    </w:rPr>
  </w:style>
  <w:style w:type="character" w:styleId="947">
    <w:name w:val="超链接"/>
    <w:next w:val="947"/>
    <w:link w:val="899"/>
    <w:uiPriority w:val="99"/>
    <w:rPr>
      <w:color w:val="000000"/>
      <w:sz w:val="18"/>
      <w:szCs w:val="18"/>
      <w:u w:val="none"/>
    </w:rPr>
  </w:style>
  <w:style w:type="character" w:styleId="948">
    <w:name w:val="HTML 代码"/>
    <w:next w:val="948"/>
    <w:link w:val="899"/>
    <w:rPr>
      <w:rFonts w:ascii="Courier New" w:hAnsi="Courier New"/>
      <w:sz w:val="20"/>
    </w:rPr>
  </w:style>
  <w:style w:type="character" w:styleId="949">
    <w:name w:val="批注引用"/>
    <w:next w:val="949"/>
    <w:link w:val="899"/>
    <w:uiPriority w:val="99"/>
    <w:rPr>
      <w:sz w:val="21"/>
      <w:szCs w:val="21"/>
    </w:rPr>
  </w:style>
  <w:style w:type="paragraph" w:styleId="950">
    <w:name w:val="首行缩进"/>
    <w:basedOn w:val="899"/>
    <w:next w:val="950"/>
    <w:link w:val="899"/>
    <w:qFormat/>
    <w:pPr>
      <w:ind w:firstLine="480"/>
    </w:pPr>
    <w:rPr>
      <w:lang w:val="zh-CN"/>
    </w:rPr>
  </w:style>
  <w:style w:type="paragraph" w:styleId="951">
    <w:name w:val="列出段落"/>
    <w:basedOn w:val="899"/>
    <w:next w:val="899"/>
    <w:link w:val="899"/>
    <w:qFormat/>
    <w:pPr>
      <w:ind w:firstLine="420"/>
      <w:spacing w:line="360" w:lineRule="auto"/>
    </w:pPr>
    <w:rPr>
      <w:sz w:val="28"/>
      <w:szCs w:val="24"/>
    </w:rPr>
  </w:style>
  <w:style w:type="character" w:styleId="952">
    <w:name w:val="font41"/>
    <w:next w:val="952"/>
    <w:link w:val="899"/>
    <w:rPr>
      <w:rFonts w:ascii="Arial Unicode MS" w:hAnsi="Arial Unicode MS" w:eastAsia="Arial Unicode MS" w:cs="Arial Unicode MS"/>
      <w:i w:val="0"/>
      <w:color w:val="ff0000"/>
      <w:sz w:val="26"/>
      <w:szCs w:val="26"/>
      <w:u w:val="none"/>
    </w:rPr>
  </w:style>
  <w:style w:type="character" w:styleId="953">
    <w:name w:val="文档结构图 Char"/>
    <w:next w:val="953"/>
    <w:link w:val="899"/>
    <w:uiPriority w:val="99"/>
    <w:semiHidden/>
    <w:rPr>
      <w:rFonts w:ascii="宋体"/>
      <w:sz w:val="18"/>
      <w:szCs w:val="18"/>
    </w:rPr>
  </w:style>
  <w:style w:type="character" w:styleId="954">
    <w:name w:val="font91"/>
    <w:next w:val="954"/>
    <w:link w:val="899"/>
    <w:rPr>
      <w:rFonts w:ascii="Arial Unicode MS" w:hAnsi="Arial Unicode MS" w:eastAsia="Arial Unicode MS" w:cs="Arial Unicode MS"/>
      <w:i w:val="0"/>
      <w:color w:val="000000"/>
      <w:sz w:val="26"/>
      <w:szCs w:val="26"/>
      <w:u w:val="none"/>
    </w:rPr>
  </w:style>
  <w:style w:type="character" w:styleId="955">
    <w:name w:val="rvts34"/>
    <w:basedOn w:val="904"/>
    <w:next w:val="955"/>
    <w:link w:val="899"/>
    <w:qFormat/>
    <w:rPr>
      <w:rFonts w:ascii="7BKN_gb2312" w:hAnsi="7BKN_gb2312" w:eastAsia="宋体" w:cs="Times New Roman"/>
      <w:sz w:val="30"/>
      <w:szCs w:val="30"/>
    </w:rPr>
  </w:style>
  <w:style w:type="character" w:styleId="956">
    <w:name w:val="font01"/>
    <w:next w:val="956"/>
    <w:link w:val="899"/>
    <w:rPr>
      <w:rFonts w:ascii="Arial Unicode MS" w:hAnsi="Arial Unicode MS" w:eastAsia="Arial Unicode MS" w:cs="Arial Unicode MS"/>
      <w:i w:val="0"/>
      <w:color w:val="ff0000"/>
      <w:sz w:val="26"/>
      <w:szCs w:val="26"/>
      <w:u w:val="none"/>
    </w:rPr>
  </w:style>
  <w:style w:type="character" w:styleId="957">
    <w:name w:val="1page sec3 Char2"/>
    <w:next w:val="957"/>
    <w:link w:val="899"/>
    <w:rPr>
      <w:rFonts w:ascii="Times New Roman" w:hAnsi="Times New Roman" w:eastAsia="宋体" w:cs="Times New Roman"/>
      <w:sz w:val="18"/>
      <w:szCs w:val="18"/>
      <w:lang w:val="en-US" w:eastAsia="zh-CN" w:bidi="ar-SA"/>
    </w:rPr>
  </w:style>
  <w:style w:type="character" w:styleId="958">
    <w:name w:val="font112"/>
    <w:next w:val="958"/>
    <w:link w:val="899"/>
    <w:rPr>
      <w:rFonts w:hint="eastAsia" w:ascii="宋体" w:hAnsi="宋体" w:eastAsia="宋体" w:cs="宋体"/>
      <w:i w:val="0"/>
      <w:color w:val="ff0000"/>
      <w:sz w:val="26"/>
      <w:szCs w:val="26"/>
      <w:u w:val="none"/>
    </w:rPr>
  </w:style>
  <w:style w:type="character" w:styleId="959">
    <w:name w:val="font101"/>
    <w:next w:val="959"/>
    <w:link w:val="899"/>
    <w:rPr>
      <w:rFonts w:ascii="Arial Unicode MS" w:hAnsi="Arial Unicode MS" w:eastAsia="Arial Unicode MS" w:cs="Arial Unicode MS"/>
      <w:i w:val="0"/>
      <w:color w:val="000000"/>
      <w:sz w:val="26"/>
      <w:szCs w:val="26"/>
      <w:u w:val="none"/>
    </w:rPr>
  </w:style>
  <w:style w:type="character" w:styleId="960">
    <w:name w:val="rvts35"/>
    <w:basedOn w:val="904"/>
    <w:next w:val="960"/>
    <w:link w:val="899"/>
    <w:qFormat/>
    <w:rPr>
      <w:rFonts w:ascii="7BKN_gb2312" w:hAnsi="7BKN_gb2312" w:eastAsia="宋体" w:cs="Times New Roman"/>
      <w:sz w:val="30"/>
      <w:szCs w:val="30"/>
      <w:u w:val="single"/>
    </w:rPr>
  </w:style>
  <w:style w:type="character" w:styleId="961">
    <w:name w:val="apple-style-span"/>
    <w:next w:val="961"/>
    <w:link w:val="899"/>
    <w:qFormat/>
    <w:rPr>
      <w:rFonts w:cs="Times New Roman"/>
    </w:rPr>
  </w:style>
  <w:style w:type="character" w:styleId="962">
    <w:name w:val="font31"/>
    <w:next w:val="962"/>
    <w:link w:val="899"/>
    <w:rPr>
      <w:rFonts w:ascii="Arial Unicode MS" w:hAnsi="Arial Unicode MS" w:eastAsia="Arial Unicode MS" w:cs="Arial Unicode MS"/>
      <w:i w:val="0"/>
      <w:color w:val="000000"/>
      <w:sz w:val="26"/>
      <w:szCs w:val="26"/>
      <w:u w:val="none"/>
    </w:rPr>
  </w:style>
  <w:style w:type="character" w:styleId="963">
    <w:name w:val="font81"/>
    <w:next w:val="963"/>
    <w:link w:val="899"/>
    <w:rPr>
      <w:rFonts w:ascii="Arial Unicode MS" w:hAnsi="Arial Unicode MS" w:eastAsia="Arial Unicode MS" w:cs="Arial Unicode MS"/>
      <w:i w:val="0"/>
      <w:color w:val="000000"/>
      <w:sz w:val="26"/>
      <w:szCs w:val="26"/>
      <w:u w:val="none"/>
    </w:rPr>
  </w:style>
  <w:style w:type="character" w:styleId="964">
    <w:name w:val="rvts38"/>
    <w:basedOn w:val="904"/>
    <w:next w:val="964"/>
    <w:link w:val="899"/>
    <w:qFormat/>
    <w:rPr>
      <w:rFonts w:ascii="Times New Roman" w:hAnsi="Times New Roman" w:eastAsia="宋体" w:cs="Times New Roman"/>
      <w:sz w:val="30"/>
      <w:szCs w:val="30"/>
      <w:u w:val="single"/>
    </w:rPr>
  </w:style>
  <w:style w:type="character" w:styleId="965">
    <w:name w:val="font111"/>
    <w:next w:val="965"/>
    <w:link w:val="899"/>
    <w:rPr>
      <w:rFonts w:hint="eastAsia" w:ascii="宋体" w:hAnsi="宋体" w:eastAsia="宋体" w:cs="宋体"/>
      <w:i w:val="0"/>
      <w:color w:val="ff0000"/>
      <w:sz w:val="26"/>
      <w:szCs w:val="26"/>
      <w:u w:val="none"/>
    </w:rPr>
  </w:style>
  <w:style w:type="character" w:styleId="966">
    <w:name w:val="标题 1 Char1,H1 Char"/>
    <w:next w:val="966"/>
    <w:link w:val="899"/>
    <w:rPr>
      <w:b/>
      <w:bCs/>
      <w:sz w:val="44"/>
      <w:szCs w:val="44"/>
    </w:rPr>
  </w:style>
  <w:style w:type="character" w:styleId="967">
    <w:name w:val=" Char Char9"/>
    <w:next w:val="967"/>
    <w:link w:val="899"/>
    <w:rPr>
      <w:sz w:val="21"/>
      <w:szCs w:val="24"/>
    </w:rPr>
  </w:style>
  <w:style w:type="character" w:styleId="968">
    <w:name w:val="纯文本 Char"/>
    <w:next w:val="968"/>
    <w:link w:val="899"/>
    <w:rPr>
      <w:rFonts w:ascii="宋体" w:hAnsi="Courier New" w:cs="Courier New"/>
      <w:sz w:val="21"/>
      <w:szCs w:val="21"/>
    </w:rPr>
  </w:style>
  <w:style w:type="character" w:styleId="969">
    <w:name w:val="font71"/>
    <w:next w:val="969"/>
    <w:link w:val="899"/>
    <w:rPr>
      <w:rFonts w:ascii="Arial Unicode MS" w:hAnsi="Arial Unicode MS" w:eastAsia="Arial Unicode MS" w:cs="Arial Unicode MS"/>
      <w:i w:val="0"/>
      <w:color w:val="000000"/>
      <w:sz w:val="26"/>
      <w:szCs w:val="26"/>
      <w:u w:val="none"/>
    </w:rPr>
  </w:style>
  <w:style w:type="character" w:styleId="970">
    <w:name w:val="标题 3 Char1,h3 Char,3rd level Char,H3 Char,Level 3 Head Char"/>
    <w:next w:val="970"/>
    <w:link w:val="899"/>
    <w:semiHidden/>
    <w:rPr>
      <w:b/>
      <w:bCs/>
      <w:sz w:val="32"/>
      <w:szCs w:val="32"/>
    </w:rPr>
  </w:style>
  <w:style w:type="character" w:styleId="971">
    <w:name w:val="rvts40"/>
    <w:basedOn w:val="904"/>
    <w:next w:val="971"/>
    <w:link w:val="899"/>
    <w:qFormat/>
    <w:rPr>
      <w:rFonts w:ascii=":ZLe" w:hAnsi=":ZLe" w:eastAsia="宋体" w:cs="Times New Roman"/>
      <w:sz w:val="30"/>
      <w:szCs w:val="30"/>
    </w:rPr>
  </w:style>
  <w:style w:type="character" w:styleId="972">
    <w:name w:val="标题 4 Char1,章 Char"/>
    <w:next w:val="972"/>
    <w:link w:val="899"/>
    <w:semiHidden/>
    <w:rPr>
      <w:rFonts w:ascii="Cambria" w:hAnsi="Cambria" w:eastAsia="宋体" w:cs="Times New Roman"/>
      <w:b/>
      <w:bCs/>
      <w:sz w:val="28"/>
      <w:szCs w:val="28"/>
    </w:rPr>
  </w:style>
  <w:style w:type="character" w:styleId="973">
    <w:name w:val="font11"/>
    <w:basedOn w:val="904"/>
    <w:next w:val="973"/>
    <w:link w:val="899"/>
    <w:rPr>
      <w:rFonts w:hint="eastAsia" w:ascii="宋体" w:hAnsi="宋体" w:eastAsia="宋体" w:cs="宋体"/>
      <w:i w:val="0"/>
      <w:color w:val="000000"/>
      <w:sz w:val="20"/>
      <w:szCs w:val="20"/>
      <w:u w:val="none"/>
    </w:rPr>
  </w:style>
  <w:style w:type="character" w:styleId="974">
    <w:name w:val="font61"/>
    <w:next w:val="974"/>
    <w:link w:val="899"/>
    <w:rPr>
      <w:rFonts w:ascii="Arial Unicode MS" w:hAnsi="Arial Unicode MS" w:eastAsia="Arial Unicode MS" w:cs="Arial Unicode MS"/>
      <w:i w:val="0"/>
      <w:color w:val="ff0000"/>
      <w:sz w:val="26"/>
      <w:szCs w:val="26"/>
      <w:u w:val="none"/>
    </w:rPr>
  </w:style>
  <w:style w:type="paragraph" w:styleId="975">
    <w:name w:val="Char7"/>
    <w:basedOn w:val="910"/>
    <w:next w:val="975"/>
    <w:link w:val="899"/>
    <w:pPr>
      <w:spacing w:line="360" w:lineRule="auto"/>
    </w:pPr>
    <w:rPr>
      <w:rFonts w:ascii="Tahoma" w:hAnsi="Tahoma"/>
      <w:sz w:val="24"/>
    </w:rPr>
  </w:style>
  <w:style w:type="paragraph" w:styleId="976">
    <w:name w:val="p8"/>
    <w:basedOn w:val="899"/>
    <w:next w:val="976"/>
    <w:link w:val="899"/>
    <w:pPr>
      <w:jc w:val="left"/>
      <w:spacing w:before="100" w:beforeAutospacing="1" w:after="100" w:afterAutospacing="1"/>
      <w:widowControl/>
    </w:pPr>
    <w:rPr>
      <w:rFonts w:ascii="宋体" w:hAnsi="宋体" w:cs="宋体"/>
      <w:sz w:val="24"/>
    </w:rPr>
  </w:style>
  <w:style w:type="paragraph" w:styleId="977">
    <w:name w:val="样式 小四 段前: 5 磅 段后: 5 磅 首行缩进:  2 字符"/>
    <w:basedOn w:val="899"/>
    <w:next w:val="977"/>
    <w:link w:val="899"/>
    <w:pPr>
      <w:spacing w:line="360" w:lineRule="auto"/>
    </w:pPr>
    <w:rPr>
      <w:rFonts w:ascii="宋体" w:hAnsi="宋体"/>
      <w:szCs w:val="21"/>
    </w:rPr>
  </w:style>
  <w:style w:type="paragraph" w:styleId="978">
    <w:name w:val="Default"/>
    <w:next w:val="978"/>
    <w:link w:val="899"/>
    <w:pPr>
      <w:widowControl w:val="off"/>
    </w:pPr>
    <w:rPr>
      <w:rFonts w:ascii="宋体" w:cs="宋体"/>
      <w:color w:val="000000"/>
      <w:sz w:val="24"/>
      <w:szCs w:val="24"/>
      <w:lang w:val="en-US" w:eastAsia="zh-CN" w:bidi="ar-SA"/>
    </w:rPr>
  </w:style>
  <w:style w:type="paragraph" w:styleId="979">
    <w:name w:val=" Char7"/>
    <w:basedOn w:val="910"/>
    <w:next w:val="979"/>
    <w:link w:val="899"/>
    <w:pPr>
      <w:spacing w:line="360" w:lineRule="auto"/>
    </w:pPr>
    <w:rPr>
      <w:rFonts w:ascii="Tahoma" w:hAnsi="Tahoma"/>
      <w:sz w:val="24"/>
    </w:rPr>
  </w:style>
  <w:style w:type="paragraph" w:styleId="980">
    <w:name w:val="段"/>
    <w:next w:val="899"/>
    <w:link w:val="899"/>
    <w:qFormat/>
    <w:pPr>
      <w:ind w:firstLine="200"/>
      <w:jc w:val="both"/>
      <w:spacing w:line="360" w:lineRule="auto"/>
    </w:pPr>
    <w:rPr>
      <w:rFonts w:ascii="宋体" w:hAnsi="Calibri"/>
      <w:sz w:val="24"/>
      <w:szCs w:val="22"/>
      <w:lang w:val="en-US" w:eastAsia="zh-CN" w:bidi="ar-SA"/>
    </w:rPr>
  </w:style>
  <w:style w:type="paragraph" w:styleId="981">
    <w:name w:val="pa-2"/>
    <w:basedOn w:val="899"/>
    <w:next w:val="981"/>
    <w:link w:val="899"/>
    <w:pPr>
      <w:ind w:firstLine="700"/>
      <w:spacing w:line="320" w:lineRule="atLeast"/>
      <w:widowControl/>
    </w:pPr>
    <w:rPr>
      <w:rFonts w:ascii="宋体" w:hAnsi="宋体" w:cs="宋体"/>
      <w:sz w:val="24"/>
    </w:rPr>
  </w:style>
  <w:style w:type="paragraph" w:styleId="982">
    <w:name w:val="列出段落1"/>
    <w:basedOn w:val="899"/>
    <w:next w:val="982"/>
    <w:link w:val="899"/>
    <w:qFormat/>
    <w:pPr>
      <w:ind w:firstLine="420"/>
    </w:pPr>
    <w:rPr>
      <w:rFonts w:ascii="Calibri" w:hAnsi="Calibri"/>
      <w:sz w:val="21"/>
      <w:szCs w:val="22"/>
    </w:rPr>
  </w:style>
  <w:style w:type="paragraph" w:styleId="983">
    <w:name w:val="默认段落字体 Para Char Char Char Char Char Char Char"/>
    <w:basedOn w:val="899"/>
    <w:next w:val="983"/>
    <w:link w:val="899"/>
    <w:rPr>
      <w:rFonts w:ascii="Tahoma" w:hAnsi="Tahoma"/>
      <w:sz w:val="24"/>
      <w:szCs w:val="20"/>
    </w:rPr>
  </w:style>
  <w:style w:type="paragraph" w:styleId="984">
    <w:name w:val="表格无间距"/>
    <w:basedOn w:val="899"/>
    <w:next w:val="984"/>
    <w:link w:val="899"/>
    <w:qFormat/>
    <w:pPr>
      <w:jc w:val="center"/>
      <w:spacing w:line="240" w:lineRule="atLeast"/>
      <w:widowControl/>
    </w:pPr>
    <w:rPr>
      <w:rFonts w:ascii="宋体" w:hAnsi="宋体" w:cs="宋体"/>
      <w:bCs/>
      <w:sz w:val="18"/>
      <w:szCs w:val="18"/>
    </w:rPr>
  </w:style>
  <w:style w:type="paragraph" w:styleId="985">
    <w:name w:val="列出段落3"/>
    <w:basedOn w:val="899"/>
    <w:next w:val="985"/>
    <w:link w:val="899"/>
    <w:pPr>
      <w:ind w:firstLine="200"/>
    </w:pPr>
    <w:rPr>
      <w:szCs w:val="21"/>
    </w:rPr>
  </w:style>
  <w:style w:type="paragraph" w:styleId="986">
    <w:name w:val=" Char"/>
    <w:basedOn w:val="899"/>
    <w:next w:val="986"/>
    <w:link w:val="899"/>
    <w:pPr>
      <w:jc w:val="left"/>
      <w:spacing w:after="160" w:line="240" w:lineRule="exact"/>
      <w:widowControl/>
    </w:pPr>
    <w:rPr>
      <w:rFonts w:ascii="Verdana" w:hAnsi="Verdana" w:eastAsia="仿宋_GB2312"/>
      <w:sz w:val="24"/>
      <w:szCs w:val="20"/>
      <w:lang w:eastAsia="en-US"/>
    </w:rPr>
  </w:style>
  <w:style w:type="paragraph" w:styleId="987">
    <w:name w:val="Char"/>
    <w:basedOn w:val="899"/>
    <w:next w:val="987"/>
    <w:link w:val="899"/>
    <w:pPr>
      <w:jc w:val="left"/>
      <w:spacing w:after="160" w:line="240" w:lineRule="exact"/>
      <w:widowControl/>
    </w:pPr>
    <w:rPr>
      <w:rFonts w:ascii="Verdana" w:hAnsi="Verdana" w:eastAsia="仿宋_GB2312"/>
      <w:sz w:val="24"/>
      <w:szCs w:val="20"/>
      <w:lang w:eastAsia="en-US"/>
    </w:rPr>
  </w:style>
  <w:style w:type="paragraph" w:styleId="988">
    <w:name w:val="列出段落5"/>
    <w:basedOn w:val="899"/>
    <w:next w:val="988"/>
    <w:link w:val="899"/>
    <w:pPr>
      <w:ind w:firstLine="420"/>
    </w:pPr>
    <w:rPr>
      <w:rFonts w:ascii="宋体" w:hAnsi="宋体" w:cs="宋体"/>
      <w:sz w:val="24"/>
    </w:rPr>
  </w:style>
  <w:style w:type="paragraph" w:styleId="989">
    <w:name w:val="List Paragraph"/>
    <w:basedOn w:val="899"/>
    <w:next w:val="989"/>
    <w:link w:val="899"/>
    <w:pPr>
      <w:ind w:firstLine="420"/>
    </w:pPr>
    <w:rPr>
      <w:rFonts w:ascii="Times New Roman" w:hAnsi="Times New Roman"/>
      <w:szCs w:val="21"/>
    </w:rPr>
  </w:style>
  <w:style w:type="paragraph" w:styleId="990">
    <w:name w:val="*正文"/>
    <w:basedOn w:val="899"/>
    <w:next w:val="990"/>
    <w:link w:val="899"/>
    <w:qFormat/>
    <w:pPr>
      <w:ind w:left="100" w:right="100"/>
      <w:spacing w:line="360" w:lineRule="auto"/>
    </w:pPr>
    <w:rPr>
      <w:rFonts w:ascii="宋体" w:hAnsi="宋体"/>
      <w:sz w:val="22"/>
      <w:szCs w:val="22"/>
    </w:rPr>
  </w:style>
  <w:style w:type="paragraph" w:styleId="991">
    <w:name w:val="_Style 2"/>
    <w:basedOn w:val="899"/>
    <w:next w:val="991"/>
    <w:link w:val="899"/>
    <w:pPr>
      <w:ind w:firstLine="420"/>
      <w:jc w:val="left"/>
      <w:widowControl/>
    </w:pPr>
    <w:rPr>
      <w:rFonts w:ascii="Calibri" w:hAnsi="Calibri"/>
      <w:szCs w:val="22"/>
    </w:rPr>
  </w:style>
  <w:style w:type="paragraph" w:styleId="992">
    <w:name w:val="Char Char Char Char Char Char Char Char Char Char Char Char Char Char Char Char"/>
    <w:basedOn w:val="899"/>
    <w:next w:val="992"/>
    <w:link w:val="899"/>
    <w:pPr>
      <w:ind w:left="482" w:firstLine="200"/>
      <w:spacing w:line="360" w:lineRule="auto"/>
      <w:tabs>
        <w:tab w:val="left" w:pos="360" w:leader="none"/>
      </w:tabs>
    </w:pPr>
    <w:rPr>
      <w:rFonts w:ascii="宋体"/>
      <w:sz w:val="24"/>
    </w:rPr>
  </w:style>
  <w:style w:type="paragraph" w:styleId="993">
    <w:name w:val="投标文件二级标题"/>
    <w:basedOn w:val="901"/>
    <w:next w:val="993"/>
    <w:link w:val="899"/>
    <w:qFormat/>
    <w:pPr>
      <w:numPr>
        <w:ilvl w:val="1"/>
        <w:numId w:val="4"/>
      </w:numPr>
      <w:spacing w:before="480" w:after="120" w:line="400" w:lineRule="exact"/>
      <w:tabs>
        <w:tab w:val="left" w:pos="576" w:leader="none"/>
      </w:tabs>
    </w:pPr>
    <w:rPr>
      <w:szCs w:val="28"/>
    </w:rPr>
  </w:style>
  <w:style w:type="paragraph" w:styleId="994">
    <w:name w:val="正文文本1"/>
    <w:basedOn w:val="899"/>
    <w:next w:val="899"/>
    <w:link w:val="899"/>
    <w:uiPriority w:val="99"/>
    <w:unhideWhenUsed/>
    <w:qFormat/>
    <w:pPr>
      <w:spacing w:after="120"/>
    </w:pPr>
  </w:style>
  <w:style w:type="table" w:styleId="995">
    <w:name w:val="网格型1"/>
    <w:basedOn w:val="996"/>
    <w:next w:val="995"/>
    <w:link w:val="899"/>
    <w:qFormat/>
    <w:pPr>
      <w:jc w:val="both"/>
      <w:widowControl w:val="off"/>
    </w:pPr>
    <w:tblPr/>
  </w:style>
  <w:style w:type="table" w:styleId="996">
    <w:name w:val="普通表格1"/>
    <w:next w:val="996"/>
    <w:link w:val="899"/>
    <w:semiHidden/>
    <w:qFormat/>
    <w:tblPr/>
  </w:style>
  <w:style w:type="paragraph" w:styleId="997">
    <w:name w:val="普通(网站)1111"/>
    <w:basedOn w:val="899"/>
    <w:next w:val="997"/>
    <w:link w:val="899"/>
    <w:uiPriority w:val="99"/>
    <w:qFormat/>
    <w:pPr>
      <w:jc w:val="left"/>
      <w:spacing w:before="100" w:beforeAutospacing="1" w:after="100" w:afterAutospacing="1"/>
      <w:widowControl/>
    </w:pPr>
    <w:rPr>
      <w:rFonts w:ascii="宋体" w:hAnsi="宋体" w:cs="宋体"/>
      <w:sz w:val="24"/>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徐宁</dc:creator>
  <cp:lastModifiedBy>南京华涵-王伟豪</cp:lastModifiedBy>
  <cp:revision>6</cp:revision>
  <dcterms:created xsi:type="dcterms:W3CDTF">2020-04-22T06:09:00Z</dcterms:created>
  <dcterms:modified xsi:type="dcterms:W3CDTF">2026-05-28T11:10:25Z</dcterms:modified>
</cp:coreProperties>
</file>